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As filed with the Securities and Exchange Commission on July 11,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333-272006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333-270185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333-266334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333-262995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333-260917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333-253896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333-238065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333-236720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333-234404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333-229982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333-223537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333-219656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333-211916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333-208893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333-202438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333-193694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POST-EFFECTIVE AMENDMENT NO. 1</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333-272006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333-270185</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333-266334</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333-262995</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333-260917</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333-253896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333-238065</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333-236720</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333-234404</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333-229982</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333-223537</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333-219656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333-211916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333-208893</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333-202438</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333-193694</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333-191767</w:t>
      </w:r>
    </w:p>
    <w:p>
      <w:pPr>
        <w:jc w:val="center"/>
        <w:ind w:right="11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132715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IVERIC bio, Inc.</w:t>
      </w:r>
    </w:p>
    <w:p>
      <w:pPr>
        <w:spacing w:after="0" w:line="3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20-8185347</w:t>
            </w:r>
          </w:p>
        </w:tc>
      </w:tr>
      <w:tr>
        <w:trPr>
          <w:trHeight w:val="216"/>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(State or other jurisdiction of</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1"/>
              </w:rPr>
              <w:t>incorporation or organization)</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8 Sylvan Way</w:t>
            </w:r>
          </w:p>
        </w:tc>
        <w:tc>
          <w:tcPr>
            <w:tcW w:w="1780" w:type="dxa"/>
            <w:vAlign w:val="bottom"/>
          </w:tcPr>
          <w:p>
            <w:pPr>
              <w:spacing w:after="0"/>
              <w:rPr>
                <w:sz w:val="24"/>
                <w:szCs w:val="24"/>
                <w:color w:val="auto"/>
              </w:rPr>
            </w:pPr>
          </w:p>
        </w:tc>
      </w:tr>
      <w:tr>
        <w:trPr>
          <w:trHeight w:val="216"/>
        </w:trPr>
        <w:tc>
          <w:tcPr>
            <w:tcW w:w="6380" w:type="dxa"/>
            <w:vAlign w:val="bottom"/>
          </w:tcPr>
          <w:p>
            <w:pPr>
              <w:jc w:val="center"/>
              <w:ind w:right="3230"/>
              <w:spacing w:after="0"/>
              <w:rPr>
                <w:sz w:val="20"/>
                <w:szCs w:val="20"/>
                <w:color w:val="auto"/>
              </w:rPr>
            </w:pPr>
            <w:r>
              <w:rPr>
                <w:rFonts w:ascii="Arial" w:cs="Arial" w:eastAsia="Arial" w:hAnsi="Arial"/>
                <w:sz w:val="18"/>
                <w:szCs w:val="18"/>
                <w:b w:val="1"/>
                <w:bCs w:val="1"/>
                <w:color w:val="auto"/>
                <w:w w:val="90"/>
              </w:rPr>
              <w:t>Parsippany, NJ</w:t>
            </w:r>
          </w:p>
        </w:tc>
        <w:tc>
          <w:tcPr>
            <w:tcW w:w="1780" w:type="dxa"/>
            <w:vAlign w:val="bottom"/>
          </w:tcPr>
          <w:p>
            <w:pPr>
              <w:jc w:val="right"/>
              <w:ind w:right="570"/>
              <w:spacing w:after="0"/>
              <w:rPr>
                <w:sz w:val="20"/>
                <w:szCs w:val="20"/>
                <w:color w:val="auto"/>
              </w:rPr>
            </w:pPr>
            <w:r>
              <w:rPr>
                <w:rFonts w:ascii="Arial" w:cs="Arial" w:eastAsia="Arial" w:hAnsi="Arial"/>
                <w:sz w:val="18"/>
                <w:szCs w:val="18"/>
                <w:b w:val="1"/>
                <w:bCs w:val="1"/>
                <w:color w:val="auto"/>
              </w:rPr>
              <w:t>07054</w:t>
            </w:r>
          </w:p>
        </w:tc>
      </w:tr>
      <w:tr>
        <w:trPr>
          <w:trHeight w:val="234"/>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2023 Stock Incentive Plan</w:t>
            </w:r>
          </w:p>
        </w:tc>
        <w:tc>
          <w:tcPr>
            <w:tcW w:w="1780" w:type="dxa"/>
            <w:vAlign w:val="bottom"/>
          </w:tcPr>
          <w:p>
            <w:pPr>
              <w:spacing w:after="0"/>
              <w:rPr>
                <w:sz w:val="24"/>
                <w:szCs w:val="24"/>
                <w:color w:val="auto"/>
              </w:rPr>
            </w:pPr>
          </w:p>
        </w:tc>
      </w:tr>
      <w:tr>
        <w:trPr>
          <w:trHeight w:val="216"/>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2019 Inducement Stock Incentive Plan, as amended</w:t>
            </w:r>
          </w:p>
        </w:tc>
        <w:tc>
          <w:tcPr>
            <w:tcW w:w="1780" w:type="dxa"/>
            <w:vAlign w:val="bottom"/>
          </w:tcPr>
          <w:p>
            <w:pPr>
              <w:spacing w:after="0"/>
              <w:rPr>
                <w:sz w:val="18"/>
                <w:szCs w:val="18"/>
                <w:color w:val="auto"/>
              </w:rPr>
            </w:pPr>
          </w:p>
        </w:tc>
      </w:tr>
      <w:tr>
        <w:trPr>
          <w:trHeight w:val="216"/>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2013 Stock Incentive Plan, as amended</w:t>
            </w:r>
          </w:p>
        </w:tc>
        <w:tc>
          <w:tcPr>
            <w:tcW w:w="1780" w:type="dxa"/>
            <w:vAlign w:val="bottom"/>
          </w:tcPr>
          <w:p>
            <w:pPr>
              <w:spacing w:after="0"/>
              <w:rPr>
                <w:sz w:val="18"/>
                <w:szCs w:val="18"/>
                <w:color w:val="auto"/>
              </w:rPr>
            </w:pPr>
          </w:p>
        </w:tc>
      </w:tr>
      <w:tr>
        <w:trPr>
          <w:trHeight w:val="216"/>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8"/>
              </w:rPr>
              <w:t>2016 Employee Stock Purchase Plan</w:t>
            </w:r>
          </w:p>
        </w:tc>
        <w:tc>
          <w:tcPr>
            <w:tcW w:w="1780" w:type="dxa"/>
            <w:vAlign w:val="bottom"/>
          </w:tcPr>
          <w:p>
            <w:pPr>
              <w:spacing w:after="0"/>
              <w:rPr>
                <w:sz w:val="18"/>
                <w:szCs w:val="18"/>
                <w:color w:val="auto"/>
              </w:rPr>
            </w:pPr>
          </w:p>
        </w:tc>
      </w:tr>
      <w:tr>
        <w:trPr>
          <w:trHeight w:val="234"/>
        </w:trPr>
        <w:tc>
          <w:tcPr>
            <w:tcW w:w="63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Inducement Stock Option Grants</w:t>
            </w:r>
          </w:p>
        </w:tc>
        <w:tc>
          <w:tcPr>
            <w:tcW w:w="1780" w:type="dxa"/>
            <w:vAlign w:val="bottom"/>
          </w:tcPr>
          <w:p>
            <w:pPr>
              <w:spacing w:after="0"/>
              <w:rPr>
                <w:sz w:val="20"/>
                <w:szCs w:val="20"/>
                <w:color w:val="auto"/>
              </w:rPr>
            </w:pPr>
          </w:p>
        </w:tc>
      </w:tr>
    </w:tbl>
    <w:p>
      <w:pPr>
        <w:ind w:left="2100"/>
        <w:spacing w:after="0"/>
        <w:rPr>
          <w:sz w:val="20"/>
          <w:szCs w:val="20"/>
          <w:color w:val="auto"/>
        </w:rPr>
      </w:pPr>
      <w:r>
        <w:rPr>
          <w:rFonts w:ascii="Arial" w:cs="Arial" w:eastAsia="Arial" w:hAnsi="Arial"/>
          <w:sz w:val="18"/>
          <w:szCs w:val="18"/>
          <w:b w:val="1"/>
          <w:bCs w:val="1"/>
          <w:color w:val="auto"/>
        </w:rPr>
        <w:t>Amended and Restated 2007 Stock Incentive Plan, as amended</w:t>
      </w:r>
    </w:p>
    <w:p>
      <w:pPr>
        <w:sectPr>
          <w:pgSz w:w="11900" w:h="16841" w:orient="portrait"/>
          <w:cols w:equalWidth="0" w:num="1">
            <w:col w:w="10120"/>
          </w:cols>
          <w:pgMar w:left="1440" w:top="229"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(Full title of the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Catherine Levitt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Astellas Pharma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2375 Waterview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Northbrook, IL 60062-6111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727-7003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Jonn Beeson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 Chouka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Jones Day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3161 Michelson Drive, Suite 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Irvine, CA 92612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(949) 851-3939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8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0"/>
          <w:szCs w:val="20"/>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These Post-Effective Amendments (the “Post-Effective Amendments”) relate to the following Registration Statements on Form S-8 (the “Registration Statements”) filed by IVERIC bio, Inc. (“IVERIC” or the “Company”) with the Securities and Exchange Commission (the “SEC”):</w:t>
      </w:r>
    </w:p>
    <w:p>
      <w:pPr>
        <w:spacing w:after="0" w:line="124" w:lineRule="exact"/>
        <w:rPr>
          <w:sz w:val="20"/>
          <w:szCs w:val="20"/>
          <w:color w:val="auto"/>
        </w:rPr>
      </w:pPr>
    </w:p>
    <w:p>
      <w:pPr>
        <w:ind w:left="980" w:right="320" w:hanging="324"/>
        <w:spacing w:after="0" w:line="274" w:lineRule="auto"/>
        <w:tabs>
          <w:tab w:leader="none" w:pos="980" w:val="left"/>
        </w:tabs>
        <w:numPr>
          <w:ilvl w:val="0"/>
          <w:numId w:val="1"/>
        </w:numPr>
        <w:rPr>
          <w:rFonts w:ascii="Arial" w:cs="Arial" w:eastAsia="Arial" w:hAnsi="Arial"/>
          <w:sz w:val="17"/>
          <w:szCs w:val="17"/>
          <w:color w:val="0000EE"/>
        </w:rPr>
      </w:pPr>
      <w:hyperlink r:id="rId18">
        <w:r>
          <w:rPr>
            <w:rFonts w:ascii="Arial" w:cs="Arial" w:eastAsia="Arial" w:hAnsi="Arial"/>
            <w:sz w:val="17"/>
            <w:szCs w:val="17"/>
            <w:u w:val="single" w:color="auto"/>
            <w:color w:val="0000EE"/>
          </w:rPr>
          <w:t>Registration Statement No. 333-272006, filed with the SEC on May 17, 2023</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relating to the registration of 19,259,019 shares of common</w:t>
      </w:r>
      <w:r>
        <w:rPr>
          <w:rFonts w:ascii="Arial" w:cs="Arial" w:eastAsia="Arial" w:hAnsi="Arial"/>
          <w:sz w:val="17"/>
          <w:szCs w:val="17"/>
          <w:color w:val="0000EE"/>
        </w:rPr>
        <w:t xml:space="preserve"> </w:t>
      </w:r>
      <w:r>
        <w:rPr>
          <w:rFonts w:ascii="Arial" w:cs="Arial" w:eastAsia="Arial" w:hAnsi="Arial"/>
          <w:sz w:val="17"/>
          <w:szCs w:val="17"/>
          <w:color w:val="000000"/>
        </w:rPr>
        <w:t>stock, $0.001 par value per share (“Shares”) of the Company under the Company’s 2023 Stock Incentive Plan;</w:t>
      </w:r>
    </w:p>
    <w:p>
      <w:pPr>
        <w:ind w:left="980" w:right="60" w:hanging="324"/>
        <w:spacing w:after="0" w:line="250" w:lineRule="auto"/>
        <w:tabs>
          <w:tab w:leader="none" w:pos="980" w:val="left"/>
        </w:tabs>
        <w:numPr>
          <w:ilvl w:val="0"/>
          <w:numId w:val="1"/>
        </w:numPr>
        <w:rPr>
          <w:rFonts w:ascii="Arial" w:cs="Arial" w:eastAsia="Arial" w:hAnsi="Arial"/>
          <w:sz w:val="18"/>
          <w:szCs w:val="18"/>
          <w:color w:val="0000EE"/>
        </w:rPr>
      </w:pPr>
      <w:hyperlink r:id="rId19">
        <w:r>
          <w:rPr>
            <w:rFonts w:ascii="Arial" w:cs="Arial" w:eastAsia="Arial" w:hAnsi="Arial"/>
            <w:sz w:val="18"/>
            <w:szCs w:val="18"/>
            <w:u w:val="single" w:color="auto"/>
            <w:color w:val="0000EE"/>
          </w:rPr>
          <w:t>Registration Statement No. 333-270185, filed with the SEC on March 1,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2,542,372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 and (ii) 2,000,000 Shares under the Company’s 2019 Inducement Stock Incentive Plan, as amended;</w:t>
      </w:r>
    </w:p>
    <w:p>
      <w:pPr>
        <w:spacing w:after="0" w:line="1" w:lineRule="exact"/>
        <w:rPr>
          <w:rFonts w:ascii="Arial" w:cs="Arial" w:eastAsia="Arial" w:hAnsi="Arial"/>
          <w:sz w:val="18"/>
          <w:szCs w:val="18"/>
          <w:color w:val="0000EE"/>
        </w:rPr>
      </w:pPr>
    </w:p>
    <w:p>
      <w:pPr>
        <w:ind w:left="980" w:right="560" w:hanging="324"/>
        <w:spacing w:after="0" w:line="250" w:lineRule="auto"/>
        <w:tabs>
          <w:tab w:leader="none" w:pos="980" w:val="left"/>
        </w:tabs>
        <w:numPr>
          <w:ilvl w:val="0"/>
          <w:numId w:val="1"/>
        </w:numPr>
        <w:rPr>
          <w:rFonts w:ascii="Arial" w:cs="Arial" w:eastAsia="Arial" w:hAnsi="Arial"/>
          <w:sz w:val="18"/>
          <w:szCs w:val="18"/>
          <w:color w:val="0000EE"/>
        </w:rPr>
      </w:pPr>
      <w:hyperlink r:id="rId20">
        <w:r>
          <w:rPr>
            <w:rFonts w:ascii="Arial" w:cs="Arial" w:eastAsia="Arial" w:hAnsi="Arial"/>
            <w:sz w:val="18"/>
            <w:szCs w:val="18"/>
            <w:u w:val="single" w:color="auto"/>
            <w:color w:val="0000EE"/>
          </w:rPr>
          <w:t>Registration Statement No. 333-266334, filed with the SEC on July 26,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 as amended;</w:t>
      </w:r>
    </w:p>
    <w:p>
      <w:pPr>
        <w:ind w:left="980" w:hanging="324"/>
        <w:spacing w:after="0" w:line="250" w:lineRule="auto"/>
        <w:tabs>
          <w:tab w:leader="none" w:pos="980" w:val="left"/>
        </w:tabs>
        <w:numPr>
          <w:ilvl w:val="0"/>
          <w:numId w:val="1"/>
        </w:numPr>
        <w:rPr>
          <w:rFonts w:ascii="Arial" w:cs="Arial" w:eastAsia="Arial" w:hAnsi="Arial"/>
          <w:sz w:val="18"/>
          <w:szCs w:val="18"/>
          <w:color w:val="0000EE"/>
        </w:rPr>
      </w:pPr>
      <w:hyperlink r:id="rId21">
        <w:r>
          <w:rPr>
            <w:rFonts w:ascii="Arial" w:cs="Arial" w:eastAsia="Arial" w:hAnsi="Arial"/>
            <w:sz w:val="18"/>
            <w:szCs w:val="18"/>
            <w:u w:val="single" w:color="auto"/>
            <w:color w:val="0000EE"/>
          </w:rPr>
          <w:t>Registration Statement No. 333-262995, filed with the SEC on February 24,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2,542,372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 and (ii) 1,000,000 Shares under the Company’s 2019 Inducement Stock Incentive Plan, as amended;</w:t>
      </w:r>
    </w:p>
    <w:p>
      <w:pPr>
        <w:spacing w:after="0" w:line="1" w:lineRule="exact"/>
        <w:rPr>
          <w:rFonts w:ascii="Arial" w:cs="Arial" w:eastAsia="Arial" w:hAnsi="Arial"/>
          <w:sz w:val="18"/>
          <w:szCs w:val="18"/>
          <w:color w:val="0000EE"/>
        </w:rPr>
      </w:pPr>
    </w:p>
    <w:p>
      <w:pPr>
        <w:ind w:left="980" w:right="200" w:hanging="324"/>
        <w:spacing w:after="0" w:line="250" w:lineRule="auto"/>
        <w:tabs>
          <w:tab w:leader="none" w:pos="980" w:val="left"/>
        </w:tabs>
        <w:numPr>
          <w:ilvl w:val="0"/>
          <w:numId w:val="1"/>
        </w:numPr>
        <w:rPr>
          <w:rFonts w:ascii="Arial" w:cs="Arial" w:eastAsia="Arial" w:hAnsi="Arial"/>
          <w:sz w:val="18"/>
          <w:szCs w:val="18"/>
          <w:color w:val="0000EE"/>
        </w:rPr>
      </w:pPr>
      <w:hyperlink r:id="rId22">
        <w:r>
          <w:rPr>
            <w:rFonts w:ascii="Arial" w:cs="Arial" w:eastAsia="Arial" w:hAnsi="Arial"/>
            <w:sz w:val="18"/>
            <w:szCs w:val="18"/>
            <w:u w:val="single" w:color="auto"/>
            <w:color w:val="0000EE"/>
          </w:rPr>
          <w:t>Registration Statement No. 333-260917, filed with the SEC on November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 as amended;</w:t>
      </w:r>
    </w:p>
    <w:p>
      <w:pPr>
        <w:ind w:left="980" w:right="180" w:hanging="324"/>
        <w:spacing w:after="0" w:line="250" w:lineRule="auto"/>
        <w:tabs>
          <w:tab w:leader="none" w:pos="980" w:val="left"/>
        </w:tabs>
        <w:numPr>
          <w:ilvl w:val="0"/>
          <w:numId w:val="1"/>
        </w:numPr>
        <w:rPr>
          <w:rFonts w:ascii="Arial" w:cs="Arial" w:eastAsia="Arial" w:hAnsi="Arial"/>
          <w:sz w:val="18"/>
          <w:szCs w:val="18"/>
          <w:color w:val="0000EE"/>
        </w:rPr>
      </w:pPr>
      <w:hyperlink r:id="rId23">
        <w:r>
          <w:rPr>
            <w:rFonts w:ascii="Arial" w:cs="Arial" w:eastAsia="Arial" w:hAnsi="Arial"/>
            <w:sz w:val="18"/>
            <w:szCs w:val="18"/>
            <w:u w:val="single" w:color="auto"/>
            <w:color w:val="0000EE"/>
          </w:rPr>
          <w:t>Registration Statement No. 333-253896, filed with the SEC on March 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2,542,372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 and (ii) 600,000 Shares under the Company’s 2019 Inducement Stock Incentive Plan, as amended;</w:t>
      </w:r>
    </w:p>
    <w:p>
      <w:pPr>
        <w:spacing w:after="0" w:line="1" w:lineRule="exact"/>
        <w:rPr>
          <w:rFonts w:ascii="Arial" w:cs="Arial" w:eastAsia="Arial" w:hAnsi="Arial"/>
          <w:sz w:val="18"/>
          <w:szCs w:val="18"/>
          <w:color w:val="0000EE"/>
        </w:rPr>
      </w:pPr>
    </w:p>
    <w:p>
      <w:pPr>
        <w:ind w:left="980" w:right="620" w:hanging="324"/>
        <w:spacing w:after="0" w:line="250" w:lineRule="auto"/>
        <w:tabs>
          <w:tab w:leader="none" w:pos="980" w:val="left"/>
        </w:tabs>
        <w:numPr>
          <w:ilvl w:val="0"/>
          <w:numId w:val="1"/>
        </w:numPr>
        <w:rPr>
          <w:rFonts w:ascii="Arial" w:cs="Arial" w:eastAsia="Arial" w:hAnsi="Arial"/>
          <w:sz w:val="18"/>
          <w:szCs w:val="18"/>
          <w:color w:val="0000EE"/>
        </w:rPr>
      </w:pPr>
      <w:hyperlink r:id="rId24">
        <w:r>
          <w:rPr>
            <w:rFonts w:ascii="Arial" w:cs="Arial" w:eastAsia="Arial" w:hAnsi="Arial"/>
            <w:sz w:val="18"/>
            <w:szCs w:val="18"/>
            <w:u w:val="single" w:color="auto"/>
            <w:color w:val="0000EE"/>
          </w:rPr>
          <w:t>Registration Statement No. 333-238065, filed with the SEC on May 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 as amended;</w:t>
      </w:r>
    </w:p>
    <w:p>
      <w:pPr>
        <w:ind w:left="980" w:right="220" w:hanging="324"/>
        <w:spacing w:after="0" w:line="250" w:lineRule="auto"/>
        <w:tabs>
          <w:tab w:leader="none" w:pos="980" w:val="left"/>
        </w:tabs>
        <w:numPr>
          <w:ilvl w:val="0"/>
          <w:numId w:val="1"/>
        </w:numPr>
        <w:rPr>
          <w:rFonts w:ascii="Arial" w:cs="Arial" w:eastAsia="Arial" w:hAnsi="Arial"/>
          <w:sz w:val="18"/>
          <w:szCs w:val="18"/>
          <w:color w:val="0000EE"/>
        </w:rPr>
      </w:pPr>
      <w:hyperlink r:id="rId25">
        <w:r>
          <w:rPr>
            <w:rFonts w:ascii="Arial" w:cs="Arial" w:eastAsia="Arial" w:hAnsi="Arial"/>
            <w:sz w:val="18"/>
            <w:szCs w:val="18"/>
            <w:u w:val="single" w:color="auto"/>
            <w:color w:val="0000EE"/>
          </w:rPr>
          <w:t>Registration Statement No. 333-236720, filed with the SEC on February 27,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1,985,082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w:t>
      </w:r>
    </w:p>
    <w:p>
      <w:pPr>
        <w:ind w:left="980" w:right="280" w:hanging="324"/>
        <w:spacing w:after="0" w:line="250" w:lineRule="auto"/>
        <w:tabs>
          <w:tab w:leader="none" w:pos="980" w:val="left"/>
        </w:tabs>
        <w:numPr>
          <w:ilvl w:val="0"/>
          <w:numId w:val="1"/>
        </w:numPr>
        <w:rPr>
          <w:rFonts w:ascii="Arial" w:cs="Arial" w:eastAsia="Arial" w:hAnsi="Arial"/>
          <w:sz w:val="18"/>
          <w:szCs w:val="18"/>
          <w:color w:val="0000EE"/>
        </w:rPr>
      </w:pPr>
      <w:hyperlink r:id="rId26">
        <w:r>
          <w:rPr>
            <w:rFonts w:ascii="Arial" w:cs="Arial" w:eastAsia="Arial" w:hAnsi="Arial"/>
            <w:sz w:val="18"/>
            <w:szCs w:val="18"/>
            <w:u w:val="single" w:color="auto"/>
            <w:color w:val="0000EE"/>
          </w:rPr>
          <w:t>Registration Statement No. 333-234404, filed with the SEC on October 31,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w:t>
      </w:r>
    </w:p>
    <w:p>
      <w:pPr>
        <w:ind w:left="980" w:right="480" w:hanging="324"/>
        <w:spacing w:after="0" w:line="250" w:lineRule="auto"/>
        <w:tabs>
          <w:tab w:leader="none" w:pos="980" w:val="left"/>
        </w:tabs>
        <w:numPr>
          <w:ilvl w:val="0"/>
          <w:numId w:val="1"/>
        </w:numPr>
        <w:rPr>
          <w:rFonts w:ascii="Arial" w:cs="Arial" w:eastAsia="Arial" w:hAnsi="Arial"/>
          <w:sz w:val="18"/>
          <w:szCs w:val="18"/>
          <w:color w:val="0000EE"/>
        </w:rPr>
      </w:pPr>
      <w:hyperlink r:id="rId27">
        <w:r>
          <w:rPr>
            <w:rFonts w:ascii="Arial" w:cs="Arial" w:eastAsia="Arial" w:hAnsi="Arial"/>
            <w:sz w:val="18"/>
            <w:szCs w:val="18"/>
            <w:u w:val="single" w:color="auto"/>
            <w:color w:val="0000EE"/>
          </w:rPr>
          <w:t>Registration Statement No. 333-229982, filed with the SEC on March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1,655,887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w:t>
      </w:r>
    </w:p>
    <w:p>
      <w:pPr>
        <w:ind w:left="980" w:right="500" w:hanging="324"/>
        <w:spacing w:after="0" w:line="250" w:lineRule="auto"/>
        <w:tabs>
          <w:tab w:leader="none" w:pos="980" w:val="left"/>
        </w:tabs>
        <w:numPr>
          <w:ilvl w:val="0"/>
          <w:numId w:val="1"/>
        </w:numPr>
        <w:rPr>
          <w:rFonts w:ascii="Arial" w:cs="Arial" w:eastAsia="Arial" w:hAnsi="Arial"/>
          <w:sz w:val="18"/>
          <w:szCs w:val="18"/>
          <w:color w:val="0000EE"/>
        </w:rPr>
      </w:pPr>
      <w:hyperlink r:id="rId28">
        <w:r>
          <w:rPr>
            <w:rFonts w:ascii="Arial" w:cs="Arial" w:eastAsia="Arial" w:hAnsi="Arial"/>
            <w:sz w:val="18"/>
            <w:szCs w:val="18"/>
            <w:u w:val="single" w:color="auto"/>
            <w:color w:val="0000EE"/>
          </w:rPr>
          <w:t>Registration Statement No. 333-223537, filed with the SEC on March 9,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1,444,411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w:t>
      </w:r>
    </w:p>
    <w:p>
      <w:pPr>
        <w:ind w:left="980" w:right="440" w:hanging="324"/>
        <w:spacing w:after="0" w:line="250" w:lineRule="auto"/>
        <w:tabs>
          <w:tab w:leader="none" w:pos="980" w:val="left"/>
        </w:tabs>
        <w:numPr>
          <w:ilvl w:val="0"/>
          <w:numId w:val="1"/>
        </w:numPr>
        <w:rPr>
          <w:rFonts w:ascii="Arial" w:cs="Arial" w:eastAsia="Arial" w:hAnsi="Arial"/>
          <w:sz w:val="18"/>
          <w:szCs w:val="18"/>
          <w:color w:val="0000EE"/>
        </w:rPr>
      </w:pPr>
      <w:hyperlink r:id="rId29">
        <w:r>
          <w:rPr>
            <w:rFonts w:ascii="Arial" w:cs="Arial" w:eastAsia="Arial" w:hAnsi="Arial"/>
            <w:sz w:val="18"/>
            <w:szCs w:val="18"/>
            <w:u w:val="single" w:color="auto"/>
            <w:color w:val="0000EE"/>
          </w:rPr>
          <w:t>Registration Statement No. 333-219656, filed with the SEC on August 3, 2017</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1,429,394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w:t>
      </w:r>
    </w:p>
    <w:p>
      <w:pPr>
        <w:ind w:left="980" w:right="640" w:hanging="324"/>
        <w:spacing w:after="0" w:line="250" w:lineRule="auto"/>
        <w:tabs>
          <w:tab w:leader="none" w:pos="980" w:val="left"/>
        </w:tabs>
        <w:numPr>
          <w:ilvl w:val="0"/>
          <w:numId w:val="1"/>
        </w:numPr>
        <w:rPr>
          <w:rFonts w:ascii="Arial" w:cs="Arial" w:eastAsia="Arial" w:hAnsi="Arial"/>
          <w:sz w:val="18"/>
          <w:szCs w:val="18"/>
          <w:color w:val="0000EE"/>
        </w:rPr>
      </w:pPr>
      <w:hyperlink r:id="rId30">
        <w:r>
          <w:rPr>
            <w:rFonts w:ascii="Arial" w:cs="Arial" w:eastAsia="Arial" w:hAnsi="Arial"/>
            <w:sz w:val="18"/>
            <w:szCs w:val="18"/>
            <w:u w:val="single" w:color="auto"/>
            <w:color w:val="0000EE"/>
          </w:rPr>
          <w:t>Registration Statement No. 333-211916, filed with the SEC on June 8,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2016 Employee Stock Purchase Plan;</w:t>
      </w:r>
    </w:p>
    <w:p>
      <w:pPr>
        <w:ind w:left="980" w:right="180" w:hanging="324"/>
        <w:spacing w:after="0" w:line="250" w:lineRule="auto"/>
        <w:tabs>
          <w:tab w:leader="none" w:pos="980" w:val="left"/>
        </w:tabs>
        <w:numPr>
          <w:ilvl w:val="0"/>
          <w:numId w:val="1"/>
        </w:numPr>
        <w:rPr>
          <w:rFonts w:ascii="Arial" w:cs="Arial" w:eastAsia="Arial" w:hAnsi="Arial"/>
          <w:sz w:val="18"/>
          <w:szCs w:val="18"/>
          <w:color w:val="0000EE"/>
        </w:rPr>
      </w:pPr>
      <w:hyperlink r:id="rId31">
        <w:r>
          <w:rPr>
            <w:rFonts w:ascii="Arial" w:cs="Arial" w:eastAsia="Arial" w:hAnsi="Arial"/>
            <w:sz w:val="18"/>
            <w:szCs w:val="18"/>
            <w:u w:val="single" w:color="auto"/>
            <w:color w:val="0000EE"/>
          </w:rPr>
          <w:t>Registration Statement No. 333-208893, filed with the SEC on January 6,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1,407,799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 (ii) 120,000 Shares under an inducement stock option grant;</w:t>
      </w:r>
    </w:p>
    <w:p>
      <w:pPr>
        <w:ind w:left="980" w:right="280" w:hanging="324"/>
        <w:spacing w:after="0" w:line="250" w:lineRule="auto"/>
        <w:tabs>
          <w:tab w:leader="none" w:pos="980" w:val="left"/>
        </w:tabs>
        <w:numPr>
          <w:ilvl w:val="0"/>
          <w:numId w:val="1"/>
        </w:numPr>
        <w:rPr>
          <w:rFonts w:ascii="Arial" w:cs="Arial" w:eastAsia="Arial" w:hAnsi="Arial"/>
          <w:sz w:val="18"/>
          <w:szCs w:val="18"/>
          <w:color w:val="0000EE"/>
        </w:rPr>
      </w:pPr>
      <w:hyperlink r:id="rId32">
        <w:r>
          <w:rPr>
            <w:rFonts w:ascii="Arial" w:cs="Arial" w:eastAsia="Arial" w:hAnsi="Arial"/>
            <w:sz w:val="18"/>
            <w:szCs w:val="18"/>
            <w:u w:val="single" w:color="auto"/>
            <w:color w:val="0000EE"/>
          </w:rPr>
          <w:t>Registration Statement No. 333-202438, filed with the SEC on March 2, 2015</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1,359,781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 (ii) 350,000 Shares under an inducement stock option grant;</w:t>
      </w:r>
    </w:p>
    <w:p>
      <w:pPr>
        <w:ind w:left="980" w:right="300" w:hanging="324"/>
        <w:spacing w:after="0" w:line="250" w:lineRule="auto"/>
        <w:tabs>
          <w:tab w:leader="none" w:pos="980" w:val="left"/>
        </w:tabs>
        <w:numPr>
          <w:ilvl w:val="0"/>
          <w:numId w:val="1"/>
        </w:numPr>
        <w:rPr>
          <w:rFonts w:ascii="Arial" w:cs="Arial" w:eastAsia="Arial" w:hAnsi="Arial"/>
          <w:sz w:val="18"/>
          <w:szCs w:val="18"/>
          <w:color w:val="0000EE"/>
        </w:rPr>
      </w:pPr>
      <w:hyperlink r:id="rId33">
        <w:r>
          <w:rPr>
            <w:rFonts w:ascii="Arial" w:cs="Arial" w:eastAsia="Arial" w:hAnsi="Arial"/>
            <w:sz w:val="18"/>
            <w:szCs w:val="18"/>
            <w:u w:val="single" w:color="auto"/>
            <w:color w:val="0000EE"/>
          </w:rPr>
          <w:t>Registration Statement No. 333-193694, filed with the SEC on January 31, 2014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1,256,528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w:t>
      </w:r>
    </w:p>
    <w:p>
      <w:pPr>
        <w:jc w:val="both"/>
        <w:ind w:left="980" w:right="180" w:hanging="324"/>
        <w:spacing w:after="0" w:line="255" w:lineRule="auto"/>
        <w:tabs>
          <w:tab w:leader="none" w:pos="980" w:val="left"/>
        </w:tabs>
        <w:numPr>
          <w:ilvl w:val="0"/>
          <w:numId w:val="1"/>
        </w:numPr>
        <w:rPr>
          <w:rFonts w:ascii="Arial" w:cs="Arial" w:eastAsia="Arial" w:hAnsi="Arial"/>
          <w:sz w:val="18"/>
          <w:szCs w:val="18"/>
          <w:color w:val="0000EE"/>
        </w:rPr>
      </w:pPr>
      <w:hyperlink r:id="rId34">
        <w:r>
          <w:rPr>
            <w:rFonts w:ascii="Arial" w:cs="Arial" w:eastAsia="Arial" w:hAnsi="Arial"/>
            <w:sz w:val="18"/>
            <w:szCs w:val="18"/>
            <w:u w:val="single" w:color="auto"/>
            <w:color w:val="0000EE"/>
          </w:rPr>
          <w:t>Registration Statement No. 333-191767, filed with the SEC on October 16, 2013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739,317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 (ii) 2,620,324 Shares under the Company’s Amended and Restated 2007 Stock Incentive Plan, as amended.</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right="20" w:firstLine="648"/>
        <w:spacing w:after="0" w:line="257" w:lineRule="auto"/>
        <w:rPr>
          <w:sz w:val="20"/>
          <w:szCs w:val="20"/>
          <w:color w:val="auto"/>
        </w:rPr>
      </w:pPr>
      <w:r>
        <w:rPr>
          <w:rFonts w:ascii="Arial" w:cs="Arial" w:eastAsia="Arial" w:hAnsi="Arial"/>
          <w:sz w:val="18"/>
          <w:szCs w:val="18"/>
          <w:color w:val="auto"/>
        </w:rPr>
        <w:t>On July 11, 2023, Berry Merger Sub, Inc., a Delaware corporation (“Merger Sub”) and a wholly owned subsidiary of Astellas US Holding, Inc., a Delaware corporation (“Parent”), completed its merger (the “Merger”) with and into IVERIC pursuant to the terms of the Agreement and Plan of Merger, dated April 28, 2023 (the “Merger Agreement”), by and among Parent, Merger Sub, IVERIC, and solely as provided by Section 8‎.10(b) of the Merger Agreement, Astellas Pharma Inc., a company organized under the laws of Japan. IVERIC was the surviving corporation in the Merger and, as a result, is now a wholly owned subsidiary of Parent.</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a result of the Merger, IVERIC has terminated all offerings and sales of securities pursuant to the Registration Statements. In accordance with an undertaking made by IVERIC in the Registration Statements to remove from registration, by means of a post-effective amendment, any of the securities that had been registered for issuance under the Registration Statements that remain unsold at the termination of such offerings, IVERIC hereby removes from registration all of such securities registered but remaining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Parsippany, New Jersey, on July 11,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IVERIC bio,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Reisenauer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Reisenauer</w:t>
      </w:r>
    </w:p>
    <w:p>
      <w:pPr>
        <w:spacing w:after="0" w:line="23"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tab/>
        <w:t>President, Secretary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these Post-Effective Amendments in reliance on Rule 478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18" Type="http://schemas.openxmlformats.org/officeDocument/2006/relationships/hyperlink" Target="https://www.sec.gov/Archives/edgar/data/1410939/000110465923061825/tm2315986d1_s8.htm" TargetMode="External"/><Relationship Id="rId19" Type="http://schemas.openxmlformats.org/officeDocument/2006/relationships/hyperlink" Target="https://www.sec.gov/Archives/edgar/data/1410939/000110465923027399/tm238157d1_s8.htm" TargetMode="External"/><Relationship Id="rId20" Type="http://schemas.openxmlformats.org/officeDocument/2006/relationships/hyperlink" Target="https://www.sec.gov/Archives/edgar/data/1410939/000110465922082820/tm2221682d1_s8.htm" TargetMode="External"/><Relationship Id="rId21" Type="http://schemas.openxmlformats.org/officeDocument/2006/relationships/hyperlink" Target="https://www.sec.gov/Archives/edgar/data/1410939/000110465922026728/tm227508d2_s8.htm" TargetMode="External"/><Relationship Id="rId22" Type="http://schemas.openxmlformats.org/officeDocument/2006/relationships/hyperlink" Target="https://www.sec.gov/Archives/edgar/data/1410939/000110465921136300/tm2132353d1_s8.htm" TargetMode="External"/><Relationship Id="rId23" Type="http://schemas.openxmlformats.org/officeDocument/2006/relationships/hyperlink" Target="https://www.sec.gov/Archives/edgar/data/1410939/000110465921032302/tm218379-1_s8.htm" TargetMode="External"/><Relationship Id="rId24" Type="http://schemas.openxmlformats.org/officeDocument/2006/relationships/hyperlink" Target="https://www.sec.gov/Archives/edgar/data/1410939/000141093920000024/iveric-2019inducementplan2.htm" TargetMode="External"/><Relationship Id="rId25" Type="http://schemas.openxmlformats.org/officeDocument/2006/relationships/hyperlink" Target="https://www.sec.gov/Archives/edgar/data/1410939/000141093920000011/s-8.htm" TargetMode="External"/><Relationship Id="rId26" Type="http://schemas.openxmlformats.org/officeDocument/2006/relationships/hyperlink" Target="https://www.sec.gov/Archives/edgar/data/1410939/000141093919000057/iveric-formsx82019induceme.htm" TargetMode="External"/><Relationship Id="rId27" Type="http://schemas.openxmlformats.org/officeDocument/2006/relationships/hyperlink" Target="https://www.sec.gov/Archives/edgar/data/1410939/000141093919000016/opht-sx82019evergreenplani.htm" TargetMode="External"/><Relationship Id="rId28" Type="http://schemas.openxmlformats.org/officeDocument/2006/relationships/hyperlink" Target="https://www.sec.gov/Archives/edgar/data/1410939/000141093918000017/opht-sx8_2018.htm" TargetMode="External"/><Relationship Id="rId29" Type="http://schemas.openxmlformats.org/officeDocument/2006/relationships/hyperlink" Target="https://www.sec.gov/Archives/edgar/data/1410939/000141093917000014/opht-sx82017.htm" TargetMode="External"/><Relationship Id="rId30" Type="http://schemas.openxmlformats.org/officeDocument/2006/relationships/hyperlink" Target="https://www.sec.gov/Archives/edgar/data/1410939/000110465916126161/a16-13043_1s8.htm" TargetMode="External"/><Relationship Id="rId31" Type="http://schemas.openxmlformats.org/officeDocument/2006/relationships/hyperlink" Target="https://www.sec.gov/Archives/edgar/data/1410939/000110465916088426/a16-1186_2s8.htm" TargetMode="External"/><Relationship Id="rId32" Type="http://schemas.openxmlformats.org/officeDocument/2006/relationships/hyperlink" Target="https://www.sec.gov/Archives/edgar/data/1410939/000110465915015834/a15-5638_1s8.htm" TargetMode="External"/><Relationship Id="rId33" Type="http://schemas.openxmlformats.org/officeDocument/2006/relationships/hyperlink" Target="https://www.sec.gov/Archives/edgar/data/1410939/000110465914005667/a14-4285_1s8.htm" TargetMode="External"/><Relationship Id="rId34" Type="http://schemas.openxmlformats.org/officeDocument/2006/relationships/hyperlink" Target="https://www.sec.gov/Archives/edgar/data/1410939/000110465913075920/a13-22330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2023-07-11T09:04:31Z</dcterms:created>
  <dcterms:modified xsi:type="dcterms:W3CDTF">2023-07-11T09:04:31Z</dcterms:modified>
</cp:coreProperties>
</file>