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333-260406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POST-EFFECTIVE AMENDMENT NO. 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S-3 REGISTRATION STATEMENT NO. 333-260406</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IVERIC bio,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20-8185347</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(State or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Sylvan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Parsippany, NJ 07054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Catherine Levitt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Astellas Pharma US,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2375 Waterview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Northbrook, IL 60062-6111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727-7003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11" w:lineRule="exact"/>
        <w:rPr>
          <w:sz w:val="24"/>
          <w:szCs w:val="24"/>
          <w:color w:val="auto"/>
        </w:rPr>
      </w:pPr>
    </w:p>
    <w:p>
      <w:pPr>
        <w:ind w:left="5280"/>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Jonn Beeson</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Ben Chouka</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3161 Michelson Drive,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Irvine, CA 92612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(949) 851-3939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Not applicable.</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3" w:lineRule="exact"/>
        <w:rPr>
          <w:sz w:val="24"/>
          <w:szCs w:val="24"/>
          <w:color w:val="auto"/>
        </w:rPr>
      </w:pPr>
    </w:p>
    <w:p>
      <w:pPr>
        <w:ind w:right="340"/>
        <w:spacing w:after="0" w:line="238"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4" w:lineRule="exact"/>
        <w:rPr>
          <w:sz w:val="24"/>
          <w:szCs w:val="24"/>
          <w:color w:val="auto"/>
        </w:rPr>
      </w:pPr>
    </w:p>
    <w:p>
      <w:pPr>
        <w:ind w:right="60"/>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56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280"/>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440"/>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2" w:lineRule="exact"/>
        <w:rPr>
          <w:sz w:val="24"/>
          <w:szCs w:val="24"/>
          <w:color w:val="auto"/>
        </w:rPr>
      </w:pPr>
    </w:p>
    <w:p>
      <w:pPr>
        <w:spacing w:after="0" w:line="207" w:lineRule="exact"/>
        <w:tabs>
          <w:tab w:leader="none" w:pos="3360" w:val="left"/>
          <w:tab w:leader="none" w:pos="6720" w:val="left"/>
          <w:tab w:leader="none" w:pos="110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0" w:gutter="0" w:footer="0" w:header="0"/>
        </w:sectPr>
      </w:pPr>
    </w:p>
    <w:bookmarkStart w:id="1" w:name="page2"/>
    <w:bookmarkEnd w:id="1"/>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7" w:lineRule="exact"/>
        <w:rPr>
          <w:sz w:val="20"/>
          <w:szCs w:val="20"/>
          <w:color w:val="auto"/>
        </w:rPr>
      </w:pPr>
    </w:p>
    <w:p>
      <w:pPr>
        <w:sectPr>
          <w:pgSz w:w="11900" w:h="16838" w:orient="portrait"/>
          <w:cols w:equalWidth="0" w:num="4">
            <w:col w:w="2660" w:space="720"/>
            <w:col w:w="2640" w:space="720"/>
            <w:col w:w="3560" w:space="720"/>
            <w:col w:w="160"/>
          </w:cols>
          <w:pgMar w:left="320" w:top="81" w:right="399" w:bottom="1440" w:gutter="0" w:footer="0" w:header="0"/>
        </w:sectPr>
      </w:pPr>
    </w:p>
    <w:p>
      <w:pPr>
        <w:spacing w:after="0" w:line="48"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2">
            <w:col w:w="10300" w:space="720"/>
            <w:col w:w="160"/>
          </w:cols>
          <w:pgMar w:left="320" w:top="81" w:right="399" w:bottom="1440" w:gutter="0" w:footer="0" w:header="0"/>
          <w:type w:val="continuous"/>
        </w:sectPr>
      </w:pPr>
    </w:p>
    <w:p>
      <w:pPr>
        <w:spacing w:after="0" w:line="48" w:lineRule="exact"/>
        <w:rPr>
          <w:sz w:val="20"/>
          <w:szCs w:val="20"/>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1" w:right="39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Post-Effective Amendment (the “Post-Effective Amendment”) relates to the following Registration Statement on Form S-3 (the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 filed by IVERIC bio, Inc. (“IVERIC” or the “Company”) with the Securities and Exchange Commission (the “SEC”):</w:t>
      </w:r>
    </w:p>
    <w:p>
      <w:pPr>
        <w:spacing w:after="0" w:line="211" w:lineRule="exact"/>
        <w:rPr>
          <w:sz w:val="20"/>
          <w:szCs w:val="20"/>
          <w:color w:val="auto"/>
        </w:rPr>
      </w:pPr>
    </w:p>
    <w:p>
      <w:pPr>
        <w:jc w:val="both"/>
        <w:ind w:left="1140" w:right="80" w:hanging="458"/>
        <w:spacing w:after="0" w:line="263" w:lineRule="auto"/>
        <w:tabs>
          <w:tab w:leader="none" w:pos="1140" w:val="left"/>
        </w:tabs>
        <w:numPr>
          <w:ilvl w:val="0"/>
          <w:numId w:val="1"/>
        </w:numPr>
        <w:rPr>
          <w:rFonts w:ascii="Arial" w:cs="Arial" w:eastAsia="Arial" w:hAnsi="Arial"/>
          <w:sz w:val="18"/>
          <w:szCs w:val="18"/>
          <w:color w:val="0000EE"/>
        </w:rPr>
      </w:pPr>
      <w:hyperlink r:id="rId18">
        <w:r>
          <w:rPr>
            <w:rFonts w:ascii="Arial" w:cs="Arial" w:eastAsia="Arial" w:hAnsi="Arial"/>
            <w:sz w:val="18"/>
            <w:szCs w:val="18"/>
            <w:u w:val="single" w:color="auto"/>
            <w:color w:val="0000EE"/>
          </w:rPr>
          <w:t>Registration Statement No. 333-260406, filed with the SEC on October 21, 2021,</w:t>
        </w:r>
        <w:r>
          <w:rPr>
            <w:rFonts w:ascii="Arial" w:cs="Arial" w:eastAsia="Arial" w:hAnsi="Arial"/>
            <w:sz w:val="18"/>
            <w:szCs w:val="18"/>
            <w:color w:val="0000EE"/>
          </w:rPr>
          <w:t xml:space="preserve"> </w:t>
        </w:r>
      </w:hyperlink>
      <w:r>
        <w:rPr>
          <w:rFonts w:ascii="Arial" w:cs="Arial" w:eastAsia="Arial" w:hAnsi="Arial"/>
          <w:sz w:val="18"/>
          <w:szCs w:val="18"/>
          <w:color w:val="000000"/>
        </w:rPr>
        <w:t>relating</w:t>
      </w:r>
      <w:r>
        <w:rPr>
          <w:rFonts w:ascii="Arial" w:cs="Arial" w:eastAsia="Arial" w:hAnsi="Arial"/>
          <w:sz w:val="18"/>
          <w:szCs w:val="18"/>
          <w:color w:val="0000EE"/>
        </w:rPr>
        <w:t xml:space="preserve"> </w:t>
      </w:r>
      <w:r>
        <w:rPr>
          <w:rFonts w:ascii="Arial" w:cs="Arial" w:eastAsia="Arial" w:hAnsi="Arial"/>
          <w:sz w:val="18"/>
          <w:szCs w:val="18"/>
          <w:color w:val="000000"/>
        </w:rPr>
        <w:t>to the registration of an indeterminate amount of</w:t>
      </w:r>
      <w:r>
        <w:rPr>
          <w:rFonts w:ascii="Arial" w:cs="Arial" w:eastAsia="Arial" w:hAnsi="Arial"/>
          <w:sz w:val="18"/>
          <w:szCs w:val="18"/>
          <w:color w:val="0000EE"/>
        </w:rPr>
        <w:t xml:space="preserve"> </w:t>
      </w:r>
      <w:r>
        <w:rPr>
          <w:rFonts w:ascii="Arial" w:cs="Arial" w:eastAsia="Arial" w:hAnsi="Arial"/>
          <w:sz w:val="18"/>
          <w:szCs w:val="18"/>
          <w:color w:val="000000"/>
        </w:rPr>
        <w:t>senior debt securities, subordinated debt securities, common stock, par value $0.001 per share, preferred stock, par value $0.001 per share, warrants, subscription rights, depositary shares and units of the Company.</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11, 2023, Berry Merger Sub, Inc., a Delaware corporation (“Merger Sub”) and a wholly owned subsidiary of Astellas US Holding, Inc., a Delaware corporation (“Parent”), completed its merger (the “Merger”) with and into IVERIC pursuant to the terms of the Agreement and Plan of Merger, dated April 28, 2023 (the “Merger Agreement”), by and among Parent, Merger Sub, IVERIC, and solely as provided by Section 8‎.10(b) of the Merger Agreement, Astellas Pharma Inc., a company organized under the laws of Japan. IVERIC was the surviving corporation in the Merger and, as a result, is now a wholly owned subsidiary of Parent.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a result of the Merger, IVERIC has terminated all offerings and sales of securities pursuant to the Registration Statement. In accordance with an undertaking made by IVERIC in the Registration Statement to remove from registration, by means of a post-effective amendment, any of the securities that had been registered for issuance under the Registration Statement that remain unsold at the termination of such offering, IVERIC hereby removes from registration all of such securities registered but remaining unsold under the Registration Statement as of the date hereof.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Parsippany, New Jersey, on July 11,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IVERIC bio,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Reisenauer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Reisenauer</w:t>
      </w:r>
    </w:p>
    <w:p>
      <w:pPr>
        <w:spacing w:after="0" w:line="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Secretary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on Rule 478 of the Securities Act of 1933.</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s://www.sec.gov/Archives/edgar/data/1410939/000110465921128445/tm2130533-2_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2023-07-11T09:03:44Z</dcterms:created>
  <dcterms:modified xsi:type="dcterms:W3CDTF">2023-07-11T09:03:44Z</dcterms:modified>
</cp:coreProperties>
</file>