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16153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33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11"/>
          <w:szCs w:val="1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2927350</wp:posOffset>
            </wp:positionH>
            <wp:positionV relativeFrom="paragraph">
              <wp:posOffset>64770</wp:posOffset>
            </wp:positionV>
            <wp:extent cx="132080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0800" cy="13335"/>
                    </a:xfrm>
                    <a:prstGeom prst="rect">
                      <a:avLst/>
                    </a:prstGeom>
                    <a:noFill/>
                  </pic:spPr>
                </pic:pic>
              </a:graphicData>
            </a:graphic>
          </wp:anchor>
        </w:drawing>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ectPr>
          <w:pgSz w:w="11900" w:h="16838" w:orient="portrait"/>
          <w:cols w:equalWidth="0" w:num="1">
            <w:col w:w="11280"/>
          </w:cols>
          <w:pgMar w:left="300" w:top="214" w:right="319" w:bottom="1440" w:gutter="0" w:footer="0" w:header="0"/>
        </w:sectPr>
      </w:pPr>
    </w:p>
    <w:p>
      <w:pPr>
        <w:spacing w:after="0" w:line="121" w:lineRule="exact"/>
        <w:rPr>
          <w:sz w:val="24"/>
          <w:szCs w:val="24"/>
          <w:color w:val="auto"/>
        </w:rPr>
      </w:pPr>
    </w:p>
    <w:p>
      <w:pPr>
        <w:jc w:val="center"/>
        <w:ind w:left="2260"/>
        <w:spacing w:after="0"/>
        <w:rPr>
          <w:sz w:val="20"/>
          <w:szCs w:val="20"/>
          <w:color w:val="auto"/>
        </w:rPr>
      </w:pPr>
      <w:r>
        <w:rPr>
          <w:rFonts w:ascii="Arial" w:cs="Arial" w:eastAsia="Arial" w:hAnsi="Arial"/>
          <w:sz w:val="11"/>
          <w:szCs w:val="11"/>
          <w:b w:val="1"/>
          <w:bCs w:val="1"/>
          <w:color w:val="auto"/>
        </w:rPr>
        <w:t>(Mark One)</w:t>
      </w:r>
    </w:p>
    <w:p>
      <w:pPr>
        <w:spacing w:after="0" w:line="25" w:lineRule="exact"/>
        <w:rPr>
          <w:sz w:val="24"/>
          <w:szCs w:val="24"/>
          <w:color w:val="auto"/>
        </w:rPr>
      </w:pPr>
    </w:p>
    <w:p>
      <w:pPr>
        <w:jc w:val="center"/>
        <w:ind w:left="2260"/>
        <w:spacing w:after="0" w:line="111" w:lineRule="exact"/>
        <w:rPr>
          <w:sz w:val="20"/>
          <w:szCs w:val="20"/>
          <w:color w:val="auto"/>
        </w:rPr>
      </w:pPr>
      <w:r>
        <w:rPr>
          <w:rFonts w:ascii="MS PGothic" w:cs="MS PGothic" w:eastAsia="MS PGothic" w:hAnsi="MS PGothic"/>
          <w:sz w:val="11"/>
          <w:szCs w:val="11"/>
          <w:color w:val="auto"/>
        </w:rPr>
        <w:t>☒</w:t>
      </w:r>
    </w:p>
    <w:p>
      <w:pPr>
        <w:spacing w:after="0" w:line="200" w:lineRule="exact"/>
        <w:rPr>
          <w:sz w:val="24"/>
          <w:szCs w:val="24"/>
          <w:color w:val="auto"/>
        </w:rPr>
      </w:pPr>
    </w:p>
    <w:p>
      <w:pPr>
        <w:spacing w:after="0" w:line="316" w:lineRule="exact"/>
        <w:rPr>
          <w:sz w:val="24"/>
          <w:szCs w:val="24"/>
          <w:color w:val="auto"/>
        </w:rPr>
      </w:pPr>
    </w:p>
    <w:p>
      <w:pPr>
        <w:ind w:left="2500"/>
        <w:spacing w:after="0" w:line="111" w:lineRule="exact"/>
        <w:rPr>
          <w:sz w:val="20"/>
          <w:szCs w:val="20"/>
          <w:color w:val="auto"/>
        </w:rPr>
      </w:pP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QUARTERLY REPORT PURSUANT TO SECTION 13 OR 15(d) OF THE SECURITIES EXCHANGE ACT OF 1934</w:t>
      </w:r>
    </w:p>
    <w:p>
      <w:pPr>
        <w:spacing w:after="0" w:line="96" w:lineRule="exact"/>
        <w:rPr>
          <w:sz w:val="24"/>
          <w:szCs w:val="24"/>
          <w:color w:val="auto"/>
        </w:rPr>
      </w:pPr>
    </w:p>
    <w:p>
      <w:pPr>
        <w:ind w:left="1340"/>
        <w:spacing w:after="0"/>
        <w:rPr>
          <w:sz w:val="20"/>
          <w:szCs w:val="20"/>
          <w:color w:val="auto"/>
        </w:rPr>
      </w:pPr>
      <w:r>
        <w:rPr>
          <w:rFonts w:ascii="Arial" w:cs="Arial" w:eastAsia="Arial" w:hAnsi="Arial"/>
          <w:sz w:val="11"/>
          <w:szCs w:val="11"/>
          <w:b w:val="1"/>
          <w:bCs w:val="1"/>
          <w:color w:val="auto"/>
        </w:rPr>
        <w:t>For the quarterly period ended June 30, 2020</w:t>
      </w:r>
    </w:p>
    <w:p>
      <w:pPr>
        <w:spacing w:after="0" w:line="118" w:lineRule="exact"/>
        <w:rPr>
          <w:sz w:val="24"/>
          <w:szCs w:val="24"/>
          <w:color w:val="auto"/>
        </w:rPr>
      </w:pPr>
    </w:p>
    <w:p>
      <w:pPr>
        <w:ind w:left="2360"/>
        <w:spacing w:after="0"/>
        <w:rPr>
          <w:sz w:val="20"/>
          <w:szCs w:val="20"/>
          <w:color w:val="auto"/>
        </w:rPr>
      </w:pPr>
      <w:r>
        <w:rPr>
          <w:rFonts w:ascii="Arial" w:cs="Arial" w:eastAsia="Arial" w:hAnsi="Arial"/>
          <w:sz w:val="11"/>
          <w:szCs w:val="11"/>
          <w:b w:val="1"/>
          <w:bCs w:val="1"/>
          <w:color w:val="auto"/>
        </w:rPr>
        <w:t>Or</w:t>
      </w:r>
    </w:p>
    <w:p>
      <w:pPr>
        <w:spacing w:after="0" w:line="3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TRANSITION REPORT PURSUANT TO SECTION 13 OR 15(d) OF THE SECURITIES EXCHANGE ACT OF 1934</w:t>
      </w:r>
    </w:p>
    <w:p>
      <w:pPr>
        <w:spacing w:after="0" w:line="86" w:lineRule="exact"/>
        <w:rPr>
          <w:sz w:val="24"/>
          <w:szCs w:val="24"/>
          <w:color w:val="auto"/>
        </w:rPr>
      </w:pPr>
    </w:p>
    <w:p>
      <w:pPr>
        <w:ind w:left="1340"/>
        <w:spacing w:after="0"/>
        <w:tabs>
          <w:tab w:leader="none" w:pos="3140" w:val="left"/>
        </w:tabs>
        <w:rPr>
          <w:sz w:val="20"/>
          <w:szCs w:val="20"/>
          <w:color w:val="auto"/>
        </w:rPr>
      </w:pPr>
      <w:r>
        <w:rPr>
          <w:rFonts w:ascii="Arial" w:cs="Arial" w:eastAsia="Arial" w:hAnsi="Arial"/>
          <w:sz w:val="11"/>
          <w:szCs w:val="11"/>
          <w:b w:val="1"/>
          <w:bCs w:val="1"/>
          <w:color w:val="auto"/>
        </w:rPr>
        <w:t>For the transition period from</w:t>
      </w:r>
      <w:r>
        <w:rPr>
          <w:sz w:val="20"/>
          <w:szCs w:val="20"/>
          <w:color w:val="auto"/>
        </w:rPr>
        <w:tab/>
      </w:r>
      <w:r>
        <w:rPr>
          <w:rFonts w:ascii="Arial" w:cs="Arial" w:eastAsia="Arial" w:hAnsi="Arial"/>
          <w:sz w:val="8"/>
          <w:szCs w:val="8"/>
          <w:b w:val="1"/>
          <w:bCs w:val="1"/>
          <w:color w:val="auto"/>
        </w:rPr>
        <w:t>to</w:t>
      </w:r>
    </w:p>
    <w:p>
      <w:pPr>
        <w:spacing w:after="0" w:line="277" w:lineRule="exact"/>
        <w:rPr>
          <w:sz w:val="24"/>
          <w:szCs w:val="24"/>
          <w:color w:val="auto"/>
        </w:rPr>
      </w:pPr>
    </w:p>
    <w:p>
      <w:pPr>
        <w:ind w:left="1560"/>
        <w:spacing w:after="0"/>
        <w:rPr>
          <w:sz w:val="20"/>
          <w:szCs w:val="20"/>
          <w:color w:val="auto"/>
        </w:rPr>
      </w:pPr>
      <w:r>
        <w:rPr>
          <w:rFonts w:ascii="Arial" w:cs="Arial" w:eastAsia="Arial" w:hAnsi="Arial"/>
          <w:sz w:val="11"/>
          <w:szCs w:val="11"/>
          <w:b w:val="1"/>
          <w:bCs w:val="1"/>
          <w:color w:val="auto"/>
        </w:rPr>
        <w:t>Commission file number: 001-36080</w:t>
      </w:r>
    </w:p>
    <w:p>
      <w:pPr>
        <w:spacing w:after="0" w:line="77" w:lineRule="exact"/>
        <w:rPr>
          <w:sz w:val="24"/>
          <w:szCs w:val="24"/>
          <w:color w:val="auto"/>
        </w:rPr>
      </w:pPr>
    </w:p>
    <w:p>
      <w:pPr>
        <w:ind w:left="1600"/>
        <w:spacing w:after="0"/>
        <w:rPr>
          <w:sz w:val="20"/>
          <w:szCs w:val="20"/>
          <w:color w:val="auto"/>
        </w:rPr>
      </w:pPr>
      <w:r>
        <w:rPr>
          <w:rFonts w:ascii="Arial" w:cs="Arial" w:eastAsia="Arial" w:hAnsi="Arial"/>
          <w:sz w:val="23"/>
          <w:szCs w:val="23"/>
          <w:b w:val="1"/>
          <w:bCs w:val="1"/>
          <w:color w:val="auto"/>
        </w:rPr>
        <w:t>IVERIC bio, Inc.</w:t>
      </w:r>
    </w:p>
    <w:p>
      <w:pPr>
        <w:spacing w:after="0" w:line="22" w:lineRule="exact"/>
        <w:rPr>
          <w:sz w:val="24"/>
          <w:szCs w:val="24"/>
          <w:color w:val="auto"/>
        </w:rPr>
      </w:pPr>
    </w:p>
    <w:p>
      <w:pPr>
        <w:sectPr>
          <w:pgSz w:w="11900" w:h="16838" w:orient="portrait"/>
          <w:cols w:equalWidth="0" w:num="2">
            <w:col w:w="2840" w:space="380"/>
            <w:col w:w="8060"/>
          </w:cols>
          <w:pgMar w:left="300" w:top="214" w:right="319" w:bottom="1440" w:gutter="0" w:footer="0" w:header="0"/>
          <w:type w:val="continuous"/>
        </w:sectPr>
      </w:pPr>
    </w:p>
    <w:tbl>
      <w:tblPr>
        <w:tblLayout w:type="fixed"/>
        <w:tblInd w:w="1060" w:type="dxa"/>
        <w:tblCellMar>
          <w:top w:w="0" w:type="dxa"/>
          <w:left w:w="0" w:type="dxa"/>
          <w:bottom w:w="0" w:type="dxa"/>
          <w:right w:w="0" w:type="dxa"/>
        </w:tblCellMar>
      </w:tblPr>
      <w:tr>
        <w:trPr>
          <w:trHeight w:val="145"/>
        </w:trPr>
        <w:tc>
          <w:tcPr>
            <w:tcW w:w="2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20" w:type="dxa"/>
            <w:vAlign w:val="bottom"/>
            <w:gridSpan w:val="3"/>
          </w:tcPr>
          <w:p>
            <w:pPr>
              <w:jc w:val="center"/>
              <w:ind w:right="1520"/>
              <w:spacing w:after="0"/>
              <w:rPr>
                <w:sz w:val="20"/>
                <w:szCs w:val="20"/>
                <w:color w:val="auto"/>
              </w:rPr>
            </w:pPr>
            <w:r>
              <w:rPr>
                <w:rFonts w:ascii="Arial" w:cs="Arial" w:eastAsia="Arial" w:hAnsi="Arial"/>
                <w:sz w:val="11"/>
                <w:szCs w:val="11"/>
                <w:color w:val="auto"/>
                <w:w w:val="93"/>
              </w:rPr>
              <w:t>(Exact name of registrant as specified in its charter)</w:t>
            </w:r>
          </w:p>
        </w:tc>
      </w:tr>
      <w:tr>
        <w:trPr>
          <w:trHeight w:val="266"/>
        </w:trPr>
        <w:tc>
          <w:tcPr>
            <w:tcW w:w="2020" w:type="dxa"/>
            <w:vAlign w:val="bottom"/>
          </w:tcPr>
          <w:p>
            <w:pPr>
              <w:spacing w:after="0"/>
              <w:rPr>
                <w:sz w:val="23"/>
                <w:szCs w:val="23"/>
                <w:color w:val="auto"/>
              </w:rPr>
            </w:pPr>
          </w:p>
        </w:tc>
        <w:tc>
          <w:tcPr>
            <w:tcW w:w="3140" w:type="dxa"/>
            <w:vAlign w:val="bottom"/>
            <w:gridSpan w:val="2"/>
          </w:tcPr>
          <w:p>
            <w:pPr>
              <w:jc w:val="center"/>
              <w:ind w:right="1183"/>
              <w:spacing w:after="0"/>
              <w:rPr>
                <w:sz w:val="20"/>
                <w:szCs w:val="20"/>
                <w:color w:val="auto"/>
              </w:rPr>
            </w:pPr>
            <w:r>
              <w:rPr>
                <w:rFonts w:ascii="Arial" w:cs="Arial" w:eastAsia="Arial" w:hAnsi="Arial"/>
                <w:sz w:val="11"/>
                <w:szCs w:val="11"/>
                <w:b w:val="1"/>
                <w:bCs w:val="1"/>
                <w:color w:val="auto"/>
                <w:w w:val="95"/>
              </w:rPr>
              <w:t>Delaware</w:t>
            </w:r>
          </w:p>
        </w:tc>
        <w:tc>
          <w:tcPr>
            <w:tcW w:w="2600" w:type="dxa"/>
            <w:vAlign w:val="bottom"/>
            <w:gridSpan w:val="2"/>
          </w:tcPr>
          <w:p>
            <w:pPr>
              <w:jc w:val="right"/>
              <w:ind w:right="1300"/>
              <w:spacing w:after="0"/>
              <w:rPr>
                <w:sz w:val="20"/>
                <w:szCs w:val="20"/>
                <w:color w:val="auto"/>
              </w:rPr>
            </w:pPr>
            <w:r>
              <w:rPr>
                <w:rFonts w:ascii="Arial" w:cs="Arial" w:eastAsia="Arial" w:hAnsi="Arial"/>
                <w:sz w:val="11"/>
                <w:szCs w:val="11"/>
                <w:b w:val="1"/>
                <w:bCs w:val="1"/>
                <w:color w:val="auto"/>
              </w:rPr>
              <w:t>20-8185347</w:t>
            </w:r>
          </w:p>
        </w:tc>
      </w:tr>
      <w:tr>
        <w:trPr>
          <w:trHeight w:val="159"/>
        </w:trPr>
        <w:tc>
          <w:tcPr>
            <w:tcW w:w="5160" w:type="dxa"/>
            <w:vAlign w:val="bottom"/>
            <w:gridSpan w:val="3"/>
          </w:tcPr>
          <w:p>
            <w:pPr>
              <w:jc w:val="center"/>
              <w:ind w:left="723"/>
              <w:spacing w:after="0"/>
              <w:rPr>
                <w:sz w:val="20"/>
                <w:szCs w:val="20"/>
                <w:color w:val="auto"/>
              </w:rPr>
            </w:pPr>
            <w:r>
              <w:rPr>
                <w:rFonts w:ascii="Arial" w:cs="Arial" w:eastAsia="Arial" w:hAnsi="Arial"/>
                <w:sz w:val="11"/>
                <w:szCs w:val="11"/>
                <w:color w:val="auto"/>
                <w:w w:val="95"/>
              </w:rPr>
              <w:t>(State or other jurisdiction of incorporation or organization)</w:t>
            </w:r>
          </w:p>
        </w:tc>
        <w:tc>
          <w:tcPr>
            <w:tcW w:w="2600" w:type="dxa"/>
            <w:vAlign w:val="bottom"/>
            <w:gridSpan w:val="2"/>
          </w:tcPr>
          <w:p>
            <w:pPr>
              <w:ind w:left="220"/>
              <w:spacing w:after="0"/>
              <w:rPr>
                <w:sz w:val="20"/>
                <w:szCs w:val="20"/>
                <w:color w:val="auto"/>
              </w:rPr>
            </w:pPr>
            <w:r>
              <w:rPr>
                <w:rFonts w:ascii="Arial" w:cs="Arial" w:eastAsia="Arial" w:hAnsi="Arial"/>
                <w:sz w:val="11"/>
                <w:szCs w:val="11"/>
                <w:color w:val="auto"/>
              </w:rPr>
              <w:t>(I.R.S. Employer Identification No.)</w:t>
            </w:r>
          </w:p>
        </w:tc>
      </w:tr>
      <w:tr>
        <w:trPr>
          <w:trHeight w:val="202"/>
        </w:trPr>
        <w:tc>
          <w:tcPr>
            <w:tcW w:w="2020" w:type="dxa"/>
            <w:vAlign w:val="bottom"/>
          </w:tcPr>
          <w:p>
            <w:pPr>
              <w:spacing w:after="0"/>
              <w:rPr>
                <w:sz w:val="17"/>
                <w:szCs w:val="17"/>
                <w:color w:val="auto"/>
              </w:rPr>
            </w:pPr>
          </w:p>
        </w:tc>
        <w:tc>
          <w:tcPr>
            <w:tcW w:w="3140" w:type="dxa"/>
            <w:vAlign w:val="bottom"/>
            <w:gridSpan w:val="2"/>
          </w:tcPr>
          <w:p>
            <w:pPr>
              <w:ind w:left="140"/>
              <w:spacing w:after="0"/>
              <w:rPr>
                <w:sz w:val="20"/>
                <w:szCs w:val="20"/>
                <w:color w:val="auto"/>
              </w:rPr>
            </w:pPr>
            <w:r>
              <w:rPr>
                <w:rFonts w:ascii="Arial" w:cs="Arial" w:eastAsia="Arial" w:hAnsi="Arial"/>
                <w:sz w:val="11"/>
                <w:szCs w:val="11"/>
                <w:b w:val="1"/>
                <w:bCs w:val="1"/>
                <w:color w:val="auto"/>
              </w:rPr>
              <w:t>One Penn Plaza, 35th Floor</w:t>
            </w:r>
          </w:p>
        </w:tc>
        <w:tc>
          <w:tcPr>
            <w:tcW w:w="2600" w:type="dxa"/>
            <w:vAlign w:val="bottom"/>
            <w:gridSpan w:val="2"/>
          </w:tcPr>
          <w:p>
            <w:pPr>
              <w:jc w:val="right"/>
              <w:ind w:right="1440"/>
              <w:spacing w:after="0"/>
              <w:rPr>
                <w:sz w:val="20"/>
                <w:szCs w:val="20"/>
                <w:color w:val="auto"/>
              </w:rPr>
            </w:pPr>
            <w:r>
              <w:rPr>
                <w:rFonts w:ascii="Arial" w:cs="Arial" w:eastAsia="Arial" w:hAnsi="Arial"/>
                <w:sz w:val="11"/>
                <w:szCs w:val="11"/>
                <w:b w:val="1"/>
                <w:bCs w:val="1"/>
                <w:color w:val="auto"/>
              </w:rPr>
              <w:t>10119</w:t>
            </w:r>
          </w:p>
        </w:tc>
      </w:tr>
      <w:tr>
        <w:trPr>
          <w:trHeight w:val="159"/>
        </w:trPr>
        <w:tc>
          <w:tcPr>
            <w:tcW w:w="2020" w:type="dxa"/>
            <w:vAlign w:val="bottom"/>
          </w:tcPr>
          <w:p>
            <w:pPr>
              <w:spacing w:after="0"/>
              <w:rPr>
                <w:sz w:val="13"/>
                <w:szCs w:val="13"/>
                <w:color w:val="auto"/>
              </w:rPr>
            </w:pPr>
          </w:p>
        </w:tc>
        <w:tc>
          <w:tcPr>
            <w:tcW w:w="3140" w:type="dxa"/>
            <w:vAlign w:val="bottom"/>
            <w:gridSpan w:val="2"/>
          </w:tcPr>
          <w:p>
            <w:pPr>
              <w:ind w:left="420"/>
              <w:spacing w:after="0"/>
              <w:rPr>
                <w:sz w:val="20"/>
                <w:szCs w:val="20"/>
                <w:color w:val="auto"/>
              </w:rPr>
            </w:pPr>
            <w:r>
              <w:rPr>
                <w:rFonts w:ascii="Arial" w:cs="Arial" w:eastAsia="Arial" w:hAnsi="Arial"/>
                <w:sz w:val="11"/>
                <w:szCs w:val="11"/>
                <w:b w:val="1"/>
                <w:bCs w:val="1"/>
                <w:color w:val="auto"/>
              </w:rPr>
              <w:t>New York, NY</w:t>
            </w:r>
          </w:p>
        </w:tc>
        <w:tc>
          <w:tcPr>
            <w:tcW w:w="2600" w:type="dxa"/>
            <w:vAlign w:val="bottom"/>
            <w:gridSpan w:val="2"/>
          </w:tcPr>
          <w:p>
            <w:pPr>
              <w:ind w:left="780"/>
              <w:spacing w:after="0"/>
              <w:rPr>
                <w:sz w:val="20"/>
                <w:szCs w:val="20"/>
                <w:color w:val="auto"/>
              </w:rPr>
            </w:pPr>
            <w:r>
              <w:rPr>
                <w:rFonts w:ascii="Arial" w:cs="Arial" w:eastAsia="Arial" w:hAnsi="Arial"/>
                <w:sz w:val="11"/>
                <w:szCs w:val="11"/>
                <w:color w:val="auto"/>
              </w:rPr>
              <w:t>(Zip Code)</w:t>
            </w:r>
          </w:p>
        </w:tc>
      </w:tr>
      <w:tr>
        <w:trPr>
          <w:trHeight w:val="159"/>
        </w:trPr>
        <w:tc>
          <w:tcPr>
            <w:tcW w:w="2020" w:type="dxa"/>
            <w:vAlign w:val="bottom"/>
          </w:tcPr>
          <w:p>
            <w:pPr>
              <w:spacing w:after="0"/>
              <w:rPr>
                <w:sz w:val="13"/>
                <w:szCs w:val="13"/>
                <w:color w:val="auto"/>
              </w:rPr>
            </w:pPr>
          </w:p>
        </w:tc>
        <w:tc>
          <w:tcPr>
            <w:tcW w:w="3140" w:type="dxa"/>
            <w:vAlign w:val="bottom"/>
            <w:gridSpan w:val="2"/>
          </w:tcPr>
          <w:p>
            <w:pPr>
              <w:jc w:val="center"/>
              <w:ind w:right="1183"/>
              <w:spacing w:after="0"/>
              <w:rPr>
                <w:sz w:val="20"/>
                <w:szCs w:val="20"/>
                <w:color w:val="auto"/>
              </w:rPr>
            </w:pPr>
            <w:r>
              <w:rPr>
                <w:rFonts w:ascii="Arial" w:cs="Arial" w:eastAsia="Arial" w:hAnsi="Arial"/>
                <w:sz w:val="11"/>
                <w:szCs w:val="11"/>
                <w:color w:val="auto"/>
                <w:w w:val="94"/>
              </w:rPr>
              <w:t>(Address of principal executive offices)</w:t>
            </w:r>
          </w:p>
        </w:tc>
        <w:tc>
          <w:tcPr>
            <w:tcW w:w="10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37"/>
        </w:trPr>
        <w:tc>
          <w:tcPr>
            <w:tcW w:w="2020" w:type="dxa"/>
            <w:vAlign w:val="bottom"/>
          </w:tcPr>
          <w:p>
            <w:pPr>
              <w:spacing w:after="0"/>
              <w:rPr>
                <w:sz w:val="20"/>
                <w:szCs w:val="20"/>
                <w:color w:val="auto"/>
              </w:rPr>
            </w:pPr>
          </w:p>
        </w:tc>
        <w:tc>
          <w:tcPr>
            <w:tcW w:w="3140" w:type="dxa"/>
            <w:vAlign w:val="bottom"/>
            <w:gridSpan w:val="2"/>
          </w:tcPr>
          <w:p>
            <w:pPr>
              <w:jc w:val="center"/>
              <w:ind w:left="1943"/>
              <w:spacing w:after="0"/>
              <w:rPr>
                <w:sz w:val="20"/>
                <w:szCs w:val="20"/>
                <w:color w:val="auto"/>
              </w:rPr>
            </w:pPr>
            <w:r>
              <w:rPr>
                <w:rFonts w:ascii="Arial" w:cs="Arial" w:eastAsia="Arial" w:hAnsi="Arial"/>
                <w:sz w:val="11"/>
                <w:szCs w:val="11"/>
                <w:b w:val="1"/>
                <w:bCs w:val="1"/>
                <w:color w:val="auto"/>
                <w:w w:val="93"/>
              </w:rPr>
              <w:t>(212) 845-8200</w:t>
            </w:r>
          </w:p>
        </w:tc>
        <w:tc>
          <w:tcPr>
            <w:tcW w:w="10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145"/>
        </w:trPr>
        <w:tc>
          <w:tcPr>
            <w:tcW w:w="2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20" w:type="dxa"/>
            <w:vAlign w:val="bottom"/>
            <w:gridSpan w:val="3"/>
          </w:tcPr>
          <w:p>
            <w:pPr>
              <w:jc w:val="center"/>
              <w:ind w:right="1520"/>
              <w:spacing w:after="0"/>
              <w:rPr>
                <w:sz w:val="20"/>
                <w:szCs w:val="20"/>
                <w:color w:val="auto"/>
              </w:rPr>
            </w:pPr>
            <w:r>
              <w:rPr>
                <w:rFonts w:ascii="Arial" w:cs="Arial" w:eastAsia="Arial" w:hAnsi="Arial"/>
                <w:sz w:val="11"/>
                <w:szCs w:val="11"/>
                <w:color w:val="auto"/>
                <w:w w:val="92"/>
              </w:rPr>
              <w:t>(Registrant's telephone number, including area code)</w:t>
            </w:r>
          </w:p>
        </w:tc>
      </w:tr>
      <w:tr>
        <w:trPr>
          <w:trHeight w:val="116"/>
        </w:trPr>
        <w:tc>
          <w:tcPr>
            <w:tcW w:w="2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300" w:type="dxa"/>
            <w:vAlign w:val="bottom"/>
            <w:tcBorders>
              <w:bottom w:val="single" w:sz="8" w:color="auto"/>
            </w:tcBorders>
            <w:gridSpan w:val="2"/>
          </w:tcPr>
          <w:p>
            <w:pPr>
              <w:spacing w:after="0"/>
              <w:rPr>
                <w:sz w:val="10"/>
                <w:szCs w:val="10"/>
                <w:color w:val="auto"/>
              </w:rPr>
            </w:pPr>
          </w:p>
        </w:tc>
        <w:tc>
          <w:tcPr>
            <w:tcW w:w="1520" w:type="dxa"/>
            <w:vAlign w:val="bottom"/>
          </w:tcPr>
          <w:p>
            <w:pPr>
              <w:spacing w:after="0"/>
              <w:rPr>
                <w:sz w:val="10"/>
                <w:szCs w:val="10"/>
                <w:color w:val="auto"/>
              </w:rPr>
            </w:pPr>
          </w:p>
        </w:tc>
      </w:tr>
      <w:tr>
        <w:trPr>
          <w:trHeight w:val="405"/>
        </w:trPr>
        <w:tc>
          <w:tcPr>
            <w:tcW w:w="2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20" w:type="dxa"/>
            <w:vAlign w:val="bottom"/>
            <w:gridSpan w:val="3"/>
          </w:tcPr>
          <w:p>
            <w:pPr>
              <w:jc w:val="center"/>
              <w:ind w:right="1540"/>
              <w:spacing w:after="0"/>
              <w:rPr>
                <w:sz w:val="20"/>
                <w:szCs w:val="20"/>
                <w:color w:val="auto"/>
              </w:rPr>
            </w:pPr>
            <w:r>
              <w:rPr>
                <w:rFonts w:ascii="Arial" w:cs="Arial" w:eastAsia="Arial" w:hAnsi="Arial"/>
                <w:sz w:val="11"/>
                <w:szCs w:val="11"/>
                <w:color w:val="auto"/>
                <w:w w:val="93"/>
              </w:rPr>
              <w:t>Securities registered pursuant to Section 12(b) of the Act:</w:t>
            </w:r>
          </w:p>
        </w:tc>
      </w:tr>
      <w:tr>
        <w:trPr>
          <w:trHeight w:val="244"/>
        </w:trPr>
        <w:tc>
          <w:tcPr>
            <w:tcW w:w="2020" w:type="dxa"/>
            <w:vAlign w:val="bottom"/>
          </w:tcPr>
          <w:p>
            <w:pPr>
              <w:jc w:val="center"/>
              <w:ind w:right="3"/>
              <w:spacing w:after="0"/>
              <w:rPr>
                <w:sz w:val="20"/>
                <w:szCs w:val="20"/>
                <w:color w:val="auto"/>
              </w:rPr>
            </w:pPr>
            <w:r>
              <w:rPr>
                <w:rFonts w:ascii="Arial" w:cs="Arial" w:eastAsia="Arial" w:hAnsi="Arial"/>
                <w:sz w:val="11"/>
                <w:szCs w:val="11"/>
                <w:b w:val="1"/>
                <w:bCs w:val="1"/>
                <w:color w:val="auto"/>
                <w:w w:val="88"/>
              </w:rPr>
              <w:t>Title of each class</w:t>
            </w:r>
          </w:p>
        </w:tc>
        <w:tc>
          <w:tcPr>
            <w:tcW w:w="3140" w:type="dxa"/>
            <w:vAlign w:val="bottom"/>
            <w:gridSpan w:val="2"/>
          </w:tcPr>
          <w:p>
            <w:pPr>
              <w:jc w:val="center"/>
              <w:ind w:right="903"/>
              <w:spacing w:after="0"/>
              <w:rPr>
                <w:sz w:val="20"/>
                <w:szCs w:val="20"/>
                <w:color w:val="auto"/>
              </w:rPr>
            </w:pPr>
            <w:r>
              <w:rPr>
                <w:rFonts w:ascii="Arial" w:cs="Arial" w:eastAsia="Arial" w:hAnsi="Arial"/>
                <w:sz w:val="11"/>
                <w:szCs w:val="11"/>
                <w:b w:val="1"/>
                <w:bCs w:val="1"/>
                <w:color w:val="auto"/>
                <w:w w:val="93"/>
              </w:rPr>
              <w:t>Trading Symbol(s)</w:t>
            </w:r>
          </w:p>
        </w:tc>
        <w:tc>
          <w:tcPr>
            <w:tcW w:w="2600" w:type="dxa"/>
            <w:vAlign w:val="bottom"/>
            <w:gridSpan w:val="2"/>
          </w:tcPr>
          <w:p>
            <w:pPr>
              <w:ind w:left="500"/>
              <w:spacing w:after="0"/>
              <w:rPr>
                <w:sz w:val="20"/>
                <w:szCs w:val="20"/>
                <w:color w:val="auto"/>
              </w:rPr>
            </w:pPr>
            <w:r>
              <w:rPr>
                <w:rFonts w:ascii="Arial" w:cs="Arial" w:eastAsia="Arial" w:hAnsi="Arial"/>
                <w:sz w:val="11"/>
                <w:szCs w:val="11"/>
                <w:b w:val="1"/>
                <w:bCs w:val="1"/>
                <w:color w:val="auto"/>
                <w:w w:val="89"/>
              </w:rPr>
              <w:t>Name of each exchange on which registered</w:t>
            </w:r>
          </w:p>
        </w:tc>
      </w:tr>
      <w:tr>
        <w:trPr>
          <w:trHeight w:val="159"/>
        </w:trPr>
        <w:tc>
          <w:tcPr>
            <w:tcW w:w="2020" w:type="dxa"/>
            <w:vAlign w:val="bottom"/>
          </w:tcPr>
          <w:p>
            <w:pPr>
              <w:jc w:val="center"/>
              <w:ind w:right="3"/>
              <w:spacing w:after="0"/>
              <w:rPr>
                <w:sz w:val="20"/>
                <w:szCs w:val="20"/>
                <w:color w:val="auto"/>
              </w:rPr>
            </w:pPr>
            <w:r>
              <w:rPr>
                <w:rFonts w:ascii="Arial" w:cs="Arial" w:eastAsia="Arial" w:hAnsi="Arial"/>
                <w:sz w:val="11"/>
                <w:szCs w:val="11"/>
                <w:color w:val="auto"/>
                <w:w w:val="92"/>
              </w:rPr>
              <w:t>Common Stock, $0.001 par value per share</w:t>
            </w:r>
          </w:p>
        </w:tc>
        <w:tc>
          <w:tcPr>
            <w:tcW w:w="920" w:type="dxa"/>
            <w:vAlign w:val="bottom"/>
          </w:tcPr>
          <w:p>
            <w:pPr>
              <w:spacing w:after="0"/>
              <w:rPr>
                <w:sz w:val="13"/>
                <w:szCs w:val="13"/>
                <w:color w:val="auto"/>
              </w:rPr>
            </w:pPr>
          </w:p>
        </w:tc>
        <w:tc>
          <w:tcPr>
            <w:tcW w:w="2220" w:type="dxa"/>
            <w:vAlign w:val="bottom"/>
          </w:tcPr>
          <w:p>
            <w:pPr>
              <w:jc w:val="center"/>
              <w:ind w:right="1843"/>
              <w:spacing w:after="0"/>
              <w:rPr>
                <w:sz w:val="20"/>
                <w:szCs w:val="20"/>
                <w:color w:val="auto"/>
              </w:rPr>
            </w:pPr>
            <w:r>
              <w:rPr>
                <w:rFonts w:ascii="Arial" w:cs="Arial" w:eastAsia="Arial" w:hAnsi="Arial"/>
                <w:sz w:val="11"/>
                <w:szCs w:val="11"/>
                <w:color w:val="auto"/>
                <w:w w:val="95"/>
              </w:rPr>
              <w:t>ISEE</w:t>
            </w:r>
          </w:p>
        </w:tc>
        <w:tc>
          <w:tcPr>
            <w:tcW w:w="2600" w:type="dxa"/>
            <w:vAlign w:val="bottom"/>
            <w:gridSpan w:val="2"/>
          </w:tcPr>
          <w:p>
            <w:pPr>
              <w:ind w:left="780"/>
              <w:spacing w:after="0"/>
              <w:rPr>
                <w:sz w:val="20"/>
                <w:szCs w:val="20"/>
                <w:color w:val="auto"/>
              </w:rPr>
            </w:pPr>
            <w:r>
              <w:rPr>
                <w:rFonts w:ascii="Arial" w:cs="Arial" w:eastAsia="Arial" w:hAnsi="Arial"/>
                <w:sz w:val="11"/>
                <w:szCs w:val="11"/>
                <w:color w:val="auto"/>
              </w:rPr>
              <w:t>The Nasdaq Global Select Market</w:t>
            </w:r>
          </w:p>
        </w:tc>
      </w:tr>
    </w:tbl>
    <w:p>
      <w:pPr>
        <w:spacing w:after="0" w:line="174" w:lineRule="exact"/>
        <w:rPr>
          <w:sz w:val="24"/>
          <w:szCs w:val="24"/>
          <w:color w:val="auto"/>
        </w:rPr>
      </w:pPr>
    </w:p>
    <w:p>
      <w:pPr>
        <w:spacing w:after="0" w:line="148"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1"/>
          <w:szCs w:val="11"/>
          <w:color w:val="auto"/>
        </w:rPr>
        <w:t>☒</w:t>
      </w:r>
      <w:r>
        <w:rPr>
          <w:rFonts w:ascii="Arial" w:cs="Arial" w:eastAsia="Arial" w:hAnsi="Arial"/>
          <w:sz w:val="11"/>
          <w:szCs w:val="11"/>
          <w:color w:val="auto"/>
        </w:rPr>
        <w:t xml:space="preserve"> Yes </w:t>
      </w:r>
      <w:r>
        <w:rPr>
          <w:rFonts w:ascii="MS PGothic" w:cs="MS PGothic" w:eastAsia="MS PGothic" w:hAnsi="MS PGothic"/>
          <w:sz w:val="11"/>
          <w:szCs w:val="11"/>
          <w:color w:val="auto"/>
        </w:rPr>
        <w:t>☐</w:t>
      </w:r>
      <w:r>
        <w:rPr>
          <w:rFonts w:ascii="Arial" w:cs="Arial" w:eastAsia="Arial" w:hAnsi="Arial"/>
          <w:sz w:val="11"/>
          <w:szCs w:val="11"/>
          <w:color w:val="auto"/>
        </w:rPr>
        <w:t xml:space="preserve"> No</w:t>
      </w:r>
    </w:p>
    <w:p>
      <w:pPr>
        <w:spacing w:after="0" w:line="88" w:lineRule="exact"/>
        <w:rPr>
          <w:sz w:val="24"/>
          <w:szCs w:val="24"/>
          <w:color w:val="auto"/>
        </w:rPr>
      </w:pPr>
    </w:p>
    <w:p>
      <w:pPr>
        <w:ind w:right="160"/>
        <w:spacing w:after="0" w:line="148"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1"/>
          <w:szCs w:val="11"/>
          <w:color w:val="auto"/>
        </w:rPr>
        <w:t>☒</w:t>
      </w:r>
      <w:r>
        <w:rPr>
          <w:rFonts w:ascii="Arial" w:cs="Arial" w:eastAsia="Arial" w:hAnsi="Arial"/>
          <w:sz w:val="11"/>
          <w:szCs w:val="11"/>
          <w:color w:val="auto"/>
        </w:rPr>
        <w:t xml:space="preserve"> Yes </w:t>
      </w:r>
      <w:r>
        <w:rPr>
          <w:rFonts w:ascii="MS PGothic" w:cs="MS PGothic" w:eastAsia="MS PGothic" w:hAnsi="MS PGothic"/>
          <w:sz w:val="11"/>
          <w:szCs w:val="11"/>
          <w:color w:val="auto"/>
        </w:rPr>
        <w:t>☐</w:t>
      </w:r>
      <w:r>
        <w:rPr>
          <w:rFonts w:ascii="Arial" w:cs="Arial" w:eastAsia="Arial" w:hAnsi="Arial"/>
          <w:sz w:val="11"/>
          <w:szCs w:val="11"/>
          <w:color w:val="auto"/>
        </w:rPr>
        <w:t xml:space="preserve"> No</w:t>
      </w:r>
    </w:p>
    <w:p>
      <w:pPr>
        <w:spacing w:after="0" w:line="88" w:lineRule="exact"/>
        <w:rPr>
          <w:sz w:val="24"/>
          <w:szCs w:val="24"/>
          <w:color w:val="auto"/>
        </w:rPr>
      </w:pPr>
    </w:p>
    <w:p>
      <w:pPr>
        <w:ind w:right="160"/>
        <w:spacing w:after="0" w:line="276"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7" w:lineRule="exact"/>
        <w:rPr>
          <w:sz w:val="24"/>
          <w:szCs w:val="24"/>
          <w:color w:val="auto"/>
        </w:rPr>
      </w:pPr>
    </w:p>
    <w:p>
      <w:pPr>
        <w:ind w:left="1000"/>
        <w:spacing w:after="0" w:line="127" w:lineRule="exact"/>
        <w:tabs>
          <w:tab w:leader="none" w:pos="3480" w:val="left"/>
          <w:tab w:leader="none" w:pos="5520" w:val="left"/>
          <w:tab w:leader="none" w:pos="7480" w:val="left"/>
          <w:tab w:leader="none" w:pos="9740" w:val="left"/>
        </w:tabs>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 xml:space="preserve">Non-accelerated filer  </w:t>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 xml:space="preserve">Smaller reporting company  </w:t>
      </w:r>
      <w:r>
        <w:rPr>
          <w:rFonts w:ascii="MS PGothic" w:cs="MS PGothic" w:eastAsia="MS PGothic" w:hAnsi="MS PGothic"/>
          <w:sz w:val="11"/>
          <w:szCs w:val="11"/>
          <w:color w:val="auto"/>
        </w:rPr>
        <w:t>☒</w:t>
      </w:r>
      <w:r>
        <w:rPr>
          <w:sz w:val="20"/>
          <w:szCs w:val="20"/>
          <w:color w:val="auto"/>
        </w:rPr>
        <w:tab/>
      </w: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p>
      <w:pPr>
        <w:spacing w:after="0" w:line="223" w:lineRule="exact"/>
        <w:rPr>
          <w:sz w:val="24"/>
          <w:szCs w:val="24"/>
          <w:color w:val="auto"/>
        </w:rPr>
      </w:pPr>
    </w:p>
    <w:p>
      <w:pPr>
        <w:ind w:right="80"/>
        <w:spacing w:after="0" w:line="148"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78" w:lineRule="exact"/>
        <w:rPr>
          <w:sz w:val="24"/>
          <w:szCs w:val="24"/>
          <w:color w:val="auto"/>
        </w:rPr>
      </w:pPr>
    </w:p>
    <w:p>
      <w:pPr>
        <w:ind w:right="5440"/>
        <w:spacing w:after="0" w:line="199" w:lineRule="exact"/>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Exchange Act). </w:t>
      </w:r>
      <w:r>
        <w:rPr>
          <w:rFonts w:ascii="MS PGothic" w:cs="MS PGothic" w:eastAsia="MS PGothic" w:hAnsi="MS PGothic"/>
          <w:sz w:val="10"/>
          <w:szCs w:val="10"/>
          <w:color w:val="auto"/>
        </w:rPr>
        <w:t>☐</w:t>
      </w:r>
      <w:r>
        <w:rPr>
          <w:rFonts w:ascii="Arial" w:cs="Arial" w:eastAsia="Arial" w:hAnsi="Arial"/>
          <w:sz w:val="10"/>
          <w:szCs w:val="10"/>
          <w:color w:val="auto"/>
        </w:rPr>
        <w:t xml:space="preserve">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As of August 3, 2020 there were 89,502,223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7980" w:type="dxa"/>
            <w:vAlign w:val="bottom"/>
          </w:tcPr>
          <w:p>
            <w:pPr>
              <w:jc w:val="center"/>
              <w:ind w:left="1269"/>
              <w:spacing w:after="0"/>
              <w:rPr>
                <w:sz w:val="20"/>
                <w:szCs w:val="20"/>
                <w:color w:val="auto"/>
              </w:rPr>
            </w:pPr>
            <w:r>
              <w:rPr>
                <w:rFonts w:ascii="Arial" w:cs="Arial" w:eastAsia="Arial" w:hAnsi="Arial"/>
                <w:sz w:val="14"/>
                <w:szCs w:val="14"/>
                <w:b w:val="1"/>
                <w:bCs w:val="1"/>
                <w:color w:val="auto"/>
              </w:rPr>
              <w:t>TABLE OF CONTENTS</w:t>
            </w:r>
          </w:p>
        </w:tc>
        <w:tc>
          <w:tcPr>
            <w:tcW w:w="2300" w:type="dxa"/>
            <w:vAlign w:val="bottom"/>
          </w:tcPr>
          <w:p>
            <w:pPr>
              <w:spacing w:after="0"/>
              <w:rPr>
                <w:sz w:val="16"/>
                <w:szCs w:val="16"/>
                <w:color w:val="auto"/>
              </w:rPr>
            </w:pPr>
          </w:p>
        </w:tc>
      </w:tr>
      <w:tr>
        <w:trPr>
          <w:trHeight w:val="318"/>
        </w:trPr>
        <w:tc>
          <w:tcPr>
            <w:tcW w:w="960" w:type="dxa"/>
            <w:vAlign w:val="bottom"/>
          </w:tcPr>
          <w:p>
            <w:pPr>
              <w:spacing w:after="0"/>
              <w:rPr>
                <w:sz w:val="24"/>
                <w:szCs w:val="24"/>
                <w:color w:val="auto"/>
              </w:rPr>
            </w:pPr>
          </w:p>
        </w:tc>
        <w:tc>
          <w:tcPr>
            <w:tcW w:w="7980" w:type="dxa"/>
            <w:vAlign w:val="bottom"/>
          </w:tcPr>
          <w:p>
            <w:pPr>
              <w:jc w:val="center"/>
              <w:ind w:left="1269"/>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PART I—FINANCIAL INFORMATION</w:t>
              </w:r>
            </w:hyperlink>
          </w:p>
        </w:tc>
        <w:tc>
          <w:tcPr>
            <w:tcW w:w="2300" w:type="dxa"/>
            <w:vAlign w:val="bottom"/>
          </w:tcPr>
          <w:p>
            <w:pPr>
              <w:spacing w:after="0"/>
              <w:rPr>
                <w:sz w:val="24"/>
                <w:szCs w:val="24"/>
                <w:color w:val="auto"/>
              </w:rPr>
            </w:pPr>
          </w:p>
        </w:tc>
      </w:tr>
      <w:tr>
        <w:trPr>
          <w:trHeight w:val="180"/>
        </w:trPr>
        <w:tc>
          <w:tcPr>
            <w:tcW w:w="960" w:type="dxa"/>
            <w:vAlign w:val="bottom"/>
          </w:tcPr>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Item 1.</w:t>
              </w:r>
            </w:hyperlink>
          </w:p>
        </w:tc>
        <w:tc>
          <w:tcPr>
            <w:tcW w:w="7980" w:type="dxa"/>
            <w:vAlign w:val="bottom"/>
          </w:tcPr>
          <w:p>
            <w:pPr>
              <w:ind w:left="420"/>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Financial Statements</w:t>
              </w:r>
            </w:hyperlink>
          </w:p>
        </w:tc>
        <w:tc>
          <w:tcPr>
            <w:tcW w:w="2300" w:type="dxa"/>
            <w:vAlign w:val="bottom"/>
          </w:tcPr>
          <w:p>
            <w:pPr>
              <w:jc w:val="right"/>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3</w:t>
              </w:r>
            </w:hyperlink>
          </w:p>
        </w:tc>
      </w:tr>
      <w:tr>
        <w:trPr>
          <w:trHeight w:val="180"/>
        </w:trPr>
        <w:tc>
          <w:tcPr>
            <w:tcW w:w="960" w:type="dxa"/>
            <w:vAlign w:val="bottom"/>
          </w:tcPr>
          <w:p>
            <w:pPr>
              <w:spacing w:after="0"/>
              <w:rPr>
                <w:sz w:val="15"/>
                <w:szCs w:val="15"/>
                <w:color w:val="auto"/>
              </w:rPr>
            </w:pPr>
          </w:p>
        </w:tc>
        <w:tc>
          <w:tcPr>
            <w:tcW w:w="7980" w:type="dxa"/>
            <w:vAlign w:val="bottom"/>
          </w:tcPr>
          <w:p>
            <w:pPr>
              <w:ind w:left="560"/>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Unaudited Consolidated Balance Sheets</w:t>
              </w:r>
            </w:hyperlink>
          </w:p>
        </w:tc>
        <w:tc>
          <w:tcPr>
            <w:tcW w:w="2300" w:type="dxa"/>
            <w:vAlign w:val="bottom"/>
          </w:tcPr>
          <w:p>
            <w:pPr>
              <w:jc w:val="right"/>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3</w:t>
              </w:r>
            </w:hyperlink>
          </w:p>
        </w:tc>
      </w:tr>
      <w:tr>
        <w:trPr>
          <w:trHeight w:val="180"/>
        </w:trPr>
        <w:tc>
          <w:tcPr>
            <w:tcW w:w="960" w:type="dxa"/>
            <w:vAlign w:val="bottom"/>
          </w:tcPr>
          <w:p>
            <w:pPr>
              <w:spacing w:after="0"/>
              <w:rPr>
                <w:sz w:val="15"/>
                <w:szCs w:val="15"/>
                <w:color w:val="auto"/>
              </w:rPr>
            </w:pPr>
          </w:p>
        </w:tc>
        <w:tc>
          <w:tcPr>
            <w:tcW w:w="7980" w:type="dxa"/>
            <w:vAlign w:val="bottom"/>
          </w:tcPr>
          <w:p>
            <w:pPr>
              <w:ind w:left="560"/>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Unaudited Consolidated Statements of Operations and Comprehensive Loss</w:t>
              </w:r>
            </w:hyperlink>
          </w:p>
        </w:tc>
        <w:tc>
          <w:tcPr>
            <w:tcW w:w="2300" w:type="dxa"/>
            <w:vAlign w:val="bottom"/>
          </w:tcPr>
          <w:p>
            <w:pPr>
              <w:jc w:val="right"/>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4</w:t>
              </w:r>
            </w:hyperlink>
          </w:p>
        </w:tc>
      </w:tr>
      <w:tr>
        <w:trPr>
          <w:trHeight w:val="180"/>
        </w:trPr>
        <w:tc>
          <w:tcPr>
            <w:tcW w:w="960" w:type="dxa"/>
            <w:vAlign w:val="bottom"/>
          </w:tcPr>
          <w:p>
            <w:pPr>
              <w:spacing w:after="0"/>
              <w:rPr>
                <w:sz w:val="15"/>
                <w:szCs w:val="15"/>
                <w:color w:val="auto"/>
              </w:rPr>
            </w:pPr>
          </w:p>
        </w:tc>
        <w:tc>
          <w:tcPr>
            <w:tcW w:w="7980" w:type="dxa"/>
            <w:vAlign w:val="bottom"/>
          </w:tcPr>
          <w:p>
            <w:pPr>
              <w:ind w:left="560"/>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Unaudited Consolidated Statements of Stockholders' Equity</w:t>
              </w:r>
            </w:hyperlink>
          </w:p>
        </w:tc>
        <w:tc>
          <w:tcPr>
            <w:tcW w:w="2300" w:type="dxa"/>
            <w:vAlign w:val="bottom"/>
          </w:tcPr>
          <w:p>
            <w:pPr>
              <w:jc w:val="right"/>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5</w:t>
              </w:r>
            </w:hyperlink>
          </w:p>
        </w:tc>
      </w:tr>
      <w:tr>
        <w:trPr>
          <w:trHeight w:val="180"/>
        </w:trPr>
        <w:tc>
          <w:tcPr>
            <w:tcW w:w="960" w:type="dxa"/>
            <w:vAlign w:val="bottom"/>
          </w:tcPr>
          <w:p>
            <w:pPr>
              <w:spacing w:after="0"/>
              <w:rPr>
                <w:sz w:val="15"/>
                <w:szCs w:val="15"/>
                <w:color w:val="auto"/>
              </w:rPr>
            </w:pPr>
          </w:p>
        </w:tc>
        <w:tc>
          <w:tcPr>
            <w:tcW w:w="7980" w:type="dxa"/>
            <w:vAlign w:val="bottom"/>
          </w:tcPr>
          <w:p>
            <w:pPr>
              <w:ind w:left="560"/>
              <w:spacing w:after="0"/>
              <w:rPr>
                <w:rFonts w:ascii="Arial" w:cs="Arial" w:eastAsia="Arial" w:hAnsi="Arial"/>
                <w:sz w:val="14"/>
                <w:szCs w:val="14"/>
                <w:u w:val="single" w:color="auto"/>
                <w:color w:val="0000FF"/>
              </w:rPr>
            </w:pPr>
            <w:hyperlink w:anchor="page7">
              <w:r>
                <w:rPr>
                  <w:rFonts w:ascii="Arial" w:cs="Arial" w:eastAsia="Arial" w:hAnsi="Arial"/>
                  <w:sz w:val="14"/>
                  <w:szCs w:val="14"/>
                  <w:u w:val="single" w:color="auto"/>
                  <w:color w:val="0000FF"/>
                </w:rPr>
                <w:t>Unaudited Consolidated Statements of Cash Flows</w:t>
              </w:r>
            </w:hyperlink>
          </w:p>
        </w:tc>
        <w:tc>
          <w:tcPr>
            <w:tcW w:w="2300" w:type="dxa"/>
            <w:vAlign w:val="bottom"/>
          </w:tcPr>
          <w:p>
            <w:pPr>
              <w:jc w:val="right"/>
              <w:spacing w:after="0"/>
              <w:rPr>
                <w:rFonts w:ascii="Arial" w:cs="Arial" w:eastAsia="Arial" w:hAnsi="Arial"/>
                <w:sz w:val="14"/>
                <w:szCs w:val="14"/>
                <w:u w:val="single" w:color="auto"/>
                <w:color w:val="0000FF"/>
              </w:rPr>
            </w:pPr>
            <w:hyperlink w:anchor="page7">
              <w:r>
                <w:rPr>
                  <w:rFonts w:ascii="Arial" w:cs="Arial" w:eastAsia="Arial" w:hAnsi="Arial"/>
                  <w:sz w:val="14"/>
                  <w:szCs w:val="14"/>
                  <w:u w:val="single" w:color="auto"/>
                  <w:color w:val="0000FF"/>
                </w:rPr>
                <w:t>6</w:t>
              </w:r>
            </w:hyperlink>
          </w:p>
        </w:tc>
      </w:tr>
      <w:tr>
        <w:trPr>
          <w:trHeight w:val="180"/>
        </w:trPr>
        <w:tc>
          <w:tcPr>
            <w:tcW w:w="960" w:type="dxa"/>
            <w:vAlign w:val="bottom"/>
          </w:tcPr>
          <w:p>
            <w:pPr>
              <w:spacing w:after="0"/>
              <w:rPr>
                <w:sz w:val="15"/>
                <w:szCs w:val="15"/>
                <w:color w:val="auto"/>
              </w:rPr>
            </w:pPr>
          </w:p>
        </w:tc>
        <w:tc>
          <w:tcPr>
            <w:tcW w:w="7980" w:type="dxa"/>
            <w:vAlign w:val="bottom"/>
          </w:tcPr>
          <w:p>
            <w:pPr>
              <w:ind w:left="560"/>
              <w:spacing w:after="0"/>
              <w:rPr>
                <w:rFonts w:ascii="Arial" w:cs="Arial" w:eastAsia="Arial" w:hAnsi="Arial"/>
                <w:sz w:val="14"/>
                <w:szCs w:val="14"/>
                <w:u w:val="single" w:color="auto"/>
                <w:color w:val="0000FF"/>
              </w:rPr>
            </w:pPr>
            <w:hyperlink w:anchor="page8">
              <w:r>
                <w:rPr>
                  <w:rFonts w:ascii="Arial" w:cs="Arial" w:eastAsia="Arial" w:hAnsi="Arial"/>
                  <w:sz w:val="14"/>
                  <w:szCs w:val="14"/>
                  <w:u w:val="single" w:color="auto"/>
                  <w:color w:val="0000FF"/>
                </w:rPr>
                <w:t>Notes to Unaudited Consolidated Financial Statements</w:t>
              </w:r>
            </w:hyperlink>
          </w:p>
        </w:tc>
        <w:tc>
          <w:tcPr>
            <w:tcW w:w="2300" w:type="dxa"/>
            <w:vAlign w:val="bottom"/>
          </w:tcPr>
          <w:p>
            <w:pPr>
              <w:jc w:val="right"/>
              <w:spacing w:after="0"/>
              <w:rPr>
                <w:rFonts w:ascii="Arial" w:cs="Arial" w:eastAsia="Arial" w:hAnsi="Arial"/>
                <w:sz w:val="14"/>
                <w:szCs w:val="14"/>
                <w:u w:val="single" w:color="auto"/>
                <w:color w:val="0000FF"/>
              </w:rPr>
            </w:pPr>
            <w:hyperlink w:anchor="page8">
              <w:r>
                <w:rPr>
                  <w:rFonts w:ascii="Arial" w:cs="Arial" w:eastAsia="Arial" w:hAnsi="Arial"/>
                  <w:sz w:val="14"/>
                  <w:szCs w:val="14"/>
                  <w:u w:val="single" w:color="auto"/>
                  <w:color w:val="0000FF"/>
                </w:rPr>
                <w:t>7</w:t>
              </w:r>
            </w:hyperlink>
          </w:p>
        </w:tc>
      </w:tr>
      <w:tr>
        <w:trPr>
          <w:trHeight w:val="180"/>
        </w:trPr>
        <w:tc>
          <w:tcPr>
            <w:tcW w:w="960" w:type="dxa"/>
            <w:vAlign w:val="bottom"/>
          </w:tcPr>
          <w:p>
            <w:pPr>
              <w:spacing w:after="0"/>
              <w:rPr>
                <w:rFonts w:ascii="Arial" w:cs="Arial" w:eastAsia="Arial" w:hAnsi="Arial"/>
                <w:sz w:val="14"/>
                <w:szCs w:val="14"/>
                <w:u w:val="single" w:color="auto"/>
                <w:color w:val="0000FF"/>
              </w:rPr>
            </w:pPr>
            <w:hyperlink w:anchor="page21">
              <w:r>
                <w:rPr>
                  <w:rFonts w:ascii="Arial" w:cs="Arial" w:eastAsia="Arial" w:hAnsi="Arial"/>
                  <w:sz w:val="14"/>
                  <w:szCs w:val="14"/>
                  <w:u w:val="single" w:color="auto"/>
                  <w:color w:val="0000FF"/>
                </w:rPr>
                <w:t>Item 2.</w:t>
              </w:r>
            </w:hyperlink>
          </w:p>
        </w:tc>
        <w:tc>
          <w:tcPr>
            <w:tcW w:w="7980" w:type="dxa"/>
            <w:vAlign w:val="bottom"/>
          </w:tcPr>
          <w:p>
            <w:pPr>
              <w:ind w:left="420"/>
              <w:spacing w:after="0"/>
              <w:rPr>
                <w:rFonts w:ascii="Arial" w:cs="Arial" w:eastAsia="Arial" w:hAnsi="Arial"/>
                <w:sz w:val="14"/>
                <w:szCs w:val="14"/>
                <w:u w:val="single" w:color="auto"/>
                <w:color w:val="0000FF"/>
              </w:rPr>
            </w:pPr>
            <w:hyperlink w:anchor="page21">
              <w:r>
                <w:rPr>
                  <w:rFonts w:ascii="Arial" w:cs="Arial" w:eastAsia="Arial" w:hAnsi="Arial"/>
                  <w:sz w:val="14"/>
                  <w:szCs w:val="14"/>
                  <w:u w:val="single" w:color="auto"/>
                  <w:color w:val="0000FF"/>
                </w:rPr>
                <w:t>Management’s Discussion and Analysis of Financial Condition and Results of Operations</w:t>
              </w:r>
            </w:hyperlink>
          </w:p>
        </w:tc>
        <w:tc>
          <w:tcPr>
            <w:tcW w:w="2300" w:type="dxa"/>
            <w:vAlign w:val="bottom"/>
          </w:tcPr>
          <w:p>
            <w:pPr>
              <w:jc w:val="right"/>
              <w:spacing w:after="0"/>
              <w:rPr>
                <w:rFonts w:ascii="Arial" w:cs="Arial" w:eastAsia="Arial" w:hAnsi="Arial"/>
                <w:sz w:val="14"/>
                <w:szCs w:val="14"/>
                <w:u w:val="single" w:color="auto"/>
                <w:color w:val="0000FF"/>
              </w:rPr>
            </w:pPr>
            <w:hyperlink w:anchor="page21">
              <w:r>
                <w:rPr>
                  <w:rFonts w:ascii="Arial" w:cs="Arial" w:eastAsia="Arial" w:hAnsi="Arial"/>
                  <w:sz w:val="14"/>
                  <w:szCs w:val="14"/>
                  <w:u w:val="single" w:color="auto"/>
                  <w:color w:val="0000FF"/>
                </w:rPr>
                <w:t>20</w:t>
              </w:r>
            </w:hyperlink>
          </w:p>
        </w:tc>
      </w:tr>
      <w:tr>
        <w:trPr>
          <w:trHeight w:val="180"/>
        </w:trPr>
        <w:tc>
          <w:tcPr>
            <w:tcW w:w="960" w:type="dxa"/>
            <w:vAlign w:val="bottom"/>
          </w:tcPr>
          <w:p>
            <w:pPr>
              <w:spacing w:after="0"/>
              <w:rPr>
                <w:rFonts w:ascii="Arial" w:cs="Arial" w:eastAsia="Arial" w:hAnsi="Arial"/>
                <w:sz w:val="14"/>
                <w:szCs w:val="14"/>
                <w:u w:val="single" w:color="auto"/>
                <w:color w:val="0000FF"/>
              </w:rPr>
            </w:pPr>
            <w:hyperlink w:anchor="page43">
              <w:r>
                <w:rPr>
                  <w:rFonts w:ascii="Arial" w:cs="Arial" w:eastAsia="Arial" w:hAnsi="Arial"/>
                  <w:sz w:val="14"/>
                  <w:szCs w:val="14"/>
                  <w:u w:val="single" w:color="auto"/>
                  <w:color w:val="0000FF"/>
                </w:rPr>
                <w:t>Item 3.</w:t>
              </w:r>
            </w:hyperlink>
          </w:p>
        </w:tc>
        <w:tc>
          <w:tcPr>
            <w:tcW w:w="7980" w:type="dxa"/>
            <w:vAlign w:val="bottom"/>
          </w:tcPr>
          <w:p>
            <w:pPr>
              <w:ind w:left="420"/>
              <w:spacing w:after="0"/>
              <w:rPr>
                <w:rFonts w:ascii="Arial" w:cs="Arial" w:eastAsia="Arial" w:hAnsi="Arial"/>
                <w:sz w:val="14"/>
                <w:szCs w:val="14"/>
                <w:u w:val="single" w:color="auto"/>
                <w:color w:val="0000FF"/>
              </w:rPr>
            </w:pPr>
            <w:hyperlink w:anchor="page43">
              <w:r>
                <w:rPr>
                  <w:rFonts w:ascii="Arial" w:cs="Arial" w:eastAsia="Arial" w:hAnsi="Arial"/>
                  <w:sz w:val="14"/>
                  <w:szCs w:val="14"/>
                  <w:u w:val="single" w:color="auto"/>
                  <w:color w:val="0000FF"/>
                </w:rPr>
                <w:t>Quantitative and Qualitative Disclosures About Market Risk</w:t>
              </w:r>
            </w:hyperlink>
          </w:p>
        </w:tc>
        <w:tc>
          <w:tcPr>
            <w:tcW w:w="2300" w:type="dxa"/>
            <w:vAlign w:val="bottom"/>
          </w:tcPr>
          <w:p>
            <w:pPr>
              <w:jc w:val="right"/>
              <w:spacing w:after="0"/>
              <w:rPr>
                <w:rFonts w:ascii="Arial" w:cs="Arial" w:eastAsia="Arial" w:hAnsi="Arial"/>
                <w:sz w:val="14"/>
                <w:szCs w:val="14"/>
                <w:u w:val="single" w:color="auto"/>
                <w:color w:val="0000FF"/>
              </w:rPr>
            </w:pPr>
            <w:hyperlink w:anchor="page43">
              <w:r>
                <w:rPr>
                  <w:rFonts w:ascii="Arial" w:cs="Arial" w:eastAsia="Arial" w:hAnsi="Arial"/>
                  <w:sz w:val="14"/>
                  <w:szCs w:val="14"/>
                  <w:u w:val="single" w:color="auto"/>
                  <w:color w:val="0000FF"/>
                </w:rPr>
                <w:t>41</w:t>
              </w:r>
            </w:hyperlink>
          </w:p>
        </w:tc>
      </w:tr>
      <w:tr>
        <w:trPr>
          <w:trHeight w:val="180"/>
        </w:trPr>
        <w:tc>
          <w:tcPr>
            <w:tcW w:w="960" w:type="dxa"/>
            <w:vAlign w:val="bottom"/>
          </w:tcPr>
          <w:p>
            <w:pPr>
              <w:spacing w:after="0"/>
              <w:rPr>
                <w:rFonts w:ascii="Arial" w:cs="Arial" w:eastAsia="Arial" w:hAnsi="Arial"/>
                <w:sz w:val="14"/>
                <w:szCs w:val="14"/>
                <w:u w:val="single" w:color="auto"/>
                <w:color w:val="0000FF"/>
              </w:rPr>
            </w:pPr>
            <w:hyperlink w:anchor="page43">
              <w:r>
                <w:rPr>
                  <w:rFonts w:ascii="Arial" w:cs="Arial" w:eastAsia="Arial" w:hAnsi="Arial"/>
                  <w:sz w:val="14"/>
                  <w:szCs w:val="14"/>
                  <w:u w:val="single" w:color="auto"/>
                  <w:color w:val="0000FF"/>
                </w:rPr>
                <w:t>Item 4.</w:t>
              </w:r>
            </w:hyperlink>
          </w:p>
        </w:tc>
        <w:tc>
          <w:tcPr>
            <w:tcW w:w="7980" w:type="dxa"/>
            <w:vAlign w:val="bottom"/>
          </w:tcPr>
          <w:p>
            <w:pPr>
              <w:ind w:left="420"/>
              <w:spacing w:after="0"/>
              <w:rPr>
                <w:rFonts w:ascii="Arial" w:cs="Arial" w:eastAsia="Arial" w:hAnsi="Arial"/>
                <w:sz w:val="14"/>
                <w:szCs w:val="14"/>
                <w:u w:val="single" w:color="auto"/>
                <w:color w:val="0000FF"/>
              </w:rPr>
            </w:pPr>
            <w:hyperlink w:anchor="page43">
              <w:r>
                <w:rPr>
                  <w:rFonts w:ascii="Arial" w:cs="Arial" w:eastAsia="Arial" w:hAnsi="Arial"/>
                  <w:sz w:val="14"/>
                  <w:szCs w:val="14"/>
                  <w:u w:val="single" w:color="auto"/>
                  <w:color w:val="0000FF"/>
                </w:rPr>
                <w:t>Controls and Procedures</w:t>
              </w:r>
            </w:hyperlink>
          </w:p>
        </w:tc>
        <w:tc>
          <w:tcPr>
            <w:tcW w:w="2300" w:type="dxa"/>
            <w:vAlign w:val="bottom"/>
          </w:tcPr>
          <w:p>
            <w:pPr>
              <w:jc w:val="right"/>
              <w:spacing w:after="0"/>
              <w:rPr>
                <w:rFonts w:ascii="Arial" w:cs="Arial" w:eastAsia="Arial" w:hAnsi="Arial"/>
                <w:sz w:val="14"/>
                <w:szCs w:val="14"/>
                <w:u w:val="single" w:color="auto"/>
                <w:color w:val="0000FF"/>
              </w:rPr>
            </w:pPr>
            <w:hyperlink w:anchor="page43">
              <w:r>
                <w:rPr>
                  <w:rFonts w:ascii="Arial" w:cs="Arial" w:eastAsia="Arial" w:hAnsi="Arial"/>
                  <w:sz w:val="14"/>
                  <w:szCs w:val="14"/>
                  <w:u w:val="single" w:color="auto"/>
                  <w:color w:val="0000FF"/>
                </w:rPr>
                <w:t>41</w:t>
              </w:r>
            </w:hyperlink>
          </w:p>
        </w:tc>
      </w:tr>
      <w:tr>
        <w:trPr>
          <w:trHeight w:val="393"/>
        </w:trPr>
        <w:tc>
          <w:tcPr>
            <w:tcW w:w="960" w:type="dxa"/>
            <w:vAlign w:val="bottom"/>
          </w:tcPr>
          <w:p>
            <w:pPr>
              <w:spacing w:after="0"/>
              <w:rPr>
                <w:sz w:val="24"/>
                <w:szCs w:val="24"/>
                <w:color w:val="auto"/>
              </w:rPr>
            </w:pPr>
          </w:p>
        </w:tc>
        <w:tc>
          <w:tcPr>
            <w:tcW w:w="7980" w:type="dxa"/>
            <w:vAlign w:val="bottom"/>
          </w:tcPr>
          <w:p>
            <w:pPr>
              <w:jc w:val="center"/>
              <w:ind w:left="1269"/>
              <w:spacing w:after="0"/>
              <w:rPr>
                <w:rFonts w:ascii="Arial" w:cs="Arial" w:eastAsia="Arial" w:hAnsi="Arial"/>
                <w:sz w:val="14"/>
                <w:szCs w:val="14"/>
                <w:b w:val="1"/>
                <w:bCs w:val="1"/>
                <w:u w:val="single" w:color="auto"/>
                <w:color w:val="0000FF"/>
              </w:rPr>
            </w:pPr>
            <w:hyperlink w:anchor="page44">
              <w:r>
                <w:rPr>
                  <w:rFonts w:ascii="Arial" w:cs="Arial" w:eastAsia="Arial" w:hAnsi="Arial"/>
                  <w:sz w:val="14"/>
                  <w:szCs w:val="14"/>
                  <w:b w:val="1"/>
                  <w:bCs w:val="1"/>
                  <w:u w:val="single" w:color="auto"/>
                  <w:color w:val="0000FF"/>
                </w:rPr>
                <w:t>PART II—OTHER INFORMATION</w:t>
              </w:r>
            </w:hyperlink>
          </w:p>
        </w:tc>
        <w:tc>
          <w:tcPr>
            <w:tcW w:w="2300" w:type="dxa"/>
            <w:vAlign w:val="bottom"/>
          </w:tcPr>
          <w:p>
            <w:pPr>
              <w:spacing w:after="0"/>
              <w:rPr>
                <w:sz w:val="24"/>
                <w:szCs w:val="24"/>
                <w:color w:val="auto"/>
              </w:rPr>
            </w:pPr>
          </w:p>
        </w:tc>
      </w:tr>
      <w:tr>
        <w:trPr>
          <w:trHeight w:val="393"/>
        </w:trPr>
        <w:tc>
          <w:tcPr>
            <w:tcW w:w="960" w:type="dxa"/>
            <w:vAlign w:val="bottom"/>
          </w:tcPr>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Item 1.</w:t>
              </w:r>
            </w:hyperlink>
          </w:p>
        </w:tc>
        <w:tc>
          <w:tcPr>
            <w:tcW w:w="7980" w:type="dxa"/>
            <w:vAlign w:val="bottom"/>
          </w:tcPr>
          <w:p>
            <w:pPr>
              <w:ind w:left="420"/>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Legal Proceedings</w:t>
              </w:r>
            </w:hyperlink>
          </w:p>
        </w:tc>
        <w:tc>
          <w:tcPr>
            <w:tcW w:w="2300" w:type="dxa"/>
            <w:vAlign w:val="bottom"/>
          </w:tcPr>
          <w:p>
            <w:pPr>
              <w:jc w:val="right"/>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43</w:t>
              </w:r>
            </w:hyperlink>
          </w:p>
        </w:tc>
      </w:tr>
      <w:tr>
        <w:trPr>
          <w:trHeight w:val="180"/>
        </w:trPr>
        <w:tc>
          <w:tcPr>
            <w:tcW w:w="960" w:type="dxa"/>
            <w:vAlign w:val="bottom"/>
          </w:tcPr>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Item 1A.</w:t>
              </w:r>
            </w:hyperlink>
          </w:p>
        </w:tc>
        <w:tc>
          <w:tcPr>
            <w:tcW w:w="7980" w:type="dxa"/>
            <w:vAlign w:val="bottom"/>
          </w:tcPr>
          <w:p>
            <w:pPr>
              <w:ind w:left="420"/>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Risk Factors</w:t>
              </w:r>
            </w:hyperlink>
          </w:p>
        </w:tc>
        <w:tc>
          <w:tcPr>
            <w:tcW w:w="2300" w:type="dxa"/>
            <w:vAlign w:val="bottom"/>
          </w:tcPr>
          <w:p>
            <w:pPr>
              <w:jc w:val="right"/>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44</w:t>
              </w:r>
            </w:hyperlink>
          </w:p>
        </w:tc>
      </w:tr>
      <w:tr>
        <w:trPr>
          <w:trHeight w:val="180"/>
        </w:trPr>
        <w:tc>
          <w:tcPr>
            <w:tcW w:w="960" w:type="dxa"/>
            <w:vAlign w:val="bottom"/>
          </w:tcPr>
          <w:p>
            <w:pPr>
              <w:spacing w:after="0"/>
              <w:rPr>
                <w:rFonts w:ascii="Arial" w:cs="Arial" w:eastAsia="Arial" w:hAnsi="Arial"/>
                <w:sz w:val="14"/>
                <w:szCs w:val="14"/>
                <w:u w:val="single" w:color="auto"/>
                <w:color w:val="0000FF"/>
              </w:rPr>
            </w:pPr>
            <w:hyperlink w:anchor="page100">
              <w:r>
                <w:rPr>
                  <w:rFonts w:ascii="Arial" w:cs="Arial" w:eastAsia="Arial" w:hAnsi="Arial"/>
                  <w:sz w:val="14"/>
                  <w:szCs w:val="14"/>
                  <w:u w:val="single" w:color="auto"/>
                  <w:color w:val="0000FF"/>
                </w:rPr>
                <w:t>Item 2.</w:t>
              </w:r>
            </w:hyperlink>
          </w:p>
        </w:tc>
        <w:tc>
          <w:tcPr>
            <w:tcW w:w="7980" w:type="dxa"/>
            <w:vAlign w:val="bottom"/>
          </w:tcPr>
          <w:p>
            <w:pPr>
              <w:ind w:left="420"/>
              <w:spacing w:after="0"/>
              <w:rPr>
                <w:rFonts w:ascii="Arial" w:cs="Arial" w:eastAsia="Arial" w:hAnsi="Arial"/>
                <w:sz w:val="14"/>
                <w:szCs w:val="14"/>
                <w:u w:val="single" w:color="auto"/>
                <w:color w:val="0000FF"/>
              </w:rPr>
            </w:pPr>
            <w:hyperlink w:anchor="page100">
              <w:r>
                <w:rPr>
                  <w:rFonts w:ascii="Arial" w:cs="Arial" w:eastAsia="Arial" w:hAnsi="Arial"/>
                  <w:sz w:val="14"/>
                  <w:szCs w:val="14"/>
                  <w:u w:val="single" w:color="auto"/>
                  <w:color w:val="0000FF"/>
                </w:rPr>
                <w:t>Unregistered Sales of Equity Securities and Use of Proceeds</w:t>
              </w:r>
            </w:hyperlink>
          </w:p>
        </w:tc>
        <w:tc>
          <w:tcPr>
            <w:tcW w:w="2300" w:type="dxa"/>
            <w:vAlign w:val="bottom"/>
          </w:tcPr>
          <w:p>
            <w:pPr>
              <w:jc w:val="right"/>
              <w:spacing w:after="0"/>
              <w:rPr>
                <w:rFonts w:ascii="Arial" w:cs="Arial" w:eastAsia="Arial" w:hAnsi="Arial"/>
                <w:sz w:val="14"/>
                <w:szCs w:val="14"/>
                <w:u w:val="single" w:color="auto"/>
                <w:color w:val="0000FF"/>
              </w:rPr>
            </w:pPr>
            <w:hyperlink w:anchor="page100">
              <w:r>
                <w:rPr>
                  <w:rFonts w:ascii="Arial" w:cs="Arial" w:eastAsia="Arial" w:hAnsi="Arial"/>
                  <w:sz w:val="14"/>
                  <w:szCs w:val="14"/>
                  <w:u w:val="single" w:color="auto"/>
                  <w:color w:val="0000FF"/>
                </w:rPr>
                <w:t>98</w:t>
              </w:r>
            </w:hyperlink>
          </w:p>
        </w:tc>
      </w:tr>
      <w:tr>
        <w:trPr>
          <w:trHeight w:val="180"/>
        </w:trPr>
        <w:tc>
          <w:tcPr>
            <w:tcW w:w="960" w:type="dxa"/>
            <w:vAlign w:val="bottom"/>
          </w:tcPr>
          <w:p>
            <w:pPr>
              <w:spacing w:after="0"/>
              <w:rPr>
                <w:rFonts w:ascii="Arial" w:cs="Arial" w:eastAsia="Arial" w:hAnsi="Arial"/>
                <w:sz w:val="14"/>
                <w:szCs w:val="14"/>
                <w:u w:val="single" w:color="auto"/>
                <w:color w:val="0000FF"/>
              </w:rPr>
            </w:pPr>
            <w:hyperlink w:anchor="page101">
              <w:r>
                <w:rPr>
                  <w:rFonts w:ascii="Arial" w:cs="Arial" w:eastAsia="Arial" w:hAnsi="Arial"/>
                  <w:sz w:val="14"/>
                  <w:szCs w:val="14"/>
                  <w:u w:val="single" w:color="auto"/>
                  <w:color w:val="0000FF"/>
                </w:rPr>
                <w:t>Item 5.</w:t>
              </w:r>
            </w:hyperlink>
          </w:p>
        </w:tc>
        <w:tc>
          <w:tcPr>
            <w:tcW w:w="7980" w:type="dxa"/>
            <w:vAlign w:val="bottom"/>
          </w:tcPr>
          <w:p>
            <w:pPr>
              <w:ind w:left="420"/>
              <w:spacing w:after="0"/>
              <w:rPr>
                <w:rFonts w:ascii="Arial" w:cs="Arial" w:eastAsia="Arial" w:hAnsi="Arial"/>
                <w:sz w:val="14"/>
                <w:szCs w:val="14"/>
                <w:u w:val="single" w:color="auto"/>
                <w:color w:val="0000FF"/>
              </w:rPr>
            </w:pPr>
            <w:hyperlink w:anchor="page101">
              <w:r>
                <w:rPr>
                  <w:rFonts w:ascii="Arial" w:cs="Arial" w:eastAsia="Arial" w:hAnsi="Arial"/>
                  <w:sz w:val="14"/>
                  <w:szCs w:val="14"/>
                  <w:u w:val="single" w:color="auto"/>
                  <w:color w:val="0000FF"/>
                </w:rPr>
                <w:t>Other Information</w:t>
              </w:r>
            </w:hyperlink>
          </w:p>
        </w:tc>
        <w:tc>
          <w:tcPr>
            <w:tcW w:w="2300" w:type="dxa"/>
            <w:vAlign w:val="bottom"/>
          </w:tcPr>
          <w:p>
            <w:pPr>
              <w:jc w:val="right"/>
              <w:spacing w:after="0"/>
              <w:rPr>
                <w:rFonts w:ascii="Arial" w:cs="Arial" w:eastAsia="Arial" w:hAnsi="Arial"/>
                <w:sz w:val="14"/>
                <w:szCs w:val="14"/>
                <w:u w:val="single" w:color="auto"/>
                <w:color w:val="0000FF"/>
              </w:rPr>
            </w:pPr>
            <w:hyperlink w:anchor="page101">
              <w:r>
                <w:rPr>
                  <w:rFonts w:ascii="Arial" w:cs="Arial" w:eastAsia="Arial" w:hAnsi="Arial"/>
                  <w:sz w:val="14"/>
                  <w:szCs w:val="14"/>
                  <w:u w:val="single" w:color="auto"/>
                  <w:color w:val="0000FF"/>
                </w:rPr>
                <w:t>99</w:t>
              </w:r>
            </w:hyperlink>
          </w:p>
        </w:tc>
      </w:tr>
      <w:tr>
        <w:trPr>
          <w:trHeight w:val="180"/>
        </w:trPr>
        <w:tc>
          <w:tcPr>
            <w:tcW w:w="960" w:type="dxa"/>
            <w:vAlign w:val="bottom"/>
          </w:tcPr>
          <w:p>
            <w:pPr>
              <w:spacing w:after="0"/>
              <w:rPr>
                <w:rFonts w:ascii="Arial" w:cs="Arial" w:eastAsia="Arial" w:hAnsi="Arial"/>
                <w:sz w:val="14"/>
                <w:szCs w:val="14"/>
                <w:u w:val="single" w:color="auto"/>
                <w:color w:val="0000FF"/>
              </w:rPr>
            </w:pPr>
            <w:hyperlink w:anchor="page101">
              <w:r>
                <w:rPr>
                  <w:rFonts w:ascii="Arial" w:cs="Arial" w:eastAsia="Arial" w:hAnsi="Arial"/>
                  <w:sz w:val="14"/>
                  <w:szCs w:val="14"/>
                  <w:u w:val="single" w:color="auto"/>
                  <w:color w:val="0000FF"/>
                </w:rPr>
                <w:t>Item 6.</w:t>
              </w:r>
            </w:hyperlink>
          </w:p>
        </w:tc>
        <w:tc>
          <w:tcPr>
            <w:tcW w:w="7980" w:type="dxa"/>
            <w:vAlign w:val="bottom"/>
          </w:tcPr>
          <w:p>
            <w:pPr>
              <w:ind w:left="420"/>
              <w:spacing w:after="0"/>
              <w:rPr>
                <w:rFonts w:ascii="Arial" w:cs="Arial" w:eastAsia="Arial" w:hAnsi="Arial"/>
                <w:sz w:val="14"/>
                <w:szCs w:val="14"/>
                <w:u w:val="single" w:color="auto"/>
                <w:color w:val="0000FF"/>
              </w:rPr>
            </w:pPr>
            <w:hyperlink w:anchor="page101">
              <w:r>
                <w:rPr>
                  <w:rFonts w:ascii="Arial" w:cs="Arial" w:eastAsia="Arial" w:hAnsi="Arial"/>
                  <w:sz w:val="14"/>
                  <w:szCs w:val="14"/>
                  <w:u w:val="single" w:color="auto"/>
                  <w:color w:val="0000FF"/>
                </w:rPr>
                <w:t>Exhibits</w:t>
              </w:r>
            </w:hyperlink>
          </w:p>
        </w:tc>
        <w:tc>
          <w:tcPr>
            <w:tcW w:w="2300" w:type="dxa"/>
            <w:vAlign w:val="bottom"/>
          </w:tcPr>
          <w:p>
            <w:pPr>
              <w:jc w:val="right"/>
              <w:spacing w:after="0"/>
              <w:rPr>
                <w:rFonts w:ascii="Arial" w:cs="Arial" w:eastAsia="Arial" w:hAnsi="Arial"/>
                <w:sz w:val="14"/>
                <w:szCs w:val="14"/>
                <w:u w:val="single" w:color="auto"/>
                <w:color w:val="0000FF"/>
              </w:rPr>
            </w:pPr>
            <w:hyperlink w:anchor="page101">
              <w:r>
                <w:rPr>
                  <w:rFonts w:ascii="Arial" w:cs="Arial" w:eastAsia="Arial" w:hAnsi="Arial"/>
                  <w:sz w:val="14"/>
                  <w:szCs w:val="14"/>
                  <w:u w:val="single" w:color="auto"/>
                  <w:color w:val="0000FF"/>
                </w:rPr>
                <w:t>99</w:t>
              </w:r>
            </w:hyperlink>
          </w:p>
        </w:tc>
      </w:tr>
      <w:tr>
        <w:trPr>
          <w:trHeight w:val="180"/>
        </w:trPr>
        <w:tc>
          <w:tcPr>
            <w:tcW w:w="960" w:type="dxa"/>
            <w:vAlign w:val="bottom"/>
          </w:tcPr>
          <w:p>
            <w:pPr>
              <w:spacing w:after="0"/>
              <w:rPr>
                <w:sz w:val="15"/>
                <w:szCs w:val="15"/>
                <w:color w:val="auto"/>
              </w:rPr>
            </w:pPr>
          </w:p>
        </w:tc>
        <w:tc>
          <w:tcPr>
            <w:tcW w:w="7980" w:type="dxa"/>
            <w:vAlign w:val="bottom"/>
          </w:tcPr>
          <w:p>
            <w:pPr>
              <w:ind w:left="420"/>
              <w:spacing w:after="0"/>
              <w:rPr>
                <w:rFonts w:ascii="Arial" w:cs="Arial" w:eastAsia="Arial" w:hAnsi="Arial"/>
                <w:sz w:val="14"/>
                <w:szCs w:val="14"/>
                <w:u w:val="single" w:color="auto"/>
                <w:color w:val="0000FF"/>
              </w:rPr>
            </w:pPr>
            <w:hyperlink w:anchor="page103">
              <w:r>
                <w:rPr>
                  <w:rFonts w:ascii="Arial" w:cs="Arial" w:eastAsia="Arial" w:hAnsi="Arial"/>
                  <w:sz w:val="14"/>
                  <w:szCs w:val="14"/>
                  <w:u w:val="single" w:color="auto"/>
                  <w:color w:val="0000FF"/>
                </w:rPr>
                <w:t>Signatures</w:t>
              </w:r>
            </w:hyperlink>
          </w:p>
        </w:tc>
        <w:tc>
          <w:tcPr>
            <w:tcW w:w="2300" w:type="dxa"/>
            <w:vAlign w:val="bottom"/>
          </w:tcPr>
          <w:p>
            <w:pPr>
              <w:jc w:val="right"/>
              <w:spacing w:after="0"/>
              <w:rPr>
                <w:rFonts w:ascii="Arial" w:cs="Arial" w:eastAsia="Arial" w:hAnsi="Arial"/>
                <w:sz w:val="14"/>
                <w:szCs w:val="14"/>
                <w:u w:val="single" w:color="auto"/>
                <w:color w:val="0000FF"/>
              </w:rPr>
            </w:pPr>
            <w:hyperlink w:anchor="page103">
              <w:r>
                <w:rPr>
                  <w:rFonts w:ascii="Arial" w:cs="Arial" w:eastAsia="Arial" w:hAnsi="Arial"/>
                  <w:sz w:val="14"/>
                  <w:szCs w:val="14"/>
                  <w:u w:val="single" w:color="auto"/>
                  <w:color w:val="0000FF"/>
                </w:rPr>
                <w:t>101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FORWARD-LOOKING STATEMENTS</w:t>
      </w:r>
    </w:p>
    <w:p>
      <w:pPr>
        <w:spacing w:after="0" w:line="119" w:lineRule="exact"/>
        <w:rPr>
          <w:sz w:val="20"/>
          <w:szCs w:val="20"/>
          <w:color w:val="auto"/>
        </w:rPr>
      </w:pPr>
    </w:p>
    <w:p>
      <w:pPr>
        <w:ind w:right="120" w:firstLine="350"/>
        <w:spacing w:after="0" w:line="288" w:lineRule="auto"/>
        <w:rPr>
          <w:sz w:val="20"/>
          <w:szCs w:val="20"/>
          <w:color w:val="auto"/>
        </w:rPr>
      </w:pPr>
      <w:r>
        <w:rPr>
          <w:rFonts w:ascii="Arial" w:cs="Arial" w:eastAsia="Arial" w:hAnsi="Arial"/>
          <w:sz w:val="13"/>
          <w:szCs w:val="13"/>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revenues, projected costs, prospects, plans and objectives of management, are forward-looking statements. The words "anticipate," "believe," "goals,"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forward-looking statements in this Quarterly Report on Form 10-Q include, among other things, statements about:</w:t>
      </w:r>
    </w:p>
    <w:p>
      <w:pPr>
        <w:spacing w:after="0" w:line="157" w:lineRule="exact"/>
        <w:rPr>
          <w:sz w:val="20"/>
          <w:szCs w:val="20"/>
          <w:color w:val="auto"/>
        </w:rPr>
      </w:pPr>
    </w:p>
    <w:p>
      <w:pPr>
        <w:ind w:left="520" w:right="220" w:hanging="260"/>
        <w:spacing w:after="0" w:line="281" w:lineRule="auto"/>
        <w:tabs>
          <w:tab w:leader="none" w:pos="516"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potential benefits of our business plan and strategy to develop our therapeutic and gene therapy product candidates and programs and pursue our collaborative gene therapy sponsored research programs;</w:t>
      </w:r>
    </w:p>
    <w:p>
      <w:pPr>
        <w:spacing w:after="0" w:line="132" w:lineRule="exact"/>
        <w:rPr>
          <w:rFonts w:ascii="Arial" w:cs="Arial" w:eastAsia="Arial" w:hAnsi="Arial"/>
          <w:sz w:val="14"/>
          <w:szCs w:val="14"/>
          <w:color w:val="auto"/>
        </w:rPr>
      </w:pPr>
    </w:p>
    <w:p>
      <w:pPr>
        <w:ind w:left="520" w:right="140" w:hanging="260"/>
        <w:spacing w:after="0" w:line="281" w:lineRule="auto"/>
        <w:tabs>
          <w:tab w:leader="none" w:pos="516"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actual and expected effects of the COVID-19 pandemic and related response measures on our business and operations, including the timing, costs, conduct and outcome of our research and development programs, and financial position;</w:t>
      </w:r>
    </w:p>
    <w:p>
      <w:pPr>
        <w:spacing w:after="0" w:line="132" w:lineRule="exact"/>
        <w:rPr>
          <w:rFonts w:ascii="Arial" w:cs="Arial" w:eastAsia="Arial" w:hAnsi="Arial"/>
          <w:sz w:val="14"/>
          <w:szCs w:val="14"/>
          <w:color w:val="auto"/>
        </w:rPr>
      </w:pPr>
    </w:p>
    <w:p>
      <w:pPr>
        <w:ind w:left="520" w:right="400" w:hanging="260"/>
        <w:spacing w:after="0" w:line="321" w:lineRule="auto"/>
        <w:tabs>
          <w:tab w:leader="none" w:pos="516"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expectations regarding the impact of results from GATHER1, our Phase 3 clinical trial evaluating Zimura for the treatment of geographic atrophy secondary to age-related macular degeneration on our business strategy, including our plans to pursue further development of Zimura and/or seek potential collaboration or outlicensing opportunities;</w:t>
      </w:r>
    </w:p>
    <w:p>
      <w:pPr>
        <w:spacing w:after="0" w:line="109" w:lineRule="exact"/>
        <w:rPr>
          <w:rFonts w:ascii="Arial" w:cs="Arial" w:eastAsia="Arial" w:hAnsi="Arial"/>
          <w:sz w:val="13"/>
          <w:szCs w:val="13"/>
          <w:color w:val="auto"/>
        </w:rPr>
      </w:pPr>
    </w:p>
    <w:p>
      <w:pPr>
        <w:ind w:left="520" w:right="320" w:hanging="260"/>
        <w:spacing w:after="0" w:line="297" w:lineRule="auto"/>
        <w:tabs>
          <w:tab w:leader="none" w:pos="516"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timing, costs, conduct and outcome of GATHER2, our recently commenced Phase 3 clinical trial evaluating Zimura for the treatment of geographic atrophy secondary to age-related macular degeneration, and expectations regarding the potential for Zimura to receive regulatory approval for the treatment of geographic atrophy secondary to age-related macular degeneration based on the clinical trial results we have received to date and future results from the GATHER2 clinical trial and any other trials we may conduct;</w:t>
      </w:r>
    </w:p>
    <w:p>
      <w:pPr>
        <w:spacing w:after="0" w:line="124" w:lineRule="exact"/>
        <w:rPr>
          <w:rFonts w:ascii="Arial" w:cs="Arial" w:eastAsia="Arial" w:hAnsi="Arial"/>
          <w:sz w:val="13"/>
          <w:szCs w:val="13"/>
          <w:color w:val="auto"/>
        </w:rPr>
      </w:pPr>
    </w:p>
    <w:p>
      <w:pPr>
        <w:ind w:left="520" w:right="20" w:hanging="260"/>
        <w:spacing w:after="0" w:line="281" w:lineRule="auto"/>
        <w:tabs>
          <w:tab w:leader="none" w:pos="516"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timing, costs, conduct and outcome of OPH2005, our ongoing clinical trial evaluating Zimura for the treatment of autosomal recessive Stargardt disease, including expectations regarding the recruitment of additional patients for this trial;</w:t>
      </w:r>
    </w:p>
    <w:p>
      <w:pPr>
        <w:spacing w:after="0" w:line="132" w:lineRule="exact"/>
        <w:rPr>
          <w:rFonts w:ascii="Arial" w:cs="Arial" w:eastAsia="Arial" w:hAnsi="Arial"/>
          <w:sz w:val="14"/>
          <w:szCs w:val="14"/>
          <w:color w:val="auto"/>
        </w:rPr>
      </w:pPr>
    </w:p>
    <w:p>
      <w:pPr>
        <w:ind w:left="520" w:right="360" w:hanging="260"/>
        <w:spacing w:after="0" w:line="281" w:lineRule="auto"/>
        <w:tabs>
          <w:tab w:leader="none" w:pos="516"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ability to establish and maintain arrangements and capabilities for the manufacture of our therapeutics and gene therapy product candidates, including scale up and validation of the manufacturing process for Zimura and securing the supply of Zimura drug product for our expected needs;</w:t>
      </w:r>
    </w:p>
    <w:p>
      <w:pPr>
        <w:spacing w:after="0" w:line="132" w:lineRule="exact"/>
        <w:rPr>
          <w:rFonts w:ascii="Arial" w:cs="Arial" w:eastAsia="Arial" w:hAnsi="Arial"/>
          <w:sz w:val="14"/>
          <w:szCs w:val="14"/>
          <w:color w:val="auto"/>
        </w:rPr>
      </w:pPr>
    </w:p>
    <w:p>
      <w:pPr>
        <w:ind w:left="520" w:hanging="260"/>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expectations related to our use of available cash;</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estimates regarding expenses, future revenues, capital requirements and needs for, and ability to obtain, additional financing;</w:t>
      </w:r>
    </w:p>
    <w:p>
      <w:pPr>
        <w:spacing w:after="0" w:line="178" w:lineRule="exact"/>
        <w:rPr>
          <w:rFonts w:ascii="Arial" w:cs="Arial" w:eastAsia="Arial" w:hAnsi="Arial"/>
          <w:sz w:val="14"/>
          <w:szCs w:val="14"/>
          <w:color w:val="auto"/>
        </w:rPr>
      </w:pPr>
    </w:p>
    <w:p>
      <w:pPr>
        <w:ind w:left="520" w:right="260" w:hanging="260"/>
        <w:spacing w:after="0" w:line="281" w:lineRule="auto"/>
        <w:tabs>
          <w:tab w:leader="none" w:pos="516"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ability to consummate business development transactions, including potential collaboration or out-licensing opportunities for further development and potential commercialization of Zimura or in-license or other opportunities to acquire rights to additional product candidates or technologies to treat retinal diseases;</w:t>
      </w:r>
    </w:p>
    <w:p>
      <w:pPr>
        <w:spacing w:after="0" w:line="132" w:lineRule="exact"/>
        <w:rPr>
          <w:rFonts w:ascii="Arial" w:cs="Arial" w:eastAsia="Arial" w:hAnsi="Arial"/>
          <w:sz w:val="14"/>
          <w:szCs w:val="14"/>
          <w:color w:val="auto"/>
        </w:rPr>
      </w:pPr>
    </w:p>
    <w:p>
      <w:pPr>
        <w:ind w:left="520" w:right="320" w:hanging="260"/>
        <w:spacing w:after="0" w:line="281" w:lineRule="auto"/>
        <w:tabs>
          <w:tab w:leader="none" w:pos="516"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timing, costs, conduct and outcome of our ongoing and planned clinical trials, including statements regarding the timing of the initiation and completion of, and the receipt of results from, such clinical trials, the costs to conduct such clinical trials, and the impact of the results of such clinical trials on our business strategy;</w:t>
      </w:r>
    </w:p>
    <w:p>
      <w:pPr>
        <w:spacing w:after="0" w:line="132"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timing, costs, conduct and outcome of our ongoing and planned research and preclinical development activities, including statements regarding the timing of the initiation and completion of, and the receipt of results from, such activities, the costs to conduct such activities, and the impact of the results of such activities on our business strategy;</w:t>
      </w:r>
    </w:p>
    <w:p>
      <w:pPr>
        <w:spacing w:after="0" w:line="132" w:lineRule="exact"/>
        <w:rPr>
          <w:rFonts w:ascii="Arial" w:cs="Arial" w:eastAsia="Arial" w:hAnsi="Arial"/>
          <w:sz w:val="14"/>
          <w:szCs w:val="14"/>
          <w:color w:val="auto"/>
        </w:rPr>
      </w:pPr>
    </w:p>
    <w:p>
      <w:pPr>
        <w:ind w:left="520" w:right="180" w:hanging="260"/>
        <w:spacing w:after="0" w:line="321" w:lineRule="auto"/>
        <w:tabs>
          <w:tab w:leader="none" w:pos="516"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potential advantages of our product candidates and other technologies that we are pursuing, including the advantages and limitations of inhibition of complement factor C5 and HtrA1, including our hypotheses regarding complement inhibition as a mechanism of action to treat geographic atrophy, and of gene therapy, including the use of minigenes;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estimates regarding the number of patients affected by the diseases our product candidates and development programs are intended to treat;</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timing of and our ability to obtain marketing approval of our product candidates, and the ability of our product candidates to meet existing or future regulatory standards;</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estimates regarding the potential market opportunity for our product candidates;</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sales, marketing and distribution capabilities and strategy;</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rate and degree of potential market acceptance and clinical utility of our product candidates, if approved;</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potential receipt of revenues from future sales of our product candidates, if approved;</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intellectual property position;</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impact of existing and new governmental laws and regulations; and</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competitive position.</w:t>
      </w:r>
    </w:p>
    <w:p>
      <w:pPr>
        <w:spacing w:after="0" w:line="179" w:lineRule="exact"/>
        <w:rPr>
          <w:sz w:val="20"/>
          <w:szCs w:val="20"/>
          <w:color w:val="auto"/>
        </w:rPr>
      </w:pPr>
    </w:p>
    <w:p>
      <w:pPr>
        <w:ind w:right="20" w:firstLine="350"/>
        <w:spacing w:after="0" w:line="319" w:lineRule="auto"/>
        <w:rPr>
          <w:sz w:val="20"/>
          <w:szCs w:val="20"/>
          <w:color w:val="auto"/>
        </w:rPr>
      </w:pPr>
      <w:r>
        <w:rPr>
          <w:rFonts w:ascii="Arial" w:cs="Arial" w:eastAsia="Arial" w:hAnsi="Arial"/>
          <w:sz w:val="12"/>
          <w:szCs w:val="12"/>
          <w:color w:val="auto"/>
        </w:rPr>
        <w:t>We may not actually achieve the plans, intentions or expectations disclosed in our forward-looking statements, and our stockholders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could cause actual results or events to differ materially from the forward-looking statements that we make. Our forward-looking statements do not reflect the potential impact of any future acquisitions, mergers, licenses, dispositions, joint ventures or investments we may make.</w:t>
      </w:r>
    </w:p>
    <w:p>
      <w:pPr>
        <w:spacing w:after="0" w:line="62"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You should read this Quarterly Report on Form 10-Q and the documents that we have filed as exhibits to this Quarterly Report on Form 10-Q and our other periodic reports,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82" w:lineRule="exact"/>
        <w:rPr>
          <w:sz w:val="20"/>
          <w:szCs w:val="20"/>
          <w:color w:val="auto"/>
        </w:rPr>
      </w:pPr>
    </w:p>
    <w:p>
      <w:pPr>
        <w:ind w:right="240" w:firstLine="350"/>
        <w:spacing w:after="0" w:line="267" w:lineRule="auto"/>
        <w:rPr>
          <w:sz w:val="20"/>
          <w:szCs w:val="20"/>
          <w:color w:val="auto"/>
        </w:rPr>
      </w:pPr>
      <w:r>
        <w:rPr>
          <w:rFonts w:ascii="Arial" w:cs="Arial" w:eastAsia="Arial" w:hAnsi="Arial"/>
          <w:sz w:val="14"/>
          <w:szCs w:val="14"/>
          <w:color w:val="auto"/>
        </w:rPr>
        <w:t>This Quarterly Report on Form 10-Q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USE OF TRADEMARKS</w:t>
      </w:r>
    </w:p>
    <w:p>
      <w:pPr>
        <w:spacing w:after="0" w:line="129" w:lineRule="exact"/>
        <w:rPr>
          <w:sz w:val="20"/>
          <w:szCs w:val="20"/>
          <w:color w:val="auto"/>
        </w:rPr>
      </w:pPr>
    </w:p>
    <w:p>
      <w:pPr>
        <w:ind w:right="340" w:firstLine="280"/>
        <w:spacing w:after="0" w:line="281" w:lineRule="auto"/>
        <w:rPr>
          <w:sz w:val="20"/>
          <w:szCs w:val="20"/>
          <w:color w:val="auto"/>
        </w:rPr>
      </w:pPr>
      <w:r>
        <w:rPr>
          <w:rFonts w:ascii="Arial" w:cs="Arial" w:eastAsia="Arial" w:hAnsi="Arial"/>
          <w:sz w:val="14"/>
          <w:szCs w:val="14"/>
          <w:color w:val="212529"/>
        </w:rPr>
        <w:t xml:space="preserve">The trademarks, trade names and service marks appearing in this Quarterly Report on Form 10-Q are the property of their respective owners. </w:t>
      </w:r>
      <w:r>
        <w:rPr>
          <w:rFonts w:ascii="Arial" w:cs="Arial" w:eastAsia="Arial" w:hAnsi="Arial"/>
          <w:sz w:val="14"/>
          <w:szCs w:val="14"/>
          <w:color w:val="000000"/>
        </w:rPr>
        <w:t>We have omitted the ® and ™ designations, as</w:t>
      </w:r>
      <w:r>
        <w:rPr>
          <w:rFonts w:ascii="Arial" w:cs="Arial" w:eastAsia="Arial" w:hAnsi="Arial"/>
          <w:sz w:val="14"/>
          <w:szCs w:val="14"/>
          <w:color w:val="212529"/>
        </w:rPr>
        <w:t xml:space="preserve"> </w:t>
      </w:r>
      <w:r>
        <w:rPr>
          <w:rFonts w:ascii="Arial" w:cs="Arial" w:eastAsia="Arial" w:hAnsi="Arial"/>
          <w:sz w:val="14"/>
          <w:szCs w:val="14"/>
          <w:color w:val="000000"/>
        </w:rPr>
        <w:t>applicable, for the trademarks named in this Quarterly Report on Form 10-Q after their first reference in this Quarterly Report on Form 10-Q.</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IVERIC bio,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7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30, 2020</w:t>
            </w:r>
          </w:p>
        </w:tc>
        <w:tc>
          <w:tcPr>
            <w:tcW w:w="220" w:type="dxa"/>
            <w:vAlign w:val="bottom"/>
          </w:tcPr>
          <w:p>
            <w:pPr>
              <w:spacing w:after="0"/>
              <w:rPr>
                <w:sz w:val="13"/>
                <w:szCs w:val="13"/>
                <w:color w:val="auto"/>
              </w:rPr>
            </w:pPr>
          </w:p>
        </w:tc>
        <w:tc>
          <w:tcPr>
            <w:tcW w:w="1400" w:type="dxa"/>
            <w:vAlign w:val="bottom"/>
          </w:tcPr>
          <w:p>
            <w:pPr>
              <w:jc w:val="right"/>
              <w:ind w:right="290"/>
              <w:spacing w:after="0"/>
              <w:rPr>
                <w:sz w:val="20"/>
                <w:szCs w:val="20"/>
                <w:color w:val="auto"/>
              </w:rPr>
            </w:pPr>
            <w:r>
              <w:rPr>
                <w:rFonts w:ascii="Arial" w:cs="Arial" w:eastAsia="Arial" w:hAnsi="Arial"/>
                <w:sz w:val="11"/>
                <w:szCs w:val="11"/>
                <w:b w:val="1"/>
                <w:bCs w:val="1"/>
                <w:color w:val="auto"/>
              </w:rPr>
              <w:t>December 31, 2019</w:t>
            </w:r>
          </w:p>
        </w:tc>
        <w:tc>
          <w:tcPr>
            <w:tcW w:w="0" w:type="dxa"/>
            <w:vAlign w:val="bottom"/>
          </w:tcPr>
          <w:p>
            <w:pPr>
              <w:spacing w:after="0"/>
              <w:rPr>
                <w:sz w:val="1"/>
                <w:szCs w:val="1"/>
                <w:color w:val="auto"/>
              </w:rPr>
            </w:pPr>
          </w:p>
        </w:tc>
      </w:tr>
      <w:tr>
        <w:trPr>
          <w:trHeight w:val="187"/>
        </w:trPr>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920" w:type="dxa"/>
            <w:vAlign w:val="bottom"/>
          </w:tcPr>
          <w:p>
            <w:pPr>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Cash and cash equivalents</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245,735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125,699</w:t>
            </w:r>
          </w:p>
        </w:tc>
        <w:tc>
          <w:tcPr>
            <w:tcW w:w="0" w:type="dxa"/>
            <w:vAlign w:val="bottom"/>
          </w:tcPr>
          <w:p>
            <w:pPr>
              <w:spacing w:after="0"/>
              <w:rPr>
                <w:sz w:val="1"/>
                <w:szCs w:val="1"/>
                <w:color w:val="auto"/>
              </w:rPr>
            </w:pPr>
          </w:p>
        </w:tc>
      </w:tr>
      <w:tr>
        <w:trPr>
          <w:trHeight w:val="191"/>
        </w:trPr>
        <w:tc>
          <w:tcPr>
            <w:tcW w:w="7920" w:type="dxa"/>
            <w:vAlign w:val="bottom"/>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Pr>
          <w:p>
            <w:pPr>
              <w:spacing w:after="0"/>
              <w:rPr>
                <w:sz w:val="16"/>
                <w:szCs w:val="16"/>
                <w:color w:val="auto"/>
              </w:rPr>
            </w:pP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2,198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70"/>
              <w:spacing w:after="0"/>
              <w:rPr>
                <w:sz w:val="20"/>
                <w:szCs w:val="20"/>
                <w:color w:val="auto"/>
              </w:rPr>
            </w:pPr>
            <w:r>
              <w:rPr>
                <w:rFonts w:ascii="Arial" w:cs="Arial" w:eastAsia="Arial" w:hAnsi="Arial"/>
                <w:sz w:val="14"/>
                <w:szCs w:val="14"/>
                <w:color w:val="auto"/>
              </w:rPr>
              <w:t>2,043</w:t>
            </w:r>
          </w:p>
        </w:tc>
        <w:tc>
          <w:tcPr>
            <w:tcW w:w="0" w:type="dxa"/>
            <w:vAlign w:val="bottom"/>
          </w:tcPr>
          <w:p>
            <w:pPr>
              <w:spacing w:after="0"/>
              <w:rPr>
                <w:sz w:val="1"/>
                <w:szCs w:val="1"/>
                <w:color w:val="auto"/>
              </w:rPr>
            </w:pPr>
          </w:p>
        </w:tc>
      </w:tr>
      <w:tr>
        <w:trPr>
          <w:trHeight w:val="22"/>
        </w:trPr>
        <w:tc>
          <w:tcPr>
            <w:tcW w:w="7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Income tax receivable</w:t>
            </w:r>
          </w:p>
        </w:tc>
        <w:tc>
          <w:tcPr>
            <w:tcW w:w="2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1,764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882</w:t>
            </w:r>
          </w:p>
        </w:tc>
        <w:tc>
          <w:tcPr>
            <w:tcW w:w="0" w:type="dxa"/>
            <w:vAlign w:val="bottom"/>
          </w:tcPr>
          <w:p>
            <w:pPr>
              <w:spacing w:after="0"/>
              <w:rPr>
                <w:sz w:val="1"/>
                <w:szCs w:val="1"/>
                <w:color w:val="auto"/>
              </w:rPr>
            </w:pPr>
          </w:p>
        </w:tc>
      </w:tr>
      <w:tr>
        <w:trPr>
          <w:trHeight w:val="181"/>
        </w:trPr>
        <w:tc>
          <w:tcPr>
            <w:tcW w:w="7920" w:type="dxa"/>
            <w:vAlign w:val="bottom"/>
          </w:tcPr>
          <w:p>
            <w:pPr>
              <w:ind w:left="400"/>
              <w:spacing w:after="0"/>
              <w:rPr>
                <w:sz w:val="20"/>
                <w:szCs w:val="20"/>
                <w:color w:val="auto"/>
              </w:rPr>
            </w:pPr>
            <w:r>
              <w:rPr>
                <w:rFonts w:ascii="Arial" w:cs="Arial" w:eastAsia="Arial" w:hAnsi="Arial"/>
                <w:sz w:val="14"/>
                <w:szCs w:val="14"/>
                <w:color w:val="auto"/>
              </w:rPr>
              <w:t>Total current assets</w:t>
            </w:r>
          </w:p>
        </w:tc>
        <w:tc>
          <w:tcPr>
            <w:tcW w:w="2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249,697</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128,624</w:t>
            </w:r>
          </w:p>
        </w:tc>
        <w:tc>
          <w:tcPr>
            <w:tcW w:w="0" w:type="dxa"/>
            <w:vAlign w:val="bottom"/>
          </w:tcPr>
          <w:p>
            <w:pPr>
              <w:spacing w:after="0"/>
              <w:rPr>
                <w:sz w:val="1"/>
                <w:szCs w:val="1"/>
                <w:color w:val="auto"/>
              </w:rPr>
            </w:pPr>
          </w:p>
        </w:tc>
      </w:tr>
      <w:tr>
        <w:trPr>
          <w:trHeight w:val="22"/>
        </w:trPr>
        <w:tc>
          <w:tcPr>
            <w:tcW w:w="7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2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97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91"/>
        </w:trPr>
        <w:tc>
          <w:tcPr>
            <w:tcW w:w="7920" w:type="dxa"/>
            <w:vAlign w:val="bottom"/>
          </w:tcPr>
          <w:p>
            <w:pPr>
              <w:spacing w:after="0"/>
              <w:rPr>
                <w:sz w:val="20"/>
                <w:szCs w:val="20"/>
                <w:color w:val="auto"/>
              </w:rPr>
            </w:pPr>
            <w:r>
              <w:rPr>
                <w:rFonts w:ascii="Arial" w:cs="Arial" w:eastAsia="Arial" w:hAnsi="Arial"/>
                <w:sz w:val="14"/>
                <w:szCs w:val="14"/>
                <w:color w:val="auto"/>
              </w:rPr>
              <w:t>Right-of-use asset, net</w:t>
            </w:r>
          </w:p>
        </w:tc>
        <w:tc>
          <w:tcPr>
            <w:tcW w:w="280" w:type="dxa"/>
            <w:vAlign w:val="bottom"/>
          </w:tcPr>
          <w:p>
            <w:pPr>
              <w:spacing w:after="0"/>
              <w:rPr>
                <w:sz w:val="16"/>
                <w:szCs w:val="16"/>
                <w:color w:val="auto"/>
              </w:rPr>
            </w:pP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70"/>
              <w:spacing w:after="0"/>
              <w:rPr>
                <w:sz w:val="20"/>
                <w:szCs w:val="20"/>
                <w:color w:val="auto"/>
              </w:rPr>
            </w:pPr>
            <w:r>
              <w:rPr>
                <w:rFonts w:ascii="Arial" w:cs="Arial" w:eastAsia="Arial" w:hAnsi="Arial"/>
                <w:sz w:val="14"/>
                <w:szCs w:val="14"/>
                <w:color w:val="auto"/>
              </w:rPr>
              <w:t>496</w:t>
            </w:r>
          </w:p>
        </w:tc>
        <w:tc>
          <w:tcPr>
            <w:tcW w:w="0" w:type="dxa"/>
            <w:vAlign w:val="bottom"/>
          </w:tcPr>
          <w:p>
            <w:pPr>
              <w:spacing w:after="0"/>
              <w:rPr>
                <w:sz w:val="1"/>
                <w:szCs w:val="1"/>
                <w:color w:val="auto"/>
              </w:rPr>
            </w:pPr>
          </w:p>
        </w:tc>
      </w:tr>
      <w:tr>
        <w:trPr>
          <w:trHeight w:val="22"/>
        </w:trPr>
        <w:tc>
          <w:tcPr>
            <w:tcW w:w="7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Income tax receivable, non-current</w:t>
            </w:r>
          </w:p>
        </w:tc>
        <w:tc>
          <w:tcPr>
            <w:tcW w:w="2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882</w:t>
            </w:r>
          </w:p>
        </w:tc>
        <w:tc>
          <w:tcPr>
            <w:tcW w:w="0" w:type="dxa"/>
            <w:vAlign w:val="bottom"/>
          </w:tcPr>
          <w:p>
            <w:pPr>
              <w:spacing w:after="0"/>
              <w:rPr>
                <w:sz w:val="1"/>
                <w:szCs w:val="1"/>
                <w:color w:val="auto"/>
              </w:rPr>
            </w:pPr>
          </w:p>
        </w:tc>
      </w:tr>
      <w:tr>
        <w:trPr>
          <w:trHeight w:val="191"/>
        </w:trPr>
        <w:tc>
          <w:tcPr>
            <w:tcW w:w="7920" w:type="dxa"/>
            <w:vAlign w:val="bottom"/>
          </w:tcPr>
          <w:p>
            <w:pPr>
              <w:spacing w:after="0"/>
              <w:rPr>
                <w:sz w:val="20"/>
                <w:szCs w:val="20"/>
                <w:color w:val="auto"/>
              </w:rPr>
            </w:pPr>
            <w:r>
              <w:rPr>
                <w:rFonts w:ascii="Arial" w:cs="Arial" w:eastAsia="Arial" w:hAnsi="Arial"/>
                <w:sz w:val="14"/>
                <w:szCs w:val="14"/>
                <w:color w:val="auto"/>
              </w:rPr>
              <w:t>Other assets</w:t>
            </w:r>
          </w:p>
        </w:tc>
        <w:tc>
          <w:tcPr>
            <w:tcW w:w="280" w:type="dxa"/>
            <w:vAlign w:val="bottom"/>
          </w:tcPr>
          <w:p>
            <w:pPr>
              <w:spacing w:after="0"/>
              <w:rPr>
                <w:sz w:val="16"/>
                <w:szCs w:val="16"/>
                <w:color w:val="auto"/>
              </w:rPr>
            </w:pP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7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2"/>
        </w:trPr>
        <w:tc>
          <w:tcPr>
            <w:tcW w:w="7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7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249,950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130,187</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9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7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2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920" w:type="dxa"/>
            <w:vAlign w:val="bottom"/>
          </w:tcPr>
          <w:p>
            <w:pPr>
              <w:ind w:left="260"/>
              <w:spacing w:after="0"/>
              <w:rPr>
                <w:sz w:val="20"/>
                <w:szCs w:val="20"/>
                <w:color w:val="auto"/>
              </w:rPr>
            </w:pPr>
            <w:r>
              <w:rPr>
                <w:rFonts w:ascii="Arial" w:cs="Arial" w:eastAsia="Arial" w:hAnsi="Arial"/>
                <w:sz w:val="14"/>
                <w:szCs w:val="14"/>
                <w:color w:val="auto"/>
              </w:rPr>
              <w:t>Accrued research and development expenses</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7,131</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ind w:right="70"/>
              <w:spacing w:after="0"/>
              <w:rPr>
                <w:sz w:val="20"/>
                <w:szCs w:val="20"/>
                <w:color w:val="auto"/>
              </w:rPr>
            </w:pPr>
            <w:r>
              <w:rPr>
                <w:rFonts w:ascii="Arial" w:cs="Arial" w:eastAsia="Arial" w:hAnsi="Arial"/>
                <w:sz w:val="14"/>
                <w:szCs w:val="14"/>
                <w:color w:val="auto"/>
              </w:rPr>
              <w:t>6,860</w:t>
            </w:r>
          </w:p>
        </w:tc>
        <w:tc>
          <w:tcPr>
            <w:tcW w:w="0" w:type="dxa"/>
            <w:vAlign w:val="bottom"/>
          </w:tcPr>
          <w:p>
            <w:pPr>
              <w:spacing w:after="0"/>
              <w:rPr>
                <w:sz w:val="1"/>
                <w:szCs w:val="1"/>
                <w:color w:val="auto"/>
              </w:rPr>
            </w:pPr>
          </w:p>
        </w:tc>
      </w:tr>
      <w:tr>
        <w:trPr>
          <w:trHeight w:val="22"/>
        </w:trPr>
        <w:tc>
          <w:tcPr>
            <w:tcW w:w="7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Accounts payable and accrued expenses</w:t>
            </w:r>
          </w:p>
        </w:tc>
        <w:tc>
          <w:tcPr>
            <w:tcW w:w="2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4,634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5,629</w:t>
            </w:r>
          </w:p>
        </w:tc>
        <w:tc>
          <w:tcPr>
            <w:tcW w:w="0" w:type="dxa"/>
            <w:vAlign w:val="bottom"/>
          </w:tcPr>
          <w:p>
            <w:pPr>
              <w:spacing w:after="0"/>
              <w:rPr>
                <w:sz w:val="1"/>
                <w:szCs w:val="1"/>
                <w:color w:val="auto"/>
              </w:rPr>
            </w:pPr>
          </w:p>
        </w:tc>
      </w:tr>
      <w:tr>
        <w:trPr>
          <w:trHeight w:val="191"/>
        </w:trPr>
        <w:tc>
          <w:tcPr>
            <w:tcW w:w="7920" w:type="dxa"/>
            <w:vAlign w:val="bottom"/>
          </w:tcPr>
          <w:p>
            <w:pPr>
              <w:ind w:left="260"/>
              <w:spacing w:after="0"/>
              <w:rPr>
                <w:sz w:val="20"/>
                <w:szCs w:val="20"/>
                <w:color w:val="auto"/>
              </w:rPr>
            </w:pPr>
            <w:r>
              <w:rPr>
                <w:rFonts w:ascii="Arial" w:cs="Arial" w:eastAsia="Arial" w:hAnsi="Arial"/>
                <w:sz w:val="14"/>
                <w:szCs w:val="14"/>
                <w:color w:val="auto"/>
              </w:rPr>
              <w:t>Lease liability</w:t>
            </w:r>
          </w:p>
        </w:tc>
        <w:tc>
          <w:tcPr>
            <w:tcW w:w="280" w:type="dxa"/>
            <w:vAlign w:val="bottom"/>
          </w:tcPr>
          <w:p>
            <w:pPr>
              <w:spacing w:after="0"/>
              <w:rPr>
                <w:sz w:val="16"/>
                <w:szCs w:val="16"/>
                <w:color w:val="auto"/>
              </w:rPr>
            </w:pP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70"/>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22"/>
        </w:trPr>
        <w:tc>
          <w:tcPr>
            <w:tcW w:w="7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Total current 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11,818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12,984</w:t>
            </w:r>
          </w:p>
        </w:tc>
        <w:tc>
          <w:tcPr>
            <w:tcW w:w="0" w:type="dxa"/>
            <w:vAlign w:val="bottom"/>
          </w:tcPr>
          <w:p>
            <w:pPr>
              <w:spacing w:after="0"/>
              <w:rPr>
                <w:sz w:val="1"/>
                <w:szCs w:val="1"/>
                <w:color w:val="auto"/>
              </w:rPr>
            </w:pPr>
          </w:p>
        </w:tc>
      </w:tr>
      <w:tr>
        <w:trPr>
          <w:trHeight w:val="181"/>
        </w:trPr>
        <w:tc>
          <w:tcPr>
            <w:tcW w:w="7920" w:type="dxa"/>
            <w:vAlign w:val="bottom"/>
          </w:tcPr>
          <w:p>
            <w:pPr>
              <w:spacing w:after="0"/>
              <w:rPr>
                <w:sz w:val="20"/>
                <w:szCs w:val="20"/>
                <w:color w:val="auto"/>
              </w:rPr>
            </w:pPr>
            <w:r>
              <w:rPr>
                <w:rFonts w:ascii="Arial" w:cs="Arial" w:eastAsia="Arial" w:hAnsi="Arial"/>
                <w:sz w:val="14"/>
                <w:szCs w:val="14"/>
                <w:color w:val="auto"/>
              </w:rPr>
              <w:t>Lease liability, non-current</w:t>
            </w:r>
          </w:p>
        </w:tc>
        <w:tc>
          <w:tcPr>
            <w:tcW w:w="2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7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11,909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12,984</w:t>
            </w:r>
          </w:p>
        </w:tc>
        <w:tc>
          <w:tcPr>
            <w:tcW w:w="0" w:type="dxa"/>
            <w:vAlign w:val="bottom"/>
          </w:tcPr>
          <w:p>
            <w:pPr>
              <w:spacing w:after="0"/>
              <w:rPr>
                <w:sz w:val="1"/>
                <w:szCs w:val="1"/>
                <w:color w:val="auto"/>
              </w:rPr>
            </w:pPr>
          </w:p>
        </w:tc>
      </w:tr>
      <w:tr>
        <w:trPr>
          <w:trHeight w:val="191"/>
        </w:trPr>
        <w:tc>
          <w:tcPr>
            <w:tcW w:w="7920" w:type="dxa"/>
            <w:vAlign w:val="bottom"/>
          </w:tcPr>
          <w:p>
            <w:pPr>
              <w:spacing w:after="0"/>
              <w:rPr>
                <w:sz w:val="20"/>
                <w:szCs w:val="20"/>
                <w:color w:val="auto"/>
              </w:rPr>
            </w:pPr>
            <w:r>
              <w:rPr>
                <w:rFonts w:ascii="Arial" w:cs="Arial" w:eastAsia="Arial" w:hAnsi="Arial"/>
                <w:sz w:val="14"/>
                <w:szCs w:val="14"/>
                <w:color w:val="auto"/>
              </w:rPr>
              <w:t>Stockholders' equity</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Preferred stock—$0.001 par value, 5,000,000 shares authorized, no shares issued or outstanding</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7920" w:type="dxa"/>
            <w:vAlign w:val="bottom"/>
          </w:tcPr>
          <w:p>
            <w:pPr>
              <w:ind w:left="100"/>
              <w:spacing w:after="0" w:line="138" w:lineRule="exact"/>
              <w:rPr>
                <w:sz w:val="20"/>
                <w:szCs w:val="20"/>
                <w:color w:val="auto"/>
              </w:rPr>
            </w:pPr>
            <w:r>
              <w:rPr>
                <w:rFonts w:ascii="Arial" w:cs="Arial" w:eastAsia="Arial" w:hAnsi="Arial"/>
                <w:sz w:val="14"/>
                <w:szCs w:val="14"/>
                <w:color w:val="auto"/>
                <w:w w:val="90"/>
              </w:rPr>
              <w:t>Common stock—$0.001 par value, 200,000,000 shares authorized, 89,488,531 and 49,627,064 shares issued and outstanding at June 30,</w:t>
            </w:r>
          </w:p>
        </w:tc>
        <w:tc>
          <w:tcPr>
            <w:tcW w:w="280" w:type="dxa"/>
            <w:vAlign w:val="bottom"/>
          </w:tcPr>
          <w:p>
            <w:pPr>
              <w:spacing w:after="0"/>
              <w:rPr>
                <w:sz w:val="11"/>
                <w:szCs w:val="11"/>
                <w:color w:val="auto"/>
              </w:rPr>
            </w:pPr>
          </w:p>
        </w:tc>
        <w:tc>
          <w:tcPr>
            <w:tcW w:w="1340" w:type="dxa"/>
            <w:vAlign w:val="bottom"/>
            <w:vMerge w:val="restart"/>
          </w:tcPr>
          <w:p>
            <w:pPr>
              <w:jc w:val="right"/>
              <w:ind w:right="70"/>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vMerge w:val="restart"/>
          </w:tcPr>
          <w:p>
            <w:pPr>
              <w:jc w:val="right"/>
              <w:ind w:right="7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0"/>
        </w:trPr>
        <w:tc>
          <w:tcPr>
            <w:tcW w:w="7920" w:type="dxa"/>
            <w:vAlign w:val="bottom"/>
          </w:tcPr>
          <w:p>
            <w:pPr>
              <w:ind w:left="100"/>
              <w:spacing w:after="0"/>
              <w:rPr>
                <w:sz w:val="20"/>
                <w:szCs w:val="20"/>
                <w:color w:val="auto"/>
              </w:rPr>
            </w:pPr>
            <w:r>
              <w:rPr>
                <w:rFonts w:ascii="Arial" w:cs="Arial" w:eastAsia="Arial" w:hAnsi="Arial"/>
                <w:sz w:val="14"/>
                <w:szCs w:val="14"/>
                <w:color w:val="auto"/>
              </w:rPr>
              <w:t>2020 and December 31, 2019, respectively</w:t>
            </w:r>
          </w:p>
        </w:tc>
        <w:tc>
          <w:tcPr>
            <w:tcW w:w="2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Additional paid-in capital</w:t>
            </w:r>
          </w:p>
        </w:tc>
        <w:tc>
          <w:tcPr>
            <w:tcW w:w="2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752,143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597,679</w:t>
            </w:r>
          </w:p>
        </w:tc>
        <w:tc>
          <w:tcPr>
            <w:tcW w:w="0" w:type="dxa"/>
            <w:vAlign w:val="bottom"/>
          </w:tcPr>
          <w:p>
            <w:pPr>
              <w:spacing w:after="0"/>
              <w:rPr>
                <w:sz w:val="1"/>
                <w:szCs w:val="1"/>
                <w:color w:val="auto"/>
              </w:rPr>
            </w:pPr>
          </w:p>
        </w:tc>
      </w:tr>
      <w:tr>
        <w:trPr>
          <w:trHeight w:val="191"/>
        </w:trPr>
        <w:tc>
          <w:tcPr>
            <w:tcW w:w="7920" w:type="dxa"/>
            <w:vAlign w:val="bottom"/>
          </w:tcPr>
          <w:p>
            <w:pPr>
              <w:ind w:left="100"/>
              <w:spacing w:after="0"/>
              <w:rPr>
                <w:sz w:val="20"/>
                <w:szCs w:val="20"/>
                <w:color w:val="auto"/>
              </w:rPr>
            </w:pPr>
            <w:r>
              <w:rPr>
                <w:rFonts w:ascii="Arial" w:cs="Arial" w:eastAsia="Arial" w:hAnsi="Arial"/>
                <w:sz w:val="14"/>
                <w:szCs w:val="14"/>
                <w:color w:val="auto"/>
              </w:rPr>
              <w:t>Accumulated deficit</w:t>
            </w:r>
          </w:p>
        </w:tc>
        <w:tc>
          <w:tcPr>
            <w:tcW w:w="280" w:type="dxa"/>
            <w:vAlign w:val="bottom"/>
          </w:tcPr>
          <w:p>
            <w:pPr>
              <w:spacing w:after="0"/>
              <w:rPr>
                <w:sz w:val="16"/>
                <w:szCs w:val="16"/>
                <w:color w:val="auto"/>
              </w:rPr>
            </w:pP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(514,191)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50"/>
              <w:spacing w:after="0"/>
              <w:rPr>
                <w:sz w:val="20"/>
                <w:szCs w:val="20"/>
                <w:color w:val="auto"/>
              </w:rPr>
            </w:pPr>
            <w:r>
              <w:rPr>
                <w:rFonts w:ascii="Arial" w:cs="Arial" w:eastAsia="Arial" w:hAnsi="Arial"/>
                <w:sz w:val="14"/>
                <w:szCs w:val="14"/>
                <w:color w:val="auto"/>
              </w:rPr>
              <w:t>(480,526)</w:t>
            </w:r>
          </w:p>
        </w:tc>
        <w:tc>
          <w:tcPr>
            <w:tcW w:w="0" w:type="dxa"/>
            <w:vAlign w:val="bottom"/>
          </w:tcPr>
          <w:p>
            <w:pPr>
              <w:spacing w:after="0"/>
              <w:rPr>
                <w:sz w:val="1"/>
                <w:szCs w:val="1"/>
                <w:color w:val="auto"/>
              </w:rPr>
            </w:pPr>
          </w:p>
        </w:tc>
      </w:tr>
      <w:tr>
        <w:trPr>
          <w:trHeight w:val="22"/>
        </w:trPr>
        <w:tc>
          <w:tcPr>
            <w:tcW w:w="7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238,041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117,203</w:t>
            </w:r>
          </w:p>
        </w:tc>
        <w:tc>
          <w:tcPr>
            <w:tcW w:w="0" w:type="dxa"/>
            <w:vAlign w:val="bottom"/>
          </w:tcPr>
          <w:p>
            <w:pPr>
              <w:spacing w:after="0"/>
              <w:rPr>
                <w:sz w:val="1"/>
                <w:szCs w:val="1"/>
                <w:color w:val="auto"/>
              </w:rPr>
            </w:pPr>
          </w:p>
        </w:tc>
      </w:tr>
      <w:tr>
        <w:trPr>
          <w:trHeight w:val="203"/>
        </w:trPr>
        <w:tc>
          <w:tcPr>
            <w:tcW w:w="7920" w:type="dxa"/>
            <w:vAlign w:val="bottom"/>
          </w:tcPr>
          <w:p>
            <w:pPr>
              <w:ind w:left="40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249,950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130,187</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unaudited notes are an integral part of these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IVERIC bio,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 Consolidated Statements of Operations and Comprehensive Loss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per share data)</w:t>
      </w:r>
    </w:p>
    <w:p>
      <w:pPr>
        <w:sectPr>
          <w:pgSz w:w="11900" w:h="16838" w:orient="portrait"/>
          <w:cols w:equalWidth="0" w:num="1">
            <w:col w:w="11280"/>
          </w:cols>
          <w:pgMar w:left="300" w:top="129" w:right="319" w:bottom="1440" w:gutter="0" w:footer="0" w:header="0"/>
        </w:sectPr>
      </w:pPr>
    </w:p>
    <w:p>
      <w:pPr>
        <w:spacing w:after="0" w:line="162" w:lineRule="exact"/>
        <w:rPr>
          <w:sz w:val="20"/>
          <w:szCs w:val="20"/>
          <w:color w:val="auto"/>
        </w:rPr>
      </w:pPr>
    </w:p>
    <w:p>
      <w:pPr>
        <w:jc w:val="center"/>
        <w:ind w:left="5320"/>
        <w:spacing w:after="0"/>
        <w:rPr>
          <w:sz w:val="20"/>
          <w:szCs w:val="20"/>
          <w:color w:val="auto"/>
        </w:rPr>
      </w:pPr>
      <w:r>
        <w:rPr>
          <w:rFonts w:ascii="Arial" w:cs="Arial" w:eastAsia="Arial" w:hAnsi="Arial"/>
          <w:sz w:val="11"/>
          <w:szCs w:val="11"/>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3364865</wp:posOffset>
            </wp:positionH>
            <wp:positionV relativeFrom="paragraph">
              <wp:posOffset>18415</wp:posOffset>
            </wp:positionV>
            <wp:extent cx="185928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9280" cy="6985"/>
                    </a:xfrm>
                    <a:prstGeom prst="rect">
                      <a:avLst/>
                    </a:prstGeom>
                    <a:noFill/>
                  </pic:spPr>
                </pic:pic>
              </a:graphicData>
            </a:graphic>
          </wp:anchor>
        </w:drawing>
      </w:r>
    </w:p>
    <w:p>
      <w:pPr>
        <w:spacing w:after="0" w:line="23" w:lineRule="exact"/>
        <w:rPr>
          <w:sz w:val="20"/>
          <w:szCs w:val="20"/>
          <w:color w:val="auto"/>
        </w:rPr>
      </w:pPr>
    </w:p>
    <w:p>
      <w:pPr>
        <w:ind w:left="5900"/>
        <w:spacing w:after="0"/>
        <w:tabs>
          <w:tab w:leader="none" w:pos="7380" w:val="left"/>
        </w:tabs>
        <w:rPr>
          <w:sz w:val="20"/>
          <w:szCs w:val="20"/>
          <w:color w:val="auto"/>
        </w:rPr>
      </w:pPr>
      <w:r>
        <w:rPr>
          <w:rFonts w:ascii="Arial" w:cs="Arial" w:eastAsia="Arial" w:hAnsi="Arial"/>
          <w:sz w:val="9"/>
          <w:szCs w:val="9"/>
          <w:b w:val="1"/>
          <w:bCs w:val="1"/>
          <w:color w:val="auto"/>
        </w:rPr>
        <w:t>2020</w:t>
      </w:r>
      <w:r>
        <w:rPr>
          <w:sz w:val="20"/>
          <w:szCs w:val="20"/>
          <w:color w:val="auto"/>
        </w:rPr>
        <w:tab/>
      </w:r>
      <w:r>
        <w:rPr>
          <w:rFonts w:ascii="Arial" w:cs="Arial" w:eastAsia="Arial" w:hAnsi="Arial"/>
          <w:sz w:val="9"/>
          <w:szCs w:val="9"/>
          <w:b w:val="1"/>
          <w:bCs w:val="1"/>
          <w:color w:val="auto"/>
        </w:rPr>
        <w:t>2019</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620"/>
        <w:spacing w:after="0"/>
        <w:rPr>
          <w:sz w:val="20"/>
          <w:szCs w:val="20"/>
          <w:color w:val="auto"/>
        </w:rPr>
      </w:pPr>
      <w:r>
        <w:rPr>
          <w:rFonts w:ascii="Arial" w:cs="Arial" w:eastAsia="Arial" w:hAnsi="Arial"/>
          <w:sz w:val="11"/>
          <w:szCs w:val="11"/>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18415</wp:posOffset>
            </wp:positionV>
            <wp:extent cx="187325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73250" cy="6985"/>
                    </a:xfrm>
                    <a:prstGeom prst="rect">
                      <a:avLst/>
                    </a:prstGeom>
                    <a:noFill/>
                  </pic:spPr>
                </pic:pic>
              </a:graphicData>
            </a:graphic>
          </wp:anchor>
        </w:drawing>
      </w:r>
    </w:p>
    <w:p>
      <w:pPr>
        <w:spacing w:after="0" w:line="23" w:lineRule="exact"/>
        <w:rPr>
          <w:sz w:val="20"/>
          <w:szCs w:val="20"/>
          <w:color w:val="auto"/>
        </w:rPr>
      </w:pPr>
    </w:p>
    <w:p>
      <w:pPr>
        <w:spacing w:after="0"/>
        <w:tabs>
          <w:tab w:leader="none" w:pos="1500" w:val="left"/>
        </w:tabs>
        <w:rPr>
          <w:sz w:val="20"/>
          <w:szCs w:val="20"/>
          <w:color w:val="auto"/>
        </w:rPr>
      </w:pPr>
      <w:r>
        <w:rPr>
          <w:rFonts w:ascii="Arial" w:cs="Arial" w:eastAsia="Arial" w:hAnsi="Arial"/>
          <w:sz w:val="9"/>
          <w:szCs w:val="9"/>
          <w:b w:val="1"/>
          <w:bCs w:val="1"/>
          <w:color w:val="auto"/>
        </w:rPr>
        <w:t>2020</w:t>
      </w:r>
      <w:r>
        <w:rPr>
          <w:sz w:val="20"/>
          <w:szCs w:val="20"/>
          <w:color w:val="auto"/>
        </w:rPr>
        <w:tab/>
      </w:r>
      <w:r>
        <w:rPr>
          <w:rFonts w:ascii="Arial" w:cs="Arial" w:eastAsia="Arial" w:hAnsi="Arial"/>
          <w:sz w:val="9"/>
          <w:szCs w:val="9"/>
          <w:b w:val="1"/>
          <w:bCs w:val="1"/>
          <w:color w:val="auto"/>
        </w:rPr>
        <w:t>2019</w:t>
      </w:r>
    </w:p>
    <w:p>
      <w:pPr>
        <w:spacing w:after="0" w:line="43" w:lineRule="exact"/>
        <w:rPr>
          <w:sz w:val="20"/>
          <w:szCs w:val="20"/>
          <w:color w:val="auto"/>
        </w:rPr>
      </w:pPr>
    </w:p>
    <w:p>
      <w:pPr>
        <w:sectPr>
          <w:pgSz w:w="11900" w:h="16838" w:orient="portrait"/>
          <w:cols w:equalWidth="0" w:num="2">
            <w:col w:w="8200" w:space="720"/>
            <w:col w:w="2360"/>
          </w:cols>
          <w:pgMar w:left="300" w:top="129" w:right="319" w:bottom="1440" w:gutter="0" w:footer="0" w:header="0"/>
          <w:type w:val="continuous"/>
        </w:sectPr>
      </w:pPr>
    </w:p>
    <w:tbl>
      <w:tblPr>
        <w:tblLayout w:type="fixed"/>
        <w:tblInd w:w="20" w:type="dxa"/>
        <w:tblCellMar>
          <w:top w:w="0" w:type="dxa"/>
          <w:left w:w="0" w:type="dxa"/>
          <w:bottom w:w="0" w:type="dxa"/>
          <w:right w:w="0" w:type="dxa"/>
        </w:tblCellMar>
      </w:tblPr>
      <w:tr>
        <w:trPr>
          <w:trHeight w:val="211"/>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4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100"/>
              <w:spacing w:after="0"/>
              <w:rPr>
                <w:sz w:val="20"/>
                <w:szCs w:val="20"/>
                <w:color w:val="auto"/>
              </w:rPr>
            </w:pPr>
            <w:r>
              <w:rPr>
                <w:rFonts w:ascii="Arial" w:cs="Arial" w:eastAsia="Arial" w:hAnsi="Arial"/>
                <w:sz w:val="14"/>
                <w:szCs w:val="14"/>
                <w:color w:val="auto"/>
              </w:rPr>
              <w:t>Research and development</w:t>
            </w: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12,720</w:t>
            </w:r>
          </w:p>
        </w:tc>
        <w:tc>
          <w:tcPr>
            <w:tcW w:w="80" w:type="dxa"/>
            <w:vAlign w:val="bottom"/>
          </w:tcPr>
          <w:p>
            <w:pPr>
              <w:spacing w:after="0"/>
              <w:rPr>
                <w:sz w:val="16"/>
                <w:szCs w:val="16"/>
                <w:color w:val="auto"/>
              </w:rPr>
            </w:pPr>
          </w:p>
        </w:tc>
        <w:tc>
          <w:tcPr>
            <w:tcW w:w="4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10,009</w:t>
            </w:r>
          </w:p>
        </w:tc>
        <w:tc>
          <w:tcPr>
            <w:tcW w:w="100" w:type="dxa"/>
            <w:vAlign w:val="bottom"/>
          </w:tcPr>
          <w:p>
            <w:pPr>
              <w:spacing w:after="0"/>
              <w:rPr>
                <w:sz w:val="16"/>
                <w:szCs w:val="16"/>
                <w:color w:val="auto"/>
              </w:rPr>
            </w:pP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26,470</w:t>
            </w:r>
          </w:p>
        </w:tc>
        <w:tc>
          <w:tcPr>
            <w:tcW w:w="56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17,694</w:t>
            </w:r>
          </w:p>
        </w:tc>
        <w:tc>
          <w:tcPr>
            <w:tcW w:w="0" w:type="dxa"/>
            <w:vAlign w:val="bottom"/>
          </w:tcPr>
          <w:p>
            <w:pPr>
              <w:spacing w:after="0"/>
              <w:rPr>
                <w:sz w:val="1"/>
                <w:szCs w:val="1"/>
                <w:color w:val="auto"/>
              </w:rPr>
            </w:pPr>
          </w:p>
        </w:tc>
      </w:tr>
      <w:tr>
        <w:trPr>
          <w:trHeight w:val="22"/>
        </w:trPr>
        <w:tc>
          <w:tcPr>
            <w:tcW w:w="5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General and administrative</w:t>
            </w:r>
          </w:p>
        </w:tc>
        <w:tc>
          <w:tcPr>
            <w:tcW w:w="4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6,289</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5,198</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11,287</w:t>
            </w:r>
          </w:p>
        </w:tc>
        <w:tc>
          <w:tcPr>
            <w:tcW w:w="5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10,679</w:t>
            </w:r>
          </w:p>
        </w:tc>
        <w:tc>
          <w:tcPr>
            <w:tcW w:w="0" w:type="dxa"/>
            <w:vAlign w:val="bottom"/>
          </w:tcPr>
          <w:p>
            <w:pPr>
              <w:spacing w:after="0"/>
              <w:rPr>
                <w:sz w:val="1"/>
                <w:szCs w:val="1"/>
                <w:color w:val="auto"/>
              </w:rPr>
            </w:pPr>
          </w:p>
        </w:tc>
      </w:tr>
      <w:tr>
        <w:trPr>
          <w:trHeight w:val="181"/>
        </w:trPr>
        <w:tc>
          <w:tcPr>
            <w:tcW w:w="5280" w:type="dxa"/>
            <w:vAlign w:val="bottom"/>
          </w:tcPr>
          <w:p>
            <w:pPr>
              <w:ind w:left="100"/>
              <w:spacing w:after="0"/>
              <w:rPr>
                <w:sz w:val="20"/>
                <w:szCs w:val="20"/>
                <w:color w:val="auto"/>
              </w:rPr>
            </w:pPr>
            <w:r>
              <w:rPr>
                <w:rFonts w:ascii="Arial" w:cs="Arial" w:eastAsia="Arial" w:hAnsi="Arial"/>
                <w:sz w:val="14"/>
                <w:szCs w:val="14"/>
                <w:color w:val="auto"/>
              </w:rPr>
              <w:t>Total operating expenses</w:t>
            </w:r>
          </w:p>
        </w:tc>
        <w:tc>
          <w:tcPr>
            <w:tcW w:w="4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19,009</w:t>
            </w: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15,207</w:t>
            </w: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37,757</w:t>
            </w:r>
          </w:p>
        </w:tc>
        <w:tc>
          <w:tcPr>
            <w:tcW w:w="5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28,373</w:t>
            </w:r>
          </w:p>
        </w:tc>
        <w:tc>
          <w:tcPr>
            <w:tcW w:w="0" w:type="dxa"/>
            <w:vAlign w:val="bottom"/>
          </w:tcPr>
          <w:p>
            <w:pPr>
              <w:spacing w:after="0"/>
              <w:rPr>
                <w:sz w:val="1"/>
                <w:szCs w:val="1"/>
                <w:color w:val="auto"/>
              </w:rPr>
            </w:pPr>
          </w:p>
        </w:tc>
      </w:tr>
      <w:tr>
        <w:trPr>
          <w:trHeight w:val="22"/>
        </w:trPr>
        <w:tc>
          <w:tcPr>
            <w:tcW w:w="5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4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(19,009)</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(15,207)</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(37,757)</w:t>
            </w:r>
          </w:p>
        </w:tc>
        <w:tc>
          <w:tcPr>
            <w:tcW w:w="5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(28,373)</w:t>
            </w:r>
          </w:p>
        </w:tc>
        <w:tc>
          <w:tcPr>
            <w:tcW w:w="0" w:type="dxa"/>
            <w:vAlign w:val="bottom"/>
          </w:tcPr>
          <w:p>
            <w:pPr>
              <w:spacing w:after="0"/>
              <w:rPr>
                <w:sz w:val="1"/>
                <w:szCs w:val="1"/>
                <w:color w:val="auto"/>
              </w:rPr>
            </w:pPr>
          </w:p>
        </w:tc>
      </w:tr>
      <w:tr>
        <w:trPr>
          <w:trHeight w:val="191"/>
        </w:trPr>
        <w:tc>
          <w:tcPr>
            <w:tcW w:w="5280" w:type="dxa"/>
            <w:vAlign w:val="bottom"/>
          </w:tcPr>
          <w:p>
            <w:pPr>
              <w:spacing w:after="0"/>
              <w:rPr>
                <w:sz w:val="20"/>
                <w:szCs w:val="20"/>
                <w:color w:val="auto"/>
              </w:rPr>
            </w:pPr>
            <w:r>
              <w:rPr>
                <w:rFonts w:ascii="Arial" w:cs="Arial" w:eastAsia="Arial" w:hAnsi="Arial"/>
                <w:sz w:val="14"/>
                <w:szCs w:val="14"/>
                <w:color w:val="auto"/>
              </w:rPr>
              <w:t>Interest income</w:t>
            </w:r>
          </w:p>
        </w:tc>
        <w:tc>
          <w:tcPr>
            <w:tcW w:w="460" w:type="dxa"/>
            <w:vAlign w:val="bottom"/>
          </w:tcPr>
          <w:p>
            <w:pPr>
              <w:spacing w:after="0"/>
              <w:rPr>
                <w:sz w:val="16"/>
                <w:szCs w:val="16"/>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404</w:t>
            </w:r>
          </w:p>
        </w:tc>
        <w:tc>
          <w:tcPr>
            <w:tcW w:w="560" w:type="dxa"/>
            <w:vAlign w:val="bottom"/>
          </w:tcPr>
          <w:p>
            <w:pPr>
              <w:spacing w:after="0"/>
              <w:rPr>
                <w:sz w:val="16"/>
                <w:szCs w:val="16"/>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1,287</w:t>
            </w:r>
          </w:p>
        </w:tc>
        <w:tc>
          <w:tcPr>
            <w:tcW w:w="0" w:type="dxa"/>
            <w:vAlign w:val="bottom"/>
          </w:tcPr>
          <w:p>
            <w:pPr>
              <w:spacing w:after="0"/>
              <w:rPr>
                <w:sz w:val="1"/>
                <w:szCs w:val="1"/>
                <w:color w:val="auto"/>
              </w:rPr>
            </w:pPr>
          </w:p>
        </w:tc>
      </w:tr>
      <w:tr>
        <w:trPr>
          <w:trHeight w:val="22"/>
        </w:trPr>
        <w:tc>
          <w:tcPr>
            <w:tcW w:w="5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income (expense)</w:t>
            </w:r>
          </w:p>
        </w:tc>
        <w:tc>
          <w:tcPr>
            <w:tcW w:w="4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151</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w:t>
            </w:r>
          </w:p>
        </w:tc>
        <w:tc>
          <w:tcPr>
            <w:tcW w:w="5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1"/>
        </w:trPr>
        <w:tc>
          <w:tcPr>
            <w:tcW w:w="5280" w:type="dxa"/>
            <w:vAlign w:val="bottom"/>
          </w:tcPr>
          <w:p>
            <w:pPr>
              <w:ind w:left="100"/>
              <w:spacing w:after="0"/>
              <w:rPr>
                <w:sz w:val="20"/>
                <w:szCs w:val="20"/>
                <w:color w:val="auto"/>
              </w:rPr>
            </w:pPr>
            <w:r>
              <w:rPr>
                <w:rFonts w:ascii="Arial" w:cs="Arial" w:eastAsia="Arial" w:hAnsi="Arial"/>
                <w:sz w:val="14"/>
                <w:szCs w:val="14"/>
                <w:color w:val="auto"/>
              </w:rPr>
              <w:t>Loss before income tax provision (benefit)</w:t>
            </w:r>
          </w:p>
        </w:tc>
        <w:tc>
          <w:tcPr>
            <w:tcW w:w="4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(18,975)</w:t>
            </w: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(14,439)</w:t>
            </w: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(37,360)</w:t>
            </w:r>
          </w:p>
        </w:tc>
        <w:tc>
          <w:tcPr>
            <w:tcW w:w="5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(26,935)</w:t>
            </w:r>
          </w:p>
        </w:tc>
        <w:tc>
          <w:tcPr>
            <w:tcW w:w="0" w:type="dxa"/>
            <w:vAlign w:val="bottom"/>
          </w:tcPr>
          <w:p>
            <w:pPr>
              <w:spacing w:after="0"/>
              <w:rPr>
                <w:sz w:val="1"/>
                <w:szCs w:val="1"/>
                <w:color w:val="auto"/>
              </w:rPr>
            </w:pPr>
          </w:p>
        </w:tc>
      </w:tr>
      <w:tr>
        <w:trPr>
          <w:trHeight w:val="22"/>
        </w:trPr>
        <w:tc>
          <w:tcPr>
            <w:tcW w:w="5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Income tax provision (benefit)</w:t>
            </w:r>
          </w:p>
        </w:tc>
        <w:tc>
          <w:tcPr>
            <w:tcW w:w="4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(386)</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(3,695)</w:t>
            </w:r>
          </w:p>
        </w:tc>
        <w:tc>
          <w:tcPr>
            <w:tcW w:w="5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1"/>
        </w:trPr>
        <w:tc>
          <w:tcPr>
            <w:tcW w:w="5280" w:type="dxa"/>
            <w:vAlign w:val="bottom"/>
          </w:tcPr>
          <w:p>
            <w:pPr>
              <w:spacing w:after="0"/>
              <w:rPr>
                <w:sz w:val="20"/>
                <w:szCs w:val="20"/>
                <w:color w:val="auto"/>
              </w:rPr>
            </w:pPr>
            <w:r>
              <w:rPr>
                <w:rFonts w:ascii="Arial" w:cs="Arial" w:eastAsia="Arial" w:hAnsi="Arial"/>
                <w:sz w:val="14"/>
                <w:szCs w:val="14"/>
                <w:color w:val="auto"/>
              </w:rPr>
              <w:t>Net loss</w:t>
            </w:r>
          </w:p>
        </w:tc>
        <w:tc>
          <w:tcPr>
            <w:tcW w:w="460" w:type="dxa"/>
            <w:vAlign w:val="bottom"/>
            <w:tcBorders>
              <w:top w:val="single" w:sz="8" w:color="auto"/>
            </w:tcBorders>
          </w:tcPr>
          <w:p>
            <w:pPr>
              <w:jc w:val="right"/>
              <w:ind w:right="30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(18,589)</w:t>
            </w:r>
          </w:p>
        </w:tc>
        <w:tc>
          <w:tcPr>
            <w:tcW w:w="80" w:type="dxa"/>
            <w:vAlign w:val="bottom"/>
          </w:tcPr>
          <w:p>
            <w:pPr>
              <w:spacing w:after="0"/>
              <w:rPr>
                <w:sz w:val="15"/>
                <w:szCs w:val="15"/>
                <w:color w:val="auto"/>
              </w:rPr>
            </w:pPr>
          </w:p>
        </w:tc>
        <w:tc>
          <w:tcPr>
            <w:tcW w:w="460" w:type="dxa"/>
            <w:vAlign w:val="bottom"/>
            <w:tcBorders>
              <w:top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(14,443)</w:t>
            </w:r>
          </w:p>
        </w:tc>
        <w:tc>
          <w:tcPr>
            <w:tcW w:w="100" w:type="dxa"/>
            <w:vAlign w:val="bottom"/>
          </w:tcPr>
          <w:p>
            <w:pPr>
              <w:spacing w:after="0"/>
              <w:rPr>
                <w:sz w:val="15"/>
                <w:szCs w:val="15"/>
                <w:color w:val="auto"/>
              </w:rPr>
            </w:pPr>
          </w:p>
        </w:tc>
        <w:tc>
          <w:tcPr>
            <w:tcW w:w="460" w:type="dxa"/>
            <w:vAlign w:val="bottom"/>
            <w:tcBorders>
              <w:top w:val="single" w:sz="8" w:color="auto"/>
            </w:tcBorders>
          </w:tcPr>
          <w:p>
            <w:pPr>
              <w:jc w:val="right"/>
              <w:ind w:right="30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(33,665)</w:t>
            </w:r>
          </w:p>
        </w:tc>
        <w:tc>
          <w:tcPr>
            <w:tcW w:w="560" w:type="dxa"/>
            <w:vAlign w:val="bottom"/>
            <w:tcBorders>
              <w:top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(26,944)</w:t>
            </w:r>
          </w:p>
        </w:tc>
        <w:tc>
          <w:tcPr>
            <w:tcW w:w="0" w:type="dxa"/>
            <w:vAlign w:val="bottom"/>
          </w:tcPr>
          <w:p>
            <w:pPr>
              <w:spacing w:after="0"/>
              <w:rPr>
                <w:sz w:val="1"/>
                <w:szCs w:val="1"/>
                <w:color w:val="auto"/>
              </w:rPr>
            </w:pPr>
          </w:p>
        </w:tc>
      </w:tr>
      <w:tr>
        <w:trPr>
          <w:trHeight w:val="22"/>
        </w:trPr>
        <w:tc>
          <w:tcPr>
            <w:tcW w:w="5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Comprehensive loss</w:t>
            </w: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(18,589)</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(14,443)</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(33,665)</w:t>
            </w:r>
          </w:p>
        </w:tc>
        <w:tc>
          <w:tcPr>
            <w:tcW w:w="5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(26,944)</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Net loss per common share:</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2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5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Basic and diluted</w:t>
            </w: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(0.32)</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(0.35)</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(0.61)</w:t>
            </w:r>
          </w:p>
        </w:tc>
        <w:tc>
          <w:tcPr>
            <w:tcW w:w="560" w:type="dxa"/>
            <w:vAlign w:val="bottom"/>
            <w:tcBorders>
              <w:bottom w:val="single" w:sz="8" w:color="CCEEFF"/>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(0.65)</w:t>
            </w:r>
          </w:p>
        </w:tc>
        <w:tc>
          <w:tcPr>
            <w:tcW w:w="0" w:type="dxa"/>
            <w:vAlign w:val="bottom"/>
          </w:tcPr>
          <w:p>
            <w:pPr>
              <w:spacing w:after="0"/>
              <w:rPr>
                <w:sz w:val="1"/>
                <w:szCs w:val="1"/>
                <w:color w:val="auto"/>
              </w:rPr>
            </w:pPr>
          </w:p>
        </w:tc>
      </w:tr>
      <w:tr>
        <w:trPr>
          <w:trHeight w:val="191"/>
        </w:trPr>
        <w:tc>
          <w:tcPr>
            <w:tcW w:w="5280" w:type="dxa"/>
            <w:vAlign w:val="bottom"/>
          </w:tcPr>
          <w:p>
            <w:pPr>
              <w:spacing w:after="0"/>
              <w:rPr>
                <w:sz w:val="20"/>
                <w:szCs w:val="20"/>
                <w:color w:val="auto"/>
              </w:rPr>
            </w:pPr>
            <w:r>
              <w:rPr>
                <w:rFonts w:ascii="Arial" w:cs="Arial" w:eastAsia="Arial" w:hAnsi="Arial"/>
                <w:sz w:val="14"/>
                <w:szCs w:val="14"/>
                <w:color w:val="auto"/>
              </w:rPr>
              <w:t>Weighted average common shares outstanding:</w:t>
            </w: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2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Basic and diluted</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57,421</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41,477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55,424</w:t>
            </w: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41,452</w:t>
            </w:r>
          </w:p>
        </w:tc>
        <w:tc>
          <w:tcPr>
            <w:tcW w:w="0" w:type="dxa"/>
            <w:vAlign w:val="bottom"/>
          </w:tcPr>
          <w:p>
            <w:pPr>
              <w:spacing w:after="0"/>
              <w:rPr>
                <w:sz w:val="1"/>
                <w:szCs w:val="1"/>
                <w:color w:val="auto"/>
              </w:rPr>
            </w:pPr>
          </w:p>
        </w:tc>
      </w:tr>
      <w:tr>
        <w:trPr>
          <w:trHeight w:val="22"/>
        </w:trPr>
        <w:tc>
          <w:tcPr>
            <w:tcW w:w="52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unaudited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IVERIC bio, Inc.</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 Consolidated Statements of Stockholders' Equity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19"/>
        </w:trPr>
        <w:tc>
          <w:tcPr>
            <w:tcW w:w="4980" w:type="dxa"/>
            <w:vAlign w:val="bottom"/>
          </w:tcPr>
          <w:p>
            <w:pPr>
              <w:spacing w:after="0"/>
              <w:rPr>
                <w:sz w:val="10"/>
                <w:szCs w:val="10"/>
                <w:color w:val="auto"/>
              </w:rPr>
            </w:pPr>
          </w:p>
        </w:tc>
        <w:tc>
          <w:tcPr>
            <w:tcW w:w="1560" w:type="dxa"/>
            <w:vAlign w:val="bottom"/>
            <w:gridSpan w:val="5"/>
          </w:tcPr>
          <w:p>
            <w:pPr>
              <w:ind w:left="400"/>
              <w:spacing w:after="0"/>
              <w:rPr>
                <w:sz w:val="20"/>
                <w:szCs w:val="20"/>
                <w:color w:val="auto"/>
              </w:rPr>
            </w:pPr>
            <w:r>
              <w:rPr>
                <w:rFonts w:ascii="Arial" w:cs="Arial" w:eastAsia="Arial" w:hAnsi="Arial"/>
                <w:sz w:val="10"/>
                <w:szCs w:val="10"/>
                <w:b w:val="1"/>
                <w:bCs w:val="1"/>
                <w:color w:val="auto"/>
              </w:rPr>
              <w:t>Preferred Stock</w:t>
            </w:r>
          </w:p>
        </w:tc>
        <w:tc>
          <w:tcPr>
            <w:tcW w:w="1580" w:type="dxa"/>
            <w:vAlign w:val="bottom"/>
            <w:gridSpan w:val="5"/>
          </w:tcPr>
          <w:p>
            <w:pPr>
              <w:ind w:left="420"/>
              <w:spacing w:after="0"/>
              <w:rPr>
                <w:sz w:val="20"/>
                <w:szCs w:val="20"/>
                <w:color w:val="auto"/>
              </w:rPr>
            </w:pPr>
            <w:r>
              <w:rPr>
                <w:rFonts w:ascii="Arial" w:cs="Arial" w:eastAsia="Arial" w:hAnsi="Arial"/>
                <w:sz w:val="10"/>
                <w:szCs w:val="10"/>
                <w:b w:val="1"/>
                <w:bCs w:val="1"/>
                <w:color w:val="auto"/>
              </w:rPr>
              <w:t>Common Stock</w:t>
            </w:r>
          </w:p>
        </w:tc>
        <w:tc>
          <w:tcPr>
            <w:tcW w:w="14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Additional</w:t>
            </w: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49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2"/>
            <w:vMerge w:val="restart"/>
          </w:tcPr>
          <w:p>
            <w:pPr>
              <w:jc w:val="center"/>
              <w:ind w:right="260"/>
              <w:spacing w:after="0" w:line="93" w:lineRule="exact"/>
              <w:rPr>
                <w:sz w:val="20"/>
                <w:szCs w:val="20"/>
                <w:color w:val="auto"/>
              </w:rPr>
            </w:pPr>
            <w:r>
              <w:rPr>
                <w:rFonts w:ascii="Arial" w:cs="Arial" w:eastAsia="Arial" w:hAnsi="Arial"/>
                <w:sz w:val="10"/>
                <w:szCs w:val="10"/>
                <w:b w:val="1"/>
                <w:bCs w:val="1"/>
                <w:color w:val="auto"/>
                <w:w w:val="91"/>
              </w:rPr>
              <w:t>paid-in</w:t>
            </w:r>
          </w:p>
        </w:tc>
        <w:tc>
          <w:tcPr>
            <w:tcW w:w="160" w:type="dxa"/>
            <w:vAlign w:val="bottom"/>
          </w:tcPr>
          <w:p>
            <w:pPr>
              <w:spacing w:after="0"/>
              <w:rPr>
                <w:sz w:val="3"/>
                <w:szCs w:val="3"/>
                <w:color w:val="auto"/>
              </w:rPr>
            </w:pPr>
          </w:p>
        </w:tc>
        <w:tc>
          <w:tcPr>
            <w:tcW w:w="1020" w:type="dxa"/>
            <w:vAlign w:val="bottom"/>
            <w:gridSpan w:val="2"/>
            <w:vMerge w:val="restart"/>
          </w:tcPr>
          <w:p>
            <w:pPr>
              <w:jc w:val="center"/>
              <w:ind w:right="260"/>
              <w:spacing w:after="0" w:line="93" w:lineRule="exact"/>
              <w:rPr>
                <w:sz w:val="20"/>
                <w:szCs w:val="20"/>
                <w:color w:val="auto"/>
              </w:rPr>
            </w:pPr>
            <w:r>
              <w:rPr>
                <w:rFonts w:ascii="Arial" w:cs="Arial" w:eastAsia="Arial" w:hAnsi="Arial"/>
                <w:sz w:val="10"/>
                <w:szCs w:val="10"/>
                <w:b w:val="1"/>
                <w:bCs w:val="1"/>
                <w:color w:val="auto"/>
                <w:w w:val="89"/>
              </w:rPr>
              <w:t>Accumulated</w:t>
            </w: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
        </w:trPr>
        <w:tc>
          <w:tcPr>
            <w:tcW w:w="4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498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Shares</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Amount</w:t>
            </w:r>
          </w:p>
        </w:tc>
        <w:tc>
          <w:tcPr>
            <w:tcW w:w="10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Amount</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91"/>
              <w:spacing w:after="0"/>
              <w:rPr>
                <w:sz w:val="20"/>
                <w:szCs w:val="20"/>
                <w:color w:val="auto"/>
              </w:rPr>
            </w:pPr>
            <w:r>
              <w:rPr>
                <w:rFonts w:ascii="Arial" w:cs="Arial" w:eastAsia="Arial" w:hAnsi="Arial"/>
                <w:sz w:val="10"/>
                <w:szCs w:val="10"/>
                <w:b w:val="1"/>
                <w:bCs w:val="1"/>
                <w:color w:val="auto"/>
                <w:w w:val="88"/>
              </w:rPr>
              <w:t>capital</w:t>
            </w: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111"/>
              <w:spacing w:after="0"/>
              <w:rPr>
                <w:sz w:val="20"/>
                <w:szCs w:val="20"/>
                <w:color w:val="auto"/>
              </w:rPr>
            </w:pPr>
            <w:r>
              <w:rPr>
                <w:rFonts w:ascii="Arial" w:cs="Arial" w:eastAsia="Arial" w:hAnsi="Arial"/>
                <w:sz w:val="10"/>
                <w:szCs w:val="10"/>
                <w:b w:val="1"/>
                <w:bCs w:val="1"/>
                <w:color w:val="auto"/>
                <w:w w:val="91"/>
              </w:rPr>
              <w:t>Deficit</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46"/>
        </w:trPr>
        <w:tc>
          <w:tcPr>
            <w:tcW w:w="49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December 31, 2019</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49,627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50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597,679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(480,526)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117,203</w:t>
            </w:r>
          </w:p>
        </w:tc>
        <w:tc>
          <w:tcPr>
            <w:tcW w:w="0" w:type="dxa"/>
            <w:vAlign w:val="bottom"/>
          </w:tcPr>
          <w:p>
            <w:pPr>
              <w:spacing w:after="0"/>
              <w:rPr>
                <w:sz w:val="1"/>
                <w:szCs w:val="1"/>
                <w:color w:val="auto"/>
              </w:rPr>
            </w:pPr>
          </w:p>
        </w:tc>
      </w:tr>
      <w:tr>
        <w:trPr>
          <w:trHeight w:val="141"/>
        </w:trPr>
        <w:tc>
          <w:tcPr>
            <w:tcW w:w="4980" w:type="dxa"/>
            <w:vAlign w:val="bottom"/>
          </w:tcPr>
          <w:p>
            <w:pPr>
              <w:ind w:left="20"/>
              <w:spacing w:after="0"/>
              <w:rPr>
                <w:sz w:val="20"/>
                <w:szCs w:val="20"/>
                <w:color w:val="auto"/>
              </w:rPr>
            </w:pPr>
            <w:r>
              <w:rPr>
                <w:rFonts w:ascii="Arial" w:cs="Arial" w:eastAsia="Arial" w:hAnsi="Arial"/>
                <w:sz w:val="10"/>
                <w:szCs w:val="10"/>
                <w:color w:val="auto"/>
              </w:rPr>
              <w:t>Issuance of common stock under employee stock compensation plans</w:t>
            </w:r>
          </w:p>
        </w:tc>
        <w:tc>
          <w:tcPr>
            <w:tcW w:w="780" w:type="dxa"/>
            <w:vAlign w:val="bottom"/>
            <w:gridSpan w:val="2"/>
          </w:tcPr>
          <w:p>
            <w:pPr>
              <w:ind w:left="4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6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91"/>
              <w:spacing w:after="0"/>
              <w:rPr>
                <w:sz w:val="20"/>
                <w:szCs w:val="20"/>
                <w:color w:val="auto"/>
              </w:rPr>
            </w:pPr>
            <w:r>
              <w:rPr>
                <w:rFonts w:ascii="Arial" w:cs="Arial" w:eastAsia="Arial" w:hAnsi="Arial"/>
                <w:sz w:val="10"/>
                <w:szCs w:val="10"/>
                <w:color w:val="auto"/>
              </w:rPr>
              <w:t>105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780" w:type="dxa"/>
            <w:vAlign w:val="bottom"/>
          </w:tcPr>
          <w:p>
            <w:pPr>
              <w:jc w:val="right"/>
              <w:ind w:right="91"/>
              <w:spacing w:after="0"/>
              <w:rPr>
                <w:sz w:val="20"/>
                <w:szCs w:val="20"/>
                <w:color w:val="auto"/>
              </w:rPr>
            </w:pPr>
            <w:r>
              <w:rPr>
                <w:rFonts w:ascii="Arial" w:cs="Arial" w:eastAsia="Arial" w:hAnsi="Arial"/>
                <w:sz w:val="10"/>
                <w:szCs w:val="10"/>
                <w:color w:val="auto"/>
              </w:rPr>
              <w:t>179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7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720" w:type="dxa"/>
            <w:vAlign w:val="bottom"/>
          </w:tcPr>
          <w:p>
            <w:pPr>
              <w:jc w:val="right"/>
              <w:ind w:right="91"/>
              <w:spacing w:after="0"/>
              <w:rPr>
                <w:sz w:val="20"/>
                <w:szCs w:val="20"/>
                <w:color w:val="auto"/>
              </w:rPr>
            </w:pPr>
            <w:r>
              <w:rPr>
                <w:rFonts w:ascii="Arial" w:cs="Arial" w:eastAsia="Arial" w:hAnsi="Arial"/>
                <w:sz w:val="10"/>
                <w:szCs w:val="10"/>
                <w:color w:val="auto"/>
              </w:rPr>
              <w:t>179</w:t>
            </w:r>
          </w:p>
        </w:tc>
        <w:tc>
          <w:tcPr>
            <w:tcW w:w="0" w:type="dxa"/>
            <w:vAlign w:val="bottom"/>
          </w:tcPr>
          <w:p>
            <w:pPr>
              <w:spacing w:after="0"/>
              <w:rPr>
                <w:sz w:val="1"/>
                <w:szCs w:val="1"/>
                <w:color w:val="auto"/>
              </w:rPr>
            </w:pPr>
          </w:p>
        </w:tc>
      </w:tr>
      <w:tr>
        <w:trPr>
          <w:trHeight w:val="156"/>
        </w:trPr>
        <w:tc>
          <w:tcPr>
            <w:tcW w:w="498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Share-based compensation</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2,324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2,324</w:t>
            </w:r>
          </w:p>
        </w:tc>
        <w:tc>
          <w:tcPr>
            <w:tcW w:w="0" w:type="dxa"/>
            <w:vAlign w:val="bottom"/>
          </w:tcPr>
          <w:p>
            <w:pPr>
              <w:spacing w:after="0"/>
              <w:rPr>
                <w:sz w:val="1"/>
                <w:szCs w:val="1"/>
                <w:color w:val="auto"/>
              </w:rPr>
            </w:pPr>
          </w:p>
        </w:tc>
      </w:tr>
      <w:tr>
        <w:trPr>
          <w:trHeight w:val="141"/>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Net loss</w:t>
            </w:r>
          </w:p>
        </w:tc>
        <w:tc>
          <w:tcPr>
            <w:tcW w:w="680" w:type="dxa"/>
            <w:vAlign w:val="bottom"/>
            <w:tcBorders>
              <w:bottom w:val="single" w:sz="8" w:color="auto"/>
            </w:tcBorders>
          </w:tcPr>
          <w:p>
            <w:pPr>
              <w:ind w:left="46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3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(15,076)</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(15,076)</w:t>
            </w:r>
          </w:p>
        </w:tc>
        <w:tc>
          <w:tcPr>
            <w:tcW w:w="0" w:type="dxa"/>
            <w:vAlign w:val="bottom"/>
          </w:tcPr>
          <w:p>
            <w:pPr>
              <w:spacing w:after="0"/>
              <w:rPr>
                <w:sz w:val="1"/>
                <w:szCs w:val="1"/>
                <w:color w:val="auto"/>
              </w:rPr>
            </w:pPr>
          </w:p>
        </w:tc>
      </w:tr>
      <w:tr>
        <w:trPr>
          <w:trHeight w:val="166"/>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March 31, 2020</w:t>
            </w: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49,732</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50</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600,182</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(495,602)</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104,630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4980" w:type="dxa"/>
            <w:vAlign w:val="bottom"/>
          </w:tcPr>
          <w:p>
            <w:pPr>
              <w:ind w:left="20"/>
              <w:spacing w:after="0" w:line="104" w:lineRule="exact"/>
              <w:rPr>
                <w:sz w:val="20"/>
                <w:szCs w:val="20"/>
                <w:color w:val="auto"/>
              </w:rPr>
            </w:pPr>
            <w:r>
              <w:rPr>
                <w:rFonts w:ascii="Arial" w:cs="Arial" w:eastAsia="Arial" w:hAnsi="Arial"/>
                <w:sz w:val="10"/>
                <w:szCs w:val="10"/>
                <w:color w:val="auto"/>
              </w:rPr>
              <w:t>Issuance of common stock and pre-funded warrants through underwritten offering, net of issuance costs</w:t>
            </w:r>
          </w:p>
        </w:tc>
        <w:tc>
          <w:tcPr>
            <w:tcW w:w="780" w:type="dxa"/>
            <w:vAlign w:val="bottom"/>
            <w:gridSpan w:val="2"/>
          </w:tcPr>
          <w:p>
            <w:pPr>
              <w:ind w:left="460"/>
              <w:spacing w:after="0" w:line="104"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60" w:type="dxa"/>
            <w:vAlign w:val="bottom"/>
            <w:gridSpan w:val="2"/>
          </w:tcPr>
          <w:p>
            <w:pPr>
              <w:ind w:left="340"/>
              <w:spacing w:after="0" w:line="104" w:lineRule="exact"/>
              <w:rPr>
                <w:sz w:val="20"/>
                <w:szCs w:val="20"/>
                <w:color w:val="auto"/>
              </w:rPr>
            </w:pPr>
            <w:r>
              <w:rPr>
                <w:rFonts w:ascii="Arial" w:cs="Arial" w:eastAsia="Arial" w:hAnsi="Arial"/>
                <w:sz w:val="10"/>
                <w:szCs w:val="10"/>
                <w:color w:val="auto"/>
              </w:rPr>
              <w:t>—</w:t>
            </w:r>
          </w:p>
        </w:tc>
        <w:tc>
          <w:tcPr>
            <w:tcW w:w="700" w:type="dxa"/>
            <w:vAlign w:val="bottom"/>
          </w:tcPr>
          <w:p>
            <w:pPr>
              <w:jc w:val="right"/>
              <w:ind w:right="91"/>
              <w:spacing w:after="0" w:line="104" w:lineRule="exact"/>
              <w:rPr>
                <w:sz w:val="20"/>
                <w:szCs w:val="20"/>
                <w:color w:val="auto"/>
              </w:rPr>
            </w:pPr>
            <w:r>
              <w:rPr>
                <w:rFonts w:ascii="Arial" w:cs="Arial" w:eastAsia="Arial" w:hAnsi="Arial"/>
                <w:sz w:val="10"/>
                <w:szCs w:val="10"/>
                <w:color w:val="auto"/>
              </w:rPr>
              <w:t>28,503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jc w:val="right"/>
              <w:ind w:right="91"/>
              <w:spacing w:after="0" w:line="104" w:lineRule="exact"/>
              <w:rPr>
                <w:sz w:val="20"/>
                <w:szCs w:val="20"/>
                <w:color w:val="auto"/>
              </w:rPr>
            </w:pPr>
            <w:r>
              <w:rPr>
                <w:rFonts w:ascii="Arial" w:cs="Arial" w:eastAsia="Arial" w:hAnsi="Arial"/>
                <w:sz w:val="10"/>
                <w:szCs w:val="10"/>
                <w:color w:val="auto"/>
              </w:rPr>
              <w:t>28</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ind w:right="91"/>
              <w:spacing w:after="0" w:line="104" w:lineRule="exact"/>
              <w:rPr>
                <w:sz w:val="20"/>
                <w:szCs w:val="20"/>
                <w:color w:val="auto"/>
              </w:rPr>
            </w:pPr>
            <w:r>
              <w:rPr>
                <w:rFonts w:ascii="Arial" w:cs="Arial" w:eastAsia="Arial" w:hAnsi="Arial"/>
                <w:sz w:val="10"/>
                <w:szCs w:val="10"/>
                <w:color w:val="auto"/>
              </w:rPr>
              <w:t>116,855</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tcPr>
          <w:p>
            <w:pPr>
              <w:ind w:left="700"/>
              <w:spacing w:after="0" w:line="104"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720" w:type="dxa"/>
            <w:vAlign w:val="bottom"/>
          </w:tcPr>
          <w:p>
            <w:pPr>
              <w:jc w:val="right"/>
              <w:ind w:right="91"/>
              <w:spacing w:after="0" w:line="104" w:lineRule="exact"/>
              <w:rPr>
                <w:sz w:val="20"/>
                <w:szCs w:val="20"/>
                <w:color w:val="auto"/>
              </w:rPr>
            </w:pPr>
            <w:r>
              <w:rPr>
                <w:rFonts w:ascii="Arial" w:cs="Arial" w:eastAsia="Arial" w:hAnsi="Arial"/>
                <w:sz w:val="10"/>
                <w:szCs w:val="10"/>
                <w:color w:val="auto"/>
              </w:rPr>
              <w:t>116,883</w:t>
            </w:r>
          </w:p>
        </w:tc>
        <w:tc>
          <w:tcPr>
            <w:tcW w:w="0" w:type="dxa"/>
            <w:vAlign w:val="bottom"/>
          </w:tcPr>
          <w:p>
            <w:pPr>
              <w:spacing w:after="0"/>
              <w:rPr>
                <w:sz w:val="1"/>
                <w:szCs w:val="1"/>
                <w:color w:val="auto"/>
              </w:rPr>
            </w:pPr>
          </w:p>
        </w:tc>
      </w:tr>
      <w:tr>
        <w:trPr>
          <w:trHeight w:val="156"/>
        </w:trPr>
        <w:tc>
          <w:tcPr>
            <w:tcW w:w="4980" w:type="dxa"/>
            <w:vAlign w:val="bottom"/>
            <w:shd w:val="clear" w:color="auto" w:fill="CCEEFF"/>
          </w:tcPr>
          <w:p>
            <w:pPr>
              <w:ind w:left="20"/>
              <w:spacing w:after="0"/>
              <w:rPr>
                <w:sz w:val="20"/>
                <w:szCs w:val="20"/>
                <w:color w:val="auto"/>
              </w:rPr>
            </w:pPr>
            <w:r>
              <w:rPr>
                <w:rFonts w:ascii="Arial" w:cs="Arial" w:eastAsia="Arial" w:hAnsi="Arial"/>
                <w:sz w:val="10"/>
                <w:szCs w:val="10"/>
                <w:color w:val="auto"/>
              </w:rPr>
              <w:t>Issuance of common stock in connection with private offering, net of issuance costs.</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8,649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33,228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33,237</w:t>
            </w:r>
          </w:p>
        </w:tc>
        <w:tc>
          <w:tcPr>
            <w:tcW w:w="0" w:type="dxa"/>
            <w:vAlign w:val="bottom"/>
          </w:tcPr>
          <w:p>
            <w:pPr>
              <w:spacing w:after="0"/>
              <w:rPr>
                <w:sz w:val="1"/>
                <w:szCs w:val="1"/>
                <w:color w:val="auto"/>
              </w:rPr>
            </w:pPr>
          </w:p>
        </w:tc>
      </w:tr>
      <w:tr>
        <w:trPr>
          <w:trHeight w:val="141"/>
        </w:trPr>
        <w:tc>
          <w:tcPr>
            <w:tcW w:w="4980" w:type="dxa"/>
            <w:vAlign w:val="bottom"/>
          </w:tcPr>
          <w:p>
            <w:pPr>
              <w:ind w:left="20"/>
              <w:spacing w:after="0"/>
              <w:rPr>
                <w:sz w:val="20"/>
                <w:szCs w:val="20"/>
                <w:color w:val="auto"/>
              </w:rPr>
            </w:pPr>
            <w:r>
              <w:rPr>
                <w:rFonts w:ascii="Arial" w:cs="Arial" w:eastAsia="Arial" w:hAnsi="Arial"/>
                <w:sz w:val="10"/>
                <w:szCs w:val="10"/>
                <w:color w:val="auto"/>
              </w:rPr>
              <w:t>Issuance of common stock under the exercise of pre-funded warrants</w:t>
            </w:r>
          </w:p>
        </w:tc>
        <w:tc>
          <w:tcPr>
            <w:tcW w:w="780" w:type="dxa"/>
            <w:vAlign w:val="bottom"/>
            <w:gridSpan w:val="2"/>
          </w:tcPr>
          <w:p>
            <w:pPr>
              <w:ind w:left="4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6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91"/>
              <w:spacing w:after="0"/>
              <w:rPr>
                <w:sz w:val="20"/>
                <w:szCs w:val="20"/>
                <w:color w:val="auto"/>
              </w:rPr>
            </w:pPr>
            <w:r>
              <w:rPr>
                <w:rFonts w:ascii="Arial" w:cs="Arial" w:eastAsia="Arial" w:hAnsi="Arial"/>
                <w:sz w:val="10"/>
                <w:szCs w:val="10"/>
                <w:color w:val="auto"/>
              </w:rPr>
              <w:t>2,500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91"/>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71"/>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7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7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6"/>
        </w:trPr>
        <w:tc>
          <w:tcPr>
            <w:tcW w:w="4980" w:type="dxa"/>
            <w:vAlign w:val="bottom"/>
            <w:shd w:val="clear" w:color="auto" w:fill="CCEEFF"/>
          </w:tcPr>
          <w:p>
            <w:pPr>
              <w:ind w:left="20"/>
              <w:spacing w:after="0"/>
              <w:rPr>
                <w:sz w:val="20"/>
                <w:szCs w:val="20"/>
                <w:color w:val="auto"/>
              </w:rPr>
            </w:pPr>
            <w:r>
              <w:rPr>
                <w:rFonts w:ascii="Arial" w:cs="Arial" w:eastAsia="Arial" w:hAnsi="Arial"/>
                <w:sz w:val="10"/>
                <w:szCs w:val="10"/>
                <w:color w:val="auto"/>
              </w:rPr>
              <w:t>Issuance of common stock under employee stock compensation plans</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105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41"/>
        </w:trPr>
        <w:tc>
          <w:tcPr>
            <w:tcW w:w="4980" w:type="dxa"/>
            <w:vAlign w:val="bottom"/>
          </w:tcPr>
          <w:p>
            <w:pPr>
              <w:ind w:left="20"/>
              <w:spacing w:after="0"/>
              <w:rPr>
                <w:sz w:val="20"/>
                <w:szCs w:val="20"/>
                <w:color w:val="auto"/>
              </w:rPr>
            </w:pPr>
            <w:r>
              <w:rPr>
                <w:rFonts w:ascii="Arial" w:cs="Arial" w:eastAsia="Arial" w:hAnsi="Arial"/>
                <w:sz w:val="10"/>
                <w:szCs w:val="10"/>
                <w:color w:val="auto"/>
              </w:rPr>
              <w:t>Share-based compensation</w:t>
            </w:r>
          </w:p>
        </w:tc>
        <w:tc>
          <w:tcPr>
            <w:tcW w:w="780" w:type="dxa"/>
            <w:vAlign w:val="bottom"/>
            <w:gridSpan w:val="2"/>
          </w:tcPr>
          <w:p>
            <w:pPr>
              <w:ind w:left="4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6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780" w:type="dxa"/>
            <w:vAlign w:val="bottom"/>
          </w:tcPr>
          <w:p>
            <w:pPr>
              <w:jc w:val="right"/>
              <w:ind w:right="91"/>
              <w:spacing w:after="0"/>
              <w:rPr>
                <w:sz w:val="20"/>
                <w:szCs w:val="20"/>
                <w:color w:val="auto"/>
              </w:rPr>
            </w:pPr>
            <w:r>
              <w:rPr>
                <w:rFonts w:ascii="Arial" w:cs="Arial" w:eastAsia="Arial" w:hAnsi="Arial"/>
                <w:sz w:val="10"/>
                <w:szCs w:val="10"/>
                <w:color w:val="auto"/>
              </w:rPr>
              <w:t>1,873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7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720" w:type="dxa"/>
            <w:vAlign w:val="bottom"/>
          </w:tcPr>
          <w:p>
            <w:pPr>
              <w:jc w:val="right"/>
              <w:ind w:right="91"/>
              <w:spacing w:after="0"/>
              <w:rPr>
                <w:sz w:val="20"/>
                <w:szCs w:val="20"/>
                <w:color w:val="auto"/>
              </w:rPr>
            </w:pPr>
            <w:r>
              <w:rPr>
                <w:rFonts w:ascii="Arial" w:cs="Arial" w:eastAsia="Arial" w:hAnsi="Arial"/>
                <w:sz w:val="10"/>
                <w:szCs w:val="10"/>
                <w:color w:val="auto"/>
              </w:rPr>
              <w:t>1,873</w:t>
            </w: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loss</w:t>
            </w: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(18,589)</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(18,589)</w:t>
            </w:r>
          </w:p>
        </w:tc>
        <w:tc>
          <w:tcPr>
            <w:tcW w:w="0" w:type="dxa"/>
            <w:vAlign w:val="bottom"/>
          </w:tcPr>
          <w:p>
            <w:pPr>
              <w:spacing w:after="0"/>
              <w:rPr>
                <w:sz w:val="1"/>
                <w:szCs w:val="1"/>
                <w:color w:val="auto"/>
              </w:rPr>
            </w:pPr>
          </w:p>
        </w:tc>
      </w:tr>
      <w:tr>
        <w:trPr>
          <w:trHeight w:val="146"/>
        </w:trPr>
        <w:tc>
          <w:tcPr>
            <w:tcW w:w="4980" w:type="dxa"/>
            <w:vAlign w:val="bottom"/>
          </w:tcPr>
          <w:p>
            <w:pPr>
              <w:ind w:left="20"/>
              <w:spacing w:after="0"/>
              <w:rPr>
                <w:sz w:val="20"/>
                <w:szCs w:val="20"/>
                <w:color w:val="auto"/>
              </w:rPr>
            </w:pPr>
            <w:r>
              <w:rPr>
                <w:rFonts w:ascii="Arial" w:cs="Arial" w:eastAsia="Arial" w:hAnsi="Arial"/>
                <w:sz w:val="10"/>
                <w:szCs w:val="10"/>
                <w:b w:val="1"/>
                <w:bCs w:val="1"/>
                <w:color w:val="auto"/>
              </w:rPr>
              <w:t>Balance at June 30, 2020</w:t>
            </w:r>
          </w:p>
        </w:tc>
        <w:tc>
          <w:tcPr>
            <w:tcW w:w="780" w:type="dxa"/>
            <w:vAlign w:val="bottom"/>
            <w:gridSpan w:val="2"/>
          </w:tcPr>
          <w:p>
            <w:pPr>
              <w:ind w:left="46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91"/>
              <w:spacing w:after="0"/>
              <w:rPr>
                <w:sz w:val="20"/>
                <w:szCs w:val="20"/>
                <w:color w:val="auto"/>
              </w:rPr>
            </w:pPr>
            <w:r>
              <w:rPr>
                <w:rFonts w:ascii="Arial" w:cs="Arial" w:eastAsia="Arial" w:hAnsi="Arial"/>
                <w:sz w:val="10"/>
                <w:szCs w:val="10"/>
                <w:color w:val="auto"/>
              </w:rPr>
              <w:t>89,489</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91"/>
              <w:spacing w:after="0"/>
              <w:rPr>
                <w:sz w:val="20"/>
                <w:szCs w:val="20"/>
                <w:color w:val="auto"/>
              </w:rPr>
            </w:pPr>
            <w:r>
              <w:rPr>
                <w:rFonts w:ascii="Arial" w:cs="Arial" w:eastAsia="Arial" w:hAnsi="Arial"/>
                <w:sz w:val="10"/>
                <w:szCs w:val="10"/>
                <w:color w:val="auto"/>
              </w:rPr>
              <w:t>89</w:t>
            </w:r>
          </w:p>
        </w:tc>
        <w:tc>
          <w:tcPr>
            <w:tcW w:w="100" w:type="dxa"/>
            <w:vAlign w:val="bottom"/>
          </w:tcPr>
          <w:p>
            <w:pPr>
              <w:spacing w:after="0"/>
              <w:rPr>
                <w:sz w:val="12"/>
                <w:szCs w:val="12"/>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91"/>
              <w:spacing w:after="0"/>
              <w:rPr>
                <w:sz w:val="20"/>
                <w:szCs w:val="20"/>
                <w:color w:val="auto"/>
              </w:rPr>
            </w:pPr>
            <w:r>
              <w:rPr>
                <w:rFonts w:ascii="Arial" w:cs="Arial" w:eastAsia="Arial" w:hAnsi="Arial"/>
                <w:sz w:val="10"/>
                <w:szCs w:val="10"/>
                <w:color w:val="auto"/>
              </w:rPr>
              <w:t>752,143</w:t>
            </w:r>
          </w:p>
        </w:tc>
        <w:tc>
          <w:tcPr>
            <w:tcW w:w="100" w:type="dxa"/>
            <w:vAlign w:val="bottom"/>
          </w:tcPr>
          <w:p>
            <w:pPr>
              <w:spacing w:after="0"/>
              <w:rPr>
                <w:sz w:val="12"/>
                <w:szCs w:val="12"/>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51"/>
              <w:spacing w:after="0"/>
              <w:rPr>
                <w:sz w:val="20"/>
                <w:szCs w:val="20"/>
                <w:color w:val="auto"/>
              </w:rPr>
            </w:pPr>
            <w:r>
              <w:rPr>
                <w:rFonts w:ascii="Arial" w:cs="Arial" w:eastAsia="Arial" w:hAnsi="Arial"/>
                <w:sz w:val="10"/>
                <w:szCs w:val="10"/>
                <w:color w:val="auto"/>
              </w:rPr>
              <w:t>(514,191)</w:t>
            </w:r>
          </w:p>
        </w:tc>
        <w:tc>
          <w:tcPr>
            <w:tcW w:w="100" w:type="dxa"/>
            <w:vAlign w:val="bottom"/>
          </w:tcPr>
          <w:p>
            <w:pPr>
              <w:spacing w:after="0"/>
              <w:rPr>
                <w:sz w:val="12"/>
                <w:szCs w:val="12"/>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91"/>
              <w:spacing w:after="0"/>
              <w:rPr>
                <w:sz w:val="20"/>
                <w:szCs w:val="20"/>
                <w:color w:val="auto"/>
              </w:rPr>
            </w:pPr>
            <w:r>
              <w:rPr>
                <w:rFonts w:ascii="Arial" w:cs="Arial" w:eastAsia="Arial" w:hAnsi="Arial"/>
                <w:sz w:val="10"/>
                <w:szCs w:val="10"/>
                <w:color w:val="auto"/>
              </w:rPr>
              <w:t>238,041</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19"/>
        </w:trPr>
        <w:tc>
          <w:tcPr>
            <w:tcW w:w="4980" w:type="dxa"/>
            <w:vAlign w:val="bottom"/>
          </w:tcPr>
          <w:p>
            <w:pPr>
              <w:spacing w:after="0"/>
              <w:rPr>
                <w:sz w:val="10"/>
                <w:szCs w:val="10"/>
                <w:color w:val="auto"/>
              </w:rPr>
            </w:pPr>
          </w:p>
        </w:tc>
        <w:tc>
          <w:tcPr>
            <w:tcW w:w="1560" w:type="dxa"/>
            <w:vAlign w:val="bottom"/>
            <w:gridSpan w:val="5"/>
          </w:tcPr>
          <w:p>
            <w:pPr>
              <w:ind w:left="400"/>
              <w:spacing w:after="0"/>
              <w:rPr>
                <w:sz w:val="20"/>
                <w:szCs w:val="20"/>
                <w:color w:val="auto"/>
              </w:rPr>
            </w:pPr>
            <w:r>
              <w:rPr>
                <w:rFonts w:ascii="Arial" w:cs="Arial" w:eastAsia="Arial" w:hAnsi="Arial"/>
                <w:sz w:val="10"/>
                <w:szCs w:val="10"/>
                <w:b w:val="1"/>
                <w:bCs w:val="1"/>
                <w:color w:val="auto"/>
              </w:rPr>
              <w:t>Preferred Stock</w:t>
            </w:r>
          </w:p>
        </w:tc>
        <w:tc>
          <w:tcPr>
            <w:tcW w:w="1580" w:type="dxa"/>
            <w:vAlign w:val="bottom"/>
            <w:gridSpan w:val="5"/>
          </w:tcPr>
          <w:p>
            <w:pPr>
              <w:ind w:left="420"/>
              <w:spacing w:after="0"/>
              <w:rPr>
                <w:sz w:val="20"/>
                <w:szCs w:val="20"/>
                <w:color w:val="auto"/>
              </w:rPr>
            </w:pPr>
            <w:r>
              <w:rPr>
                <w:rFonts w:ascii="Arial" w:cs="Arial" w:eastAsia="Arial" w:hAnsi="Arial"/>
                <w:sz w:val="10"/>
                <w:szCs w:val="10"/>
                <w:b w:val="1"/>
                <w:bCs w:val="1"/>
                <w:color w:val="auto"/>
              </w:rPr>
              <w:t>Common Stock</w:t>
            </w:r>
          </w:p>
        </w:tc>
        <w:tc>
          <w:tcPr>
            <w:tcW w:w="14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Additional</w:t>
            </w: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49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2"/>
            <w:vMerge w:val="restart"/>
          </w:tcPr>
          <w:p>
            <w:pPr>
              <w:jc w:val="center"/>
              <w:ind w:right="260"/>
              <w:spacing w:after="0" w:line="93" w:lineRule="exact"/>
              <w:rPr>
                <w:sz w:val="20"/>
                <w:szCs w:val="20"/>
                <w:color w:val="auto"/>
              </w:rPr>
            </w:pPr>
            <w:r>
              <w:rPr>
                <w:rFonts w:ascii="Arial" w:cs="Arial" w:eastAsia="Arial" w:hAnsi="Arial"/>
                <w:sz w:val="10"/>
                <w:szCs w:val="10"/>
                <w:b w:val="1"/>
                <w:bCs w:val="1"/>
                <w:color w:val="auto"/>
                <w:w w:val="91"/>
              </w:rPr>
              <w:t>paid-in</w:t>
            </w:r>
          </w:p>
        </w:tc>
        <w:tc>
          <w:tcPr>
            <w:tcW w:w="160" w:type="dxa"/>
            <w:vAlign w:val="bottom"/>
          </w:tcPr>
          <w:p>
            <w:pPr>
              <w:spacing w:after="0"/>
              <w:rPr>
                <w:sz w:val="3"/>
                <w:szCs w:val="3"/>
                <w:color w:val="auto"/>
              </w:rPr>
            </w:pPr>
          </w:p>
        </w:tc>
        <w:tc>
          <w:tcPr>
            <w:tcW w:w="1020" w:type="dxa"/>
            <w:vAlign w:val="bottom"/>
            <w:gridSpan w:val="2"/>
            <w:vMerge w:val="restart"/>
          </w:tcPr>
          <w:p>
            <w:pPr>
              <w:ind w:left="100"/>
              <w:spacing w:after="0" w:line="93" w:lineRule="exact"/>
              <w:rPr>
                <w:sz w:val="20"/>
                <w:szCs w:val="20"/>
                <w:color w:val="auto"/>
              </w:rPr>
            </w:pPr>
            <w:r>
              <w:rPr>
                <w:rFonts w:ascii="Arial" w:cs="Arial" w:eastAsia="Arial" w:hAnsi="Arial"/>
                <w:sz w:val="10"/>
                <w:szCs w:val="10"/>
                <w:b w:val="1"/>
                <w:bCs w:val="1"/>
                <w:color w:val="auto"/>
              </w:rPr>
              <w:t>Accumulated</w:t>
            </w: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
        </w:trPr>
        <w:tc>
          <w:tcPr>
            <w:tcW w:w="4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498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Shares</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Amount</w:t>
            </w:r>
          </w:p>
        </w:tc>
        <w:tc>
          <w:tcPr>
            <w:tcW w:w="10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Amount</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91"/>
              <w:spacing w:after="0"/>
              <w:rPr>
                <w:sz w:val="20"/>
                <w:szCs w:val="20"/>
                <w:color w:val="auto"/>
              </w:rPr>
            </w:pPr>
            <w:r>
              <w:rPr>
                <w:rFonts w:ascii="Arial" w:cs="Arial" w:eastAsia="Arial" w:hAnsi="Arial"/>
                <w:sz w:val="10"/>
                <w:szCs w:val="10"/>
                <w:b w:val="1"/>
                <w:bCs w:val="1"/>
                <w:color w:val="auto"/>
                <w:w w:val="88"/>
              </w:rPr>
              <w:t>capital</w:t>
            </w: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0"/>
                <w:szCs w:val="10"/>
                <w:b w:val="1"/>
                <w:bCs w:val="1"/>
                <w:color w:val="auto"/>
              </w:rPr>
              <w:t>Deficit</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46"/>
        </w:trPr>
        <w:tc>
          <w:tcPr>
            <w:tcW w:w="49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December 31, 2018</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41,397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41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545,585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(421,667)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123,959</w:t>
            </w:r>
          </w:p>
        </w:tc>
        <w:tc>
          <w:tcPr>
            <w:tcW w:w="0" w:type="dxa"/>
            <w:vAlign w:val="bottom"/>
          </w:tcPr>
          <w:p>
            <w:pPr>
              <w:spacing w:after="0"/>
              <w:rPr>
                <w:sz w:val="1"/>
                <w:szCs w:val="1"/>
                <w:color w:val="auto"/>
              </w:rPr>
            </w:pPr>
          </w:p>
        </w:tc>
      </w:tr>
      <w:tr>
        <w:trPr>
          <w:trHeight w:val="141"/>
        </w:trPr>
        <w:tc>
          <w:tcPr>
            <w:tcW w:w="4980" w:type="dxa"/>
            <w:vAlign w:val="bottom"/>
          </w:tcPr>
          <w:p>
            <w:pPr>
              <w:ind w:left="20"/>
              <w:spacing w:after="0"/>
              <w:rPr>
                <w:sz w:val="20"/>
                <w:szCs w:val="20"/>
                <w:color w:val="auto"/>
              </w:rPr>
            </w:pPr>
            <w:r>
              <w:rPr>
                <w:rFonts w:ascii="Arial" w:cs="Arial" w:eastAsia="Arial" w:hAnsi="Arial"/>
                <w:sz w:val="10"/>
                <w:szCs w:val="10"/>
                <w:color w:val="auto"/>
              </w:rPr>
              <w:t>Issuance of common stock under employee stock compensation plans</w:t>
            </w:r>
          </w:p>
        </w:tc>
        <w:tc>
          <w:tcPr>
            <w:tcW w:w="780" w:type="dxa"/>
            <w:vAlign w:val="bottom"/>
            <w:gridSpan w:val="2"/>
          </w:tcPr>
          <w:p>
            <w:pPr>
              <w:ind w:left="4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6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91"/>
              <w:spacing w:after="0"/>
              <w:rPr>
                <w:sz w:val="20"/>
                <w:szCs w:val="20"/>
                <w:color w:val="auto"/>
              </w:rPr>
            </w:pPr>
            <w:r>
              <w:rPr>
                <w:rFonts w:ascii="Arial" w:cs="Arial" w:eastAsia="Arial" w:hAnsi="Arial"/>
                <w:sz w:val="10"/>
                <w:szCs w:val="10"/>
                <w:color w:val="auto"/>
              </w:rPr>
              <w:t>56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780" w:type="dxa"/>
            <w:vAlign w:val="bottom"/>
          </w:tcPr>
          <w:p>
            <w:pPr>
              <w:jc w:val="right"/>
              <w:ind w:right="91"/>
              <w:spacing w:after="0"/>
              <w:rPr>
                <w:sz w:val="20"/>
                <w:szCs w:val="20"/>
                <w:color w:val="auto"/>
              </w:rPr>
            </w:pPr>
            <w:r>
              <w:rPr>
                <w:rFonts w:ascii="Arial" w:cs="Arial" w:eastAsia="Arial" w:hAnsi="Arial"/>
                <w:sz w:val="10"/>
                <w:szCs w:val="10"/>
                <w:color w:val="auto"/>
              </w:rPr>
              <w:t>41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7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720" w:type="dxa"/>
            <w:vAlign w:val="bottom"/>
          </w:tcPr>
          <w:p>
            <w:pPr>
              <w:jc w:val="right"/>
              <w:ind w:right="91"/>
              <w:spacing w:after="0"/>
              <w:rPr>
                <w:sz w:val="20"/>
                <w:szCs w:val="20"/>
                <w:color w:val="auto"/>
              </w:rPr>
            </w:pPr>
            <w:r>
              <w:rPr>
                <w:rFonts w:ascii="Arial" w:cs="Arial" w:eastAsia="Arial" w:hAnsi="Arial"/>
                <w:sz w:val="10"/>
                <w:szCs w:val="10"/>
                <w:color w:val="auto"/>
              </w:rPr>
              <w:t>41</w:t>
            </w:r>
          </w:p>
        </w:tc>
        <w:tc>
          <w:tcPr>
            <w:tcW w:w="0" w:type="dxa"/>
            <w:vAlign w:val="bottom"/>
          </w:tcPr>
          <w:p>
            <w:pPr>
              <w:spacing w:after="0"/>
              <w:rPr>
                <w:sz w:val="1"/>
                <w:szCs w:val="1"/>
                <w:color w:val="auto"/>
              </w:rPr>
            </w:pPr>
          </w:p>
        </w:tc>
      </w:tr>
      <w:tr>
        <w:trPr>
          <w:trHeight w:val="156"/>
        </w:trPr>
        <w:tc>
          <w:tcPr>
            <w:tcW w:w="498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Share-based compensation</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2,470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2,470</w:t>
            </w:r>
          </w:p>
        </w:tc>
        <w:tc>
          <w:tcPr>
            <w:tcW w:w="0" w:type="dxa"/>
            <w:vAlign w:val="bottom"/>
          </w:tcPr>
          <w:p>
            <w:pPr>
              <w:spacing w:after="0"/>
              <w:rPr>
                <w:sz w:val="1"/>
                <w:szCs w:val="1"/>
                <w:color w:val="auto"/>
              </w:rPr>
            </w:pPr>
          </w:p>
        </w:tc>
      </w:tr>
      <w:tr>
        <w:trPr>
          <w:trHeight w:val="141"/>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Net loss</w:t>
            </w:r>
          </w:p>
        </w:tc>
        <w:tc>
          <w:tcPr>
            <w:tcW w:w="680" w:type="dxa"/>
            <w:vAlign w:val="bottom"/>
            <w:tcBorders>
              <w:bottom w:val="single" w:sz="8" w:color="auto"/>
            </w:tcBorders>
          </w:tcPr>
          <w:p>
            <w:pPr>
              <w:ind w:left="46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3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(12,501)</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(12,501)</w:t>
            </w:r>
          </w:p>
        </w:tc>
        <w:tc>
          <w:tcPr>
            <w:tcW w:w="0" w:type="dxa"/>
            <w:vAlign w:val="bottom"/>
          </w:tcPr>
          <w:p>
            <w:pPr>
              <w:spacing w:after="0"/>
              <w:rPr>
                <w:sz w:val="1"/>
                <w:szCs w:val="1"/>
                <w:color w:val="auto"/>
              </w:rPr>
            </w:pPr>
          </w:p>
        </w:tc>
      </w:tr>
      <w:tr>
        <w:trPr>
          <w:trHeight w:val="166"/>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March 31, 2019</w:t>
            </w: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41,453</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41</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548,096</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(434,168)</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113,969</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4980" w:type="dxa"/>
            <w:vAlign w:val="bottom"/>
          </w:tcPr>
          <w:p>
            <w:pPr>
              <w:ind w:left="20"/>
              <w:spacing w:after="0" w:line="104" w:lineRule="exact"/>
              <w:rPr>
                <w:sz w:val="20"/>
                <w:szCs w:val="20"/>
                <w:color w:val="auto"/>
              </w:rPr>
            </w:pPr>
            <w:r>
              <w:rPr>
                <w:rFonts w:ascii="Arial" w:cs="Arial" w:eastAsia="Arial" w:hAnsi="Arial"/>
                <w:sz w:val="10"/>
                <w:szCs w:val="10"/>
                <w:color w:val="auto"/>
              </w:rPr>
              <w:t>Issuance of common stock under employee stock compensation plans</w:t>
            </w:r>
          </w:p>
        </w:tc>
        <w:tc>
          <w:tcPr>
            <w:tcW w:w="780" w:type="dxa"/>
            <w:vAlign w:val="bottom"/>
            <w:gridSpan w:val="2"/>
          </w:tcPr>
          <w:p>
            <w:pPr>
              <w:ind w:left="460"/>
              <w:spacing w:after="0" w:line="104"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60" w:type="dxa"/>
            <w:vAlign w:val="bottom"/>
            <w:gridSpan w:val="2"/>
          </w:tcPr>
          <w:p>
            <w:pPr>
              <w:ind w:left="340"/>
              <w:spacing w:after="0" w:line="104" w:lineRule="exact"/>
              <w:rPr>
                <w:sz w:val="20"/>
                <w:szCs w:val="20"/>
                <w:color w:val="auto"/>
              </w:rPr>
            </w:pPr>
            <w:r>
              <w:rPr>
                <w:rFonts w:ascii="Arial" w:cs="Arial" w:eastAsia="Arial" w:hAnsi="Arial"/>
                <w:sz w:val="10"/>
                <w:szCs w:val="10"/>
                <w:color w:val="auto"/>
              </w:rPr>
              <w:t>—</w:t>
            </w:r>
          </w:p>
        </w:tc>
        <w:tc>
          <w:tcPr>
            <w:tcW w:w="700" w:type="dxa"/>
            <w:vAlign w:val="bottom"/>
          </w:tcPr>
          <w:p>
            <w:pPr>
              <w:jc w:val="right"/>
              <w:ind w:right="91"/>
              <w:spacing w:after="0" w:line="104" w:lineRule="exact"/>
              <w:rPr>
                <w:sz w:val="20"/>
                <w:szCs w:val="20"/>
                <w:color w:val="auto"/>
              </w:rPr>
            </w:pPr>
            <w:r>
              <w:rPr>
                <w:rFonts w:ascii="Arial" w:cs="Arial" w:eastAsia="Arial" w:hAnsi="Arial"/>
                <w:sz w:val="10"/>
                <w:szCs w:val="10"/>
                <w:color w:val="auto"/>
              </w:rPr>
              <w:t>24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ind w:right="240"/>
              <w:spacing w:after="0" w:line="104"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80" w:type="dxa"/>
            <w:vAlign w:val="bottom"/>
            <w:gridSpan w:val="2"/>
          </w:tcPr>
          <w:p>
            <w:pPr>
              <w:jc w:val="right"/>
              <w:ind w:right="240"/>
              <w:spacing w:after="0" w:line="104"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1020" w:type="dxa"/>
            <w:vAlign w:val="bottom"/>
            <w:gridSpan w:val="2"/>
          </w:tcPr>
          <w:p>
            <w:pPr>
              <w:ind w:left="700"/>
              <w:spacing w:after="0" w:line="104"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720" w:type="dxa"/>
            <w:vAlign w:val="bottom"/>
          </w:tcPr>
          <w:p>
            <w:pPr>
              <w:jc w:val="right"/>
              <w:ind w:right="91"/>
              <w:spacing w:after="0" w:line="10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6"/>
        </w:trPr>
        <w:tc>
          <w:tcPr>
            <w:tcW w:w="498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Share-based compensation</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2,207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2,207</w:t>
            </w:r>
          </w:p>
        </w:tc>
        <w:tc>
          <w:tcPr>
            <w:tcW w:w="0" w:type="dxa"/>
            <w:vAlign w:val="bottom"/>
          </w:tcPr>
          <w:p>
            <w:pPr>
              <w:spacing w:after="0"/>
              <w:rPr>
                <w:sz w:val="1"/>
                <w:szCs w:val="1"/>
                <w:color w:val="auto"/>
              </w:rPr>
            </w:pPr>
          </w:p>
        </w:tc>
      </w:tr>
      <w:tr>
        <w:trPr>
          <w:trHeight w:val="141"/>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Net loss</w:t>
            </w:r>
          </w:p>
        </w:tc>
        <w:tc>
          <w:tcPr>
            <w:tcW w:w="680" w:type="dxa"/>
            <w:vAlign w:val="bottom"/>
            <w:tcBorders>
              <w:bottom w:val="single" w:sz="8" w:color="auto"/>
            </w:tcBorders>
          </w:tcPr>
          <w:p>
            <w:pPr>
              <w:ind w:left="46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3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(14,443)</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(14,443)</w:t>
            </w:r>
          </w:p>
        </w:tc>
        <w:tc>
          <w:tcPr>
            <w:tcW w:w="0" w:type="dxa"/>
            <w:vAlign w:val="bottom"/>
          </w:tcPr>
          <w:p>
            <w:pPr>
              <w:spacing w:after="0"/>
              <w:rPr>
                <w:sz w:val="1"/>
                <w:szCs w:val="1"/>
                <w:color w:val="auto"/>
              </w:rPr>
            </w:pPr>
          </w:p>
        </w:tc>
      </w:tr>
      <w:tr>
        <w:trPr>
          <w:trHeight w:val="166"/>
        </w:trPr>
        <w:tc>
          <w:tcPr>
            <w:tcW w:w="49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Balance at June 30, 2019</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41,477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550,303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(448,611)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101,733</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unaudited notes are an integral part of these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IVERIC bio, Inc.</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 Consolidated Statements of Cash Flows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165" w:lineRule="exact"/>
        <w:rPr>
          <w:sz w:val="20"/>
          <w:szCs w:val="20"/>
          <w:color w:val="auto"/>
        </w:rPr>
      </w:pPr>
    </w:p>
    <w:p>
      <w:pPr>
        <w:ind w:left="9180"/>
        <w:spacing w:after="0"/>
        <w:rPr>
          <w:sz w:val="20"/>
          <w:szCs w:val="20"/>
          <w:color w:val="auto"/>
        </w:rPr>
      </w:pPr>
      <w:r>
        <w:rPr>
          <w:rFonts w:ascii="Arial" w:cs="Arial" w:eastAsia="Arial" w:hAnsi="Arial"/>
          <w:sz w:val="11"/>
          <w:szCs w:val="11"/>
          <w:b w:val="1"/>
          <w:bCs w:val="1"/>
          <w:color w:val="auto"/>
        </w:rPr>
        <w:t>Six Months Ended June 30,</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140"/>
        </w:trPr>
        <w:tc>
          <w:tcPr>
            <w:tcW w:w="840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0"/>
                <w:szCs w:val="10"/>
                <w:b w:val="1"/>
                <w:bCs w:val="1"/>
                <w:color w:val="auto"/>
              </w:rPr>
              <w:t>2019</w:t>
            </w:r>
          </w:p>
        </w:tc>
      </w:tr>
      <w:tr>
        <w:trPr>
          <w:trHeight w:val="19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191"/>
        </w:trPr>
        <w:tc>
          <w:tcPr>
            <w:tcW w:w="8400" w:type="dxa"/>
            <w:vAlign w:val="bottom"/>
          </w:tcPr>
          <w:p>
            <w:pPr>
              <w:ind w:left="20"/>
              <w:spacing w:after="0"/>
              <w:rPr>
                <w:sz w:val="20"/>
                <w:szCs w:val="20"/>
                <w:color w:val="auto"/>
              </w:rPr>
            </w:pPr>
            <w:r>
              <w:rPr>
                <w:rFonts w:ascii="Arial" w:cs="Arial" w:eastAsia="Arial" w:hAnsi="Arial"/>
                <w:sz w:val="14"/>
                <w:szCs w:val="14"/>
                <w:color w:val="auto"/>
              </w:rPr>
              <w:t>Net loss</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(33,665)</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(26,944)</w:t>
            </w:r>
          </w:p>
        </w:tc>
      </w:tr>
      <w:tr>
        <w:trPr>
          <w:trHeight w:val="22"/>
        </w:trPr>
        <w:tc>
          <w:tcPr>
            <w:tcW w:w="8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191"/>
        </w:trPr>
        <w:tc>
          <w:tcPr>
            <w:tcW w:w="8400" w:type="dxa"/>
            <w:vAlign w:val="bottom"/>
          </w:tcPr>
          <w:p>
            <w:pPr>
              <w:ind w:left="100"/>
              <w:spacing w:after="0"/>
              <w:rPr>
                <w:sz w:val="20"/>
                <w:szCs w:val="20"/>
                <w:color w:val="auto"/>
              </w:rPr>
            </w:pPr>
            <w:r>
              <w:rPr>
                <w:rFonts w:ascii="Arial" w:cs="Arial" w:eastAsia="Arial" w:hAnsi="Arial"/>
                <w:sz w:val="14"/>
                <w:szCs w:val="14"/>
                <w:color w:val="auto"/>
              </w:rPr>
              <w:t>Depreciation and other expense</w:t>
            </w:r>
          </w:p>
        </w:tc>
        <w:tc>
          <w:tcPr>
            <w:tcW w:w="34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83</w:t>
            </w:r>
          </w:p>
        </w:tc>
      </w:tr>
      <w:tr>
        <w:trPr>
          <w:trHeight w:val="22"/>
        </w:trPr>
        <w:tc>
          <w:tcPr>
            <w:tcW w:w="8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8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Gain on sale of property and equipment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(150)</w:t>
            </w:r>
          </w:p>
        </w:tc>
      </w:tr>
      <w:tr>
        <w:trPr>
          <w:trHeight w:val="191"/>
        </w:trPr>
        <w:tc>
          <w:tcPr>
            <w:tcW w:w="8400" w:type="dxa"/>
            <w:vAlign w:val="bottom"/>
          </w:tcPr>
          <w:p>
            <w:pPr>
              <w:ind w:left="10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w:t>
            </w:r>
          </w:p>
        </w:tc>
      </w:tr>
      <w:tr>
        <w:trPr>
          <w:trHeight w:val="22"/>
        </w:trPr>
        <w:tc>
          <w:tcPr>
            <w:tcW w:w="8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8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Share-based compensation</w:t>
            </w:r>
          </w:p>
        </w:tc>
        <w:tc>
          <w:tcPr>
            <w:tcW w:w="3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4,197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4,677</w:t>
            </w:r>
          </w:p>
        </w:tc>
      </w:tr>
      <w:tr>
        <w:trPr>
          <w:trHeight w:val="191"/>
        </w:trPr>
        <w:tc>
          <w:tcPr>
            <w:tcW w:w="8400" w:type="dxa"/>
            <w:vAlign w:val="bottom"/>
          </w:tcPr>
          <w:p>
            <w:pPr>
              <w:ind w:left="10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
        </w:trPr>
        <w:tc>
          <w:tcPr>
            <w:tcW w:w="8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Income tax receivable</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r>
      <w:tr>
        <w:trPr>
          <w:trHeight w:val="191"/>
        </w:trPr>
        <w:tc>
          <w:tcPr>
            <w:tcW w:w="8400" w:type="dxa"/>
            <w:vAlign w:val="bottom"/>
          </w:tcPr>
          <w:p>
            <w:pPr>
              <w:ind w:left="160"/>
              <w:spacing w:after="0"/>
              <w:rPr>
                <w:sz w:val="20"/>
                <w:szCs w:val="20"/>
                <w:color w:val="auto"/>
              </w:rPr>
            </w:pPr>
            <w:r>
              <w:rPr>
                <w:rFonts w:ascii="Arial" w:cs="Arial" w:eastAsia="Arial" w:hAnsi="Arial"/>
                <w:sz w:val="14"/>
                <w:szCs w:val="14"/>
                <w:color w:val="auto"/>
              </w:rPr>
              <w:t>Prepaid expense and other assets</w:t>
            </w:r>
          </w:p>
        </w:tc>
        <w:tc>
          <w:tcPr>
            <w:tcW w:w="340" w:type="dxa"/>
            <w:vAlign w:val="bottom"/>
          </w:tcPr>
          <w:p>
            <w:pPr>
              <w:spacing w:after="0"/>
              <w:rPr>
                <w:sz w:val="16"/>
                <w:szCs w:val="16"/>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302</w:t>
            </w:r>
          </w:p>
        </w:tc>
      </w:tr>
      <w:tr>
        <w:trPr>
          <w:trHeight w:val="22"/>
        </w:trPr>
        <w:tc>
          <w:tcPr>
            <w:tcW w:w="8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Accrued research and development expenses</w:t>
            </w:r>
          </w:p>
        </w:tc>
        <w:tc>
          <w:tcPr>
            <w:tcW w:w="3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271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308</w:t>
            </w:r>
          </w:p>
        </w:tc>
      </w:tr>
      <w:tr>
        <w:trPr>
          <w:trHeight w:val="191"/>
        </w:trPr>
        <w:tc>
          <w:tcPr>
            <w:tcW w:w="8400" w:type="dxa"/>
            <w:vAlign w:val="bottom"/>
          </w:tcPr>
          <w:p>
            <w:pPr>
              <w:ind w:left="160"/>
              <w:spacing w:after="0"/>
              <w:rPr>
                <w:sz w:val="20"/>
                <w:szCs w:val="20"/>
                <w:color w:val="auto"/>
              </w:rPr>
            </w:pPr>
            <w:r>
              <w:rPr>
                <w:rFonts w:ascii="Arial" w:cs="Arial" w:eastAsia="Arial" w:hAnsi="Arial"/>
                <w:sz w:val="14"/>
                <w:szCs w:val="14"/>
                <w:color w:val="auto"/>
              </w:rPr>
              <w:t>Accounts payable and accrued expenses</w:t>
            </w:r>
          </w:p>
        </w:tc>
        <w:tc>
          <w:tcPr>
            <w:tcW w:w="340" w:type="dxa"/>
            <w:vAlign w:val="bottom"/>
          </w:tcPr>
          <w:p>
            <w:pPr>
              <w:spacing w:after="0"/>
              <w:rPr>
                <w:sz w:val="16"/>
                <w:szCs w:val="16"/>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(995)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(2,628)</w:t>
            </w:r>
          </w:p>
        </w:tc>
      </w:tr>
      <w:tr>
        <w:trPr>
          <w:trHeight w:val="22"/>
        </w:trPr>
        <w:tc>
          <w:tcPr>
            <w:tcW w:w="8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3"/>
        </w:trPr>
        <w:tc>
          <w:tcPr>
            <w:tcW w:w="8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Net cash used in 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(30,270)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(24,353)</w:t>
            </w:r>
          </w:p>
        </w:tc>
      </w:tr>
      <w:tr>
        <w:trPr>
          <w:trHeight w:val="181"/>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22"/>
        </w:trPr>
        <w:tc>
          <w:tcPr>
            <w:tcW w:w="8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3"/>
        </w:trPr>
        <w:tc>
          <w:tcPr>
            <w:tcW w:w="8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r>
      <w:tr>
        <w:trPr>
          <w:trHeight w:val="181"/>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22"/>
        </w:trPr>
        <w:tc>
          <w:tcPr>
            <w:tcW w:w="8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employee stock plan purchases</w:t>
            </w:r>
          </w:p>
        </w:tc>
        <w:tc>
          <w:tcPr>
            <w:tcW w:w="3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186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41</w:t>
            </w:r>
          </w:p>
        </w:tc>
      </w:tr>
      <w:tr>
        <w:trPr>
          <w:trHeight w:val="191"/>
        </w:trPr>
        <w:tc>
          <w:tcPr>
            <w:tcW w:w="8400" w:type="dxa"/>
            <w:vAlign w:val="bottom"/>
          </w:tcPr>
          <w:p>
            <w:pPr>
              <w:ind w:left="20"/>
              <w:spacing w:after="0"/>
              <w:rPr>
                <w:sz w:val="20"/>
                <w:szCs w:val="20"/>
                <w:color w:val="auto"/>
              </w:rPr>
            </w:pPr>
            <w:r>
              <w:rPr>
                <w:rFonts w:ascii="Arial" w:cs="Arial" w:eastAsia="Arial" w:hAnsi="Arial"/>
                <w:sz w:val="14"/>
                <w:szCs w:val="14"/>
                <w:color w:val="auto"/>
              </w:rPr>
              <w:t>Proceeds from follow-on public offering, net</w:t>
            </w:r>
          </w:p>
        </w:tc>
        <w:tc>
          <w:tcPr>
            <w:tcW w:w="34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116,883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w:t>
            </w:r>
          </w:p>
        </w:tc>
      </w:tr>
      <w:tr>
        <w:trPr>
          <w:trHeight w:val="22"/>
        </w:trPr>
        <w:tc>
          <w:tcPr>
            <w:tcW w:w="8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private-placement, net</w:t>
            </w: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33,237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r>
      <w:tr>
        <w:trPr>
          <w:trHeight w:val="181"/>
        </w:trPr>
        <w:tc>
          <w:tcPr>
            <w:tcW w:w="8400" w:type="dxa"/>
            <w:vAlign w:val="bottom"/>
          </w:tcPr>
          <w:p>
            <w:pPr>
              <w:ind w:left="10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150,306</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41</w:t>
            </w:r>
          </w:p>
        </w:tc>
      </w:tr>
      <w:tr>
        <w:trPr>
          <w:trHeight w:val="22"/>
        </w:trPr>
        <w:tc>
          <w:tcPr>
            <w:tcW w:w="8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3"/>
        </w:trPr>
        <w:tc>
          <w:tcPr>
            <w:tcW w:w="8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Net change in cash and cash equivalents</w:t>
            </w:r>
          </w:p>
        </w:tc>
        <w:tc>
          <w:tcPr>
            <w:tcW w:w="3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120,036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(24,312)</w:t>
            </w:r>
          </w:p>
        </w:tc>
      </w:tr>
      <w:tr>
        <w:trPr>
          <w:trHeight w:val="181"/>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w:t>
            </w: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22"/>
        </w:trPr>
        <w:tc>
          <w:tcPr>
            <w:tcW w:w="8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of period</w:t>
            </w: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125,699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131,201</w:t>
            </w:r>
          </w:p>
        </w:tc>
      </w:tr>
      <w:tr>
        <w:trPr>
          <w:trHeight w:val="181"/>
        </w:trPr>
        <w:tc>
          <w:tcPr>
            <w:tcW w:w="8400" w:type="dxa"/>
            <w:vAlign w:val="bottom"/>
          </w:tcPr>
          <w:p>
            <w:pPr>
              <w:ind w:left="20"/>
              <w:spacing w:after="0"/>
              <w:rPr>
                <w:sz w:val="20"/>
                <w:szCs w:val="20"/>
                <w:color w:val="auto"/>
              </w:rPr>
            </w:pPr>
            <w:r>
              <w:rPr>
                <w:rFonts w:ascii="Arial" w:cs="Arial" w:eastAsia="Arial" w:hAnsi="Arial"/>
                <w:sz w:val="14"/>
                <w:szCs w:val="14"/>
                <w:color w:val="auto"/>
              </w:rPr>
              <w:t>End of period</w:t>
            </w:r>
          </w:p>
        </w:tc>
        <w:tc>
          <w:tcPr>
            <w:tcW w:w="340" w:type="dxa"/>
            <w:vAlign w:val="bottom"/>
            <w:tcBorders>
              <w:top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245,735</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106,889</w:t>
            </w:r>
          </w:p>
        </w:tc>
      </w:tr>
      <w:tr>
        <w:trPr>
          <w:trHeight w:val="22"/>
        </w:trPr>
        <w:tc>
          <w:tcPr>
            <w:tcW w:w="8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paid</w:t>
            </w:r>
          </w:p>
        </w:tc>
        <w:tc>
          <w:tcPr>
            <w:tcW w:w="3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91"/>
        </w:trPr>
        <w:tc>
          <w:tcPr>
            <w:tcW w:w="8400" w:type="dxa"/>
            <w:vAlign w:val="bottom"/>
          </w:tcPr>
          <w:p>
            <w:pPr>
              <w:ind w:left="20"/>
              <w:spacing w:after="0"/>
              <w:rPr>
                <w:sz w:val="20"/>
                <w:szCs w:val="20"/>
                <w:color w:val="auto"/>
              </w:rPr>
            </w:pPr>
            <w:r>
              <w:rPr>
                <w:rFonts w:ascii="Arial" w:cs="Arial" w:eastAsia="Arial" w:hAnsi="Arial"/>
                <w:sz w:val="14"/>
                <w:szCs w:val="14"/>
                <w:color w:val="auto"/>
              </w:rPr>
              <w:t>Income tax refunds received</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3,327</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w:t>
            </w:r>
          </w:p>
        </w:tc>
      </w:tr>
    </w:tbl>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The accompanying unaudited notes are an integral part of these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IVERIC bio,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data)</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Business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 of Business and Organization</w:t>
      </w:r>
    </w:p>
    <w:p>
      <w:pPr>
        <w:spacing w:after="0" w:line="129" w:lineRule="exact"/>
        <w:rPr>
          <w:sz w:val="20"/>
          <w:szCs w:val="20"/>
          <w:color w:val="auto"/>
        </w:rPr>
      </w:pPr>
    </w:p>
    <w:p>
      <w:pPr>
        <w:jc w:val="both"/>
        <w:ind w:right="40" w:firstLine="283"/>
        <w:spacing w:after="0" w:line="267" w:lineRule="auto"/>
        <w:rPr>
          <w:sz w:val="20"/>
          <w:szCs w:val="20"/>
          <w:color w:val="auto"/>
        </w:rPr>
      </w:pPr>
      <w:r>
        <w:rPr>
          <w:rFonts w:ascii="Arial" w:cs="Arial" w:eastAsia="Arial" w:hAnsi="Arial"/>
          <w:sz w:val="14"/>
          <w:szCs w:val="14"/>
          <w:color w:val="auto"/>
        </w:rPr>
        <w:t>IVERIC bio, Inc. (the “Company”), formerly Ophthotech Corporation, was incorporated on January 5, 2007, in Delaware. The Company is a science-driven biopharmaceutical company focused on the discovery and development of novel treatment options for retinal diseases with significant unmet medical needs. The Company is currently developing both therapeutic product candidates for age-related retinal diseases and gene therapy product candidates for orphan inherited retinal diseases ("IRDs").</w:t>
      </w:r>
    </w:p>
    <w:p>
      <w:pPr>
        <w:spacing w:after="0" w:line="89" w:lineRule="exact"/>
        <w:rPr>
          <w:sz w:val="20"/>
          <w:szCs w:val="20"/>
          <w:color w:val="auto"/>
        </w:rPr>
      </w:pPr>
    </w:p>
    <w:p>
      <w:pPr>
        <w:ind w:right="280" w:firstLine="280"/>
        <w:spacing w:after="0" w:line="321" w:lineRule="auto"/>
        <w:rPr>
          <w:sz w:val="20"/>
          <w:szCs w:val="20"/>
          <w:color w:val="auto"/>
        </w:rPr>
      </w:pPr>
      <w:r>
        <w:rPr>
          <w:rFonts w:ascii="Arial" w:cs="Arial" w:eastAsia="Arial" w:hAnsi="Arial"/>
          <w:sz w:val="13"/>
          <w:szCs w:val="13"/>
          <w:color w:val="auto"/>
        </w:rPr>
        <w:t>The Company's therapeutics portfolio consists of its clinical stage product candidate Zimura® (avacincaptad pegol), a complement C5 inhibitor, and IC-500, its preclinical product candidate from its High temperature requirement A serine peptidase 1 protein ("HtrA1") inhibitors program. The Company is currently targeting the following diseases with Zimura:</w:t>
      </w:r>
    </w:p>
    <w:p>
      <w:pPr>
        <w:spacing w:after="0" w:line="46" w:lineRule="exact"/>
        <w:rPr>
          <w:sz w:val="20"/>
          <w:szCs w:val="20"/>
          <w:color w:val="auto"/>
        </w:rPr>
      </w:pPr>
    </w:p>
    <w:p>
      <w:pPr>
        <w:ind w:left="520" w:right="460" w:hanging="260"/>
        <w:spacing w:after="0" w:line="28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geographic atrophy ("GA"), which is the advanced stage of age-related macular degeneration ("AMD") and is characterized by marked thinning or atrophy of retinal tissue, leading to irreversible loss of vision; and</w:t>
      </w:r>
    </w:p>
    <w:p>
      <w:pPr>
        <w:spacing w:after="0" w:line="79" w:lineRule="exact"/>
        <w:rPr>
          <w:rFonts w:ascii="Arial" w:cs="Arial" w:eastAsia="Arial" w:hAnsi="Arial"/>
          <w:sz w:val="14"/>
          <w:szCs w:val="14"/>
          <w:color w:val="auto"/>
        </w:rPr>
      </w:pPr>
    </w:p>
    <w:p>
      <w:pPr>
        <w:ind w:left="520" w:right="220" w:hanging="260"/>
        <w:spacing w:after="0" w:line="28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autosomal recessive Stargardt disease ("STGD1"), which is characterized by progressive damage to the central portion of the retina (the "macula") and other retinal tissue of young adults, leading to loss of vision.</w:t>
      </w:r>
    </w:p>
    <w:p>
      <w:pPr>
        <w:spacing w:after="0" w:line="79" w:lineRule="exact"/>
        <w:rPr>
          <w:sz w:val="20"/>
          <w:szCs w:val="20"/>
          <w:color w:val="auto"/>
        </w:rPr>
      </w:pPr>
    </w:p>
    <w:p>
      <w:pPr>
        <w:ind w:firstLine="283"/>
        <w:spacing w:after="0" w:line="276" w:lineRule="auto"/>
        <w:rPr>
          <w:sz w:val="20"/>
          <w:szCs w:val="20"/>
          <w:color w:val="auto"/>
        </w:rPr>
      </w:pPr>
      <w:r>
        <w:rPr>
          <w:rFonts w:ascii="Arial" w:cs="Arial" w:eastAsia="Arial" w:hAnsi="Arial"/>
          <w:sz w:val="13"/>
          <w:szCs w:val="13"/>
          <w:color w:val="auto"/>
        </w:rPr>
        <w:t>In June 2020, the Company announced 18-month data from its international, randomized, double masked, sham controlled, multi-center Phase 3 clinical trial (the "GATHER1 trial") assessing the safety and efficacy of Zimura for the treatment of GA secondary to AMD. 286 patients were enrolled in this trial across multiple treatment groups, including various Zimura doses and sham control groups and patients were treated and followed for 18 months. The 18-month data supports the previously announced 12-month data from this trial, which confirmed that Zimura met the prespecified primary efficacy endpoint in reducing the rate of GA growth with statistical significance. The reduction in the mean rate of GA growth over 18 months was 28.11% for the Zimura 2 mg group as compared to the corresponding sham control group and 29.97% for the Zimura 4 mg group as compared to the corresponding sham control group. The pre-specified efficacy analysis for the primary endpoint was performed at month 12 using all of the statistical power in the trial to detect a statistically significant difference. Therefore, the p-values for the 18 month statistical analyses are descriptive in nature. The descriptive p-values for the treatment effects at month 18 were p=0.0014 for the Zimura 2 mg group and p=0.0021 for the Zimura 4 mg group. In this trial, the treatment effect was observed as early as 6 months, with an increase in the absolute difference of the mean change in GA growth for treatment with either Zimura 2 mg or Zimura 4 mg, as compared to sham, at each subsequent time point, suggesting the progressive benefit of continuous treatment with Zimura. Zimura maintained its favorable safety profile at 18 months with no investigator reported Zimura related adverse events, no cases of endophthalmitis and a lower rate of choroidal neovascularization ("CNV") than reported for C3 inhibition. The overall 18 month data may suggest a dose response relationship. GATHER1 was designed to be a Phase 2b screening trial, with the potential to qualify as a pivotal trial depending on the magnitude and statistical significance of the potential benefit observed. Based on the 12-month data, the Company believes that the GATHER1 trial qualifies as the first of two Phase 3 trials typically required by the U.S. Food and Drug Administration ("FDA") for marketing approval of a pharmaceutical product. In light of the 12-month data, the Company changed the phase designation of the GATHER1 trial to a Phase 2/3 trial and believes it counts as a Phase 3 clinical trial.</w:t>
      </w:r>
    </w:p>
    <w:p>
      <w:pPr>
        <w:spacing w:after="0" w:line="140" w:lineRule="exact"/>
        <w:rPr>
          <w:sz w:val="20"/>
          <w:szCs w:val="20"/>
          <w:color w:val="auto"/>
        </w:rPr>
      </w:pPr>
    </w:p>
    <w:p>
      <w:pPr>
        <w:ind w:right="140" w:firstLine="509"/>
        <w:spacing w:after="0" w:line="281" w:lineRule="auto"/>
        <w:rPr>
          <w:sz w:val="20"/>
          <w:szCs w:val="20"/>
          <w:color w:val="auto"/>
        </w:rPr>
      </w:pPr>
      <w:r>
        <w:rPr>
          <w:rFonts w:ascii="Arial" w:cs="Arial" w:eastAsia="Arial" w:hAnsi="Arial"/>
          <w:sz w:val="14"/>
          <w:szCs w:val="14"/>
          <w:color w:val="auto"/>
        </w:rPr>
        <w:t>In June 2020, the Company dosed the first patient in its second international, randomized, double masked, sham controlled, multi-center Phase 3 clinical trial of Zimura for the treatment of GA secondary to AMD (the "GATHER2 trial"). The Company plans to enroll approximately 400 patients in this trial.</w:t>
      </w:r>
    </w:p>
    <w:p>
      <w:pPr>
        <w:spacing w:after="0" w:line="69" w:lineRule="exact"/>
        <w:rPr>
          <w:sz w:val="20"/>
          <w:szCs w:val="20"/>
          <w:color w:val="auto"/>
        </w:rPr>
      </w:pPr>
    </w:p>
    <w:p>
      <w:pPr>
        <w:ind w:right="80" w:firstLine="509"/>
        <w:spacing w:after="0" w:line="267" w:lineRule="auto"/>
        <w:rPr>
          <w:sz w:val="20"/>
          <w:szCs w:val="20"/>
          <w:color w:val="auto"/>
        </w:rPr>
      </w:pPr>
      <w:r>
        <w:rPr>
          <w:rFonts w:ascii="Arial" w:cs="Arial" w:eastAsia="Arial" w:hAnsi="Arial"/>
          <w:sz w:val="14"/>
          <w:szCs w:val="14"/>
          <w:color w:val="auto"/>
        </w:rPr>
        <w:t>The Company recently reopened enrollment in its ongoing, international, randomized, double masked, sham controlled, multi-center Phase 2b clinical trial evaluating the safety and efficacy of Zimura for the treatment of STGD1 (the "OPH2005 trial"). The Company plans to enroll approximately 25 additional patients, with the goal of enrolling a total of approximately 120 patients as was initially intended in the protocol for the OPH2005 trial.</w:t>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Company is developing IC-500 for GA and potentially other age-related retinal diseases.</w:t>
      </w:r>
    </w:p>
    <w:p>
      <w:pPr>
        <w:spacing w:after="0" w:line="125" w:lineRule="exact"/>
        <w:rPr>
          <w:sz w:val="20"/>
          <w:szCs w:val="20"/>
          <w:color w:val="auto"/>
        </w:rPr>
      </w:pPr>
    </w:p>
    <w:p>
      <w:pPr>
        <w:ind w:right="100" w:firstLine="280"/>
        <w:spacing w:after="0" w:line="281" w:lineRule="auto"/>
        <w:rPr>
          <w:sz w:val="20"/>
          <w:szCs w:val="20"/>
          <w:color w:val="auto"/>
        </w:rPr>
      </w:pPr>
      <w:r>
        <w:rPr>
          <w:rFonts w:ascii="Arial" w:cs="Arial" w:eastAsia="Arial" w:hAnsi="Arial"/>
          <w:sz w:val="14"/>
          <w:szCs w:val="14"/>
          <w:color w:val="auto"/>
        </w:rPr>
        <w:t>The Company's gene therapy portfolio consists of two product candidates in preclinical development and several ongoing collaborative sponsored research programs, each of which uses adeno-associated virus ("AAV") for gene delivery. These AAV mediated gene therapy programs are targeting the following orphan IRDs: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rhodopsin-mediated autosomal dominant retinitis pigmentosa ("RHO-adRP") which is characterized by progressive and severe bilateral loss of vision leading to blindness;</w:t>
      </w:r>
    </w:p>
    <w:p>
      <w:pPr>
        <w:spacing w:after="0" w:line="114" w:lineRule="exact"/>
        <w:rPr>
          <w:rFonts w:ascii="Arial" w:cs="Arial" w:eastAsia="Arial" w:hAnsi="Arial"/>
          <w:sz w:val="14"/>
          <w:szCs w:val="14"/>
          <w:color w:val="auto"/>
        </w:rPr>
      </w:pPr>
    </w:p>
    <w:p>
      <w:pPr>
        <w:ind w:left="520" w:right="20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IRDs associated with mutations in the </w:t>
      </w:r>
      <w:r>
        <w:rPr>
          <w:rFonts w:ascii="Arial" w:cs="Arial" w:eastAsia="Arial" w:hAnsi="Arial"/>
          <w:sz w:val="14"/>
          <w:szCs w:val="14"/>
          <w:i w:val="1"/>
          <w:iCs w:val="1"/>
          <w:color w:val="auto"/>
        </w:rPr>
        <w:t>BEST1</w:t>
      </w:r>
      <w:r>
        <w:rPr>
          <w:rFonts w:ascii="Arial" w:cs="Arial" w:eastAsia="Arial" w:hAnsi="Arial"/>
          <w:sz w:val="14"/>
          <w:szCs w:val="14"/>
          <w:color w:val="auto"/>
        </w:rPr>
        <w:t xml:space="preserve"> gene, including Best vitelliform macular dystrophy, or Best disease, which is generally characterized by bilateral egg yolk-like lesions in the macula, which, over time, progress to atrophy and loss of vision;</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Leber congenital amaurosis type 10 ("LCA10") which is characterized by severe bilateral loss of vision at or soon after birth;</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autosomal recessive Stargardt disease; and</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IRDs associated with mutations in the USH2A gene, which include Usher syndrome type 2A and USH2A-associated non-syndromic autosomal recessive retinitis pigmentosa.</w:t>
      </w:r>
    </w:p>
    <w:p>
      <w:pPr>
        <w:spacing w:after="0" w:line="125" w:lineRule="exact"/>
        <w:rPr>
          <w:sz w:val="20"/>
          <w:szCs w:val="20"/>
          <w:color w:val="auto"/>
        </w:rPr>
      </w:pPr>
    </w:p>
    <w:p>
      <w:pPr>
        <w:ind w:firstLine="280"/>
        <w:spacing w:after="0" w:line="260" w:lineRule="auto"/>
        <w:rPr>
          <w:sz w:val="20"/>
          <w:szCs w:val="20"/>
          <w:color w:val="auto"/>
        </w:rPr>
      </w:pPr>
      <w:r>
        <w:rPr>
          <w:rFonts w:ascii="Arial" w:cs="Arial" w:eastAsia="Arial" w:hAnsi="Arial"/>
          <w:sz w:val="14"/>
          <w:szCs w:val="14"/>
          <w:color w:val="auto"/>
        </w:rPr>
        <w:t xml:space="preserve">The Company's lead gene therapy product candidate is IC-100, which it is developing for the treatment of RHO-adRP. Subject to successful completion of preclinical development and manufacturing under current good manufacturing practices ("cGMP"), the Company plans to file an investigational new drug application ("IND") for IC-100 by the end of 2020 or early 2021 with the goal of commencing patient enrollment in a Phase 1/2 clinical trial during the first half of 2021. The Company is also developing IC-200, its gene therapy product candidate for the treatment of IRDs associated with mutations in the </w:t>
      </w:r>
      <w:r>
        <w:rPr>
          <w:rFonts w:ascii="Arial" w:cs="Arial" w:eastAsia="Arial" w:hAnsi="Arial"/>
          <w:sz w:val="14"/>
          <w:szCs w:val="14"/>
          <w:i w:val="1"/>
          <w:iCs w:val="1"/>
          <w:color w:val="auto"/>
        </w:rPr>
        <w:t>BEST1</w:t>
      </w:r>
      <w:r>
        <w:rPr>
          <w:rFonts w:ascii="Arial" w:cs="Arial" w:eastAsia="Arial" w:hAnsi="Arial"/>
          <w:sz w:val="14"/>
          <w:szCs w:val="14"/>
          <w:color w:val="auto"/>
        </w:rPr>
        <w:t xml:space="preserve"> gene. Subject to successful completion of preclinical development and manufacturing under cGMP, the Company plans to file an IND and, subject to regulatory review, initiate a Phase 1/2 clinical trial for IC-200 in 2021.</w:t>
      </w: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Summary of Significant Accounting Policies</w:t>
      </w:r>
    </w:p>
    <w:p>
      <w:pPr>
        <w:spacing w:after="0" w:line="129" w:lineRule="exact"/>
        <w:rPr>
          <w:sz w:val="20"/>
          <w:szCs w:val="20"/>
          <w:color w:val="auto"/>
        </w:rPr>
      </w:pPr>
    </w:p>
    <w:p>
      <w:pPr>
        <w:jc w:val="both"/>
        <w:ind w:right="80" w:firstLine="318"/>
        <w:spacing w:after="0" w:line="321" w:lineRule="auto"/>
        <w:rPr>
          <w:sz w:val="20"/>
          <w:szCs w:val="20"/>
          <w:color w:val="auto"/>
        </w:rPr>
      </w:pPr>
      <w:r>
        <w:rPr>
          <w:rFonts w:ascii="Arial" w:cs="Arial" w:eastAsia="Arial" w:hAnsi="Arial"/>
          <w:sz w:val="13"/>
          <w:szCs w:val="13"/>
          <w:color w:val="auto"/>
        </w:rPr>
        <w:t>The Company’s significant accounting policies are described in Note 2, “Summary of Significant Accounting Policies,” in the notes to the audited consolidated financial statements included in the Company’s Annual Report on Form 10-K (“Annual Report”) for the year ended December 31, 2019 filed with the Securities and Exchange Commission ("SEC") on February 27, 2020.</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 and Consolidation</w:t>
      </w:r>
    </w:p>
    <w:p>
      <w:pPr>
        <w:spacing w:after="0" w:line="119" w:lineRule="exact"/>
        <w:rPr>
          <w:sz w:val="20"/>
          <w:szCs w:val="20"/>
          <w:color w:val="auto"/>
        </w:rPr>
      </w:pPr>
    </w:p>
    <w:p>
      <w:pPr>
        <w:jc w:val="both"/>
        <w:ind w:right="60" w:firstLine="509"/>
        <w:spacing w:after="0" w:line="288" w:lineRule="auto"/>
        <w:rPr>
          <w:sz w:val="20"/>
          <w:szCs w:val="20"/>
          <w:color w:val="auto"/>
        </w:rPr>
      </w:pPr>
      <w:r>
        <w:rPr>
          <w:rFonts w:ascii="Arial" w:cs="Arial" w:eastAsia="Arial" w:hAnsi="Arial"/>
          <w:sz w:val="13"/>
          <w:szCs w:val="13"/>
          <w:color w:val="212529"/>
        </w:rPr>
        <w:t>In the opinion of management, the Company’s condensed consolidated financial statements include all adjustments, consisting of normal recurring accruals, necessary for a fair statement of the Company’s financial statements for interim periods in accordance with accounting principles generally accepted in the United States (U.S. GAAP). The consolidated financial statements include the accounts of the Company and its subsidiaries. All intercompany balances and transactions have been eliminated in consolidation. The information included in this quarterly report on Form 10-Q should be read in conjunction with the Company’s audited consolidated financial statements and the accompanying notes included in the Annual Report.</w:t>
      </w:r>
    </w:p>
    <w:p>
      <w:pPr>
        <w:spacing w:after="0" w:line="78" w:lineRule="exact"/>
        <w:rPr>
          <w:sz w:val="20"/>
          <w:szCs w:val="20"/>
          <w:color w:val="auto"/>
        </w:rPr>
      </w:pPr>
    </w:p>
    <w:p>
      <w:pPr>
        <w:ind w:right="120" w:firstLine="509"/>
        <w:spacing w:after="0" w:line="267" w:lineRule="auto"/>
        <w:rPr>
          <w:sz w:val="20"/>
          <w:szCs w:val="20"/>
          <w:color w:val="auto"/>
        </w:rPr>
      </w:pPr>
      <w:r>
        <w:rPr>
          <w:rFonts w:ascii="Arial" w:cs="Arial" w:eastAsia="Arial" w:hAnsi="Arial"/>
          <w:sz w:val="14"/>
          <w:szCs w:val="14"/>
          <w:color w:val="212529"/>
        </w:rPr>
        <w:t>The year-end condensed consolidated balance sheet data presented for comparative purposes was derived from the Company’s audited financial statements but does not include all disclosures required by U.S. GAAP. The results of operations for the three and six months ended June 30, 2020 are not necessarily indicative of the operating results for the full year or for any other subsequent interim period.</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Segment and geographic information</w:t>
      </w:r>
    </w:p>
    <w:p>
      <w:pPr>
        <w:spacing w:after="0" w:line="119" w:lineRule="exact"/>
        <w:rPr>
          <w:sz w:val="20"/>
          <w:szCs w:val="20"/>
          <w:color w:val="auto"/>
        </w:rPr>
      </w:pPr>
    </w:p>
    <w:p>
      <w:pPr>
        <w:ind w:right="80" w:firstLine="350"/>
        <w:spacing w:after="0" w:line="321" w:lineRule="auto"/>
        <w:rPr>
          <w:sz w:val="20"/>
          <w:szCs w:val="20"/>
          <w:color w:val="auto"/>
        </w:rPr>
      </w:pPr>
      <w:r>
        <w:rPr>
          <w:rFonts w:ascii="Arial" w:cs="Arial" w:eastAsia="Arial" w:hAnsi="Arial"/>
          <w:sz w:val="13"/>
          <w:szCs w:val="13"/>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and reporting segment.</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129" w:lineRule="exact"/>
        <w:rPr>
          <w:sz w:val="20"/>
          <w:szCs w:val="20"/>
          <w:color w:val="auto"/>
        </w:rPr>
      </w:pPr>
    </w:p>
    <w:p>
      <w:pPr>
        <w:ind w:right="140" w:firstLine="350"/>
        <w:spacing w:after="0" w:line="260" w:lineRule="auto"/>
        <w:rPr>
          <w:sz w:val="20"/>
          <w:szCs w:val="20"/>
          <w:color w:val="auto"/>
        </w:rPr>
      </w:pPr>
      <w:r>
        <w:rPr>
          <w:rFonts w:ascii="Arial" w:cs="Arial" w:eastAsia="Arial" w:hAnsi="Arial"/>
          <w:sz w:val="14"/>
          <w:szCs w:val="14"/>
          <w:color w:val="auto"/>
        </w:rPr>
        <w:t>The preparation of financial statements and related disclosures in conformity with GAAP requires management to make estimates and judgments that affect the amounts reported in the financial statements and accompanying notes. The Company bases its estimates and judgments on historical experience and on various other assumptions that it believes are reasonable under the circumstances. The amounts of assets and liabilities reported in the Company's Consolidated Balance Sheets and the amount of expenses reported for each of the periods presented are affected by estimates and assumptions, which are used for, but not limited to, accounting for research and development costs, accounting for share-based compensation and accounting for income taxes. Actual results could differ from those estimates.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w:t>
      </w:r>
    </w:p>
    <w:p>
      <w:pPr>
        <w:spacing w:after="0" w:line="119" w:lineRule="exact"/>
        <w:rPr>
          <w:sz w:val="20"/>
          <w:szCs w:val="20"/>
          <w:color w:val="auto"/>
        </w:rPr>
      </w:pPr>
    </w:p>
    <w:p>
      <w:pPr>
        <w:ind w:right="120" w:firstLine="350"/>
        <w:spacing w:after="0" w:line="281" w:lineRule="auto"/>
        <w:rPr>
          <w:sz w:val="20"/>
          <w:szCs w:val="20"/>
          <w:color w:val="auto"/>
        </w:rPr>
      </w:pPr>
      <w:r>
        <w:rPr>
          <w:rFonts w:ascii="Arial" w:cs="Arial" w:eastAsia="Arial" w:hAnsi="Arial"/>
          <w:sz w:val="14"/>
          <w:szCs w:val="14"/>
          <w:color w:val="auto"/>
        </w:rPr>
        <w:t>The Company considers all highly liquid investments with an original maturity of 90 days or less when purchased to be cash equivalents. The carrying amounts reported in the Balance Sheets for cash and cash equivalents are valued at cost, which approximates their fair value.</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of June 30, 2020, the Company had cash and cash equivalents of approximately $245.7 million.</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Concentration of Credit Risk</w:t>
      </w:r>
    </w:p>
    <w:p>
      <w:pPr>
        <w:spacing w:after="0" w:line="119" w:lineRule="exact"/>
        <w:rPr>
          <w:sz w:val="20"/>
          <w:szCs w:val="20"/>
          <w:color w:val="auto"/>
        </w:rPr>
      </w:pPr>
    </w:p>
    <w:p>
      <w:pPr>
        <w:ind w:right="360" w:firstLine="350"/>
        <w:spacing w:after="0" w:line="267" w:lineRule="auto"/>
        <w:rPr>
          <w:sz w:val="20"/>
          <w:szCs w:val="20"/>
          <w:color w:val="auto"/>
        </w:rPr>
      </w:pPr>
      <w:r>
        <w:rPr>
          <w:rFonts w:ascii="Arial" w:cs="Arial" w:eastAsia="Arial" w:hAnsi="Arial"/>
          <w:sz w:val="14"/>
          <w:szCs w:val="14"/>
          <w:color w:val="auto"/>
        </w:rPr>
        <w:t>The Company's financial instruments that are exposed to concentration of credit risk consist primarily of cash and cash equivalents. The Company maintains its cash in bank accounts, the balances of which generally exceed federally insured limits. The Company maintains its cash equivalents in investments in money market funds and, at times, in U.S. Treasury securities and investment-grade corporate debt securities with original maturities of 90 days or less.</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believes it is not exposed to significant credit risk on its 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Concentration of Suppliers</w:t>
      </w:r>
    </w:p>
    <w:p>
      <w:pPr>
        <w:spacing w:after="0" w:line="119" w:lineRule="exact"/>
        <w:rPr>
          <w:sz w:val="20"/>
          <w:szCs w:val="20"/>
          <w:color w:val="auto"/>
        </w:rPr>
      </w:pPr>
    </w:p>
    <w:p>
      <w:pPr>
        <w:ind w:right="40" w:firstLine="318"/>
        <w:spacing w:after="0" w:line="278" w:lineRule="auto"/>
        <w:rPr>
          <w:sz w:val="20"/>
          <w:szCs w:val="20"/>
          <w:color w:val="auto"/>
        </w:rPr>
      </w:pPr>
      <w:r>
        <w:rPr>
          <w:rFonts w:ascii="Arial" w:cs="Arial" w:eastAsia="Arial" w:hAnsi="Arial"/>
          <w:sz w:val="13"/>
          <w:szCs w:val="13"/>
          <w:color w:val="auto"/>
        </w:rPr>
        <w:t>The Company has historically relied on a single third-party manufacturer to provide the drug substance for Zimura on a purchase order basis. The Company also has historically relied on a single third-party manufacturer to provide fill/finish services for clinical supplies of Zimura. In addition, the Company currently relies upon a single third-party supplier to supply on a purchase order basis the proprietary polyethylene glycol starting material used to manufacture Zimura. Furthermore, the Company and its contract manufacturers currently rely upon sole-source suppliers of certain raw materials and other specialized components of production used in the manufacture and fill/finish of Zimura. The Company currently relies exclusively upon a single third-party contract manufacturer for IC-100 and IC-200 and also relies on sole-source suppliers for certain starting materials used in the manufacture of such product candidates. The Company currently relies upon a single third-party contract manufacturer to conduct process development, scale-up and cGMP manufacture of IC-500 for potential preclinical toxicology studies and clinical trials. If the Company’s third-party manufacturers or fill/finish service providers should become unavailable to the Company for any reason, including as a result of capacity constraints, different business objectives, financial difficulties, insolvency or the COVID-19 pandemic, the Company believes that there are a limited number of potential replacement manufacturers, and the Company likely would incur added costs and delays in identifying or qualifying such replacements.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Translation</w:t>
      </w:r>
    </w:p>
    <w:p>
      <w:pPr>
        <w:spacing w:after="0" w:line="129" w:lineRule="exact"/>
        <w:rPr>
          <w:sz w:val="20"/>
          <w:szCs w:val="20"/>
          <w:color w:val="auto"/>
        </w:rPr>
      </w:pPr>
    </w:p>
    <w:p>
      <w:pPr>
        <w:ind w:right="120" w:firstLine="350"/>
        <w:spacing w:after="0" w:line="267" w:lineRule="auto"/>
        <w:rPr>
          <w:sz w:val="20"/>
          <w:szCs w:val="20"/>
          <w:color w:val="auto"/>
        </w:rPr>
      </w:pPr>
      <w:r>
        <w:rPr>
          <w:rFonts w:ascii="Arial" w:cs="Arial" w:eastAsia="Arial" w:hAnsi="Arial"/>
          <w:sz w:val="14"/>
          <w:szCs w:val="14"/>
          <w:color w:val="auto"/>
        </w:rPr>
        <w:t>The Company considers the U.S. dollar to be its functional currency. Expenses denominated in foreign currencies are translated at the exchange rate on the date the expense is incurred. The effect of exchange rate fluctuations on translating foreign currency assets and liabilities into U.S. dollars is included in the Consolidated Statements of Operations and Comprehensive Loss. Foreign exchange transaction gains and losses are included in the results of operations and are not material in the Company's financial statements.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Instruments</w:t>
      </w:r>
    </w:p>
    <w:p>
      <w:pPr>
        <w:spacing w:after="0" w:line="129" w:lineRule="exact"/>
        <w:rPr>
          <w:sz w:val="20"/>
          <w:szCs w:val="20"/>
          <w:color w:val="auto"/>
        </w:rPr>
      </w:pPr>
    </w:p>
    <w:p>
      <w:pPr>
        <w:ind w:right="20" w:firstLine="350"/>
        <w:spacing w:after="0" w:line="281" w:lineRule="auto"/>
        <w:rPr>
          <w:sz w:val="20"/>
          <w:szCs w:val="20"/>
          <w:color w:val="auto"/>
        </w:rPr>
      </w:pPr>
      <w:r>
        <w:rPr>
          <w:rFonts w:ascii="Arial" w:cs="Arial" w:eastAsia="Arial" w:hAnsi="Arial"/>
          <w:sz w:val="14"/>
          <w:szCs w:val="14"/>
          <w:color w:val="auto"/>
        </w:rPr>
        <w:t>Cash equivalents and available for sale securities are reflected in the accompanying financial statements at fair value. The carrying amount of accounts payable and accrued expenses, including accrued research and development expenses, approximates fair value due to the short-term nature of those instruments.</w:t>
      </w:r>
    </w:p>
    <w:p>
      <w:pPr>
        <w:spacing w:after="0" w:line="79"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 xml:space="preserve">Accounting Standards Codification, or ASC 820, </w:t>
      </w:r>
      <w:r>
        <w:rPr>
          <w:rFonts w:ascii="Arial" w:cs="Arial" w:eastAsia="Arial" w:hAnsi="Arial"/>
          <w:sz w:val="14"/>
          <w:szCs w:val="14"/>
          <w:i w:val="1"/>
          <w:iCs w:val="1"/>
          <w:color w:val="auto"/>
        </w:rPr>
        <w:t>Fair Value Measurements and Disclosures,</w:t>
      </w:r>
      <w:r>
        <w:rPr>
          <w:rFonts w:ascii="Arial" w:cs="Arial" w:eastAsia="Arial" w:hAnsi="Arial"/>
          <w:sz w:val="14"/>
          <w:szCs w:val="14"/>
          <w:color w:val="auto"/>
        </w:rPr>
        <w:t xml:space="preserve">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163" w:lineRule="exact"/>
        <w:rPr>
          <w:sz w:val="20"/>
          <w:szCs w:val="20"/>
          <w:color w:val="auto"/>
        </w:rPr>
      </w:pPr>
    </w:p>
    <w:p>
      <w:pPr>
        <w:ind w:right="20" w:firstLine="318"/>
        <w:spacing w:after="0" w:line="288" w:lineRule="auto"/>
        <w:rPr>
          <w:sz w:val="20"/>
          <w:szCs w:val="20"/>
          <w:color w:val="auto"/>
        </w:rPr>
      </w:pPr>
      <w:r>
        <w:rPr>
          <w:rFonts w:ascii="Arial" w:cs="Arial" w:eastAsia="Arial" w:hAnsi="Arial"/>
          <w:sz w:val="13"/>
          <w:szCs w:val="13"/>
          <w:color w:val="auto"/>
        </w:rPr>
        <w:t>The Company reviews investments on a periodic basis for other than temporary impairments. This review is subjective as it requires management to evaluate whether an event or change in circumstances has occurred in the period that may have a significant adverse effect on the fair value of the investment. The Company uses the market approach to measure fair value for its financial assets. The market approach uses prices and other relevant information generated by market transactions involving identical or comparable assets. The Company classifies its corporate debt securities within the fair value hierarchy as Level 2 assets, as it primarily utilizes quoted market prices or rates for similar instruments to value these securities.</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valuation hierarchy is based upon the transparency of inputs to the valuation of an asset or liability on the measurement date. The three levels are defined as follows: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0" w:right="220" w:hanging="260"/>
        <w:spacing w:after="0" w:line="260"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color w:val="auto"/>
        </w:rPr>
        <w:t>Level 1—inputs to the valuation methodology are quoted prices (unadjusted) for an identical asset or liability in an active market. The Company's Level 1 assets consist of investments in money market funds and U.S. Treasury securities.</w:t>
      </w:r>
    </w:p>
    <w:p>
      <w:pPr>
        <w:ind w:left="520" w:right="560" w:hanging="260"/>
        <w:spacing w:after="0" w:line="272" w:lineRule="auto"/>
        <w:tabs>
          <w:tab w:leader="none" w:pos="516" w:val="left"/>
        </w:tabs>
        <w:numPr>
          <w:ilvl w:val="0"/>
          <w:numId w:val="5"/>
        </w:numPr>
        <w:rPr>
          <w:rFonts w:ascii="Arial" w:cs="Arial" w:eastAsia="Arial" w:hAnsi="Arial"/>
          <w:sz w:val="13"/>
          <w:szCs w:val="13"/>
          <w:color w:val="auto"/>
        </w:rPr>
      </w:pPr>
      <w:r>
        <w:rPr>
          <w:rFonts w:ascii="Arial" w:cs="Arial" w:eastAsia="Arial" w:hAnsi="Arial"/>
          <w:sz w:val="13"/>
          <w:szCs w:val="13"/>
          <w:color w:val="auto"/>
        </w:rPr>
        <w:t>Level 2—inputs to the valuation methodology include quoted prices for a similar asset or liability in an active market or model-derived valuations in which all significant inputs are observable for substantially the full term of the asset or liability. The Company's Level 2 assets consist of investments in investment-grade corporate debt securities.</w:t>
      </w:r>
    </w:p>
    <w:p>
      <w:pPr>
        <w:ind w:left="520" w:right="520" w:hanging="260"/>
        <w:spacing w:after="0" w:line="266"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color w:val="auto"/>
        </w:rPr>
        <w:t>Level 3—inputs to the valuation methodology are unobservable and significant to the fair value measurement of the asset or liability. The Company does not hold any assets that are measured using Level 3 inputs.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Leases</w:t>
      </w:r>
    </w:p>
    <w:p>
      <w:pPr>
        <w:spacing w:after="0" w:line="119" w:lineRule="exact"/>
        <w:rPr>
          <w:sz w:val="20"/>
          <w:szCs w:val="20"/>
          <w:color w:val="auto"/>
        </w:rPr>
      </w:pPr>
    </w:p>
    <w:p>
      <w:pPr>
        <w:ind w:right="220" w:firstLine="318"/>
        <w:spacing w:after="0" w:line="262" w:lineRule="auto"/>
        <w:rPr>
          <w:sz w:val="20"/>
          <w:szCs w:val="20"/>
          <w:color w:val="auto"/>
        </w:rPr>
      </w:pPr>
      <w:r>
        <w:rPr>
          <w:rFonts w:ascii="Arial" w:cs="Arial" w:eastAsia="Arial" w:hAnsi="Arial"/>
          <w:sz w:val="14"/>
          <w:szCs w:val="14"/>
          <w:color w:val="auto"/>
        </w:rPr>
        <w:t>The Company has leased its office spaces and has entered into various other agreements in conducting its business. At inception, the Company determines whether an agreement represents a lease and at commencement evaluates each lease agreement to determine whether the lease is an operating or financing lease. Some of the Company's lease agreements have contained renewal options, tenant improvement allowances, rent holidays and rent escalation clauses, although its remaining outstanding lease for its principal offices has no further options, allowances, holidays or clauses.</w:t>
      </w:r>
    </w:p>
    <w:p>
      <w:pPr>
        <w:spacing w:after="0" w:line="93" w:lineRule="exact"/>
        <w:rPr>
          <w:sz w:val="20"/>
          <w:szCs w:val="20"/>
          <w:color w:val="auto"/>
        </w:rPr>
      </w:pPr>
    </w:p>
    <w:p>
      <w:pPr>
        <w:ind w:firstLine="287"/>
        <w:spacing w:after="0" w:line="279" w:lineRule="auto"/>
        <w:rPr>
          <w:sz w:val="20"/>
          <w:szCs w:val="20"/>
          <w:color w:val="auto"/>
        </w:rPr>
      </w:pPr>
      <w:r>
        <w:rPr>
          <w:rFonts w:ascii="Arial" w:cs="Arial" w:eastAsia="Arial" w:hAnsi="Arial"/>
          <w:sz w:val="13"/>
          <w:szCs w:val="13"/>
          <w:color w:val="auto"/>
        </w:rPr>
        <w:t xml:space="preserve">Pursuant to ASC 842, </w:t>
      </w:r>
      <w:r>
        <w:rPr>
          <w:rFonts w:ascii="Arial" w:cs="Arial" w:eastAsia="Arial" w:hAnsi="Arial"/>
          <w:sz w:val="13"/>
          <w:szCs w:val="13"/>
          <w:i w:val="1"/>
          <w:iCs w:val="1"/>
          <w:color w:val="auto"/>
        </w:rPr>
        <w:t>Leases,</w:t>
      </w:r>
      <w:r>
        <w:rPr>
          <w:rFonts w:ascii="Arial" w:cs="Arial" w:eastAsia="Arial" w:hAnsi="Arial"/>
          <w:sz w:val="13"/>
          <w:szCs w:val="13"/>
          <w:color w:val="auto"/>
        </w:rPr>
        <w:t xml:space="preserve"> the Company records an operating lease right-of-use asset and an operating lease liability on its Consolidated Balance Sheet. Right-of-use lease assets represent the Company's right to use the underlying asset for the lease term and the lease obligation represents the Company's commitment to make the lease payments arising from the lease. Right-of-use lease assets and obligations are recognized at the commencement date based on the present value of remaining lease payments over the lease term. As the Company’s leases do not provide an implicit discount rate, the Company has used an estimated incremental borrowing rate based on the information available at the commencement date in determining the present value of lease payments. The right-of-use lease asset includes any lease payments made prior to commencement and excludes any lease incentives. The lease term may include options to extend or terminate the lease when it is reasonably certain that the Company will exercise that option. Operating lease expense is recognized on a straight-line basis over the lease term, subject to any changes in the lease or expectations regarding the terms. Variable lease costs such as common area costs and property taxes are expensed as incurred. For all office lease agreements the Company combines lease and nonlease components. Leases with an initial term of 12 months or less are not recorded on the Company's Consolidated Balance Sheet.</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and Equipment</w:t>
      </w:r>
    </w:p>
    <w:p>
      <w:pPr>
        <w:spacing w:after="0" w:line="119" w:lineRule="exact"/>
        <w:rPr>
          <w:sz w:val="20"/>
          <w:szCs w:val="20"/>
          <w:color w:val="auto"/>
        </w:rPr>
      </w:pPr>
    </w:p>
    <w:p>
      <w:pPr>
        <w:ind w:right="60" w:firstLine="350"/>
        <w:spacing w:after="0" w:line="267" w:lineRule="auto"/>
        <w:rPr>
          <w:sz w:val="20"/>
          <w:szCs w:val="20"/>
          <w:color w:val="auto"/>
        </w:rPr>
      </w:pPr>
      <w:r>
        <w:rPr>
          <w:rFonts w:ascii="Arial" w:cs="Arial" w:eastAsia="Arial" w:hAnsi="Arial"/>
          <w:sz w:val="14"/>
          <w:szCs w:val="14"/>
          <w:color w:val="auto"/>
        </w:rPr>
        <w:t>Property and equipment, which consists mainly of clinical equipment, computers, software, other office equipment, and leasehold improvements, are carried at cost less accumulated depreciation. Depreciation is computed over the estimated useful lives of the respective assets, generally three to ten years, using the straight-line method. Amortization of leasehold improvements is recorded over the shorter of the lease term or estimated useful life of the related asset.</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129" w:lineRule="exact"/>
        <w:rPr>
          <w:sz w:val="20"/>
          <w:szCs w:val="20"/>
          <w:color w:val="auto"/>
        </w:rPr>
      </w:pPr>
    </w:p>
    <w:p>
      <w:pPr>
        <w:ind w:right="100" w:firstLine="350"/>
        <w:spacing w:after="0" w:line="281" w:lineRule="auto"/>
        <w:rPr>
          <w:sz w:val="20"/>
          <w:szCs w:val="20"/>
          <w:color w:val="auto"/>
        </w:rPr>
      </w:pPr>
      <w:r>
        <w:rPr>
          <w:rFonts w:ascii="Arial" w:cs="Arial" w:eastAsia="Arial" w:hAnsi="Arial"/>
          <w:sz w:val="14"/>
          <w:szCs w:val="14"/>
          <w:color w:val="auto"/>
        </w:rPr>
        <w:t>The Company's research and development expenses primarily consist of costs associated with the manufacturing, development and preclinical and clinical testing of its product candidates and costs associated with its collaborative gene therapy sponsored research programs. The Company's research and development expenses consist of:</w:t>
      </w:r>
    </w:p>
    <w:p>
      <w:pPr>
        <w:spacing w:after="0" w:line="69" w:lineRule="exact"/>
        <w:rPr>
          <w:sz w:val="20"/>
          <w:szCs w:val="20"/>
          <w:color w:val="auto"/>
        </w:rPr>
      </w:pPr>
    </w:p>
    <w:p>
      <w:pPr>
        <w:ind w:left="760" w:right="300" w:hanging="246"/>
        <w:spacing w:after="0" w:line="321" w:lineRule="auto"/>
        <w:tabs>
          <w:tab w:leader="none" w:pos="756" w:val="left"/>
        </w:tabs>
        <w:numPr>
          <w:ilvl w:val="0"/>
          <w:numId w:val="6"/>
        </w:numPr>
        <w:rPr>
          <w:rFonts w:ascii="Arial" w:cs="Arial" w:eastAsia="Arial" w:hAnsi="Arial"/>
          <w:sz w:val="13"/>
          <w:szCs w:val="13"/>
          <w:color w:val="auto"/>
        </w:rPr>
      </w:pPr>
      <w:r>
        <w:rPr>
          <w:rFonts w:ascii="Arial" w:cs="Arial" w:eastAsia="Arial" w:hAnsi="Arial"/>
          <w:sz w:val="13"/>
          <w:szCs w:val="13"/>
          <w:color w:val="auto"/>
        </w:rPr>
        <w:t>external research and development expenses incurred under arrangements with third parties, such as academic research collaborators, contract research organizations ("CROs"), and contract development and manufacturing organizations ("CDMOs") and other vendors for the production and analysis of drug substance and drug product; and</w:t>
      </w:r>
    </w:p>
    <w:p>
      <w:pPr>
        <w:spacing w:after="0" w:line="56" w:lineRule="exact"/>
        <w:rPr>
          <w:rFonts w:ascii="Arial" w:cs="Arial" w:eastAsia="Arial" w:hAnsi="Arial"/>
          <w:sz w:val="13"/>
          <w:szCs w:val="13"/>
          <w:color w:val="auto"/>
        </w:rPr>
      </w:pPr>
    </w:p>
    <w:p>
      <w:pPr>
        <w:ind w:left="760" w:hanging="246"/>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employee-related expenses for employees dedicated to research and development activities, including salaries, benefits and share-based compensation expense.</w:t>
      </w:r>
    </w:p>
    <w:p>
      <w:pPr>
        <w:spacing w:after="0" w:line="125" w:lineRule="exact"/>
        <w:rPr>
          <w:sz w:val="20"/>
          <w:szCs w:val="20"/>
          <w:color w:val="auto"/>
        </w:rPr>
      </w:pPr>
    </w:p>
    <w:p>
      <w:pPr>
        <w:ind w:right="20" w:firstLine="350"/>
        <w:spacing w:after="0" w:line="281" w:lineRule="auto"/>
        <w:rPr>
          <w:sz w:val="20"/>
          <w:szCs w:val="20"/>
          <w:color w:val="auto"/>
        </w:rPr>
      </w:pPr>
      <w:r>
        <w:rPr>
          <w:rFonts w:ascii="Arial" w:cs="Arial" w:eastAsia="Arial" w:hAnsi="Arial"/>
          <w:sz w:val="14"/>
          <w:szCs w:val="14"/>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collaborators.</w:t>
      </w:r>
    </w:p>
    <w:p>
      <w:pPr>
        <w:spacing w:after="0" w:line="69" w:lineRule="exact"/>
        <w:rPr>
          <w:sz w:val="20"/>
          <w:szCs w:val="20"/>
          <w:color w:val="auto"/>
        </w:rPr>
      </w:pPr>
    </w:p>
    <w:p>
      <w:pPr>
        <w:ind w:right="160" w:firstLine="350"/>
        <w:spacing w:after="0" w:line="267" w:lineRule="auto"/>
        <w:rPr>
          <w:sz w:val="20"/>
          <w:szCs w:val="20"/>
          <w:color w:val="auto"/>
        </w:rPr>
      </w:pPr>
      <w:r>
        <w:rPr>
          <w:rFonts w:ascii="Arial" w:cs="Arial" w:eastAsia="Arial" w:hAnsi="Arial"/>
          <w:sz w:val="14"/>
          <w:szCs w:val="14"/>
          <w:color w:val="auto"/>
        </w:rPr>
        <w:t xml:space="preserve">All research and development expenses are charged to operations as incurred in accordance with ASC 730, </w:t>
      </w:r>
      <w:r>
        <w:rPr>
          <w:rFonts w:ascii="Arial" w:cs="Arial" w:eastAsia="Arial" w:hAnsi="Arial"/>
          <w:sz w:val="14"/>
          <w:szCs w:val="14"/>
          <w:i w:val="1"/>
          <w:iCs w:val="1"/>
          <w:color w:val="auto"/>
        </w:rPr>
        <w:t>Research and Development</w:t>
      </w:r>
      <w:r>
        <w:rPr>
          <w:rFonts w:ascii="Arial" w:cs="Arial" w:eastAsia="Arial" w:hAnsi="Arial"/>
          <w:sz w:val="14"/>
          <w:szCs w:val="14"/>
          <w:color w:val="auto"/>
        </w:rPr>
        <w:t>. The Company accounts for non-refundable advance payments for goods and services that will be used in future research and development activities as expenses when the service has been performed or when the goods have been received, rather than when the payment is made.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119" w:lineRule="exact"/>
        <w:rPr>
          <w:sz w:val="20"/>
          <w:szCs w:val="20"/>
          <w:color w:val="auto"/>
        </w:rPr>
      </w:pPr>
    </w:p>
    <w:p>
      <w:pPr>
        <w:ind w:right="120" w:firstLine="318"/>
        <w:spacing w:after="0" w:line="262" w:lineRule="auto"/>
        <w:rPr>
          <w:sz w:val="20"/>
          <w:szCs w:val="20"/>
          <w:color w:val="auto"/>
        </w:rPr>
      </w:pPr>
      <w:r>
        <w:rPr>
          <w:rFonts w:ascii="Arial" w:cs="Arial" w:eastAsia="Arial" w:hAnsi="Arial"/>
          <w:sz w:val="14"/>
          <w:szCs w:val="14"/>
          <w:color w:val="auto"/>
        </w:rPr>
        <w:t>The Company utilizes the liability method of accounting for deferred income taxes, as set forth in ASC 740, Income Taxes. Under this method, deferred tax assets and liabilities are recognized for the expected future tax consequences of 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Share-Based Compensation</w:t>
      </w:r>
    </w:p>
    <w:p>
      <w:pPr>
        <w:spacing w:after="0" w:line="129" w:lineRule="exact"/>
        <w:rPr>
          <w:sz w:val="20"/>
          <w:szCs w:val="20"/>
          <w:color w:val="auto"/>
        </w:rPr>
      </w:pPr>
    </w:p>
    <w:p>
      <w:pPr>
        <w:ind w:right="60" w:firstLine="318"/>
        <w:spacing w:after="0" w:line="309" w:lineRule="auto"/>
        <w:rPr>
          <w:sz w:val="20"/>
          <w:szCs w:val="20"/>
          <w:color w:val="auto"/>
        </w:rPr>
      </w:pPr>
      <w:r>
        <w:rPr>
          <w:rFonts w:ascii="Arial" w:cs="Arial" w:eastAsia="Arial" w:hAnsi="Arial"/>
          <w:sz w:val="12"/>
          <w:szCs w:val="12"/>
          <w:color w:val="auto"/>
        </w:rPr>
        <w:t>The Company follows the provisions of ASC 718, Compensation—Stock Compensation, which requires the measurement and recognition of compensation expense for all share-based payment awards made to employees and non-employee directors and consultants, including employee stock options, restricted stock units (“RSUs”) and options granted to employees to purchase shares under the 2016 Employee Stock Purchase Plan (the “ESPP”). Share-based compensation expense is based on the grant date fair value estimated in accordance with the provisions of ASC 718 and is generally recognized as an expense over the requisite service period, net of estimated forfeitures. For grants containing performance-based vesting provisions, expense is recognized over the estimated achievement period only when the performance-based milestone is deemed probable of achievement. If performance-based milestones are later determined not to be probable of achievement, then all previously recorded stock-based compensation expense associated with such options will be reversed during the period in which the Company makes this determination.</w:t>
      </w:r>
    </w:p>
    <w:p>
      <w:pPr>
        <w:spacing w:after="0" w:line="144"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The Company estimates forfeitures at the time of grant and revises those estimates in subsequent periods if actual forfeitures differ from its estimates. The Company uses historical data to estimate pre-vesting forfeitures and record share-based compensation expense only for those awards that are expected to vest. To the extent that actual forfeitures differ from the Company's estimates, the difference is recorded as a cumulative adjustment in the period the estimates were revised.</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4"/>
          <w:szCs w:val="14"/>
          <w:i w:val="1"/>
          <w:iCs w:val="1"/>
          <w:color w:val="auto"/>
        </w:rPr>
        <w:t>Stock Options</w:t>
      </w:r>
    </w:p>
    <w:p>
      <w:pPr>
        <w:spacing w:after="0" w:line="125" w:lineRule="exact"/>
        <w:rPr>
          <w:sz w:val="20"/>
          <w:szCs w:val="20"/>
          <w:color w:val="auto"/>
        </w:rPr>
      </w:pPr>
    </w:p>
    <w:p>
      <w:pPr>
        <w:ind w:right="100" w:firstLine="350"/>
        <w:spacing w:after="0" w:line="260" w:lineRule="auto"/>
        <w:rPr>
          <w:sz w:val="20"/>
          <w:szCs w:val="20"/>
          <w:color w:val="auto"/>
        </w:rPr>
      </w:pPr>
      <w:r>
        <w:rPr>
          <w:rFonts w:ascii="Arial" w:cs="Arial" w:eastAsia="Arial" w:hAnsi="Arial"/>
          <w:sz w:val="14"/>
          <w:szCs w:val="14"/>
          <w:color w:val="auto"/>
        </w:rPr>
        <w:t>The Company estimates the fair value of stock options granted to employees, non-employee directors and consultants on the date of grant using the Black-Scholes option-pricing model. The Company's computation of stock-price volatility is based on daily historical volatility during the time period that corresponds to the expected option term. The Company's computation of expected term is determined using the expected term of stock option grants to employees based on an analysis of actual option exercises. The Company utilizes a dividend yield of zero based on the fact that the Company has never paid cash dividends to stockholders and has no current intentions to pay cash dividends. The risk-free interest rate is based on the zero-coupon U.S. Treasury yield at the date of grant for a term equivalent to the expected term of the option.</w:t>
      </w:r>
    </w:p>
    <w:p>
      <w:pPr>
        <w:spacing w:after="0" w:line="93" w:lineRule="exact"/>
        <w:rPr>
          <w:sz w:val="20"/>
          <w:szCs w:val="20"/>
          <w:color w:val="auto"/>
        </w:rPr>
      </w:pPr>
    </w:p>
    <w:p>
      <w:pPr>
        <w:ind w:right="320" w:firstLine="350"/>
        <w:spacing w:after="0" w:line="281" w:lineRule="auto"/>
        <w:rPr>
          <w:sz w:val="20"/>
          <w:szCs w:val="20"/>
          <w:color w:val="auto"/>
        </w:rPr>
      </w:pPr>
      <w:r>
        <w:rPr>
          <w:rFonts w:ascii="Arial" w:cs="Arial" w:eastAsia="Arial" w:hAnsi="Arial"/>
          <w:sz w:val="14"/>
          <w:szCs w:val="14"/>
          <w:color w:val="auto"/>
        </w:rPr>
        <w:t>The weighted-average assumptions used to estimate grant date fair value of stock options using the Black-Scholes option pricing model were as follows for the three and six month periods ended June 30, 2020 and 2019:</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300" w:type="dxa"/>
            <w:vAlign w:val="bottom"/>
          </w:tcPr>
          <w:p>
            <w:pPr>
              <w:spacing w:after="0"/>
              <w:rPr>
                <w:sz w:val="13"/>
                <w:szCs w:val="13"/>
                <w:color w:val="auto"/>
              </w:rPr>
            </w:pPr>
          </w:p>
        </w:tc>
        <w:tc>
          <w:tcPr>
            <w:tcW w:w="3040" w:type="dxa"/>
            <w:vAlign w:val="bottom"/>
            <w:gridSpan w:val="4"/>
          </w:tcPr>
          <w:p>
            <w:pPr>
              <w:ind w:left="740"/>
              <w:spacing w:after="0"/>
              <w:rPr>
                <w:sz w:val="20"/>
                <w:szCs w:val="20"/>
                <w:color w:val="auto"/>
              </w:rPr>
            </w:pPr>
            <w:r>
              <w:rPr>
                <w:rFonts w:ascii="Arial" w:cs="Arial" w:eastAsia="Arial" w:hAnsi="Arial"/>
                <w:sz w:val="11"/>
                <w:szCs w:val="11"/>
                <w:b w:val="1"/>
                <w:bCs w:val="1"/>
                <w:color w:val="auto"/>
              </w:rPr>
              <w:t>Three Months Ended June 30,</w:t>
            </w:r>
          </w:p>
        </w:tc>
        <w:tc>
          <w:tcPr>
            <w:tcW w:w="2940" w:type="dxa"/>
            <w:vAlign w:val="bottom"/>
            <w:gridSpan w:val="3"/>
          </w:tcPr>
          <w:p>
            <w:pPr>
              <w:ind w:left="800"/>
              <w:spacing w:after="0"/>
              <w:rPr>
                <w:sz w:val="20"/>
                <w:szCs w:val="20"/>
                <w:color w:val="auto"/>
              </w:rPr>
            </w:pPr>
            <w:r>
              <w:rPr>
                <w:rFonts w:ascii="Arial" w:cs="Arial" w:eastAsia="Arial" w:hAnsi="Arial"/>
                <w:sz w:val="11"/>
                <w:szCs w:val="11"/>
                <w:b w:val="1"/>
                <w:bCs w:val="1"/>
                <w:color w:val="auto"/>
              </w:rPr>
              <w:t>Six Months Ended June 30,</w:t>
            </w:r>
          </w:p>
        </w:tc>
      </w:tr>
      <w:tr>
        <w:trPr>
          <w:trHeight w:val="150"/>
        </w:trPr>
        <w:tc>
          <w:tcPr>
            <w:tcW w:w="5300" w:type="dxa"/>
            <w:vAlign w:val="bottom"/>
            <w:tcBorders>
              <w:bottom w:val="single" w:sz="8" w:color="CCEEFF"/>
            </w:tcBorders>
          </w:tcPr>
          <w:p>
            <w:pPr>
              <w:spacing w:after="0"/>
              <w:rPr>
                <w:sz w:val="13"/>
                <w:szCs w:val="13"/>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Borders>
              <w:top w:val="single" w:sz="8" w:color="auto"/>
              <w:bottom w:val="single" w:sz="8" w:color="CCEEFF"/>
            </w:tcBorders>
          </w:tcPr>
          <w:p>
            <w:pPr>
              <w:spacing w:after="0"/>
              <w:rPr>
                <w:sz w:val="13"/>
                <w:szCs w:val="13"/>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Borders>
              <w:bottom w:val="single" w:sz="8" w:color="CCEEFF"/>
            </w:tcBorders>
          </w:tcPr>
          <w:p>
            <w:pPr>
              <w:spacing w:after="0"/>
              <w:rPr>
                <w:sz w:val="13"/>
                <w:szCs w:val="13"/>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Borders>
              <w:top w:val="single" w:sz="8" w:color="auto"/>
              <w:bottom w:val="single" w:sz="8" w:color="CCEEFF"/>
            </w:tcBorders>
          </w:tcPr>
          <w:p>
            <w:pPr>
              <w:spacing w:after="0"/>
              <w:rPr>
                <w:sz w:val="13"/>
                <w:szCs w:val="13"/>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2019</w:t>
            </w:r>
          </w:p>
        </w:tc>
      </w:tr>
      <w:tr>
        <w:trPr>
          <w:trHeight w:val="187"/>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Expected common stock price volatility</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118%</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88%</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117%</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87%</w:t>
            </w:r>
          </w:p>
        </w:tc>
      </w:tr>
      <w:tr>
        <w:trPr>
          <w:trHeight w:val="212"/>
        </w:trPr>
        <w:tc>
          <w:tcPr>
            <w:tcW w:w="530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0.26%-0.36%</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2.15%-2.31%</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0.26%-1.34%</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2.15%-2.54%</w:t>
            </w:r>
          </w:p>
        </w:tc>
      </w:tr>
      <w:tr>
        <w:trPr>
          <w:trHeight w:val="192"/>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Expected term of options (years)</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4.5</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5.3</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4.5</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5.6</w:t>
            </w:r>
          </w:p>
        </w:tc>
      </w:tr>
      <w:tr>
        <w:trPr>
          <w:trHeight w:val="191"/>
        </w:trPr>
        <w:tc>
          <w:tcPr>
            <w:tcW w:w="530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tcPr>
          <w:p>
            <w:pPr>
              <w:jc w:val="center"/>
              <w:spacing w:after="0"/>
              <w:rPr>
                <w:sz w:val="20"/>
                <w:szCs w:val="20"/>
                <w:color w:val="auto"/>
              </w:rPr>
            </w:pPr>
            <w:r>
              <w:rPr>
                <w:rFonts w:ascii="Arial" w:cs="Arial" w:eastAsia="Arial" w:hAnsi="Arial"/>
                <w:sz w:val="14"/>
                <w:szCs w:val="14"/>
                <w:color w:val="auto"/>
                <w:w w:val="99"/>
              </w:rPr>
              <w:t>—</w:t>
            </w:r>
          </w:p>
        </w:tc>
      </w:tr>
    </w:tbl>
    <w:p>
      <w:pPr>
        <w:spacing w:after="0" w:line="128" w:lineRule="exact"/>
        <w:rPr>
          <w:sz w:val="20"/>
          <w:szCs w:val="20"/>
          <w:color w:val="auto"/>
        </w:rPr>
      </w:pPr>
    </w:p>
    <w:p>
      <w:pPr>
        <w:ind w:left="300"/>
        <w:spacing w:after="0"/>
        <w:rPr>
          <w:sz w:val="20"/>
          <w:szCs w:val="20"/>
          <w:color w:val="auto"/>
        </w:rPr>
      </w:pPr>
      <w:r>
        <w:rPr>
          <w:rFonts w:ascii="Arial" w:cs="Arial" w:eastAsia="Arial" w:hAnsi="Arial"/>
          <w:sz w:val="14"/>
          <w:szCs w:val="14"/>
          <w:i w:val="1"/>
          <w:iCs w:val="1"/>
          <w:color w:val="auto"/>
        </w:rPr>
        <w:t>RSUs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Company estimates the fair value of RSUs granted to employees using the closing market price of the Company's common stock on the date of grant.</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ESPP</w:t>
      </w:r>
    </w:p>
    <w:p>
      <w:pPr>
        <w:spacing w:after="0" w:line="125" w:lineRule="exact"/>
        <w:rPr>
          <w:sz w:val="20"/>
          <w:szCs w:val="20"/>
          <w:color w:val="auto"/>
        </w:rPr>
      </w:pPr>
    </w:p>
    <w:p>
      <w:pPr>
        <w:ind w:right="440" w:firstLine="318"/>
        <w:spacing w:after="0" w:line="267" w:lineRule="auto"/>
        <w:rPr>
          <w:sz w:val="20"/>
          <w:szCs w:val="20"/>
          <w:color w:val="auto"/>
        </w:rPr>
      </w:pPr>
      <w:r>
        <w:rPr>
          <w:rFonts w:ascii="Arial" w:cs="Arial" w:eastAsia="Arial" w:hAnsi="Arial"/>
          <w:sz w:val="14"/>
          <w:szCs w:val="14"/>
          <w:color w:val="auto"/>
        </w:rPr>
        <w:t>In April 2016, the Company's board of directors adopted the ESPP pursuant to which the Company may sell up to an aggregate of 1,000,000 shares of its common stock. The ESPP was approved by the Company’s stockholders in June 2016. The ESPP is considered compensatory and the fair value of the discount and look back provision are estimated using the Black-Scholes option-pricing model and recognized over the six month withholding period prior to purchase.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Adopted Accounting Pronouncements</w:t>
      </w:r>
    </w:p>
    <w:p>
      <w:pPr>
        <w:spacing w:after="0" w:line="119"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In June 2016, the Financial Accounting Standards Board (the "FASB") issued Accounting Standard Update ("ASU") 2016-13 “Financial Instruments (Topic 326) Measurement of Credit Losses on Financial Instrument" (“CECL”). ASU 2016-13 requires an allowance for expected credit losses on financial assets be recognized as early as day one of the instrument. This ASU departs from the incurred loss model which means the probability threshold is removed. It considers more forward-looking information and requires the entity to estimate its credit losses as far as it can reasonably estimate. This ASU is effective for fiscal years beginning after December 15, 2019, including interim periods within those fiscal years. The Company adopted this accounting standard effective January 1, 2020 with no material impact to its financial statements.</w:t>
      </w:r>
    </w:p>
    <w:p>
      <w:pPr>
        <w:spacing w:after="0" w:line="93" w:lineRule="exact"/>
        <w:rPr>
          <w:sz w:val="20"/>
          <w:szCs w:val="20"/>
          <w:color w:val="auto"/>
        </w:rPr>
      </w:pPr>
    </w:p>
    <w:p>
      <w:pPr>
        <w:ind w:right="140" w:firstLine="318"/>
        <w:spacing w:after="0" w:line="262" w:lineRule="auto"/>
        <w:rPr>
          <w:sz w:val="20"/>
          <w:szCs w:val="20"/>
          <w:color w:val="auto"/>
        </w:rPr>
      </w:pPr>
      <w:r>
        <w:rPr>
          <w:rFonts w:ascii="Arial" w:cs="Arial" w:eastAsia="Arial" w:hAnsi="Arial"/>
          <w:sz w:val="14"/>
          <w:szCs w:val="14"/>
          <w:color w:val="auto"/>
        </w:rPr>
        <w:t xml:space="preserve">In August 2018, the FASB issued ASU No. 2018-13, </w:t>
      </w:r>
      <w:r>
        <w:rPr>
          <w:rFonts w:ascii="Arial" w:cs="Arial" w:eastAsia="Arial" w:hAnsi="Arial"/>
          <w:sz w:val="14"/>
          <w:szCs w:val="14"/>
          <w:i w:val="1"/>
          <w:iCs w:val="1"/>
          <w:color w:val="auto"/>
        </w:rPr>
        <w:t>Fair Value Measurement (Topic 820)</w:t>
      </w:r>
      <w:r>
        <w:rPr>
          <w:rFonts w:ascii="Arial" w:cs="Arial" w:eastAsia="Arial" w:hAnsi="Arial"/>
          <w:sz w:val="14"/>
          <w:szCs w:val="14"/>
          <w:color w:val="auto"/>
        </w:rPr>
        <w:t>, which modifies the disclosure requirements on fair value measurements in Topic 820, Fair Value Measurement, including, among other changes, the consideration of costs and benefits when evaluating disclosure requirements. For public companies, the amendments became effective for annual reporting periods beginning after December 15, 2019, including interim periods within those annual periods. The Company adopted this accounting standard effective January 1, 2020 with no material impact to its financial statements.</w:t>
      </w:r>
    </w:p>
    <w:p>
      <w:pPr>
        <w:spacing w:after="0" w:line="93" w:lineRule="exact"/>
        <w:rPr>
          <w:sz w:val="20"/>
          <w:szCs w:val="20"/>
          <w:color w:val="auto"/>
        </w:rPr>
      </w:pPr>
    </w:p>
    <w:p>
      <w:pPr>
        <w:ind w:right="60" w:firstLine="318"/>
        <w:spacing w:after="0" w:line="260" w:lineRule="auto"/>
        <w:rPr>
          <w:sz w:val="20"/>
          <w:szCs w:val="20"/>
          <w:color w:val="auto"/>
        </w:rPr>
      </w:pPr>
      <w:r>
        <w:rPr>
          <w:rFonts w:ascii="Arial" w:cs="Arial" w:eastAsia="Arial" w:hAnsi="Arial"/>
          <w:sz w:val="14"/>
          <w:szCs w:val="14"/>
          <w:color w:val="auto"/>
        </w:rPr>
        <w:t xml:space="preserve">In August 2018, the FASB issued ASU No. 2018-15, </w:t>
      </w:r>
      <w:r>
        <w:rPr>
          <w:rFonts w:ascii="Arial" w:cs="Arial" w:eastAsia="Arial" w:hAnsi="Arial"/>
          <w:sz w:val="14"/>
          <w:szCs w:val="14"/>
          <w:i w:val="1"/>
          <w:iCs w:val="1"/>
          <w:color w:val="auto"/>
        </w:rPr>
        <w:t>Intangibles - Goodwill and Other - Internal-Use Software</w:t>
      </w:r>
      <w:r>
        <w:rPr>
          <w:rFonts w:ascii="Arial" w:cs="Arial" w:eastAsia="Arial" w:hAnsi="Arial"/>
          <w:sz w:val="14"/>
          <w:szCs w:val="14"/>
          <w:color w:val="auto"/>
        </w:rPr>
        <w:t xml:space="preserve"> (Subtopic 350-40): </w:t>
      </w:r>
      <w:r>
        <w:rPr>
          <w:rFonts w:ascii="Arial" w:cs="Arial" w:eastAsia="Arial" w:hAnsi="Arial"/>
          <w:sz w:val="14"/>
          <w:szCs w:val="14"/>
          <w:i w:val="1"/>
          <w:iCs w:val="1"/>
          <w:color w:val="auto"/>
        </w:rPr>
        <w:t>Customer’s Accounting for Implementation Costs Incurred in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 Cloud Computing Arrangement That Is a Service Contract </w:t>
      </w:r>
      <w:r>
        <w:rPr>
          <w:rFonts w:ascii="Arial" w:cs="Arial" w:eastAsia="Arial" w:hAnsi="Arial"/>
          <w:sz w:val="14"/>
          <w:szCs w:val="14"/>
          <w:color w:val="auto"/>
        </w:rPr>
        <w:t>(a consensus of the FASB Emerging Issues Task Force). ASU 2018-15 aligns the requirements for capitalizing implementation costs</w:t>
      </w:r>
      <w:r>
        <w:rPr>
          <w:rFonts w:ascii="Arial" w:cs="Arial" w:eastAsia="Arial" w:hAnsi="Arial"/>
          <w:sz w:val="14"/>
          <w:szCs w:val="14"/>
          <w:i w:val="1"/>
          <w:iCs w:val="1"/>
          <w:color w:val="auto"/>
        </w:rPr>
        <w:t xml:space="preserve"> </w:t>
      </w:r>
      <w:r>
        <w:rPr>
          <w:rFonts w:ascii="Arial" w:cs="Arial" w:eastAsia="Arial" w:hAnsi="Arial"/>
          <w:sz w:val="14"/>
          <w:szCs w:val="14"/>
          <w:color w:val="auto"/>
        </w:rPr>
        <w:t>incurred in a hosting arrangement that is a service contract with the requirements for capitalizing implementation costs incurred to develop or obtain internal-use software (and hosting arrangements that include an internal-use software license). This guidance became effective for fiscal years beginning after December 15, 2019, and for interim periods within those fiscal years. The Company adopted this accounting standard effective January 1, 2020 with no material impact to its financial statements.</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In November 2018, the FASB issued ASU No. 2018-18, </w:t>
      </w:r>
      <w:r>
        <w:rPr>
          <w:rFonts w:ascii="Arial" w:cs="Arial" w:eastAsia="Arial" w:hAnsi="Arial"/>
          <w:sz w:val="13"/>
          <w:szCs w:val="13"/>
          <w:i w:val="1"/>
          <w:iCs w:val="1"/>
          <w:color w:val="auto"/>
        </w:rPr>
        <w:t>Collaborative Arrangements (Topic 808)</w:t>
      </w:r>
      <w:r>
        <w:rPr>
          <w:rFonts w:ascii="Arial" w:cs="Arial" w:eastAsia="Arial" w:hAnsi="Arial"/>
          <w:sz w:val="13"/>
          <w:szCs w:val="13"/>
          <w:color w:val="auto"/>
        </w:rPr>
        <w:t>, which clarifies the interaction between the guidance for collaborative arrangements (Topic</w:t>
      </w:r>
    </w:p>
    <w:p>
      <w:pPr>
        <w:spacing w:after="0" w:line="31" w:lineRule="exact"/>
        <w:rPr>
          <w:sz w:val="20"/>
          <w:szCs w:val="20"/>
          <w:color w:val="auto"/>
        </w:rPr>
      </w:pPr>
    </w:p>
    <w:p>
      <w:pPr>
        <w:ind w:right="380" w:firstLine="5"/>
        <w:spacing w:after="0" w:line="305" w:lineRule="auto"/>
        <w:tabs>
          <w:tab w:leader="none" w:pos="295" w:val="left"/>
        </w:tabs>
        <w:numPr>
          <w:ilvl w:val="0"/>
          <w:numId w:val="7"/>
        </w:numPr>
        <w:rPr>
          <w:rFonts w:ascii="Arial" w:cs="Arial" w:eastAsia="Arial" w:hAnsi="Arial"/>
          <w:sz w:val="13"/>
          <w:szCs w:val="13"/>
          <w:color w:val="auto"/>
        </w:rPr>
      </w:pPr>
      <w:r>
        <w:rPr>
          <w:rFonts w:ascii="Arial" w:cs="Arial" w:eastAsia="Arial" w:hAnsi="Arial"/>
          <w:sz w:val="13"/>
          <w:szCs w:val="13"/>
          <w:color w:val="auto"/>
        </w:rPr>
        <w:t>and the new revenue recognition standard (Topic 606). For public companies, the amendments became effective for annual reporting periods beginning after December 15, 2019, including interim periods within those annual periods. The Company adopted this accounting standard effective January 1, 2020 with no material impact to its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29" w:lineRule="exact"/>
        <w:rPr>
          <w:sz w:val="20"/>
          <w:szCs w:val="20"/>
          <w:color w:val="auto"/>
        </w:rPr>
      </w:pPr>
    </w:p>
    <w:p>
      <w:pPr>
        <w:ind w:right="140" w:firstLine="318"/>
        <w:spacing w:after="0" w:line="288" w:lineRule="auto"/>
        <w:rPr>
          <w:sz w:val="20"/>
          <w:szCs w:val="20"/>
          <w:color w:val="auto"/>
        </w:rPr>
      </w:pPr>
      <w:r>
        <w:rPr>
          <w:rFonts w:ascii="Arial" w:cs="Arial" w:eastAsia="Arial" w:hAnsi="Arial"/>
          <w:sz w:val="13"/>
          <w:szCs w:val="13"/>
          <w:color w:val="auto"/>
        </w:rPr>
        <w:t xml:space="preserve">In December 2019, the FASB issued ASU No. 2019-12, </w:t>
      </w:r>
      <w:r>
        <w:rPr>
          <w:rFonts w:ascii="Arial" w:cs="Arial" w:eastAsia="Arial" w:hAnsi="Arial"/>
          <w:sz w:val="13"/>
          <w:szCs w:val="13"/>
          <w:i w:val="1"/>
          <w:iCs w:val="1"/>
          <w:color w:val="auto"/>
        </w:rPr>
        <w:t>Simplifying the Accounting for Income Taxes</w:t>
      </w:r>
      <w:r>
        <w:rPr>
          <w:rFonts w:ascii="Arial" w:cs="Arial" w:eastAsia="Arial" w:hAnsi="Arial"/>
          <w:sz w:val="13"/>
          <w:szCs w:val="13"/>
          <w:color w:val="auto"/>
        </w:rPr>
        <w:t xml:space="preserve"> (“ASU 2019-12”), which simplifies the accounting for income taxes, eliminates certain exceptions within ASC 740, </w:t>
      </w:r>
      <w:r>
        <w:rPr>
          <w:rFonts w:ascii="Arial" w:cs="Arial" w:eastAsia="Arial" w:hAnsi="Arial"/>
          <w:sz w:val="13"/>
          <w:szCs w:val="13"/>
          <w:i w:val="1"/>
          <w:iCs w:val="1"/>
          <w:color w:val="auto"/>
        </w:rPr>
        <w:t>Income Taxes</w:t>
      </w:r>
      <w:r>
        <w:rPr>
          <w:rFonts w:ascii="Arial" w:cs="Arial" w:eastAsia="Arial" w:hAnsi="Arial"/>
          <w:sz w:val="13"/>
          <w:szCs w:val="13"/>
          <w:color w:val="auto"/>
        </w:rPr>
        <w:t>, and clarifies certain aspects of the current guidance to promote consistency among reporting entities. ASU 2019-12 is effective for fiscal years beginning after December 15, 2021. Most amendments within the standard are required to be applied on a prospective basis, while certain amendments must be applied on a retrospective or modified retrospective basis. The Company is evaluating the effects, if any, of the adoption of ASU 2019-12 guidance on the Company’s financial position, results of operations and cash flows</w:t>
      </w: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Common Stock</w:t>
      </w:r>
    </w:p>
    <w:p>
      <w:pPr>
        <w:spacing w:after="0" w:line="204" w:lineRule="exact"/>
        <w:rPr>
          <w:sz w:val="20"/>
          <w:szCs w:val="20"/>
          <w:color w:val="auto"/>
        </w:rPr>
      </w:pPr>
    </w:p>
    <w:p>
      <w:pPr>
        <w:ind w:right="160" w:firstLine="318"/>
        <w:spacing w:after="0" w:line="246" w:lineRule="auto"/>
        <w:rPr>
          <w:sz w:val="20"/>
          <w:szCs w:val="20"/>
          <w:color w:val="auto"/>
        </w:rPr>
      </w:pPr>
      <w:r>
        <w:rPr>
          <w:rFonts w:ascii="Arial" w:cs="Arial" w:eastAsia="Arial" w:hAnsi="Arial"/>
          <w:sz w:val="14"/>
          <w:szCs w:val="14"/>
          <w:color w:val="auto"/>
        </w:rPr>
        <w:t>In June 2020, the Company completed an underwritten public offering in which the Company sold 28,503,220 shares of its common stock, which includes the exercise in full of the underwriters’ option to purchase additional shares of the Company’s common stock, at a price to the public of $4.100 per share and at a price to the underwriters of $3.854 per share. The Company also sold to certain investors in lieu of common stock, pre-funded warrants to purchase 1,914,280 shares of its common stock at a price to the public of $4.099 per share underlying each pre-funded warrant, and at a price to the underwriters of $3.853 per share underlying each pre-funded warrant.</w:t>
      </w:r>
    </w:p>
    <w:p>
      <w:pPr>
        <w:spacing w:after="0" w:line="167" w:lineRule="exact"/>
        <w:rPr>
          <w:sz w:val="20"/>
          <w:szCs w:val="20"/>
          <w:color w:val="auto"/>
        </w:rPr>
      </w:pPr>
    </w:p>
    <w:p>
      <w:pPr>
        <w:ind w:right="240" w:firstLine="318"/>
        <w:spacing w:after="0" w:line="281" w:lineRule="auto"/>
        <w:rPr>
          <w:sz w:val="20"/>
          <w:szCs w:val="20"/>
          <w:color w:val="auto"/>
        </w:rPr>
      </w:pPr>
      <w:r>
        <w:rPr>
          <w:rFonts w:ascii="Arial" w:cs="Arial" w:eastAsia="Arial" w:hAnsi="Arial"/>
          <w:sz w:val="14"/>
          <w:szCs w:val="14"/>
          <w:color w:val="auto"/>
        </w:rPr>
        <w:t>Concurrently with the June 2020 public offering, the Company completed a private placement in which the Company sold 8,649,453 shares of its common stock to affiliates of Vivo Capital, LLC and Samsara BioCapital, LP, at a sale price equal to the price to the public in the underwritten public offering.</w:t>
      </w:r>
    </w:p>
    <w:p>
      <w:pPr>
        <w:spacing w:after="0" w:line="153" w:lineRule="exact"/>
        <w:rPr>
          <w:sz w:val="20"/>
          <w:szCs w:val="20"/>
          <w:color w:val="auto"/>
        </w:rPr>
      </w:pPr>
    </w:p>
    <w:p>
      <w:pPr>
        <w:ind w:right="700" w:firstLine="318"/>
        <w:spacing w:after="0" w:line="281" w:lineRule="auto"/>
        <w:rPr>
          <w:sz w:val="20"/>
          <w:szCs w:val="20"/>
          <w:color w:val="auto"/>
        </w:rPr>
      </w:pPr>
      <w:r>
        <w:rPr>
          <w:rFonts w:ascii="Arial" w:cs="Arial" w:eastAsia="Arial" w:hAnsi="Arial"/>
          <w:sz w:val="14"/>
          <w:szCs w:val="14"/>
          <w:color w:val="auto"/>
        </w:rPr>
        <w:t>The net proceeds from the public offering and private placement, after deducting underwriting discounts, underwriting and placement agent commissions and other expenses totaling $10.1 million, was approximately $150.1 million.</w:t>
      </w:r>
    </w:p>
    <w:p>
      <w:pPr>
        <w:spacing w:after="0" w:line="153" w:lineRule="exact"/>
        <w:rPr>
          <w:sz w:val="20"/>
          <w:szCs w:val="20"/>
          <w:color w:val="auto"/>
        </w:rPr>
      </w:pPr>
    </w:p>
    <w:p>
      <w:pPr>
        <w:ind w:right="280" w:firstLine="318"/>
        <w:spacing w:after="0" w:line="281" w:lineRule="auto"/>
        <w:rPr>
          <w:sz w:val="20"/>
          <w:szCs w:val="20"/>
          <w:color w:val="auto"/>
        </w:rPr>
      </w:pPr>
      <w:r>
        <w:rPr>
          <w:rFonts w:ascii="Arial" w:cs="Arial" w:eastAsia="Arial" w:hAnsi="Arial"/>
          <w:sz w:val="14"/>
          <w:szCs w:val="14"/>
          <w:color w:val="auto"/>
        </w:rPr>
        <w:t xml:space="preserve">The Company evaluated the pre-funded warrants for liability or equity classification in accordance with the provisions of ASC 480, </w:t>
      </w:r>
      <w:r>
        <w:rPr>
          <w:rFonts w:ascii="Arial" w:cs="Arial" w:eastAsia="Arial" w:hAnsi="Arial"/>
          <w:sz w:val="14"/>
          <w:szCs w:val="14"/>
          <w:i w:val="1"/>
          <w:iCs w:val="1"/>
          <w:color w:val="auto"/>
        </w:rPr>
        <w:t>Distinguishing Liabilities from Equity</w:t>
      </w:r>
      <w:r>
        <w:rPr>
          <w:rFonts w:ascii="Arial" w:cs="Arial" w:eastAsia="Arial" w:hAnsi="Arial"/>
          <w:sz w:val="14"/>
          <w:szCs w:val="14"/>
          <w:color w:val="auto"/>
        </w:rPr>
        <w:t xml:space="preserve">, and ASC 815-40, </w:t>
      </w:r>
      <w:r>
        <w:rPr>
          <w:rFonts w:ascii="Arial" w:cs="Arial" w:eastAsia="Arial" w:hAnsi="Arial"/>
          <w:sz w:val="14"/>
          <w:szCs w:val="14"/>
          <w:i w:val="1"/>
          <w:iCs w:val="1"/>
          <w:color w:val="auto"/>
        </w:rPr>
        <w:t>Derivatives and Hedging</w:t>
      </w:r>
      <w:r>
        <w:rPr>
          <w:rFonts w:ascii="Arial" w:cs="Arial" w:eastAsia="Arial" w:hAnsi="Arial"/>
          <w:sz w:val="14"/>
          <w:szCs w:val="14"/>
          <w:color w:val="auto"/>
        </w:rPr>
        <w:t>. Based on the provisions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ind w:right="360"/>
        <w:spacing w:after="0" w:line="321" w:lineRule="auto"/>
        <w:rPr>
          <w:sz w:val="20"/>
          <w:szCs w:val="20"/>
          <w:color w:val="auto"/>
        </w:rPr>
      </w:pPr>
      <w:r>
        <w:rPr>
          <w:rFonts w:ascii="Arial" w:cs="Arial" w:eastAsia="Arial" w:hAnsi="Arial"/>
          <w:sz w:val="13"/>
          <w:szCs w:val="13"/>
          <w:color w:val="auto"/>
        </w:rPr>
        <w:t>governing the pre-funded warrants in the applicable agreement, the Company determined that the pre-funded warrants meet the criteria required to be classified as an equity award subject to the guidance in ASC 815-10 and 815-40 and should effectively be treated as outstanding common shares in both basic and diluted earnings per share calculations.</w:t>
      </w: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Net Loss Per Common Share</w:t>
      </w:r>
    </w:p>
    <w:p>
      <w:pPr>
        <w:spacing w:after="0" w:line="119" w:lineRule="exact"/>
        <w:rPr>
          <w:sz w:val="20"/>
          <w:szCs w:val="20"/>
          <w:color w:val="auto"/>
        </w:rPr>
      </w:pPr>
    </w:p>
    <w:p>
      <w:pPr>
        <w:ind w:right="100" w:firstLine="318"/>
        <w:spacing w:after="0" w:line="258" w:lineRule="auto"/>
        <w:rPr>
          <w:sz w:val="20"/>
          <w:szCs w:val="20"/>
          <w:color w:val="auto"/>
        </w:rPr>
      </w:pPr>
      <w:r>
        <w:rPr>
          <w:rFonts w:ascii="Arial" w:cs="Arial" w:eastAsia="Arial" w:hAnsi="Arial"/>
          <w:sz w:val="14"/>
          <w:szCs w:val="14"/>
          <w:color w:val="auto"/>
        </w:rPr>
        <w:t>Basic and diluted net loss per common share is determined by dividing net loss by the weighted average common shares and pre-funded warrants outstanding during the period. Basic and diluted shares outstanding includes the weighted average effect of the Company's outstanding pre-funded warrants as the exercise of such pre-funded warrants requires nominal consideration to be given for the delivery of the corresponding shares of common stock. As of June 30, 2020, the Company had 3,164,280 pre-funded warrants outstanding, which if exercised, would increase the number of shares of common stock issued and outstanding. For the periods when there is a net loss, shares underlying stock options and RSUs have been excluded from the calculation of diluted net loss per common share because the effect of including such shares would be anti-dilutive. Therefore, the weighted average common shares used to calculate both basic and diluted net loss per common share would be the same.</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sets forth the computation of basic and diluted net loss per common share for the periods indicated:</w:t>
      </w:r>
    </w:p>
    <w:p>
      <w:pPr>
        <w:sectPr>
          <w:pgSz w:w="11900" w:h="16838" w:orient="portrait"/>
          <w:cols w:equalWidth="0" w:num="1">
            <w:col w:w="11280"/>
          </w:cols>
          <w:pgMar w:left="300" w:top="129" w:right="319" w:bottom="1440" w:gutter="0" w:footer="0" w:header="0"/>
        </w:sectPr>
      </w:pPr>
    </w:p>
    <w:p>
      <w:pPr>
        <w:spacing w:after="0" w:line="172" w:lineRule="exact"/>
        <w:rPr>
          <w:sz w:val="20"/>
          <w:szCs w:val="20"/>
          <w:color w:val="auto"/>
        </w:rPr>
      </w:pPr>
    </w:p>
    <w:p>
      <w:pPr>
        <w:jc w:val="center"/>
        <w:ind w:left="5140"/>
        <w:spacing w:after="0"/>
        <w:rPr>
          <w:sz w:val="20"/>
          <w:szCs w:val="20"/>
          <w:color w:val="auto"/>
        </w:rPr>
      </w:pPr>
      <w:r>
        <w:rPr>
          <w:rFonts w:ascii="Arial" w:cs="Arial" w:eastAsia="Arial" w:hAnsi="Arial"/>
          <w:sz w:val="11"/>
          <w:szCs w:val="11"/>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3310890</wp:posOffset>
            </wp:positionH>
            <wp:positionV relativeFrom="paragraph">
              <wp:posOffset>18415</wp:posOffset>
            </wp:positionV>
            <wp:extent cx="185928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59280" cy="6985"/>
                    </a:xfrm>
                    <a:prstGeom prst="rect">
                      <a:avLst/>
                    </a:prstGeom>
                    <a:noFill/>
                  </pic:spPr>
                </pic:pic>
              </a:graphicData>
            </a:graphic>
          </wp:anchor>
        </w:drawing>
      </w:r>
    </w:p>
    <w:p>
      <w:pPr>
        <w:spacing w:after="0" w:line="23" w:lineRule="exact"/>
        <w:rPr>
          <w:sz w:val="20"/>
          <w:szCs w:val="20"/>
          <w:color w:val="auto"/>
        </w:rPr>
      </w:pPr>
    </w:p>
    <w:p>
      <w:pPr>
        <w:ind w:left="5800"/>
        <w:spacing w:after="0"/>
        <w:tabs>
          <w:tab w:leader="none" w:pos="7300" w:val="left"/>
        </w:tabs>
        <w:rPr>
          <w:sz w:val="20"/>
          <w:szCs w:val="20"/>
          <w:color w:val="auto"/>
        </w:rPr>
      </w:pPr>
      <w:r>
        <w:rPr>
          <w:rFonts w:ascii="Arial" w:cs="Arial" w:eastAsia="Arial" w:hAnsi="Arial"/>
          <w:sz w:val="9"/>
          <w:szCs w:val="9"/>
          <w:b w:val="1"/>
          <w:bCs w:val="1"/>
          <w:color w:val="auto"/>
        </w:rPr>
        <w:t>2020</w:t>
      </w:r>
      <w:r>
        <w:rPr>
          <w:sz w:val="20"/>
          <w:szCs w:val="20"/>
          <w:color w:val="auto"/>
        </w:rPr>
        <w:tab/>
      </w:r>
      <w:r>
        <w:rPr>
          <w:rFonts w:ascii="Arial" w:cs="Arial" w:eastAsia="Arial" w:hAnsi="Arial"/>
          <w:sz w:val="9"/>
          <w:szCs w:val="9"/>
          <w:b w:val="1"/>
          <w:bCs w:val="1"/>
          <w:color w:val="auto"/>
        </w:rPr>
        <w:t>2019</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600"/>
        <w:spacing w:after="0"/>
        <w:rPr>
          <w:sz w:val="20"/>
          <w:szCs w:val="20"/>
          <w:color w:val="auto"/>
        </w:rPr>
      </w:pPr>
      <w:r>
        <w:rPr>
          <w:rFonts w:ascii="Arial" w:cs="Arial" w:eastAsia="Arial" w:hAnsi="Arial"/>
          <w:sz w:val="11"/>
          <w:szCs w:val="11"/>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18415</wp:posOffset>
            </wp:positionV>
            <wp:extent cx="187325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73250" cy="6985"/>
                    </a:xfrm>
                    <a:prstGeom prst="rect">
                      <a:avLst/>
                    </a:prstGeom>
                    <a:noFill/>
                  </pic:spPr>
                </pic:pic>
              </a:graphicData>
            </a:graphic>
          </wp:anchor>
        </w:drawing>
      </w:r>
    </w:p>
    <w:p>
      <w:pPr>
        <w:spacing w:after="0" w:line="23" w:lineRule="exact"/>
        <w:rPr>
          <w:sz w:val="20"/>
          <w:szCs w:val="20"/>
          <w:color w:val="auto"/>
        </w:rPr>
      </w:pPr>
    </w:p>
    <w:p>
      <w:pPr>
        <w:spacing w:after="0"/>
        <w:tabs>
          <w:tab w:leader="none" w:pos="1500" w:val="left"/>
        </w:tabs>
        <w:rPr>
          <w:sz w:val="20"/>
          <w:szCs w:val="20"/>
          <w:color w:val="auto"/>
        </w:rPr>
      </w:pPr>
      <w:r>
        <w:rPr>
          <w:rFonts w:ascii="Arial" w:cs="Arial" w:eastAsia="Arial" w:hAnsi="Arial"/>
          <w:sz w:val="9"/>
          <w:szCs w:val="9"/>
          <w:b w:val="1"/>
          <w:bCs w:val="1"/>
          <w:color w:val="auto"/>
        </w:rPr>
        <w:t>2020</w:t>
      </w:r>
      <w:r>
        <w:rPr>
          <w:sz w:val="20"/>
          <w:szCs w:val="20"/>
          <w:color w:val="auto"/>
        </w:rPr>
        <w:tab/>
      </w:r>
      <w:r>
        <w:rPr>
          <w:rFonts w:ascii="Arial" w:cs="Arial" w:eastAsia="Arial" w:hAnsi="Arial"/>
          <w:sz w:val="9"/>
          <w:szCs w:val="9"/>
          <w:b w:val="1"/>
          <w:bCs w:val="1"/>
          <w:color w:val="auto"/>
        </w:rPr>
        <w:t>2019</w:t>
      </w:r>
    </w:p>
    <w:p>
      <w:pPr>
        <w:spacing w:after="0" w:line="43" w:lineRule="exact"/>
        <w:rPr>
          <w:sz w:val="20"/>
          <w:szCs w:val="20"/>
          <w:color w:val="auto"/>
        </w:rPr>
      </w:pPr>
    </w:p>
    <w:p>
      <w:pPr>
        <w:sectPr>
          <w:pgSz w:w="11900" w:h="16838" w:orient="portrait"/>
          <w:cols w:equalWidth="0" w:num="2">
            <w:col w:w="8220" w:space="720"/>
            <w:col w:w="2340"/>
          </w:cols>
          <w:pgMar w:left="300" w:top="129" w:right="31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and diluted net loss per common share calculation:</w:t>
            </w:r>
          </w:p>
        </w:tc>
        <w:tc>
          <w:tcPr>
            <w:tcW w:w="4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191"/>
        </w:trPr>
        <w:tc>
          <w:tcPr>
            <w:tcW w:w="5220" w:type="dxa"/>
            <w:vAlign w:val="bottom"/>
          </w:tcPr>
          <w:p>
            <w:pPr>
              <w:ind w:left="20"/>
              <w:spacing w:after="0"/>
              <w:rPr>
                <w:sz w:val="20"/>
                <w:szCs w:val="20"/>
                <w:color w:val="auto"/>
              </w:rPr>
            </w:pPr>
            <w:r>
              <w:rPr>
                <w:rFonts w:ascii="Arial" w:cs="Arial" w:eastAsia="Arial" w:hAnsi="Arial"/>
                <w:sz w:val="14"/>
                <w:szCs w:val="14"/>
                <w:color w:val="auto"/>
              </w:rPr>
              <w:t>Net loss</w:t>
            </w: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(18,589)</w:t>
            </w:r>
          </w:p>
        </w:tc>
        <w:tc>
          <w:tcPr>
            <w:tcW w:w="100" w:type="dxa"/>
            <w:vAlign w:val="bottom"/>
          </w:tcPr>
          <w:p>
            <w:pPr>
              <w:spacing w:after="0"/>
              <w:rPr>
                <w:sz w:val="16"/>
                <w:szCs w:val="16"/>
                <w:color w:val="auto"/>
              </w:rPr>
            </w:pP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(14,443)</w:t>
            </w:r>
          </w:p>
        </w:tc>
        <w:tc>
          <w:tcPr>
            <w:tcW w:w="200" w:type="dxa"/>
            <w:vAlign w:val="bottom"/>
          </w:tcPr>
          <w:p>
            <w:pPr>
              <w:spacing w:after="0"/>
              <w:rPr>
                <w:sz w:val="16"/>
                <w:szCs w:val="16"/>
                <w:color w:val="auto"/>
              </w:rPr>
            </w:pP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(33,665)</w:t>
            </w:r>
          </w:p>
        </w:tc>
        <w:tc>
          <w:tcPr>
            <w:tcW w:w="100" w:type="dxa"/>
            <w:vAlign w:val="bottom"/>
          </w:tcPr>
          <w:p>
            <w:pPr>
              <w:spacing w:after="0"/>
              <w:rPr>
                <w:sz w:val="16"/>
                <w:szCs w:val="16"/>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(26,944)</w:t>
            </w:r>
          </w:p>
        </w:tc>
      </w:tr>
      <w:tr>
        <w:trPr>
          <w:trHeight w:val="22"/>
        </w:trPr>
        <w:tc>
          <w:tcPr>
            <w:tcW w:w="5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common shares outstanding - basic and dilutive</w:t>
            </w: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57,421</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41,477</w:t>
            </w: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55,424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41,452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5220" w:type="dxa"/>
            <w:vAlign w:val="bottom"/>
          </w:tcPr>
          <w:p>
            <w:pPr>
              <w:ind w:left="20"/>
              <w:spacing w:after="0"/>
              <w:rPr>
                <w:sz w:val="20"/>
                <w:szCs w:val="20"/>
                <w:color w:val="auto"/>
              </w:rPr>
            </w:pPr>
            <w:r>
              <w:rPr>
                <w:rFonts w:ascii="Arial" w:cs="Arial" w:eastAsia="Arial" w:hAnsi="Arial"/>
                <w:sz w:val="14"/>
                <w:szCs w:val="14"/>
                <w:color w:val="auto"/>
              </w:rPr>
              <w:t>Net loss per share of common stock - basic and diluted</w:t>
            </w: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(0.32)</w:t>
            </w:r>
          </w:p>
        </w:tc>
        <w:tc>
          <w:tcPr>
            <w:tcW w:w="100" w:type="dxa"/>
            <w:vAlign w:val="bottom"/>
          </w:tcPr>
          <w:p>
            <w:pPr>
              <w:spacing w:after="0"/>
              <w:rPr>
                <w:sz w:val="15"/>
                <w:szCs w:val="15"/>
                <w:color w:val="auto"/>
              </w:rPr>
            </w:pPr>
          </w:p>
        </w:tc>
        <w:tc>
          <w:tcPr>
            <w:tcW w:w="4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(0.35)</w:t>
            </w:r>
          </w:p>
        </w:tc>
        <w:tc>
          <w:tcPr>
            <w:tcW w:w="200" w:type="dxa"/>
            <w:vAlign w:val="bottom"/>
          </w:tcPr>
          <w:p>
            <w:pPr>
              <w:spacing w:after="0"/>
              <w:rPr>
                <w:sz w:val="15"/>
                <w:szCs w:val="15"/>
                <w:color w:val="auto"/>
              </w:rPr>
            </w:pPr>
          </w:p>
        </w:tc>
        <w:tc>
          <w:tcPr>
            <w:tcW w:w="4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(0.61)</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(0.65)</w:t>
            </w:r>
          </w:p>
        </w:tc>
      </w:tr>
      <w:tr>
        <w:trPr>
          <w:trHeight w:val="20"/>
        </w:trPr>
        <w:tc>
          <w:tcPr>
            <w:tcW w:w="5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right="420" w:firstLine="350"/>
        <w:spacing w:after="0" w:line="281" w:lineRule="auto"/>
        <w:rPr>
          <w:sz w:val="20"/>
          <w:szCs w:val="20"/>
          <w:color w:val="auto"/>
        </w:rPr>
      </w:pPr>
      <w:r>
        <w:rPr>
          <w:rFonts w:ascii="Arial" w:cs="Arial" w:eastAsia="Arial" w:hAnsi="Arial"/>
          <w:sz w:val="14"/>
          <w:szCs w:val="14"/>
          <w:color w:val="auto"/>
        </w:rPr>
        <w:t>The following potentially dilutive securities have been excluded from the computations of diluted weighted average common shares outstanding for the periods presented, as the effect of including such shares would be anti-dilutive: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360" w:type="dxa"/>
            <w:vAlign w:val="bottom"/>
          </w:tcPr>
          <w:p>
            <w:pPr>
              <w:spacing w:after="0"/>
              <w:rPr>
                <w:sz w:val="13"/>
                <w:szCs w:val="13"/>
                <w:color w:val="auto"/>
              </w:rPr>
            </w:pPr>
          </w:p>
        </w:tc>
        <w:tc>
          <w:tcPr>
            <w:tcW w:w="2380" w:type="dxa"/>
            <w:vAlign w:val="bottom"/>
            <w:tcBorders>
              <w:bottom w:val="single" w:sz="8" w:color="auto"/>
            </w:tcBorders>
            <w:gridSpan w:val="4"/>
          </w:tcPr>
          <w:p>
            <w:pPr>
              <w:jc w:val="right"/>
              <w:ind w:right="143"/>
              <w:spacing w:after="0"/>
              <w:rPr>
                <w:sz w:val="20"/>
                <w:szCs w:val="20"/>
                <w:color w:val="auto"/>
              </w:rPr>
            </w:pPr>
            <w:r>
              <w:rPr>
                <w:rFonts w:ascii="Arial" w:cs="Arial" w:eastAsia="Arial" w:hAnsi="Arial"/>
                <w:sz w:val="11"/>
                <w:szCs w:val="11"/>
                <w:b w:val="1"/>
                <w:bCs w:val="1"/>
                <w:color w:val="auto"/>
              </w:rPr>
              <w:t>Three Months Ended June 30,</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92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1"/>
                <w:szCs w:val="11"/>
                <w:b w:val="1"/>
                <w:bCs w:val="1"/>
                <w:color w:val="auto"/>
              </w:rPr>
              <w:t>Six Months Ended June 30,</w:t>
            </w:r>
          </w:p>
        </w:tc>
      </w:tr>
      <w:tr>
        <w:trPr>
          <w:trHeight w:val="150"/>
        </w:trPr>
        <w:tc>
          <w:tcPr>
            <w:tcW w:w="536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2020</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515"/>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2019</w:t>
            </w:r>
          </w:p>
        </w:tc>
      </w:tr>
      <w:tr>
        <w:trPr>
          <w:trHeight w:val="187"/>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 options outstanding</w:t>
            </w:r>
          </w:p>
        </w:tc>
        <w:tc>
          <w:tcPr>
            <w:tcW w:w="5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7,155</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5,690</w:t>
            </w: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4"/>
                <w:szCs w:val="14"/>
                <w:color w:val="auto"/>
              </w:rPr>
              <w:t>7,155</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5,690</w:t>
            </w:r>
          </w:p>
        </w:tc>
      </w:tr>
      <w:tr>
        <w:trPr>
          <w:trHeight w:val="191"/>
        </w:trPr>
        <w:tc>
          <w:tcPr>
            <w:tcW w:w="6220" w:type="dxa"/>
            <w:vAlign w:val="bottom"/>
            <w:gridSpan w:val="2"/>
          </w:tcPr>
          <w:p>
            <w:pPr>
              <w:ind w:left="20"/>
              <w:spacing w:after="0"/>
              <w:rPr>
                <w:sz w:val="20"/>
                <w:szCs w:val="20"/>
                <w:color w:val="auto"/>
              </w:rPr>
            </w:pPr>
            <w:r>
              <w:rPr>
                <w:rFonts w:ascii="Arial" w:cs="Arial" w:eastAsia="Arial" w:hAnsi="Arial"/>
                <w:sz w:val="14"/>
                <w:szCs w:val="14"/>
                <w:color w:val="auto"/>
              </w:rPr>
              <w:t>Restricted stock units</w:t>
            </w: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1,636</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16"/>
                <w:szCs w:val="16"/>
                <w:color w:val="auto"/>
              </w:rPr>
            </w:pPr>
          </w:p>
        </w:tc>
        <w:tc>
          <w:tcPr>
            <w:tcW w:w="1380" w:type="dxa"/>
            <w:vAlign w:val="bottom"/>
          </w:tcPr>
          <w:p>
            <w:pPr>
              <w:jc w:val="right"/>
              <w:ind w:right="75"/>
              <w:spacing w:after="0"/>
              <w:rPr>
                <w:sz w:val="20"/>
                <w:szCs w:val="20"/>
                <w:color w:val="auto"/>
              </w:rPr>
            </w:pPr>
            <w:r>
              <w:rPr>
                <w:rFonts w:ascii="Arial" w:cs="Arial" w:eastAsia="Arial" w:hAnsi="Arial"/>
                <w:sz w:val="14"/>
                <w:szCs w:val="14"/>
                <w:color w:val="auto"/>
              </w:rPr>
              <w:t>1,636</w:t>
            </w:r>
          </w:p>
        </w:tc>
        <w:tc>
          <w:tcPr>
            <w:tcW w:w="100" w:type="dxa"/>
            <w:vAlign w:val="bottom"/>
          </w:tcPr>
          <w:p>
            <w:pPr>
              <w:spacing w:after="0"/>
              <w:rPr>
                <w:sz w:val="16"/>
                <w:szCs w:val="16"/>
                <w:color w:val="auto"/>
              </w:rPr>
            </w:pPr>
          </w:p>
        </w:tc>
        <w:tc>
          <w:tcPr>
            <w:tcW w:w="1440" w:type="dxa"/>
            <w:vAlign w:val="bottom"/>
          </w:tcPr>
          <w:p>
            <w:pPr>
              <w:jc w:val="right"/>
              <w:ind w:right="73"/>
              <w:spacing w:after="0"/>
              <w:rPr>
                <w:sz w:val="20"/>
                <w:szCs w:val="20"/>
                <w:color w:val="auto"/>
              </w:rPr>
            </w:pPr>
            <w:r>
              <w:rPr>
                <w:rFonts w:ascii="Arial" w:cs="Arial" w:eastAsia="Arial" w:hAnsi="Arial"/>
                <w:sz w:val="14"/>
                <w:szCs w:val="14"/>
                <w:color w:val="auto"/>
              </w:rPr>
              <w:t>635</w:t>
            </w:r>
          </w:p>
        </w:tc>
      </w:tr>
      <w:tr>
        <w:trPr>
          <w:trHeight w:val="22"/>
        </w:trPr>
        <w:tc>
          <w:tcPr>
            <w:tcW w:w="53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5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8,791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6,325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5"/>
              <w:spacing w:after="0"/>
              <w:rPr>
                <w:sz w:val="20"/>
                <w:szCs w:val="20"/>
                <w:color w:val="auto"/>
              </w:rPr>
            </w:pPr>
            <w:r>
              <w:rPr>
                <w:rFonts w:ascii="Arial" w:cs="Arial" w:eastAsia="Arial" w:hAnsi="Arial"/>
                <w:sz w:val="14"/>
                <w:szCs w:val="14"/>
                <w:color w:val="auto"/>
              </w:rPr>
              <w:t>8,791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6,325</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Cash and Cash Equivalents</w:t>
      </w:r>
    </w:p>
    <w:p>
      <w:pPr>
        <w:spacing w:after="0" w:line="129" w:lineRule="exact"/>
        <w:rPr>
          <w:sz w:val="20"/>
          <w:szCs w:val="20"/>
          <w:color w:val="auto"/>
        </w:rPr>
      </w:pPr>
    </w:p>
    <w:p>
      <w:pPr>
        <w:ind w:right="40" w:firstLine="350"/>
        <w:spacing w:after="0" w:line="262" w:lineRule="auto"/>
        <w:rPr>
          <w:sz w:val="20"/>
          <w:szCs w:val="20"/>
          <w:color w:val="auto"/>
        </w:rPr>
      </w:pPr>
      <w:r>
        <w:rPr>
          <w:rFonts w:ascii="Arial" w:cs="Arial" w:eastAsia="Arial" w:hAnsi="Arial"/>
          <w:sz w:val="14"/>
          <w:szCs w:val="14"/>
          <w:color w:val="auto"/>
        </w:rPr>
        <w:t>The Company considers all highly liquid investments purchased with original maturities of 90 days or less at the date of purchase to be cash equivalents. As of June 30, 2020 and December 31, 2019, the Company had cash and cash equivalents of approximately $245.7 million and $125.7 million, respectively. Cash and cash equivalents included cash of $3.4 million at June 30, 2020 and $3.2 million at December 31, 2019. Cash and cash equivalents at June 30, 2020 and December 31, 2019 included $242.4 million and $122.5 million, respectively, of investments in money market funds and certain investment-grade corporate debt securities with original maturities of 90 days or less.</w:t>
      </w:r>
    </w:p>
    <w:p>
      <w:pPr>
        <w:spacing w:after="0" w:line="82" w:lineRule="exact"/>
        <w:rPr>
          <w:sz w:val="20"/>
          <w:szCs w:val="20"/>
          <w:color w:val="auto"/>
        </w:rPr>
      </w:pPr>
    </w:p>
    <w:p>
      <w:pPr>
        <w:ind w:right="60" w:firstLine="350"/>
        <w:spacing w:after="0" w:line="281" w:lineRule="auto"/>
        <w:rPr>
          <w:sz w:val="20"/>
          <w:szCs w:val="20"/>
          <w:color w:val="auto"/>
        </w:rPr>
      </w:pPr>
      <w:r>
        <w:rPr>
          <w:rFonts w:ascii="Arial" w:cs="Arial" w:eastAsia="Arial" w:hAnsi="Arial"/>
          <w:sz w:val="14"/>
          <w:szCs w:val="14"/>
          <w:color w:val="auto"/>
        </w:rPr>
        <w:t>The Company considers securities with original maturities of greater than 90 days at the date of purchase to be available for sale securities. The Company held no available for sale securities at June 30, 2020 or at December 31, 2019, respectively.</w:t>
      </w:r>
    </w:p>
    <w:p>
      <w:pPr>
        <w:spacing w:after="0" w:line="79" w:lineRule="exact"/>
        <w:rPr>
          <w:sz w:val="20"/>
          <w:szCs w:val="20"/>
          <w:color w:val="auto"/>
        </w:rPr>
      </w:pPr>
    </w:p>
    <w:p>
      <w:pPr>
        <w:ind w:right="60" w:firstLine="318"/>
        <w:spacing w:after="0" w:line="282" w:lineRule="auto"/>
        <w:rPr>
          <w:sz w:val="20"/>
          <w:szCs w:val="20"/>
          <w:color w:val="auto"/>
        </w:rPr>
      </w:pPr>
      <w:r>
        <w:rPr>
          <w:rFonts w:ascii="Arial" w:cs="Arial" w:eastAsia="Arial" w:hAnsi="Arial"/>
          <w:sz w:val="13"/>
          <w:szCs w:val="13"/>
          <w:color w:val="auto"/>
        </w:rPr>
        <w:t>The Company believes that its existing cash and cash equivalents as of June 30, 2020 will be sufficient to fund its currently planned capital expenditure requirements and operating expenses for at least the next 12 months from the filing of this Quarterly Report on Form 10-Q. This estimate is based on the Company's current business plan, which includes the continuation of its clinical development programs for Zimura, the progression of its IC-100 and IC-200 programs into the clinic, and the advancement of its IC-500 development program. This estimate assumes that it will enroll approximately 400 patients in the GATHER2 trial. This estimate does not reflect any additional expenditures resulting from the potential in-licensing or acquisition of additional product candidates or technologies, commencement of any new sponsored research programs or any associated development the Company may pursue. The Company has based this estimate on assumptions that may prove to be wrong, and it could use its available capital resources sooner than it currently expects.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Share-Based Compensation</w:t>
      </w:r>
    </w:p>
    <w:p>
      <w:pPr>
        <w:spacing w:after="0" w:line="129" w:lineRule="exact"/>
        <w:rPr>
          <w:sz w:val="20"/>
          <w:szCs w:val="20"/>
          <w:color w:val="auto"/>
        </w:rPr>
      </w:pPr>
    </w:p>
    <w:p>
      <w:pPr>
        <w:ind w:right="40" w:firstLine="318"/>
        <w:spacing w:after="0" w:line="267" w:lineRule="auto"/>
        <w:rPr>
          <w:sz w:val="20"/>
          <w:szCs w:val="20"/>
          <w:color w:val="auto"/>
        </w:rPr>
      </w:pPr>
      <w:r>
        <w:rPr>
          <w:rFonts w:ascii="Arial" w:cs="Arial" w:eastAsia="Arial" w:hAnsi="Arial"/>
          <w:sz w:val="14"/>
          <w:szCs w:val="14"/>
          <w:color w:val="auto"/>
        </w:rPr>
        <w:t>Pursuant to the evergreen provisions of the Company's 2013 stock incentive plan (the "2013 Plan"), annual increases have resulted in the addition of an aggregate of approximately 10,539,000 additional shares to the 2013 Plan, including for 2020, an increase of approximately 1,985,000 shares, or approximately 4% of the total number of shares of the Company's common stock outstanding as of January 1, 2020. As of June 30, 2020, the Company had approximately 2,774,000 shares available for grant under the 2013 Plan.</w:t>
      </w:r>
    </w:p>
    <w:p>
      <w:pPr>
        <w:spacing w:after="0" w:line="89" w:lineRule="exact"/>
        <w:rPr>
          <w:sz w:val="20"/>
          <w:szCs w:val="20"/>
          <w:color w:val="auto"/>
        </w:rPr>
      </w:pPr>
    </w:p>
    <w:p>
      <w:pPr>
        <w:ind w:right="60" w:firstLine="318"/>
        <w:spacing w:after="0" w:line="260" w:lineRule="auto"/>
        <w:rPr>
          <w:sz w:val="20"/>
          <w:szCs w:val="20"/>
          <w:color w:val="auto"/>
        </w:rPr>
      </w:pPr>
      <w:r>
        <w:rPr>
          <w:rFonts w:ascii="Arial" w:cs="Arial" w:eastAsia="Arial" w:hAnsi="Arial"/>
          <w:sz w:val="14"/>
          <w:szCs w:val="14"/>
          <w:color w:val="auto"/>
        </w:rPr>
        <w:t>In October 2019, the Company's board of directors adopted its 2019 Inducement Stock Incentive Plan (the “2019 Inducement Plan”) to reserve initially 1,000,000 shares of its common stock to be used exclusively for grants of awards to individuals who were not previously employees or directors of the Company as a material inducement to such individuals’ entry into employment with the Company within Rule 5635(c)(4) of the Nasdaq Listing Rules. The terms and conditions of the 2019 Inducement Plan are substantially similar to those of the 2013 Plan. In March 2020, the Company's board of directors amended the 2019 Inducement Plan to reserve an additional 1,000,000 shares of its common stock for issuance under the plan. As of June 30, 2020, the Company had approximately 897,000 shares available for grant under the 2019 Inducement Plan.</w:t>
      </w:r>
    </w:p>
    <w:p>
      <w:pPr>
        <w:spacing w:after="0" w:line="83" w:lineRule="exact"/>
        <w:rPr>
          <w:sz w:val="20"/>
          <w:szCs w:val="20"/>
          <w:color w:val="auto"/>
        </w:rPr>
      </w:pPr>
    </w:p>
    <w:p>
      <w:pPr>
        <w:ind w:right="80" w:firstLine="509"/>
        <w:spacing w:after="0" w:line="281" w:lineRule="auto"/>
        <w:rPr>
          <w:sz w:val="20"/>
          <w:szCs w:val="20"/>
          <w:color w:val="auto"/>
        </w:rPr>
      </w:pPr>
      <w:r>
        <w:rPr>
          <w:rFonts w:ascii="Arial" w:cs="Arial" w:eastAsia="Arial" w:hAnsi="Arial"/>
          <w:sz w:val="14"/>
          <w:szCs w:val="14"/>
          <w:color w:val="auto"/>
        </w:rPr>
        <w:t>Share-based compensation expense, net of estimated forfeitures, includes expenses related to stock options and RSUs granted to employees, non-employee directors and consultants, as well as options granted to employees to purchase shares under the ESPP. Stock-based compensation by award type was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260" w:type="dxa"/>
            <w:vAlign w:val="bottom"/>
          </w:tcPr>
          <w:p>
            <w:pPr>
              <w:spacing w:after="0"/>
              <w:rPr>
                <w:sz w:val="13"/>
                <w:szCs w:val="13"/>
                <w:color w:val="auto"/>
              </w:rPr>
            </w:pPr>
          </w:p>
        </w:tc>
        <w:tc>
          <w:tcPr>
            <w:tcW w:w="244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1"/>
                <w:szCs w:val="11"/>
                <w:b w:val="1"/>
                <w:bCs w:val="1"/>
                <w:color w:val="auto"/>
              </w:rPr>
              <w:t>Three Months Ended June 30,</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1"/>
                <w:szCs w:val="11"/>
                <w:b w:val="1"/>
                <w:bCs w:val="1"/>
                <w:color w:val="auto"/>
              </w:rPr>
              <w:t>Six Months Ended June 30,</w:t>
            </w:r>
          </w:p>
        </w:tc>
      </w:tr>
      <w:tr>
        <w:trPr>
          <w:trHeight w:val="150"/>
        </w:trPr>
        <w:tc>
          <w:tcPr>
            <w:tcW w:w="52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4"/>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2019</w:t>
            </w:r>
          </w:p>
        </w:tc>
      </w:tr>
      <w:tr>
        <w:trPr>
          <w:trHeight w:val="187"/>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88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1,093</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1,488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2,467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3,110</w:t>
            </w:r>
          </w:p>
        </w:tc>
      </w:tr>
      <w:tr>
        <w:trPr>
          <w:trHeight w:val="191"/>
        </w:trPr>
        <w:tc>
          <w:tcPr>
            <w:tcW w:w="526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880" w:type="dxa"/>
            <w:vAlign w:val="bottom"/>
          </w:tcPr>
          <w:p>
            <w:pPr>
              <w:spacing w:after="0"/>
              <w:rPr>
                <w:sz w:val="16"/>
                <w:szCs w:val="16"/>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752</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jc w:val="right"/>
              <w:ind w:right="69"/>
              <w:spacing w:after="0"/>
              <w:rPr>
                <w:sz w:val="20"/>
                <w:szCs w:val="20"/>
                <w:color w:val="auto"/>
              </w:rPr>
            </w:pPr>
            <w:r>
              <w:rPr>
                <w:rFonts w:ascii="Arial" w:cs="Arial" w:eastAsia="Arial" w:hAnsi="Arial"/>
                <w:sz w:val="14"/>
                <w:szCs w:val="14"/>
                <w:color w:val="auto"/>
              </w:rPr>
              <w:t>709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74"/>
              <w:spacing w:after="0"/>
              <w:rPr>
                <w:sz w:val="20"/>
                <w:szCs w:val="20"/>
                <w:color w:val="auto"/>
              </w:rPr>
            </w:pPr>
            <w:r>
              <w:rPr>
                <w:rFonts w:ascii="Arial" w:cs="Arial" w:eastAsia="Arial" w:hAnsi="Arial"/>
                <w:sz w:val="14"/>
                <w:szCs w:val="14"/>
                <w:color w:val="auto"/>
              </w:rPr>
              <w:t>1,688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72"/>
              <w:spacing w:after="0"/>
              <w:rPr>
                <w:sz w:val="20"/>
                <w:szCs w:val="20"/>
                <w:color w:val="auto"/>
              </w:rPr>
            </w:pPr>
            <w:r>
              <w:rPr>
                <w:rFonts w:ascii="Arial" w:cs="Arial" w:eastAsia="Arial" w:hAnsi="Arial"/>
                <w:sz w:val="14"/>
                <w:szCs w:val="14"/>
                <w:color w:val="auto"/>
              </w:rPr>
              <w:t>1,530</w:t>
            </w:r>
          </w:p>
        </w:tc>
      </w:tr>
      <w:tr>
        <w:trPr>
          <w:trHeight w:val="22"/>
        </w:trPr>
        <w:tc>
          <w:tcPr>
            <w:tcW w:w="5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2"/>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8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28</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37</w:t>
            </w:r>
          </w:p>
        </w:tc>
      </w:tr>
      <w:tr>
        <w:trPr>
          <w:trHeight w:val="203"/>
        </w:trPr>
        <w:tc>
          <w:tcPr>
            <w:tcW w:w="5260" w:type="dxa"/>
            <w:vAlign w:val="bottom"/>
          </w:tcPr>
          <w:p>
            <w:pPr>
              <w:ind w:left="20"/>
              <w:spacing w:after="0"/>
              <w:rPr>
                <w:sz w:val="20"/>
                <w:szCs w:val="20"/>
                <w:color w:val="auto"/>
              </w:rPr>
            </w:pPr>
            <w:r>
              <w:rPr>
                <w:rFonts w:ascii="Arial" w:cs="Arial" w:eastAsia="Arial" w:hAnsi="Arial"/>
                <w:sz w:val="14"/>
                <w:szCs w:val="14"/>
                <w:color w:val="auto"/>
              </w:rPr>
              <w:t>Total</w:t>
            </w:r>
          </w:p>
        </w:tc>
        <w:tc>
          <w:tcPr>
            <w:tcW w:w="88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1,873</w:t>
            </w:r>
          </w:p>
        </w:tc>
        <w:tc>
          <w:tcPr>
            <w:tcW w:w="1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2,207</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color w:val="auto"/>
              </w:rPr>
              <w:t>4,197</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4,677</w:t>
            </w:r>
          </w:p>
        </w:tc>
      </w:tr>
      <w:tr>
        <w:trPr>
          <w:trHeight w:val="20"/>
        </w:trPr>
        <w:tc>
          <w:tcPr>
            <w:tcW w:w="5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allocated stock-based compensation expense in the Company’s Consolidated Statements of Operations and Comprehensive Loss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260" w:type="dxa"/>
            <w:vAlign w:val="bottom"/>
          </w:tcPr>
          <w:p>
            <w:pPr>
              <w:spacing w:after="0"/>
              <w:rPr>
                <w:sz w:val="13"/>
                <w:szCs w:val="13"/>
                <w:color w:val="auto"/>
              </w:rPr>
            </w:pPr>
          </w:p>
        </w:tc>
        <w:tc>
          <w:tcPr>
            <w:tcW w:w="244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1"/>
                <w:szCs w:val="11"/>
                <w:b w:val="1"/>
                <w:bCs w:val="1"/>
                <w:color w:val="auto"/>
              </w:rPr>
              <w:t>Three Months Ended June 30,</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1"/>
                <w:szCs w:val="11"/>
                <w:b w:val="1"/>
                <w:bCs w:val="1"/>
                <w:color w:val="auto"/>
              </w:rPr>
              <w:t>Six Months Ended June 30,</w:t>
            </w:r>
          </w:p>
        </w:tc>
      </w:tr>
      <w:tr>
        <w:trPr>
          <w:trHeight w:val="150"/>
        </w:trPr>
        <w:tc>
          <w:tcPr>
            <w:tcW w:w="52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5"/>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2019</w:t>
            </w:r>
          </w:p>
        </w:tc>
      </w:tr>
      <w:tr>
        <w:trPr>
          <w:trHeight w:val="187"/>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88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951</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989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4"/>
                <w:szCs w:val="14"/>
                <w:color w:val="auto"/>
              </w:rPr>
              <w:t>2,104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2,159</w:t>
            </w:r>
          </w:p>
        </w:tc>
      </w:tr>
      <w:tr>
        <w:trPr>
          <w:trHeight w:val="191"/>
        </w:trPr>
        <w:tc>
          <w:tcPr>
            <w:tcW w:w="52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880" w:type="dxa"/>
            <w:vAlign w:val="bottom"/>
          </w:tcPr>
          <w:p>
            <w:pPr>
              <w:spacing w:after="0"/>
              <w:rPr>
                <w:sz w:val="16"/>
                <w:szCs w:val="16"/>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922</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jc w:val="right"/>
              <w:ind w:right="69"/>
              <w:spacing w:after="0"/>
              <w:rPr>
                <w:sz w:val="20"/>
                <w:szCs w:val="20"/>
                <w:color w:val="auto"/>
              </w:rPr>
            </w:pPr>
            <w:r>
              <w:rPr>
                <w:rFonts w:ascii="Arial" w:cs="Arial" w:eastAsia="Arial" w:hAnsi="Arial"/>
                <w:sz w:val="14"/>
                <w:szCs w:val="14"/>
                <w:color w:val="auto"/>
              </w:rPr>
              <w:t>1,218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75"/>
              <w:spacing w:after="0"/>
              <w:rPr>
                <w:sz w:val="20"/>
                <w:szCs w:val="20"/>
                <w:color w:val="auto"/>
              </w:rPr>
            </w:pPr>
            <w:r>
              <w:rPr>
                <w:rFonts w:ascii="Arial" w:cs="Arial" w:eastAsia="Arial" w:hAnsi="Arial"/>
                <w:sz w:val="14"/>
                <w:szCs w:val="14"/>
                <w:color w:val="auto"/>
              </w:rPr>
              <w:t>2,093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73"/>
              <w:spacing w:after="0"/>
              <w:rPr>
                <w:sz w:val="20"/>
                <w:szCs w:val="20"/>
                <w:color w:val="auto"/>
              </w:rPr>
            </w:pPr>
            <w:r>
              <w:rPr>
                <w:rFonts w:ascii="Arial" w:cs="Arial" w:eastAsia="Arial" w:hAnsi="Arial"/>
                <w:sz w:val="14"/>
                <w:szCs w:val="14"/>
                <w:color w:val="auto"/>
              </w:rPr>
              <w:t>2,518</w:t>
            </w:r>
          </w:p>
        </w:tc>
      </w:tr>
      <w:tr>
        <w:trPr>
          <w:trHeight w:val="22"/>
        </w:trPr>
        <w:tc>
          <w:tcPr>
            <w:tcW w:w="5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1,873</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2,207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4"/>
                <w:szCs w:val="14"/>
                <w:color w:val="auto"/>
              </w:rPr>
              <w:t>4,197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4,677</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Options</w:t>
      </w:r>
    </w:p>
    <w:p>
      <w:pPr>
        <w:spacing w:after="0" w:line="125" w:lineRule="exact"/>
        <w:rPr>
          <w:sz w:val="20"/>
          <w:szCs w:val="20"/>
          <w:color w:val="auto"/>
        </w:rPr>
      </w:pPr>
    </w:p>
    <w:p>
      <w:pPr>
        <w:ind w:right="80" w:firstLine="350"/>
        <w:spacing w:after="0" w:line="281" w:lineRule="auto"/>
        <w:rPr>
          <w:sz w:val="20"/>
          <w:szCs w:val="20"/>
          <w:color w:val="auto"/>
        </w:rPr>
      </w:pPr>
      <w:r>
        <w:rPr>
          <w:rFonts w:ascii="Arial" w:cs="Arial" w:eastAsia="Arial" w:hAnsi="Arial"/>
          <w:sz w:val="14"/>
          <w:szCs w:val="14"/>
          <w:color w:val="auto"/>
        </w:rPr>
        <w:t>A summary of the stock option activity, weighted average exercise prices, options outstanding, exercisable and expected to vest as of June 30, 2020 is as follows (in thousands except weighted average exercise price):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jc w:val="center"/>
              <w:ind w:right="234"/>
              <w:spacing w:after="0"/>
              <w:rPr>
                <w:sz w:val="20"/>
                <w:szCs w:val="20"/>
                <w:color w:val="auto"/>
              </w:rPr>
            </w:pPr>
            <w:r>
              <w:rPr>
                <w:rFonts w:ascii="Arial" w:cs="Arial" w:eastAsia="Arial" w:hAnsi="Arial"/>
                <w:sz w:val="11"/>
                <w:szCs w:val="11"/>
                <w:b w:val="1"/>
                <w:bCs w:val="1"/>
                <w:color w:val="auto"/>
                <w:w w:val="92"/>
              </w:rPr>
              <w:t>Weighted</w:t>
            </w:r>
          </w:p>
        </w:tc>
        <w:tc>
          <w:tcPr>
            <w:tcW w:w="0" w:type="dxa"/>
            <w:vAlign w:val="bottom"/>
          </w:tcPr>
          <w:p>
            <w:pPr>
              <w:spacing w:after="0"/>
              <w:rPr>
                <w:sz w:val="1"/>
                <w:szCs w:val="1"/>
                <w:color w:val="auto"/>
              </w:rPr>
            </w:pPr>
          </w:p>
        </w:tc>
      </w:tr>
      <w:tr>
        <w:trPr>
          <w:trHeight w:val="117"/>
        </w:trPr>
        <w:tc>
          <w:tcPr>
            <w:tcW w:w="8300" w:type="dxa"/>
            <w:vAlign w:val="bottom"/>
          </w:tcPr>
          <w:p>
            <w:pPr>
              <w:spacing w:after="0"/>
              <w:rPr>
                <w:sz w:val="10"/>
                <w:szCs w:val="10"/>
                <w:color w:val="auto"/>
              </w:rPr>
            </w:pPr>
          </w:p>
        </w:tc>
        <w:tc>
          <w:tcPr>
            <w:tcW w:w="1440" w:type="dxa"/>
            <w:vAlign w:val="bottom"/>
            <w:vMerge w:val="restart"/>
          </w:tcPr>
          <w:p>
            <w:pPr>
              <w:jc w:val="right"/>
              <w:ind w:right="212"/>
              <w:spacing w:after="0"/>
              <w:rPr>
                <w:sz w:val="20"/>
                <w:szCs w:val="20"/>
                <w:color w:val="auto"/>
              </w:rPr>
            </w:pPr>
            <w:r>
              <w:rPr>
                <w:rFonts w:ascii="Arial" w:cs="Arial" w:eastAsia="Arial" w:hAnsi="Arial"/>
                <w:sz w:val="11"/>
                <w:szCs w:val="11"/>
                <w:b w:val="1"/>
                <w:bCs w:val="1"/>
                <w:color w:val="auto"/>
              </w:rPr>
              <w:t>Number of Shares</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jc w:val="center"/>
              <w:ind w:right="214"/>
              <w:spacing w:after="0" w:line="117" w:lineRule="exact"/>
              <w:rPr>
                <w:sz w:val="20"/>
                <w:szCs w:val="20"/>
                <w:color w:val="auto"/>
              </w:rPr>
            </w:pPr>
            <w:r>
              <w:rPr>
                <w:rFonts w:ascii="Arial" w:cs="Arial" w:eastAsia="Arial" w:hAnsi="Arial"/>
                <w:sz w:val="11"/>
                <w:szCs w:val="11"/>
                <w:b w:val="1"/>
                <w:bCs w:val="1"/>
                <w:color w:val="auto"/>
                <w:w w:val="92"/>
              </w:rPr>
              <w:t>Average</w:t>
            </w:r>
          </w:p>
        </w:tc>
        <w:tc>
          <w:tcPr>
            <w:tcW w:w="0" w:type="dxa"/>
            <w:vAlign w:val="bottom"/>
          </w:tcPr>
          <w:p>
            <w:pPr>
              <w:spacing w:after="0"/>
              <w:rPr>
                <w:sz w:val="1"/>
                <w:szCs w:val="1"/>
                <w:color w:val="auto"/>
              </w:rPr>
            </w:pPr>
          </w:p>
        </w:tc>
      </w:tr>
      <w:tr>
        <w:trPr>
          <w:trHeight w:val="117"/>
        </w:trPr>
        <w:tc>
          <w:tcPr>
            <w:tcW w:w="830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jc w:val="center"/>
              <w:ind w:right="214"/>
              <w:spacing w:after="0" w:line="117" w:lineRule="exact"/>
              <w:rPr>
                <w:sz w:val="20"/>
                <w:szCs w:val="20"/>
                <w:color w:val="auto"/>
              </w:rPr>
            </w:pPr>
            <w:r>
              <w:rPr>
                <w:rFonts w:ascii="Arial" w:cs="Arial" w:eastAsia="Arial" w:hAnsi="Arial"/>
                <w:sz w:val="11"/>
                <w:szCs w:val="11"/>
                <w:b w:val="1"/>
                <w:bCs w:val="1"/>
                <w:color w:val="auto"/>
                <w:w w:val="88"/>
              </w:rPr>
              <w:t>Exercise</w:t>
            </w:r>
          </w:p>
        </w:tc>
        <w:tc>
          <w:tcPr>
            <w:tcW w:w="0" w:type="dxa"/>
            <w:vAlign w:val="bottom"/>
          </w:tcPr>
          <w:p>
            <w:pPr>
              <w:spacing w:after="0"/>
              <w:rPr>
                <w:sz w:val="1"/>
                <w:szCs w:val="1"/>
                <w:color w:val="auto"/>
              </w:rPr>
            </w:pPr>
          </w:p>
        </w:tc>
      </w:tr>
      <w:tr>
        <w:trPr>
          <w:trHeight w:val="151"/>
        </w:trPr>
        <w:tc>
          <w:tcPr>
            <w:tcW w:w="83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ind w:right="172"/>
              <w:spacing w:after="0"/>
              <w:rPr>
                <w:sz w:val="20"/>
                <w:szCs w:val="20"/>
                <w:color w:val="auto"/>
              </w:rPr>
            </w:pPr>
            <w:r>
              <w:rPr>
                <w:rFonts w:ascii="Arial" w:cs="Arial" w:eastAsia="Arial" w:hAnsi="Arial"/>
                <w:sz w:val="11"/>
                <w:szCs w:val="11"/>
                <w:b w:val="1"/>
                <w:bCs w:val="1"/>
                <w:color w:val="auto"/>
              </w:rPr>
              <w:t>Underlying Options</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214"/>
              <w:spacing w:after="0"/>
              <w:rPr>
                <w:sz w:val="20"/>
                <w:szCs w:val="20"/>
                <w:color w:val="auto"/>
              </w:rPr>
            </w:pPr>
            <w:r>
              <w:rPr>
                <w:rFonts w:ascii="Arial" w:cs="Arial" w:eastAsia="Arial" w:hAnsi="Arial"/>
                <w:sz w:val="11"/>
                <w:szCs w:val="11"/>
                <w:b w:val="1"/>
                <w:bCs w:val="1"/>
                <w:color w:val="auto"/>
                <w:w w:val="89"/>
              </w:rPr>
              <w:t>Price</w:t>
            </w:r>
          </w:p>
        </w:tc>
        <w:tc>
          <w:tcPr>
            <w:tcW w:w="0" w:type="dxa"/>
            <w:vAlign w:val="bottom"/>
          </w:tcPr>
          <w:p>
            <w:pPr>
              <w:spacing w:after="0"/>
              <w:rPr>
                <w:sz w:val="1"/>
                <w:szCs w:val="1"/>
                <w:color w:val="auto"/>
              </w:rPr>
            </w:pPr>
          </w:p>
        </w:tc>
      </w:tr>
      <w:tr>
        <w:trPr>
          <w:trHeight w:val="187"/>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December 31, 2019</w:t>
            </w: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6,780</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10.89</w:t>
            </w:r>
          </w:p>
        </w:tc>
        <w:tc>
          <w:tcPr>
            <w:tcW w:w="0" w:type="dxa"/>
            <w:vAlign w:val="bottom"/>
          </w:tcPr>
          <w:p>
            <w:pPr>
              <w:spacing w:after="0"/>
              <w:rPr>
                <w:sz w:val="1"/>
                <w:szCs w:val="1"/>
                <w:color w:val="auto"/>
              </w:rPr>
            </w:pPr>
          </w:p>
        </w:tc>
      </w:tr>
      <w:tr>
        <w:trPr>
          <w:trHeight w:val="191"/>
        </w:trPr>
        <w:tc>
          <w:tcPr>
            <w:tcW w:w="8300" w:type="dxa"/>
            <w:vAlign w:val="bottom"/>
          </w:tcPr>
          <w:p>
            <w:pPr>
              <w:ind w:left="100"/>
              <w:spacing w:after="0"/>
              <w:rPr>
                <w:sz w:val="20"/>
                <w:szCs w:val="20"/>
                <w:color w:val="auto"/>
              </w:rPr>
            </w:pPr>
            <w:r>
              <w:rPr>
                <w:rFonts w:ascii="Arial" w:cs="Arial" w:eastAsia="Arial" w:hAnsi="Arial"/>
                <w:sz w:val="14"/>
                <w:szCs w:val="14"/>
                <w:color w:val="auto"/>
              </w:rPr>
              <w:t>Granted</w:t>
            </w:r>
          </w:p>
        </w:tc>
        <w:tc>
          <w:tcPr>
            <w:tcW w:w="1440" w:type="dxa"/>
            <w:vAlign w:val="bottom"/>
          </w:tcPr>
          <w:p>
            <w:pPr>
              <w:jc w:val="right"/>
              <w:ind w:right="72"/>
              <w:spacing w:after="0"/>
              <w:rPr>
                <w:sz w:val="20"/>
                <w:szCs w:val="20"/>
                <w:color w:val="auto"/>
              </w:rPr>
            </w:pPr>
            <w:r>
              <w:rPr>
                <w:rFonts w:ascii="Arial" w:cs="Arial" w:eastAsia="Arial" w:hAnsi="Arial"/>
                <w:sz w:val="14"/>
                <w:szCs w:val="14"/>
                <w:color w:val="auto"/>
              </w:rPr>
              <w:t>696</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74"/>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22"/>
        </w:trPr>
        <w:tc>
          <w:tcPr>
            <w:tcW w:w="8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Exercised</w:t>
            </w:r>
          </w:p>
        </w:tc>
        <w:tc>
          <w:tcPr>
            <w:tcW w:w="1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(54)</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91"/>
        </w:trPr>
        <w:tc>
          <w:tcPr>
            <w:tcW w:w="8300" w:type="dxa"/>
            <w:vAlign w:val="bottom"/>
          </w:tcPr>
          <w:p>
            <w:pPr>
              <w:ind w:left="100"/>
              <w:spacing w:after="0"/>
              <w:rPr>
                <w:sz w:val="20"/>
                <w:szCs w:val="20"/>
                <w:color w:val="auto"/>
              </w:rPr>
            </w:pPr>
            <w:r>
              <w:rPr>
                <w:rFonts w:ascii="Arial" w:cs="Arial" w:eastAsia="Arial" w:hAnsi="Arial"/>
                <w:sz w:val="14"/>
                <w:szCs w:val="14"/>
                <w:color w:val="auto"/>
              </w:rPr>
              <w:t>Forfeited</w:t>
            </w:r>
          </w:p>
        </w:tc>
        <w:tc>
          <w:tcPr>
            <w:tcW w:w="1440" w:type="dxa"/>
            <w:vAlign w:val="bottom"/>
          </w:tcPr>
          <w:p>
            <w:pPr>
              <w:jc w:val="right"/>
              <w:ind w:right="52"/>
              <w:spacing w:after="0"/>
              <w:rPr>
                <w:sz w:val="20"/>
                <w:szCs w:val="20"/>
                <w:color w:val="auto"/>
              </w:rPr>
            </w:pPr>
            <w:r>
              <w:rPr>
                <w:rFonts w:ascii="Arial" w:cs="Arial" w:eastAsia="Arial" w:hAnsi="Arial"/>
                <w:sz w:val="14"/>
                <w:szCs w:val="14"/>
                <w:color w:val="auto"/>
              </w:rPr>
              <w:t>(260)</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74"/>
              <w:spacing w:after="0"/>
              <w:rPr>
                <w:sz w:val="20"/>
                <w:szCs w:val="20"/>
                <w:color w:val="auto"/>
              </w:rPr>
            </w:pPr>
            <w:r>
              <w:rPr>
                <w:rFonts w:ascii="Arial" w:cs="Arial" w:eastAsia="Arial" w:hAnsi="Arial"/>
                <w:sz w:val="14"/>
                <w:szCs w:val="14"/>
                <w:color w:val="auto"/>
              </w:rPr>
              <w:t>15.59</w:t>
            </w:r>
          </w:p>
        </w:tc>
        <w:tc>
          <w:tcPr>
            <w:tcW w:w="0" w:type="dxa"/>
            <w:vAlign w:val="bottom"/>
          </w:tcPr>
          <w:p>
            <w:pPr>
              <w:spacing w:after="0"/>
              <w:rPr>
                <w:sz w:val="1"/>
                <w:szCs w:val="1"/>
                <w:color w:val="auto"/>
              </w:rPr>
            </w:pPr>
          </w:p>
        </w:tc>
      </w:tr>
      <w:tr>
        <w:trPr>
          <w:trHeight w:val="22"/>
        </w:trPr>
        <w:tc>
          <w:tcPr>
            <w:tcW w:w="8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Expired</w:t>
            </w:r>
          </w:p>
        </w:tc>
        <w:tc>
          <w:tcPr>
            <w:tcW w:w="1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03"/>
        </w:trPr>
        <w:tc>
          <w:tcPr>
            <w:tcW w:w="8300" w:type="dxa"/>
            <w:vAlign w:val="bottom"/>
          </w:tcPr>
          <w:p>
            <w:pPr>
              <w:ind w:left="20"/>
              <w:spacing w:after="0"/>
              <w:rPr>
                <w:sz w:val="20"/>
                <w:szCs w:val="20"/>
                <w:color w:val="auto"/>
              </w:rPr>
            </w:pPr>
            <w:r>
              <w:rPr>
                <w:rFonts w:ascii="Arial" w:cs="Arial" w:eastAsia="Arial" w:hAnsi="Arial"/>
                <w:sz w:val="14"/>
                <w:szCs w:val="14"/>
                <w:color w:val="auto"/>
              </w:rPr>
              <w:t>Outstanding, June 30, 2020</w:t>
            </w:r>
          </w:p>
        </w:tc>
        <w:tc>
          <w:tcPr>
            <w:tcW w:w="14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7,155</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74"/>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Vested and exercisable, June 30, 2020</w:t>
            </w:r>
          </w:p>
        </w:tc>
        <w:tc>
          <w:tcPr>
            <w:tcW w:w="14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3,720</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16.19</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300" w:type="dxa"/>
            <w:vAlign w:val="bottom"/>
          </w:tcPr>
          <w:p>
            <w:pPr>
              <w:ind w:left="20"/>
              <w:spacing w:after="0"/>
              <w:rPr>
                <w:sz w:val="20"/>
                <w:szCs w:val="20"/>
                <w:color w:val="auto"/>
              </w:rPr>
            </w:pPr>
            <w:r>
              <w:rPr>
                <w:rFonts w:ascii="Arial" w:cs="Arial" w:eastAsia="Arial" w:hAnsi="Arial"/>
                <w:sz w:val="14"/>
                <w:szCs w:val="14"/>
                <w:color w:val="auto"/>
              </w:rPr>
              <w:t>Vested and expected to vest, June 30, 2020</w:t>
            </w:r>
          </w:p>
        </w:tc>
        <w:tc>
          <w:tcPr>
            <w:tcW w:w="14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6,845</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74"/>
              <w:spacing w:after="0"/>
              <w:rPr>
                <w:sz w:val="20"/>
                <w:szCs w:val="20"/>
                <w:color w:val="auto"/>
              </w:rPr>
            </w:pPr>
            <w:r>
              <w:rPr>
                <w:rFonts w:ascii="Arial" w:cs="Arial" w:eastAsia="Arial" w:hAnsi="Arial"/>
                <w:sz w:val="14"/>
                <w:szCs w:val="14"/>
                <w:color w:val="auto"/>
              </w:rPr>
              <w:t>10.41</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of June 30, 2020, there were approximately $7.3 million of unrecognized compensation costs, net of estimated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forfeitures, related to stock option awards grants, which are expected to be recognized over a remaining weighted average period of 2.7 years.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RSUs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presents a summary of the Company's outstanding RSU awards granted as of June 30, 2020 (in thousands except weighted average grant-date fair value):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60" w:type="dxa"/>
            <w:vAlign w:val="bottom"/>
          </w:tcPr>
          <w:p>
            <w:pPr>
              <w:spacing w:after="0"/>
              <w:rPr>
                <w:sz w:val="10"/>
                <w:szCs w:val="10"/>
                <w:color w:val="auto"/>
              </w:rPr>
            </w:pPr>
          </w:p>
        </w:tc>
        <w:tc>
          <w:tcPr>
            <w:tcW w:w="1200" w:type="dxa"/>
            <w:vAlign w:val="bottom"/>
          </w:tcPr>
          <w:p>
            <w:pPr>
              <w:jc w:val="center"/>
              <w:ind w:left="483"/>
              <w:spacing w:after="0"/>
              <w:rPr>
                <w:sz w:val="20"/>
                <w:szCs w:val="20"/>
                <w:color w:val="auto"/>
              </w:rPr>
            </w:pPr>
            <w:r>
              <w:rPr>
                <w:rFonts w:ascii="Arial" w:cs="Arial" w:eastAsia="Arial" w:hAnsi="Arial"/>
                <w:sz w:val="11"/>
                <w:szCs w:val="11"/>
                <w:b w:val="1"/>
                <w:bCs w:val="1"/>
                <w:color w:val="auto"/>
                <w:w w:val="92"/>
              </w:rPr>
              <w:t>Restricted</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tcPr>
          <w:p>
            <w:pPr>
              <w:jc w:val="center"/>
              <w:ind w:right="194"/>
              <w:spacing w:after="0"/>
              <w:rPr>
                <w:sz w:val="20"/>
                <w:szCs w:val="20"/>
                <w:color w:val="auto"/>
              </w:rPr>
            </w:pPr>
            <w:r>
              <w:rPr>
                <w:rFonts w:ascii="Arial" w:cs="Arial" w:eastAsia="Arial" w:hAnsi="Arial"/>
                <w:sz w:val="11"/>
                <w:szCs w:val="11"/>
                <w:b w:val="1"/>
                <w:bCs w:val="1"/>
                <w:color w:val="auto"/>
                <w:w w:val="91"/>
              </w:rPr>
              <w:t>Weighted Average</w:t>
            </w:r>
          </w:p>
        </w:tc>
      </w:tr>
      <w:tr>
        <w:trPr>
          <w:trHeight w:val="117"/>
        </w:trPr>
        <w:tc>
          <w:tcPr>
            <w:tcW w:w="7660" w:type="dxa"/>
            <w:vAlign w:val="bottom"/>
          </w:tcPr>
          <w:p>
            <w:pPr>
              <w:spacing w:after="0"/>
              <w:rPr>
                <w:sz w:val="10"/>
                <w:szCs w:val="10"/>
                <w:color w:val="auto"/>
              </w:rPr>
            </w:pPr>
          </w:p>
        </w:tc>
        <w:tc>
          <w:tcPr>
            <w:tcW w:w="1200" w:type="dxa"/>
            <w:vAlign w:val="bottom"/>
          </w:tcPr>
          <w:p>
            <w:pPr>
              <w:jc w:val="center"/>
              <w:ind w:left="463"/>
              <w:spacing w:after="0" w:line="117" w:lineRule="exact"/>
              <w:rPr>
                <w:sz w:val="20"/>
                <w:szCs w:val="20"/>
                <w:color w:val="auto"/>
              </w:rPr>
            </w:pPr>
            <w:r>
              <w:rPr>
                <w:rFonts w:ascii="Arial" w:cs="Arial" w:eastAsia="Arial" w:hAnsi="Arial"/>
                <w:sz w:val="11"/>
                <w:szCs w:val="11"/>
                <w:b w:val="1"/>
                <w:bCs w:val="1"/>
                <w:color w:val="auto"/>
                <w:w w:val="93"/>
              </w:rPr>
              <w:t>Stock</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tcPr>
          <w:p>
            <w:pPr>
              <w:jc w:val="center"/>
              <w:ind w:right="194"/>
              <w:spacing w:after="0" w:line="117" w:lineRule="exact"/>
              <w:rPr>
                <w:sz w:val="20"/>
                <w:szCs w:val="20"/>
                <w:color w:val="auto"/>
              </w:rPr>
            </w:pPr>
            <w:r>
              <w:rPr>
                <w:rFonts w:ascii="Arial" w:cs="Arial" w:eastAsia="Arial" w:hAnsi="Arial"/>
                <w:sz w:val="11"/>
                <w:szCs w:val="11"/>
                <w:b w:val="1"/>
                <w:bCs w:val="1"/>
                <w:color w:val="auto"/>
                <w:w w:val="98"/>
              </w:rPr>
              <w:t>Grant-Date</w:t>
            </w:r>
          </w:p>
        </w:tc>
      </w:tr>
      <w:tr>
        <w:trPr>
          <w:trHeight w:val="151"/>
        </w:trPr>
        <w:tc>
          <w:tcPr>
            <w:tcW w:w="766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center"/>
              <w:ind w:left="483"/>
              <w:spacing w:after="0"/>
              <w:rPr>
                <w:sz w:val="20"/>
                <w:szCs w:val="20"/>
                <w:color w:val="auto"/>
              </w:rPr>
            </w:pPr>
            <w:r>
              <w:rPr>
                <w:rFonts w:ascii="Arial" w:cs="Arial" w:eastAsia="Arial" w:hAnsi="Arial"/>
                <w:sz w:val="11"/>
                <w:szCs w:val="11"/>
                <w:b w:val="1"/>
                <w:bCs w:val="1"/>
                <w:color w:val="auto"/>
                <w:w w:val="94"/>
              </w:rPr>
              <w:t>Units</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center"/>
              <w:ind w:right="194"/>
              <w:spacing w:after="0"/>
              <w:rPr>
                <w:sz w:val="20"/>
                <w:szCs w:val="20"/>
                <w:color w:val="auto"/>
              </w:rPr>
            </w:pPr>
            <w:r>
              <w:rPr>
                <w:rFonts w:ascii="Arial" w:cs="Arial" w:eastAsia="Arial" w:hAnsi="Arial"/>
                <w:sz w:val="11"/>
                <w:szCs w:val="11"/>
                <w:b w:val="1"/>
                <w:bCs w:val="1"/>
                <w:color w:val="auto"/>
                <w:w w:val="98"/>
              </w:rPr>
              <w:t>Fair Value</w:t>
            </w:r>
          </w:p>
        </w:tc>
      </w:tr>
      <w:tr>
        <w:trPr>
          <w:trHeight w:val="187"/>
        </w:trPr>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Outstanding, December 31, 2019</w:t>
            </w:r>
          </w:p>
        </w:tc>
        <w:tc>
          <w:tcPr>
            <w:tcW w:w="5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1,481</w:t>
            </w: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4"/>
                <w:szCs w:val="14"/>
                <w:color w:val="auto"/>
              </w:rPr>
              <w:t>7.79</w:t>
            </w:r>
          </w:p>
        </w:tc>
      </w:tr>
      <w:tr>
        <w:trPr>
          <w:trHeight w:val="191"/>
        </w:trPr>
        <w:tc>
          <w:tcPr>
            <w:tcW w:w="8860" w:type="dxa"/>
            <w:vAlign w:val="bottom"/>
            <w:gridSpan w:val="2"/>
          </w:tcPr>
          <w:p>
            <w:pPr>
              <w:ind w:left="20"/>
              <w:spacing w:after="0"/>
              <w:rPr>
                <w:sz w:val="20"/>
                <w:szCs w:val="20"/>
                <w:color w:val="auto"/>
              </w:rPr>
            </w:pPr>
            <w:r>
              <w:rPr>
                <w:rFonts w:ascii="Arial" w:cs="Arial" w:eastAsia="Arial" w:hAnsi="Arial"/>
                <w:sz w:val="14"/>
                <w:szCs w:val="14"/>
                <w:color w:val="auto"/>
              </w:rPr>
              <w:t>Awarded</w:t>
            </w:r>
          </w:p>
        </w:tc>
        <w:tc>
          <w:tcPr>
            <w:tcW w:w="540" w:type="dxa"/>
            <w:vAlign w:val="bottom"/>
          </w:tcPr>
          <w:p>
            <w:pPr>
              <w:jc w:val="right"/>
              <w:ind w:right="69"/>
              <w:spacing w:after="0"/>
              <w:rPr>
                <w:sz w:val="20"/>
                <w:szCs w:val="20"/>
                <w:color w:val="auto"/>
              </w:rPr>
            </w:pPr>
            <w:r>
              <w:rPr>
                <w:rFonts w:ascii="Arial" w:cs="Arial" w:eastAsia="Arial" w:hAnsi="Arial"/>
                <w:sz w:val="14"/>
                <w:szCs w:val="14"/>
                <w:color w:val="auto"/>
              </w:rPr>
              <w:t>362</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94"/>
              <w:spacing w:after="0"/>
              <w:rPr>
                <w:sz w:val="20"/>
                <w:szCs w:val="20"/>
                <w:color w:val="auto"/>
              </w:rPr>
            </w:pPr>
            <w:r>
              <w:rPr>
                <w:rFonts w:ascii="Arial" w:cs="Arial" w:eastAsia="Arial" w:hAnsi="Arial"/>
                <w:sz w:val="14"/>
                <w:szCs w:val="14"/>
                <w:color w:val="auto"/>
              </w:rPr>
              <w:t>3.61</w:t>
            </w:r>
          </w:p>
        </w:tc>
      </w:tr>
      <w:tr>
        <w:trPr>
          <w:trHeight w:val="22"/>
        </w:trPr>
        <w:tc>
          <w:tcPr>
            <w:tcW w:w="7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2"/>
        </w:trPr>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5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(112)</w:t>
            </w: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18.72</w:t>
            </w:r>
          </w:p>
        </w:tc>
      </w:tr>
      <w:tr>
        <w:trPr>
          <w:trHeight w:val="191"/>
        </w:trPr>
        <w:tc>
          <w:tcPr>
            <w:tcW w:w="8860" w:type="dxa"/>
            <w:vAlign w:val="bottom"/>
            <w:gridSpan w:val="2"/>
          </w:tcPr>
          <w:p>
            <w:pPr>
              <w:ind w:left="20"/>
              <w:spacing w:after="0"/>
              <w:rPr>
                <w:sz w:val="20"/>
                <w:szCs w:val="20"/>
                <w:color w:val="auto"/>
              </w:rPr>
            </w:pPr>
            <w:r>
              <w:rPr>
                <w:rFonts w:ascii="Arial" w:cs="Arial" w:eastAsia="Arial" w:hAnsi="Arial"/>
                <w:sz w:val="14"/>
                <w:szCs w:val="14"/>
                <w:color w:val="auto"/>
              </w:rPr>
              <w:t>Forfeited</w:t>
            </w: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(95)</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94"/>
              <w:spacing w:after="0"/>
              <w:rPr>
                <w:sz w:val="20"/>
                <w:szCs w:val="20"/>
                <w:color w:val="auto"/>
              </w:rPr>
            </w:pPr>
            <w:r>
              <w:rPr>
                <w:rFonts w:ascii="Arial" w:cs="Arial" w:eastAsia="Arial" w:hAnsi="Arial"/>
                <w:sz w:val="14"/>
                <w:szCs w:val="14"/>
                <w:color w:val="auto"/>
              </w:rPr>
              <w:t>5.39</w:t>
            </w:r>
          </w:p>
        </w:tc>
      </w:tr>
      <w:tr>
        <w:trPr>
          <w:trHeight w:val="22"/>
        </w:trPr>
        <w:tc>
          <w:tcPr>
            <w:tcW w:w="76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r>
      <w:tr>
        <w:trPr>
          <w:trHeight w:val="203"/>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June 30, 2020</w:t>
            </w:r>
          </w:p>
        </w:tc>
        <w:tc>
          <w:tcPr>
            <w:tcW w:w="12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1,636</w:t>
            </w: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4"/>
                <w:szCs w:val="14"/>
                <w:color w:val="auto"/>
              </w:rPr>
              <w:t>6.26</w:t>
            </w:r>
          </w:p>
        </w:tc>
      </w:tr>
      <w:tr>
        <w:trPr>
          <w:trHeight w:val="203"/>
        </w:trPr>
        <w:tc>
          <w:tcPr>
            <w:tcW w:w="7660" w:type="dxa"/>
            <w:vAlign w:val="bottom"/>
          </w:tcPr>
          <w:p>
            <w:pPr>
              <w:ind w:left="20"/>
              <w:spacing w:after="0"/>
              <w:rPr>
                <w:sz w:val="20"/>
                <w:szCs w:val="20"/>
                <w:color w:val="auto"/>
              </w:rPr>
            </w:pPr>
            <w:r>
              <w:rPr>
                <w:rFonts w:ascii="Arial" w:cs="Arial" w:eastAsia="Arial" w:hAnsi="Arial"/>
                <w:sz w:val="14"/>
                <w:szCs w:val="14"/>
                <w:color w:val="auto"/>
              </w:rPr>
              <w:t>Outstanding, Expected to vest</w:t>
            </w:r>
          </w:p>
        </w:tc>
        <w:tc>
          <w:tcPr>
            <w:tcW w:w="12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1,430</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94"/>
              <w:spacing w:after="0"/>
              <w:rPr>
                <w:sz w:val="20"/>
                <w:szCs w:val="20"/>
                <w:color w:val="auto"/>
              </w:rPr>
            </w:pPr>
            <w:r>
              <w:rPr>
                <w:rFonts w:ascii="Arial" w:cs="Arial" w:eastAsia="Arial" w:hAnsi="Arial"/>
                <w:sz w:val="14"/>
                <w:szCs w:val="14"/>
                <w:color w:val="auto"/>
              </w:rPr>
              <w:t>4.10</w:t>
            </w:r>
          </w:p>
        </w:tc>
      </w:tr>
      <w:tr>
        <w:trPr>
          <w:trHeight w:val="20"/>
        </w:trPr>
        <w:tc>
          <w:tcPr>
            <w:tcW w:w="7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firstLine="350"/>
        <w:spacing w:after="0" w:line="281" w:lineRule="auto"/>
        <w:rPr>
          <w:sz w:val="20"/>
          <w:szCs w:val="20"/>
          <w:color w:val="auto"/>
        </w:rPr>
      </w:pPr>
      <w:r>
        <w:rPr>
          <w:rFonts w:ascii="Arial" w:cs="Arial" w:eastAsia="Arial" w:hAnsi="Arial"/>
          <w:sz w:val="14"/>
          <w:szCs w:val="14"/>
          <w:color w:val="auto"/>
        </w:rPr>
        <w:t>As of June 30, 2020, there were approximately $4.4 million of unrecognized compensation costs, net of estimated forfeitures, related to RSUs grants, which are expected to be recognized over a remaining weighted average period of 2.6 years.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ESPP</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As of June 30, 2020, there were 838,182 shares available for future purchases under the ESPP. There were no shares issued under the ESPP during the three months ended June 30, 2020 and</w:t>
      </w:r>
    </w:p>
    <w:p>
      <w:pPr>
        <w:spacing w:after="0" w:line="42" w:lineRule="exact"/>
        <w:rPr>
          <w:sz w:val="20"/>
          <w:szCs w:val="20"/>
          <w:color w:val="auto"/>
        </w:rPr>
      </w:pPr>
    </w:p>
    <w:p>
      <w:pPr>
        <w:jc w:val="both"/>
        <w:ind w:right="140"/>
        <w:spacing w:after="0" w:line="259" w:lineRule="auto"/>
        <w:rPr>
          <w:sz w:val="20"/>
          <w:szCs w:val="20"/>
          <w:color w:val="auto"/>
        </w:rPr>
      </w:pPr>
      <w:r>
        <w:rPr>
          <w:rFonts w:ascii="Arial" w:cs="Arial" w:eastAsia="Arial" w:hAnsi="Arial"/>
          <w:sz w:val="14"/>
          <w:szCs w:val="14"/>
          <w:color w:val="auto"/>
        </w:rPr>
        <w:t>2019. There were 43,581 shares of common stock issued under the ESPP during the six months ended June 30, 2020. Cash proceeds from ESPP purchases were $42 thousand during the six months ended June 30, 2020. There were 31,522 shares of common stock issued under the ESPP during the six months ended June 30, 2019. Cash proceeds from ESPP purchases were $41 thousand during the six months ended June 30, 2019.</w:t>
      </w: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7</w:t>
      </w:r>
      <w:r>
        <w:rPr>
          <w:rFonts w:ascii="Arial" w:cs="Arial" w:eastAsia="Arial" w:hAnsi="Arial"/>
          <w:sz w:val="14"/>
          <w:szCs w:val="14"/>
          <w:b w:val="1"/>
          <w:bCs w:val="1"/>
          <w:color w:val="auto"/>
        </w:rPr>
        <w:t>. Income Taxes</w:t>
      </w:r>
    </w:p>
    <w:p>
      <w:pPr>
        <w:spacing w:after="0" w:line="119" w:lineRule="exact"/>
        <w:rPr>
          <w:sz w:val="20"/>
          <w:szCs w:val="20"/>
          <w:color w:val="auto"/>
        </w:rPr>
      </w:pPr>
    </w:p>
    <w:p>
      <w:pPr>
        <w:jc w:val="both"/>
        <w:ind w:right="140" w:firstLine="318"/>
        <w:spacing w:after="0" w:line="267" w:lineRule="auto"/>
        <w:rPr>
          <w:sz w:val="20"/>
          <w:szCs w:val="20"/>
          <w:color w:val="auto"/>
        </w:rPr>
      </w:pPr>
      <w:r>
        <w:rPr>
          <w:rFonts w:ascii="Arial" w:cs="Arial" w:eastAsia="Arial" w:hAnsi="Arial"/>
          <w:sz w:val="14"/>
          <w:szCs w:val="14"/>
          <w:color w:val="auto"/>
        </w:rPr>
        <w:t>For the three and six months ended June 30, 2020, the Company recorded a benefit for income taxes of $0.4 million and $3.7 million, respectively. The income tax benefit for the three and six months ended June 30, 2020 was to reflect a settlement of a local tax audit and the associated decrease in the Company's related uncertain tax position, including interest and penalties. For the three and six months ended June 30, 2019, the Company recorded a de minimis provision for income taxes.</w:t>
      </w:r>
    </w:p>
    <w:p>
      <w:pPr>
        <w:spacing w:after="0" w:line="89" w:lineRule="exact"/>
        <w:rPr>
          <w:sz w:val="20"/>
          <w:szCs w:val="20"/>
          <w:color w:val="auto"/>
        </w:rPr>
      </w:pPr>
    </w:p>
    <w:p>
      <w:pPr>
        <w:ind w:right="140" w:firstLine="318"/>
        <w:spacing w:after="0" w:line="267" w:lineRule="auto"/>
        <w:rPr>
          <w:sz w:val="20"/>
          <w:szCs w:val="20"/>
          <w:color w:val="auto"/>
        </w:rPr>
      </w:pPr>
      <w:r>
        <w:rPr>
          <w:rFonts w:ascii="Arial" w:cs="Arial" w:eastAsia="Arial" w:hAnsi="Arial"/>
          <w:sz w:val="14"/>
          <w:szCs w:val="14"/>
          <w:color w:val="auto"/>
        </w:rPr>
        <w:t>In response to the COVID-19 pandemic, the U.S. Congress enacted the Coronavirus Aid, Relief, and Economic Security Act ("CARES Act") on March 27, 2020. The CARES Act provides numerous tax provisions and other stimulus measures, including the immediate refund of minimum tax credits. The Company has recorded a current tax receivable of approximately $1.8 million in anticipation of this refund.</w:t>
      </w:r>
    </w:p>
    <w:p>
      <w:pPr>
        <w:spacing w:after="0" w:line="89" w:lineRule="exact"/>
        <w:rPr>
          <w:sz w:val="20"/>
          <w:szCs w:val="20"/>
          <w:color w:val="auto"/>
        </w:rPr>
      </w:pPr>
    </w:p>
    <w:p>
      <w:pPr>
        <w:ind w:right="180" w:firstLine="318"/>
        <w:spacing w:after="0" w:line="297" w:lineRule="auto"/>
        <w:rPr>
          <w:sz w:val="20"/>
          <w:szCs w:val="20"/>
          <w:color w:val="auto"/>
        </w:rPr>
      </w:pPr>
      <w:r>
        <w:rPr>
          <w:rFonts w:ascii="Arial" w:cs="Arial" w:eastAsia="Arial" w:hAnsi="Arial"/>
          <w:sz w:val="13"/>
          <w:szCs w:val="13"/>
          <w:color w:val="auto"/>
        </w:rPr>
        <w:t>The Company will continue to evaluate its ability to realize its deferred tax assets on a quarterly basis and will adjust such amounts in light of changing facts and circumstances including, but not limited to, future projections of taxable income, tax legislation, rulings by relevant tax authorities, the progress of ongoing tax audits and the regulatory approval of products currently under development. Any additional changes to the valuation allowance recorded on deferred tax assets in the future would impact the Company’s income taxes.</w:t>
      </w: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Fair Value Measurements</w:t>
      </w:r>
    </w:p>
    <w:p>
      <w:pPr>
        <w:spacing w:after="0" w:line="129" w:lineRule="exact"/>
        <w:rPr>
          <w:sz w:val="20"/>
          <w:szCs w:val="20"/>
          <w:color w:val="auto"/>
        </w:rPr>
      </w:pPr>
    </w:p>
    <w:p>
      <w:pPr>
        <w:ind w:right="60" w:firstLine="350"/>
        <w:spacing w:after="0" w:line="267" w:lineRule="auto"/>
        <w:rPr>
          <w:sz w:val="20"/>
          <w:szCs w:val="20"/>
          <w:color w:val="auto"/>
        </w:rPr>
      </w:pPr>
      <w:r>
        <w:rPr>
          <w:rFonts w:ascii="Arial" w:cs="Arial" w:eastAsia="Arial" w:hAnsi="Arial"/>
          <w:sz w:val="14"/>
          <w:szCs w:val="14"/>
          <w:color w:val="auto"/>
        </w:rPr>
        <w:t xml:space="preserve">ASC 820, </w:t>
      </w:r>
      <w:r>
        <w:rPr>
          <w:rFonts w:ascii="Arial" w:cs="Arial" w:eastAsia="Arial" w:hAnsi="Arial"/>
          <w:sz w:val="14"/>
          <w:szCs w:val="14"/>
          <w:i w:val="1"/>
          <w:iCs w:val="1"/>
          <w:color w:val="auto"/>
        </w:rPr>
        <w:t>Fair Value Measurements and Disclosures</w:t>
      </w:r>
      <w:r>
        <w:rPr>
          <w:rFonts w:ascii="Arial" w:cs="Arial" w:eastAsia="Arial" w:hAnsi="Arial"/>
          <w:sz w:val="14"/>
          <w:szCs w:val="14"/>
          <w:color w:val="auto"/>
        </w:rPr>
        <w:t>,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78" w:lineRule="exact"/>
        <w:rPr>
          <w:sz w:val="20"/>
          <w:szCs w:val="20"/>
          <w:color w:val="auto"/>
        </w:rPr>
      </w:pPr>
    </w:p>
    <w:p>
      <w:pPr>
        <w:ind w:right="300" w:firstLine="350"/>
        <w:spacing w:after="0" w:line="368" w:lineRule="auto"/>
        <w:rPr>
          <w:sz w:val="20"/>
          <w:szCs w:val="20"/>
          <w:color w:val="auto"/>
        </w:rPr>
      </w:pPr>
      <w:r>
        <w:rPr>
          <w:rFonts w:ascii="Arial" w:cs="Arial" w:eastAsia="Arial" w:hAnsi="Arial"/>
          <w:sz w:val="12"/>
          <w:szCs w:val="12"/>
          <w:color w:val="auto"/>
        </w:rPr>
        <w:t>The Company reviews investments on a periodic basis for other than temporary impairments. This review is subjective as it requires management to evaluate whether an event or change in circumstances has occurred in the period that may have a significant adverse effect on the fair value of the investment. The Company uses the market approach to measure fair value for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its financial assets. The market approach uses prices and other relevant information generated by market transactions involving identical or comparable assets. The Company classifies its investment-grade corporate debt securities within the fair value hierarchy as Level 2 assets, as it primarily utilizes quoted market prices or rates for similar instruments to value these securities.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valuation hierarchy is based upon the transparency of inputs to the valuation of an asset or liability on the measurement date. The three levels are defined as follows:</w:t>
      </w:r>
    </w:p>
    <w:p>
      <w:pPr>
        <w:spacing w:after="0" w:line="125" w:lineRule="exact"/>
        <w:rPr>
          <w:sz w:val="20"/>
          <w:szCs w:val="20"/>
          <w:color w:val="auto"/>
        </w:rPr>
      </w:pPr>
    </w:p>
    <w:p>
      <w:pPr>
        <w:ind w:left="520" w:right="200" w:hanging="260"/>
        <w:spacing w:after="0" w:line="281"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color w:val="auto"/>
        </w:rPr>
        <w:t>Level 1—inputs to the valuation methodology are quoted prices (unadjusted) for an identical asset or liability in an active market. The Company's Level 1 assets consist of investments in money market funds and U.S. Treasury securities.</w:t>
      </w:r>
    </w:p>
    <w:p>
      <w:pPr>
        <w:spacing w:after="0" w:line="79" w:lineRule="exact"/>
        <w:rPr>
          <w:rFonts w:ascii="Arial" w:cs="Arial" w:eastAsia="Arial" w:hAnsi="Arial"/>
          <w:sz w:val="14"/>
          <w:szCs w:val="14"/>
          <w:color w:val="auto"/>
        </w:rPr>
      </w:pPr>
    </w:p>
    <w:p>
      <w:pPr>
        <w:ind w:left="520" w:right="540" w:hanging="260"/>
        <w:spacing w:after="0" w:line="321" w:lineRule="auto"/>
        <w:tabs>
          <w:tab w:leader="none" w:pos="516" w:val="left"/>
        </w:tabs>
        <w:numPr>
          <w:ilvl w:val="0"/>
          <w:numId w:val="8"/>
        </w:numPr>
        <w:rPr>
          <w:rFonts w:ascii="Arial" w:cs="Arial" w:eastAsia="Arial" w:hAnsi="Arial"/>
          <w:sz w:val="13"/>
          <w:szCs w:val="13"/>
          <w:color w:val="auto"/>
        </w:rPr>
      </w:pPr>
      <w:r>
        <w:rPr>
          <w:rFonts w:ascii="Arial" w:cs="Arial" w:eastAsia="Arial" w:hAnsi="Arial"/>
          <w:sz w:val="13"/>
          <w:szCs w:val="13"/>
          <w:color w:val="auto"/>
        </w:rPr>
        <w:t>Level 2—inputs to the valuation methodology include quoted prices for a similar asset or liability in an active market or model-derived valuations in which all significant inputs are observable for substantially the full term of the asset or liability. The Company's Level 2 assets may consist of investments in investment-grade corporate debt securities.</w:t>
      </w:r>
    </w:p>
    <w:p>
      <w:pPr>
        <w:spacing w:after="0" w:line="45" w:lineRule="exact"/>
        <w:rPr>
          <w:rFonts w:ascii="Arial" w:cs="Arial" w:eastAsia="Arial" w:hAnsi="Arial"/>
          <w:sz w:val="13"/>
          <w:szCs w:val="13"/>
          <w:color w:val="auto"/>
        </w:rPr>
      </w:pPr>
    </w:p>
    <w:p>
      <w:pPr>
        <w:ind w:left="520" w:right="500" w:hanging="260"/>
        <w:spacing w:after="0" w:line="281"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color w:val="auto"/>
        </w:rPr>
        <w:t>Level 3—inputs to the valuation methodology are unobservable and significant to the fair value measurement of the asset or liability. The Company does not hold any assets that are measured using Level 3 inputs.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following table presents, for each of the fair value hierarchy levels required under ASC 820, the Company's assets and liabilities that are measured at fair value on a recurring basis as of</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June 30,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1"/>
                <w:szCs w:val="11"/>
                <w:b w:val="1"/>
                <w:bCs w:val="1"/>
                <w:color w:val="auto"/>
                <w:w w:val="93"/>
              </w:rPr>
              <w:t>Fair Value Measurement Using</w:t>
            </w: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6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gridSpan w:val="2"/>
          </w:tcPr>
          <w:p>
            <w:pPr>
              <w:jc w:val="center"/>
              <w:ind w:right="340"/>
              <w:spacing w:after="0" w:line="116" w:lineRule="exact"/>
              <w:rPr>
                <w:sz w:val="20"/>
                <w:szCs w:val="20"/>
                <w:color w:val="auto"/>
              </w:rPr>
            </w:pPr>
            <w:r>
              <w:rPr>
                <w:rFonts w:ascii="Arial" w:cs="Arial" w:eastAsia="Arial" w:hAnsi="Arial"/>
                <w:sz w:val="11"/>
                <w:szCs w:val="11"/>
                <w:b w:val="1"/>
                <w:bCs w:val="1"/>
                <w:color w:val="auto"/>
                <w:w w:val="92"/>
              </w:rPr>
              <w:t>Quoted prices in</w:t>
            </w:r>
          </w:p>
        </w:tc>
        <w:tc>
          <w:tcPr>
            <w:tcW w:w="240" w:type="dxa"/>
            <w:vAlign w:val="bottom"/>
          </w:tcPr>
          <w:p>
            <w:pPr>
              <w:spacing w:after="0"/>
              <w:rPr>
                <w:sz w:val="10"/>
                <w:szCs w:val="10"/>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w w:val="94"/>
              </w:rPr>
              <w:t>Significant other</w:t>
            </w:r>
          </w:p>
        </w:tc>
        <w:tc>
          <w:tcPr>
            <w:tcW w:w="300" w:type="dxa"/>
            <w:vAlign w:val="bottom"/>
          </w:tcPr>
          <w:p>
            <w:pPr>
              <w:spacing w:after="0"/>
              <w:rPr>
                <w:sz w:val="10"/>
                <w:szCs w:val="10"/>
                <w:color w:val="auto"/>
              </w:rPr>
            </w:pPr>
          </w:p>
        </w:tc>
        <w:tc>
          <w:tcPr>
            <w:tcW w:w="1360" w:type="dxa"/>
            <w:vAlign w:val="bottom"/>
          </w:tcPr>
          <w:p>
            <w:pPr>
              <w:jc w:val="center"/>
              <w:ind w:right="221"/>
              <w:spacing w:after="0" w:line="116" w:lineRule="exact"/>
              <w:rPr>
                <w:sz w:val="20"/>
                <w:szCs w:val="20"/>
                <w:color w:val="auto"/>
              </w:rPr>
            </w:pPr>
            <w:r>
              <w:rPr>
                <w:rFonts w:ascii="Arial" w:cs="Arial" w:eastAsia="Arial" w:hAnsi="Arial"/>
                <w:sz w:val="11"/>
                <w:szCs w:val="11"/>
                <w:b w:val="1"/>
                <w:bCs w:val="1"/>
                <w:color w:val="auto"/>
                <w:w w:val="92"/>
              </w:rPr>
              <w:t>Significant</w:t>
            </w:r>
          </w:p>
        </w:tc>
        <w:tc>
          <w:tcPr>
            <w:tcW w:w="0" w:type="dxa"/>
            <w:vAlign w:val="bottom"/>
          </w:tcPr>
          <w:p>
            <w:pPr>
              <w:spacing w:after="0"/>
              <w:rPr>
                <w:sz w:val="1"/>
                <w:szCs w:val="1"/>
                <w:color w:val="auto"/>
              </w:rPr>
            </w:pPr>
          </w:p>
        </w:tc>
      </w:tr>
      <w:tr>
        <w:trPr>
          <w:trHeight w:val="117"/>
        </w:trPr>
        <w:tc>
          <w:tcPr>
            <w:tcW w:w="6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gridSpan w:val="2"/>
          </w:tcPr>
          <w:p>
            <w:pPr>
              <w:jc w:val="center"/>
              <w:ind w:right="340"/>
              <w:spacing w:after="0" w:line="117" w:lineRule="exact"/>
              <w:rPr>
                <w:sz w:val="20"/>
                <w:szCs w:val="20"/>
                <w:color w:val="auto"/>
              </w:rPr>
            </w:pPr>
            <w:r>
              <w:rPr>
                <w:rFonts w:ascii="Arial" w:cs="Arial" w:eastAsia="Arial" w:hAnsi="Arial"/>
                <w:sz w:val="11"/>
                <w:szCs w:val="11"/>
                <w:b w:val="1"/>
                <w:bCs w:val="1"/>
                <w:color w:val="auto"/>
                <w:w w:val="93"/>
              </w:rPr>
              <w:t>active markets for</w:t>
            </w:r>
          </w:p>
        </w:tc>
        <w:tc>
          <w:tcPr>
            <w:tcW w:w="24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jc w:val="center"/>
              <w:ind w:right="241"/>
              <w:spacing w:after="0" w:line="117" w:lineRule="exact"/>
              <w:rPr>
                <w:sz w:val="20"/>
                <w:szCs w:val="20"/>
                <w:color w:val="auto"/>
              </w:rPr>
            </w:pPr>
            <w:r>
              <w:rPr>
                <w:rFonts w:ascii="Arial" w:cs="Arial" w:eastAsia="Arial" w:hAnsi="Arial"/>
                <w:sz w:val="11"/>
                <w:szCs w:val="11"/>
                <w:b w:val="1"/>
                <w:bCs w:val="1"/>
                <w:color w:val="auto"/>
                <w:w w:val="92"/>
              </w:rPr>
              <w:t>unobservable</w:t>
            </w:r>
          </w:p>
        </w:tc>
        <w:tc>
          <w:tcPr>
            <w:tcW w:w="0" w:type="dxa"/>
            <w:vAlign w:val="bottom"/>
          </w:tcPr>
          <w:p>
            <w:pPr>
              <w:spacing w:after="0"/>
              <w:rPr>
                <w:sz w:val="1"/>
                <w:szCs w:val="1"/>
                <w:color w:val="auto"/>
              </w:rPr>
            </w:pPr>
          </w:p>
        </w:tc>
      </w:tr>
      <w:tr>
        <w:trPr>
          <w:trHeight w:val="117"/>
        </w:trPr>
        <w:tc>
          <w:tcPr>
            <w:tcW w:w="6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gridSpan w:val="2"/>
          </w:tcPr>
          <w:p>
            <w:pPr>
              <w:jc w:val="center"/>
              <w:ind w:right="340"/>
              <w:spacing w:after="0" w:line="117" w:lineRule="exact"/>
              <w:rPr>
                <w:sz w:val="20"/>
                <w:szCs w:val="20"/>
                <w:color w:val="auto"/>
              </w:rPr>
            </w:pPr>
            <w:r>
              <w:rPr>
                <w:rFonts w:ascii="Arial" w:cs="Arial" w:eastAsia="Arial" w:hAnsi="Arial"/>
                <w:sz w:val="11"/>
                <w:szCs w:val="11"/>
                <w:b w:val="1"/>
                <w:bCs w:val="1"/>
                <w:color w:val="auto"/>
                <w:w w:val="87"/>
              </w:rPr>
              <w:t>identical assets</w:t>
            </w:r>
          </w:p>
        </w:tc>
        <w:tc>
          <w:tcPr>
            <w:tcW w:w="240" w:type="dxa"/>
            <w:vAlign w:val="bottom"/>
          </w:tcPr>
          <w:p>
            <w:pPr>
              <w:spacing w:after="0"/>
              <w:rPr>
                <w:sz w:val="10"/>
                <w:szCs w:val="10"/>
                <w:color w:val="auto"/>
              </w:rPr>
            </w:pPr>
          </w:p>
        </w:tc>
        <w:tc>
          <w:tcPr>
            <w:tcW w:w="1480" w:type="dxa"/>
            <w:vAlign w:val="bottom"/>
            <w:gridSpan w:val="2"/>
          </w:tcPr>
          <w:p>
            <w:pPr>
              <w:jc w:val="center"/>
              <w:ind w:right="340"/>
              <w:spacing w:after="0" w:line="117" w:lineRule="exact"/>
              <w:rPr>
                <w:sz w:val="20"/>
                <w:szCs w:val="20"/>
                <w:color w:val="auto"/>
              </w:rPr>
            </w:pPr>
            <w:r>
              <w:rPr>
                <w:rFonts w:ascii="Arial" w:cs="Arial" w:eastAsia="Arial" w:hAnsi="Arial"/>
                <w:sz w:val="11"/>
                <w:szCs w:val="11"/>
                <w:b w:val="1"/>
                <w:bCs w:val="1"/>
                <w:color w:val="auto"/>
                <w:w w:val="91"/>
              </w:rPr>
              <w:t>observable inputs</w:t>
            </w:r>
          </w:p>
        </w:tc>
        <w:tc>
          <w:tcPr>
            <w:tcW w:w="300" w:type="dxa"/>
            <w:vAlign w:val="bottom"/>
          </w:tcPr>
          <w:p>
            <w:pPr>
              <w:spacing w:after="0"/>
              <w:rPr>
                <w:sz w:val="10"/>
                <w:szCs w:val="10"/>
                <w:color w:val="auto"/>
              </w:rPr>
            </w:pPr>
          </w:p>
        </w:tc>
        <w:tc>
          <w:tcPr>
            <w:tcW w:w="1360" w:type="dxa"/>
            <w:vAlign w:val="bottom"/>
          </w:tcPr>
          <w:p>
            <w:pPr>
              <w:jc w:val="center"/>
              <w:ind w:right="241"/>
              <w:spacing w:after="0" w:line="117" w:lineRule="exact"/>
              <w:rPr>
                <w:sz w:val="20"/>
                <w:szCs w:val="20"/>
                <w:color w:val="auto"/>
              </w:rPr>
            </w:pPr>
            <w:r>
              <w:rPr>
                <w:rFonts w:ascii="Arial" w:cs="Arial" w:eastAsia="Arial" w:hAnsi="Arial"/>
                <w:sz w:val="11"/>
                <w:szCs w:val="11"/>
                <w:b w:val="1"/>
                <w:bCs w:val="1"/>
                <w:color w:val="auto"/>
                <w:w w:val="90"/>
              </w:rPr>
              <w:t>inputs</w:t>
            </w:r>
          </w:p>
        </w:tc>
        <w:tc>
          <w:tcPr>
            <w:tcW w:w="0" w:type="dxa"/>
            <w:vAlign w:val="bottom"/>
          </w:tcPr>
          <w:p>
            <w:pPr>
              <w:spacing w:after="0"/>
              <w:rPr>
                <w:sz w:val="1"/>
                <w:szCs w:val="1"/>
                <w:color w:val="auto"/>
              </w:rPr>
            </w:pPr>
          </w:p>
        </w:tc>
      </w:tr>
      <w:tr>
        <w:trPr>
          <w:trHeight w:val="151"/>
        </w:trPr>
        <w:tc>
          <w:tcPr>
            <w:tcW w:w="6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4"/>
              </w:rPr>
              <w:t>(Level 1)</w:t>
            </w:r>
          </w:p>
        </w:tc>
        <w:tc>
          <w:tcPr>
            <w:tcW w:w="240" w:type="dxa"/>
            <w:vAlign w:val="bottom"/>
          </w:tcPr>
          <w:p>
            <w:pPr>
              <w:spacing w:after="0"/>
              <w:rPr>
                <w:sz w:val="13"/>
                <w:szCs w:val="13"/>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4"/>
              </w:rPr>
              <w:t>(Level 2)</w:t>
            </w:r>
          </w:p>
        </w:tc>
        <w:tc>
          <w:tcPr>
            <w:tcW w:w="300" w:type="dxa"/>
            <w:vAlign w:val="bottom"/>
          </w:tcPr>
          <w:p>
            <w:pPr>
              <w:spacing w:after="0"/>
              <w:rPr>
                <w:sz w:val="13"/>
                <w:szCs w:val="13"/>
                <w:color w:val="auto"/>
              </w:rPr>
            </w:pPr>
          </w:p>
        </w:tc>
        <w:tc>
          <w:tcPr>
            <w:tcW w:w="1360" w:type="dxa"/>
            <w:vAlign w:val="bottom"/>
          </w:tcPr>
          <w:p>
            <w:pPr>
              <w:jc w:val="center"/>
              <w:ind w:right="241"/>
              <w:spacing w:after="0"/>
              <w:rPr>
                <w:sz w:val="20"/>
                <w:szCs w:val="20"/>
                <w:color w:val="auto"/>
              </w:rPr>
            </w:pPr>
            <w:r>
              <w:rPr>
                <w:rFonts w:ascii="Arial" w:cs="Arial" w:eastAsia="Arial" w:hAnsi="Arial"/>
                <w:sz w:val="11"/>
                <w:szCs w:val="11"/>
                <w:b w:val="1"/>
                <w:bCs w:val="1"/>
                <w:color w:val="auto"/>
                <w:w w:val="94"/>
              </w:rPr>
              <w:t>(Level 3)</w:t>
            </w:r>
          </w:p>
        </w:tc>
        <w:tc>
          <w:tcPr>
            <w:tcW w:w="0" w:type="dxa"/>
            <w:vAlign w:val="bottom"/>
          </w:tcPr>
          <w:p>
            <w:pPr>
              <w:spacing w:after="0"/>
              <w:rPr>
                <w:sz w:val="1"/>
                <w:szCs w:val="1"/>
                <w:color w:val="auto"/>
              </w:rPr>
            </w:pPr>
          </w:p>
        </w:tc>
      </w:tr>
      <w:tr>
        <w:trPr>
          <w:trHeight w:val="187"/>
        </w:trPr>
        <w:tc>
          <w:tcPr>
            <w:tcW w:w="6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20" w:type="dxa"/>
            <w:vAlign w:val="bottom"/>
          </w:tcPr>
          <w:p>
            <w:pPr>
              <w:ind w:left="20"/>
              <w:spacing w:after="0"/>
              <w:rPr>
                <w:sz w:val="20"/>
                <w:szCs w:val="20"/>
                <w:color w:val="auto"/>
              </w:rPr>
            </w:pPr>
            <w:r>
              <w:rPr>
                <w:rFonts w:ascii="Arial" w:cs="Arial" w:eastAsia="Arial" w:hAnsi="Arial"/>
                <w:sz w:val="14"/>
                <w:szCs w:val="14"/>
                <w:color w:val="auto"/>
              </w:rPr>
              <w:t>Investments in money market funds*</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1"/>
              <w:spacing w:after="0"/>
              <w:rPr>
                <w:sz w:val="20"/>
                <w:szCs w:val="20"/>
                <w:color w:val="auto"/>
              </w:rPr>
            </w:pPr>
            <w:r>
              <w:rPr>
                <w:rFonts w:ascii="Arial" w:cs="Arial" w:eastAsia="Arial" w:hAnsi="Arial"/>
                <w:sz w:val="14"/>
                <w:szCs w:val="14"/>
                <w:color w:val="auto"/>
              </w:rPr>
              <w:t>242,354</w:t>
            </w:r>
          </w:p>
        </w:tc>
        <w:tc>
          <w:tcPr>
            <w:tcW w:w="100" w:type="dxa"/>
            <w:vAlign w:val="bottom"/>
          </w:tcPr>
          <w:p>
            <w:pPr>
              <w:spacing w:after="0"/>
              <w:rPr>
                <w:sz w:val="16"/>
                <w:szCs w:val="16"/>
                <w:color w:val="auto"/>
              </w:rPr>
            </w:pPr>
          </w:p>
        </w:tc>
        <w:tc>
          <w:tcPr>
            <w:tcW w:w="240" w:type="dxa"/>
            <w:vAlign w:val="bottom"/>
          </w:tcPr>
          <w:p>
            <w:pPr>
              <w:jc w:val="right"/>
              <w:ind w:right="96"/>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360" w:type="dxa"/>
            <w:vAlign w:val="bottom"/>
          </w:tcPr>
          <w:p>
            <w:pPr>
              <w:ind w:left="10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following table presents, for each of the fair value hierarchy levels required under ASC 820, the Company's assets and liabilities that are measured at fair value on a recurring basis as of</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December 31,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2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1"/>
                <w:szCs w:val="11"/>
                <w:b w:val="1"/>
                <w:bCs w:val="1"/>
                <w:color w:val="auto"/>
                <w:w w:val="93"/>
              </w:rPr>
              <w:t>Fair Value Measurement Using</w:t>
            </w: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20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gridSpan w:val="2"/>
          </w:tcPr>
          <w:p>
            <w:pPr>
              <w:jc w:val="center"/>
              <w:ind w:right="340"/>
              <w:spacing w:after="0" w:line="116" w:lineRule="exact"/>
              <w:rPr>
                <w:sz w:val="20"/>
                <w:szCs w:val="20"/>
                <w:color w:val="auto"/>
              </w:rPr>
            </w:pPr>
            <w:r>
              <w:rPr>
                <w:rFonts w:ascii="Arial" w:cs="Arial" w:eastAsia="Arial" w:hAnsi="Arial"/>
                <w:sz w:val="11"/>
                <w:szCs w:val="11"/>
                <w:b w:val="1"/>
                <w:bCs w:val="1"/>
                <w:color w:val="auto"/>
                <w:w w:val="92"/>
              </w:rPr>
              <w:t>Quoted prices in</w:t>
            </w:r>
          </w:p>
        </w:tc>
        <w:tc>
          <w:tcPr>
            <w:tcW w:w="240" w:type="dxa"/>
            <w:vAlign w:val="bottom"/>
          </w:tcPr>
          <w:p>
            <w:pPr>
              <w:spacing w:after="0"/>
              <w:rPr>
                <w:sz w:val="10"/>
                <w:szCs w:val="10"/>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w w:val="94"/>
              </w:rPr>
              <w:t>Significant other</w:t>
            </w:r>
          </w:p>
        </w:tc>
        <w:tc>
          <w:tcPr>
            <w:tcW w:w="300" w:type="dxa"/>
            <w:vAlign w:val="bottom"/>
          </w:tcPr>
          <w:p>
            <w:pPr>
              <w:spacing w:after="0"/>
              <w:rPr>
                <w:sz w:val="10"/>
                <w:szCs w:val="10"/>
                <w:color w:val="auto"/>
              </w:rPr>
            </w:pPr>
          </w:p>
        </w:tc>
        <w:tc>
          <w:tcPr>
            <w:tcW w:w="1360" w:type="dxa"/>
            <w:vAlign w:val="bottom"/>
          </w:tcPr>
          <w:p>
            <w:pPr>
              <w:jc w:val="center"/>
              <w:ind w:right="219"/>
              <w:spacing w:after="0" w:line="116" w:lineRule="exact"/>
              <w:rPr>
                <w:sz w:val="20"/>
                <w:szCs w:val="20"/>
                <w:color w:val="auto"/>
              </w:rPr>
            </w:pPr>
            <w:r>
              <w:rPr>
                <w:rFonts w:ascii="Arial" w:cs="Arial" w:eastAsia="Arial" w:hAnsi="Arial"/>
                <w:sz w:val="11"/>
                <w:szCs w:val="11"/>
                <w:b w:val="1"/>
                <w:bCs w:val="1"/>
                <w:color w:val="auto"/>
                <w:w w:val="92"/>
              </w:rPr>
              <w:t>Significant</w:t>
            </w:r>
          </w:p>
        </w:tc>
        <w:tc>
          <w:tcPr>
            <w:tcW w:w="0" w:type="dxa"/>
            <w:vAlign w:val="bottom"/>
          </w:tcPr>
          <w:p>
            <w:pPr>
              <w:spacing w:after="0"/>
              <w:rPr>
                <w:sz w:val="1"/>
                <w:szCs w:val="1"/>
                <w:color w:val="auto"/>
              </w:rPr>
            </w:pPr>
          </w:p>
        </w:tc>
      </w:tr>
      <w:tr>
        <w:trPr>
          <w:trHeight w:val="117"/>
        </w:trPr>
        <w:tc>
          <w:tcPr>
            <w:tcW w:w="220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gridSpan w:val="2"/>
          </w:tcPr>
          <w:p>
            <w:pPr>
              <w:jc w:val="center"/>
              <w:ind w:right="340"/>
              <w:spacing w:after="0" w:line="117" w:lineRule="exact"/>
              <w:rPr>
                <w:sz w:val="20"/>
                <w:szCs w:val="20"/>
                <w:color w:val="auto"/>
              </w:rPr>
            </w:pPr>
            <w:r>
              <w:rPr>
                <w:rFonts w:ascii="Arial" w:cs="Arial" w:eastAsia="Arial" w:hAnsi="Arial"/>
                <w:sz w:val="11"/>
                <w:szCs w:val="11"/>
                <w:b w:val="1"/>
                <w:bCs w:val="1"/>
                <w:color w:val="auto"/>
                <w:w w:val="93"/>
              </w:rPr>
              <w:t>active markets for</w:t>
            </w:r>
          </w:p>
        </w:tc>
        <w:tc>
          <w:tcPr>
            <w:tcW w:w="24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jc w:val="center"/>
              <w:ind w:right="239"/>
              <w:spacing w:after="0" w:line="117" w:lineRule="exact"/>
              <w:rPr>
                <w:sz w:val="20"/>
                <w:szCs w:val="20"/>
                <w:color w:val="auto"/>
              </w:rPr>
            </w:pPr>
            <w:r>
              <w:rPr>
                <w:rFonts w:ascii="Arial" w:cs="Arial" w:eastAsia="Arial" w:hAnsi="Arial"/>
                <w:sz w:val="11"/>
                <w:szCs w:val="11"/>
                <w:b w:val="1"/>
                <w:bCs w:val="1"/>
                <w:color w:val="auto"/>
                <w:w w:val="92"/>
              </w:rPr>
              <w:t>unobservable</w:t>
            </w:r>
          </w:p>
        </w:tc>
        <w:tc>
          <w:tcPr>
            <w:tcW w:w="0" w:type="dxa"/>
            <w:vAlign w:val="bottom"/>
          </w:tcPr>
          <w:p>
            <w:pPr>
              <w:spacing w:after="0"/>
              <w:rPr>
                <w:sz w:val="1"/>
                <w:szCs w:val="1"/>
                <w:color w:val="auto"/>
              </w:rPr>
            </w:pPr>
          </w:p>
        </w:tc>
      </w:tr>
      <w:tr>
        <w:trPr>
          <w:trHeight w:val="117"/>
        </w:trPr>
        <w:tc>
          <w:tcPr>
            <w:tcW w:w="220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gridSpan w:val="2"/>
          </w:tcPr>
          <w:p>
            <w:pPr>
              <w:jc w:val="center"/>
              <w:ind w:right="340"/>
              <w:spacing w:after="0" w:line="117" w:lineRule="exact"/>
              <w:rPr>
                <w:sz w:val="20"/>
                <w:szCs w:val="20"/>
                <w:color w:val="auto"/>
              </w:rPr>
            </w:pPr>
            <w:r>
              <w:rPr>
                <w:rFonts w:ascii="Arial" w:cs="Arial" w:eastAsia="Arial" w:hAnsi="Arial"/>
                <w:sz w:val="11"/>
                <w:szCs w:val="11"/>
                <w:b w:val="1"/>
                <w:bCs w:val="1"/>
                <w:color w:val="auto"/>
                <w:w w:val="87"/>
              </w:rPr>
              <w:t>identical assets</w:t>
            </w:r>
          </w:p>
        </w:tc>
        <w:tc>
          <w:tcPr>
            <w:tcW w:w="240" w:type="dxa"/>
            <w:vAlign w:val="bottom"/>
          </w:tcPr>
          <w:p>
            <w:pPr>
              <w:spacing w:after="0"/>
              <w:rPr>
                <w:sz w:val="10"/>
                <w:szCs w:val="10"/>
                <w:color w:val="auto"/>
              </w:rPr>
            </w:pPr>
          </w:p>
        </w:tc>
        <w:tc>
          <w:tcPr>
            <w:tcW w:w="1480" w:type="dxa"/>
            <w:vAlign w:val="bottom"/>
            <w:gridSpan w:val="2"/>
          </w:tcPr>
          <w:p>
            <w:pPr>
              <w:jc w:val="center"/>
              <w:ind w:right="340"/>
              <w:spacing w:after="0" w:line="117" w:lineRule="exact"/>
              <w:rPr>
                <w:sz w:val="20"/>
                <w:szCs w:val="20"/>
                <w:color w:val="auto"/>
              </w:rPr>
            </w:pPr>
            <w:r>
              <w:rPr>
                <w:rFonts w:ascii="Arial" w:cs="Arial" w:eastAsia="Arial" w:hAnsi="Arial"/>
                <w:sz w:val="11"/>
                <w:szCs w:val="11"/>
                <w:b w:val="1"/>
                <w:bCs w:val="1"/>
                <w:color w:val="auto"/>
                <w:w w:val="91"/>
              </w:rPr>
              <w:t>observable inputs</w:t>
            </w:r>
          </w:p>
        </w:tc>
        <w:tc>
          <w:tcPr>
            <w:tcW w:w="300" w:type="dxa"/>
            <w:vAlign w:val="bottom"/>
          </w:tcPr>
          <w:p>
            <w:pPr>
              <w:spacing w:after="0"/>
              <w:rPr>
                <w:sz w:val="10"/>
                <w:szCs w:val="10"/>
                <w:color w:val="auto"/>
              </w:rPr>
            </w:pPr>
          </w:p>
        </w:tc>
        <w:tc>
          <w:tcPr>
            <w:tcW w:w="1360" w:type="dxa"/>
            <w:vAlign w:val="bottom"/>
          </w:tcPr>
          <w:p>
            <w:pPr>
              <w:jc w:val="center"/>
              <w:ind w:right="239"/>
              <w:spacing w:after="0" w:line="117" w:lineRule="exact"/>
              <w:rPr>
                <w:sz w:val="20"/>
                <w:szCs w:val="20"/>
                <w:color w:val="auto"/>
              </w:rPr>
            </w:pPr>
            <w:r>
              <w:rPr>
                <w:rFonts w:ascii="Arial" w:cs="Arial" w:eastAsia="Arial" w:hAnsi="Arial"/>
                <w:sz w:val="11"/>
                <w:szCs w:val="11"/>
                <w:b w:val="1"/>
                <w:bCs w:val="1"/>
                <w:color w:val="auto"/>
                <w:w w:val="90"/>
              </w:rPr>
              <w:t>inputs</w:t>
            </w:r>
          </w:p>
        </w:tc>
        <w:tc>
          <w:tcPr>
            <w:tcW w:w="0" w:type="dxa"/>
            <w:vAlign w:val="bottom"/>
          </w:tcPr>
          <w:p>
            <w:pPr>
              <w:spacing w:after="0"/>
              <w:rPr>
                <w:sz w:val="1"/>
                <w:szCs w:val="1"/>
                <w:color w:val="auto"/>
              </w:rPr>
            </w:pPr>
          </w:p>
        </w:tc>
      </w:tr>
      <w:tr>
        <w:trPr>
          <w:trHeight w:val="151"/>
        </w:trPr>
        <w:tc>
          <w:tcPr>
            <w:tcW w:w="22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4"/>
              </w:rPr>
              <w:t>(Level 1)</w:t>
            </w:r>
          </w:p>
        </w:tc>
        <w:tc>
          <w:tcPr>
            <w:tcW w:w="240" w:type="dxa"/>
            <w:vAlign w:val="bottom"/>
          </w:tcPr>
          <w:p>
            <w:pPr>
              <w:spacing w:after="0"/>
              <w:rPr>
                <w:sz w:val="13"/>
                <w:szCs w:val="13"/>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4"/>
              </w:rPr>
              <w:t>(Level 2)</w:t>
            </w:r>
          </w:p>
        </w:tc>
        <w:tc>
          <w:tcPr>
            <w:tcW w:w="300" w:type="dxa"/>
            <w:vAlign w:val="bottom"/>
          </w:tcPr>
          <w:p>
            <w:pPr>
              <w:spacing w:after="0"/>
              <w:rPr>
                <w:sz w:val="13"/>
                <w:szCs w:val="13"/>
                <w:color w:val="auto"/>
              </w:rPr>
            </w:pPr>
          </w:p>
        </w:tc>
        <w:tc>
          <w:tcPr>
            <w:tcW w:w="1360" w:type="dxa"/>
            <w:vAlign w:val="bottom"/>
          </w:tcPr>
          <w:p>
            <w:pPr>
              <w:jc w:val="center"/>
              <w:ind w:right="239"/>
              <w:spacing w:after="0"/>
              <w:rPr>
                <w:sz w:val="20"/>
                <w:szCs w:val="20"/>
                <w:color w:val="auto"/>
              </w:rPr>
            </w:pPr>
            <w:r>
              <w:rPr>
                <w:rFonts w:ascii="Arial" w:cs="Arial" w:eastAsia="Arial" w:hAnsi="Arial"/>
                <w:sz w:val="11"/>
                <w:szCs w:val="11"/>
                <w:b w:val="1"/>
                <w:bCs w:val="1"/>
                <w:color w:val="auto"/>
                <w:w w:val="94"/>
              </w:rPr>
              <w:t>(Level 3)</w:t>
            </w:r>
          </w:p>
        </w:tc>
        <w:tc>
          <w:tcPr>
            <w:tcW w:w="0" w:type="dxa"/>
            <w:vAlign w:val="bottom"/>
          </w:tcPr>
          <w:p>
            <w:pPr>
              <w:spacing w:after="0"/>
              <w:rPr>
                <w:sz w:val="1"/>
                <w:szCs w:val="1"/>
                <w:color w:val="auto"/>
              </w:rPr>
            </w:pPr>
          </w:p>
        </w:tc>
      </w:tr>
      <w:tr>
        <w:trPr>
          <w:trHeight w:val="187"/>
        </w:trPr>
        <w:tc>
          <w:tcPr>
            <w:tcW w:w="6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20" w:type="dxa"/>
            <w:vAlign w:val="bottom"/>
            <w:gridSpan w:val="2"/>
          </w:tcPr>
          <w:p>
            <w:pPr>
              <w:ind w:left="20"/>
              <w:spacing w:after="0"/>
              <w:rPr>
                <w:sz w:val="20"/>
                <w:szCs w:val="20"/>
                <w:color w:val="auto"/>
              </w:rPr>
            </w:pPr>
            <w:r>
              <w:rPr>
                <w:rFonts w:ascii="Arial" w:cs="Arial" w:eastAsia="Arial" w:hAnsi="Arial"/>
                <w:sz w:val="14"/>
                <w:szCs w:val="14"/>
                <w:color w:val="auto"/>
              </w:rPr>
              <w:t>Investments in money market funds*</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79"/>
              <w:spacing w:after="0"/>
              <w:rPr>
                <w:sz w:val="20"/>
                <w:szCs w:val="20"/>
                <w:color w:val="auto"/>
              </w:rPr>
            </w:pPr>
            <w:r>
              <w:rPr>
                <w:rFonts w:ascii="Arial" w:cs="Arial" w:eastAsia="Arial" w:hAnsi="Arial"/>
                <w:sz w:val="14"/>
                <w:szCs w:val="14"/>
                <w:color w:val="auto"/>
              </w:rPr>
              <w:t>108,585</w:t>
            </w:r>
          </w:p>
        </w:tc>
        <w:tc>
          <w:tcPr>
            <w:tcW w:w="100" w:type="dxa"/>
            <w:vAlign w:val="bottom"/>
          </w:tcPr>
          <w:p>
            <w:pPr>
              <w:spacing w:after="0"/>
              <w:rPr>
                <w:sz w:val="16"/>
                <w:szCs w:val="16"/>
                <w:color w:val="auto"/>
              </w:rPr>
            </w:pPr>
          </w:p>
        </w:tc>
        <w:tc>
          <w:tcPr>
            <w:tcW w:w="240" w:type="dxa"/>
            <w:vAlign w:val="bottom"/>
          </w:tcPr>
          <w:p>
            <w:pPr>
              <w:jc w:val="right"/>
              <w:ind w:right="94"/>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360" w:type="dxa"/>
            <w:vAlign w:val="bottom"/>
          </w:tcPr>
          <w:p>
            <w:pPr>
              <w:ind w:left="10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2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Investments in corporate debt securities*</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4"/>
                <w:szCs w:val="14"/>
                <w:color w:val="auto"/>
              </w:rPr>
              <w:t>13,875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5"/>
        </w:trPr>
        <w:tc>
          <w:tcPr>
            <w:tcW w:w="2200" w:type="dxa"/>
            <w:vAlign w:val="bottom"/>
            <w:tcBorders>
              <w:bottom w:val="single" w:sz="8" w:color="auto"/>
            </w:tcBorders>
          </w:tcPr>
          <w:p>
            <w:pPr>
              <w:spacing w:after="0"/>
              <w:rPr>
                <w:sz w:val="7"/>
                <w:szCs w:val="7"/>
                <w:color w:val="auto"/>
              </w:rPr>
            </w:pPr>
          </w:p>
        </w:tc>
        <w:tc>
          <w:tcPr>
            <w:tcW w:w="3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520" w:right="560" w:hanging="260"/>
        <w:spacing w:after="0" w:line="281"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color w:val="auto"/>
        </w:rPr>
        <w:t>Investments in money market funds and investment-grade corporate debt securities with maturities less than 90 days are reflected in cash and cash equivalents in the accompanying Consolidated Balance Sheets.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 transfer of assets between Level 1 and Level 2 of the fair value measurement hierarchy occurred during the three and six months ended June 30, 2020.</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Company held no available for sale securities at June 30, 2020 or at December 31, 2019.</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Zimura - Archemix Corp.</w:t>
      </w:r>
    </w:p>
    <w:p>
      <w:pPr>
        <w:spacing w:after="0" w:line="125"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The Company is party to an agreement with Archemix Corp. ("Archemix") under which the Company in-licensed rights in certain patents, patent applications and other intellectual property related to Zimura and pursuant to which the Company may be required to pay sublicense fees and make milestone payments (the "C5 License Agreement"). Under the C5 License Agreement, for each anti-C5 aptamer product that the Company may develop under the agreement, including Zimura, the Company is obligated to make payments to Archemix of up to an aggregate of $56.5 million if the Company achieves specified development, clinical and regulatory milestones, with $30.5 million of such payments relating to a first indication, $23.5 million of such payments relating to second and third indications and $2.5 million of such payments relating to sustained delivery applications. Under the C5 License Agreement, the Company is also obligated to make additional payments to</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ind w:right="380"/>
        <w:spacing w:after="0" w:line="297" w:lineRule="auto"/>
        <w:rPr>
          <w:sz w:val="20"/>
          <w:szCs w:val="20"/>
          <w:color w:val="auto"/>
        </w:rPr>
      </w:pPr>
      <w:r>
        <w:rPr>
          <w:rFonts w:ascii="Arial" w:cs="Arial" w:eastAsia="Arial" w:hAnsi="Arial"/>
          <w:sz w:val="13"/>
          <w:szCs w:val="13"/>
          <w:color w:val="auto"/>
        </w:rPr>
        <w:t>Archemix of up to an aggregate of $22.5 million if the Company achieves specified commercial milestones based on net product sales of all anti-C5 products licensed under the agreement. The Company is also obligated to pay Archemix a double-digit percentage of specified non-royalty payments the Company may receive from any sublicensee of its rights under the C5 License Agreement. The Company is not obligated to pay Archemix a running royalty based on net product sales in connection with the C5 License Agreement.</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IC-100 - University of Florida and the University of Pennsylvania</w:t>
      </w:r>
    </w:p>
    <w:p>
      <w:pPr>
        <w:spacing w:after="0" w:line="125" w:lineRule="exact"/>
        <w:rPr>
          <w:sz w:val="20"/>
          <w:szCs w:val="20"/>
          <w:color w:val="auto"/>
        </w:rPr>
      </w:pPr>
    </w:p>
    <w:p>
      <w:pPr>
        <w:ind w:right="20" w:firstLine="283"/>
        <w:spacing w:after="0" w:line="277" w:lineRule="auto"/>
        <w:rPr>
          <w:sz w:val="20"/>
          <w:szCs w:val="20"/>
          <w:color w:val="auto"/>
        </w:rPr>
      </w:pPr>
      <w:r>
        <w:rPr>
          <w:rFonts w:ascii="Arial" w:cs="Arial" w:eastAsia="Arial" w:hAnsi="Arial"/>
          <w:sz w:val="13"/>
          <w:szCs w:val="13"/>
          <w:color w:val="auto"/>
        </w:rPr>
        <w:t>Under its exclusive license agreement with the University of Florida Research Foundation, Incorporated ("UFRF") and the University of Pennsylvania ("Penn") for rights to IC-100, the Company is obligated to make payments to UFRF, for the benefit of Penn and UFRF (together, the "Licensors"), of up to an aggregate of $23.5 million if the Company achieves specified clinical, marketing approval and reimbursement approval milestones with respect to a licensed product and up to an aggregate of an additional $70.0 million if the Company achieves specified commercial sales milestones with respect to a licensed product. The Company is also obligated to pay UFRF, for the benefit of the Licensors, a low single-digit percentage of net sales of licensed products. The Company is also obligated to pay UFRF, for the benefit of the Licensors, a double-digit percentage of specified non-royalty payments the Company may receive from any third-party sublicensee of the licensed patent rights. Further, if the Company receives a rare pediatric disease priority review voucher from the FDA in connection with obtaining marketing approval for a licensed product and the Company subsequently uses such priority review voucher in connection with a different product candidate, the Company will be obligated to pay UFRF,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UFRF, for the benefit of the Licensors, a low double-digit percentage of any consideration received from such third party in connection with such sale.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IC-200 - University of Pennsylvania and the University of Florida</w:t>
      </w:r>
    </w:p>
    <w:p>
      <w:pPr>
        <w:spacing w:after="0" w:line="115" w:lineRule="exact"/>
        <w:rPr>
          <w:sz w:val="20"/>
          <w:szCs w:val="20"/>
          <w:color w:val="auto"/>
        </w:rPr>
      </w:pPr>
    </w:p>
    <w:p>
      <w:pPr>
        <w:ind w:firstLine="283"/>
        <w:spacing w:after="0" w:line="276" w:lineRule="auto"/>
        <w:rPr>
          <w:sz w:val="20"/>
          <w:szCs w:val="20"/>
          <w:color w:val="auto"/>
        </w:rPr>
      </w:pPr>
      <w:r>
        <w:rPr>
          <w:rFonts w:ascii="Arial" w:cs="Arial" w:eastAsia="Arial" w:hAnsi="Arial"/>
          <w:sz w:val="13"/>
          <w:szCs w:val="13"/>
          <w:color w:val="auto"/>
        </w:rPr>
        <w:t>Under its exclusive license agreement with Penn and UFRF for rights to IC-200, the Company is obligated to make payments to Penn, for the benefit of the Licensors, of up to an aggregate of $15.7 million if the Company achieves specified clinical, marketing approval and reimbursement approval milestones with respect to one licensed product and up to an aggregate of an additional $3.1 million if the Company achieves these same milestones with respect to a different licensed product. In addition, the Company is obligated to make payments to Penn, for the benefit of the Licensors, of up to an aggregate of $48.0 million if the Company achieves specified commercial sales milestones with respect to one licensed product and up to an aggregate of an additional $9.6 million if the Company achieves these same milestones with respect to a different licensed product. The Company is also obligated to pay Penn, for the benefit of the Licensors, a low single-digit percentage of net sales of licensed products. The Company is also obligated to pay Penn, for the benefit of the Licensors, a high single-digit to a mid-teen percentage of specified non-royalty payments the Company may receive from any third-party sublicensee of the licensed patent rights, with the applicable percentage based upon the stage of development of the sublicensed product at the time the Company enters into the sublicense. Further, if the Company receives a rare pediatric disease priority review voucher from the FDA in connection with obtaining marketing approval for a licensed product and the Company subsequently uses such priority review voucher in connection with a different product candidate outside the scope of the agreement, the Company will be obligated to pay Penn,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Penn, for the benefit of the Licensors, a high single-digit percentage of any consideration received from such third party in connection with such sale.</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miniCEP290 Program - University of Massachusetts</w:t>
      </w:r>
    </w:p>
    <w:p>
      <w:pPr>
        <w:spacing w:after="0" w:line="125" w:lineRule="exact"/>
        <w:rPr>
          <w:sz w:val="20"/>
          <w:szCs w:val="20"/>
          <w:color w:val="auto"/>
        </w:rPr>
      </w:pPr>
    </w:p>
    <w:p>
      <w:pPr>
        <w:ind w:right="20" w:firstLine="283"/>
        <w:spacing w:after="0" w:line="278" w:lineRule="auto"/>
        <w:rPr>
          <w:sz w:val="20"/>
          <w:szCs w:val="20"/>
          <w:color w:val="auto"/>
        </w:rPr>
      </w:pPr>
      <w:r>
        <w:rPr>
          <w:rFonts w:ascii="Arial" w:cs="Arial" w:eastAsia="Arial" w:hAnsi="Arial"/>
          <w:sz w:val="13"/>
          <w:szCs w:val="13"/>
          <w:color w:val="auto"/>
        </w:rPr>
        <w:t xml:space="preserve">Under its exclusive license agreement with the University of Massachusetts ("UMass") for its miniCEP290 program, which targets LCA10, which is associated with mutations in the </w:t>
      </w:r>
      <w:r>
        <w:rPr>
          <w:rFonts w:ascii="Arial" w:cs="Arial" w:eastAsia="Arial" w:hAnsi="Arial"/>
          <w:sz w:val="13"/>
          <w:szCs w:val="13"/>
          <w:i w:val="1"/>
          <w:iCs w:val="1"/>
          <w:color w:val="auto"/>
        </w:rPr>
        <w:t>CEP290</w:t>
      </w:r>
      <w:r>
        <w:rPr>
          <w:rFonts w:ascii="Arial" w:cs="Arial" w:eastAsia="Arial" w:hAnsi="Arial"/>
          <w:sz w:val="13"/>
          <w:szCs w:val="13"/>
          <w:color w:val="auto"/>
        </w:rPr>
        <w:t xml:space="preserve"> gene, the Company is obligated to pay UMass up to an aggregate of $14.75 million in cash and issue up to 75,000 shares of common stock of the Company if the Company achieves specified clinical and regulatory milestones with respect to a licensed product. In addition, the Company is obligated to pay UMass up to an aggregate of $48.0 million if the Company achieves specified commercial sales milestones with respect to a licensed product. The Company is also obligated to pay UMass royalties at a low single-digit percentage of net sales of licensed products. If the Company or any of its affiliates sublicenses any of the licensed patent rights or know-how to a third party, the Company will be obligated to pay UMass a high single-digit to a mid-tens percentage of the consideration received in exchange for such sublicense, with the applicable percentage based upon the stage of development of the licensed products at the time the Company or the applicable affiliate enters into the sublicense. If the Company receives a priority review voucher from the FDA in connection with obtaining marketing approval for a licensed product, and the Company subsequently uses such priority review voucher in connection with a different product candidate outside the scope of the agreement, the Company will be obligated to pay UMass a low-tens percentage of the fair market value of the priority review voucher at the time of</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approval of such product candidate and a low-twenties percentage of the fair market value of the priority review voucher at the time of achievement of a specified commercial sales milestone for such product candidate. In addition, if the Company sells such a priority review voucher to a third party, the Company will be obligated to pay UMass a low-thirties percentage of any consideration received from such third party in connection with such sale.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IC-500 and Other HtrA1 Inhibitors - Former Equityholders of Inception 4</w:t>
      </w:r>
    </w:p>
    <w:p>
      <w:pPr>
        <w:spacing w:after="0" w:line="125" w:lineRule="exact"/>
        <w:rPr>
          <w:sz w:val="20"/>
          <w:szCs w:val="20"/>
          <w:color w:val="auto"/>
        </w:rPr>
      </w:pPr>
    </w:p>
    <w:p>
      <w:pPr>
        <w:ind w:right="40" w:firstLine="283"/>
        <w:spacing w:after="0" w:line="277" w:lineRule="auto"/>
        <w:rPr>
          <w:sz w:val="20"/>
          <w:szCs w:val="20"/>
          <w:color w:val="auto"/>
        </w:rPr>
      </w:pPr>
      <w:r>
        <w:rPr>
          <w:rFonts w:ascii="Arial" w:cs="Arial" w:eastAsia="Arial" w:hAnsi="Arial"/>
          <w:sz w:val="13"/>
          <w:szCs w:val="13"/>
          <w:color w:val="auto"/>
        </w:rPr>
        <w:t>Under the agreement and plan of merger between the Company and Inception 4, Inc. ("Inception 4"), pursuant to which the Company acquired Inception 4 and its HtrA1 inhibitor program (the "Inception 4 Merger Agreement"), the Company is obligated to make payments to the former equityholders of Inception 4 of up to an aggregate of $105 million, subject to the terms and conditions of the Inception 4 Merger Agreement, if the Company achieves certain specified clinical and regulatory milestones with respect to a product candidate from its HtrA1 inhibitor program, with $45 million of such potential payments relating to GA and $60 million of such potential payments relating to wet AMD. Under the Inception 4 Merger Agreement, the Company does not owe any commercial milestones or royalties based on net sales. The future milestone payments will be payable in the form of shares of the Company's common stock, calculated based on the price of its common stock over a five-trading day period preceding the achievement of the relevant milestone, unless and until the issuance of such shares would, together with all other shares issued in connection with the acquisition, exceed an overall maximum limit of approximately 7.2 million shares, which is equal to 19.9% of the number of issued and outstanding shares of the Company's common stock as of the close of business on the business day prior to the closing date of the Inception 4 acquisition, and will be payable in cash thereafter. The Inception 4 Merger Agreement also includes customary indemnification obligations to the former equityholders of Inception 4, including for breaches of the representations and warranties, covenants and agreements of the Company and its subsidiaries (other than Inception 4) in the Inception 4 Merger Agreement.</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Employment Contracts</w:t>
      </w:r>
    </w:p>
    <w:p>
      <w:pPr>
        <w:spacing w:after="0" w:line="115" w:lineRule="exact"/>
        <w:rPr>
          <w:sz w:val="20"/>
          <w:szCs w:val="20"/>
          <w:color w:val="auto"/>
        </w:rPr>
      </w:pPr>
    </w:p>
    <w:p>
      <w:pPr>
        <w:ind w:right="20" w:firstLine="280"/>
        <w:spacing w:after="0" w:line="281" w:lineRule="auto"/>
        <w:rPr>
          <w:sz w:val="20"/>
          <w:szCs w:val="20"/>
          <w:color w:val="auto"/>
        </w:rPr>
      </w:pPr>
      <w:r>
        <w:rPr>
          <w:rFonts w:ascii="Arial" w:cs="Arial" w:eastAsia="Arial" w:hAnsi="Arial"/>
          <w:sz w:val="14"/>
          <w:szCs w:val="14"/>
          <w:color w:val="auto"/>
        </w:rPr>
        <w:t>The Company also has letter agreements with certain employees that require the funding of a specific level of payments if certain events, such as a termination of employment in connection with a change in control or termination of employment by the employee for good reason or by the Company without cause, occur.</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Contract Service Providers</w:t>
      </w:r>
    </w:p>
    <w:p>
      <w:pPr>
        <w:spacing w:after="0" w:line="125" w:lineRule="exact"/>
        <w:rPr>
          <w:sz w:val="20"/>
          <w:szCs w:val="20"/>
          <w:color w:val="auto"/>
        </w:rPr>
      </w:pPr>
    </w:p>
    <w:p>
      <w:pPr>
        <w:ind w:right="60" w:firstLine="283"/>
        <w:spacing w:after="0" w:line="331" w:lineRule="auto"/>
        <w:rPr>
          <w:sz w:val="20"/>
          <w:szCs w:val="20"/>
          <w:color w:val="auto"/>
        </w:rPr>
      </w:pPr>
      <w:r>
        <w:rPr>
          <w:rFonts w:ascii="Arial" w:cs="Arial" w:eastAsia="Arial" w:hAnsi="Arial"/>
          <w:sz w:val="12"/>
          <w:szCs w:val="12"/>
          <w:color w:val="auto"/>
        </w:rPr>
        <w:t>In addition, in the course of normal business operations, the Company has agreements with contract service providers to assist in the performance of the Company’s research and development and manufacturing activities. Expenditures to CROs and CDMOs represent significant costs in preclinical and clinical development. Subject to required notice periods and the Company’s obligations under binding purchase orders and any cancellation fees that the Company may be obligated to pay, the Company can elect to discontinue the work under these agreements at any time.</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Legal Proceedings</w:t>
      </w:r>
    </w:p>
    <w:p>
      <w:pPr>
        <w:spacing w:after="0" w:line="125" w:lineRule="exact"/>
        <w:rPr>
          <w:sz w:val="20"/>
          <w:szCs w:val="20"/>
          <w:color w:val="auto"/>
        </w:rPr>
      </w:pPr>
    </w:p>
    <w:p>
      <w:pPr>
        <w:ind w:firstLine="509"/>
        <w:spacing w:after="0" w:line="277" w:lineRule="auto"/>
        <w:rPr>
          <w:sz w:val="20"/>
          <w:szCs w:val="20"/>
          <w:color w:val="auto"/>
        </w:rPr>
      </w:pPr>
      <w:r>
        <w:rPr>
          <w:rFonts w:ascii="Arial" w:cs="Arial" w:eastAsia="Arial" w:hAnsi="Arial"/>
          <w:sz w:val="13"/>
          <w:szCs w:val="13"/>
          <w:color w:val="auto"/>
        </w:rPr>
        <w:t>On January 11, 2017, a putative class action lawsuit was filed against the Company and certain of its current and former executive officers in the United States District Court for the Southern District of New York, captioned Frank Micholle v. Ophthotech Corporation, et al., No. 1:17-cv-00210. On March 9, 2017, a related putative class action lawsuit was filed against the Company and the same group of its current and former executive officers in the United States District Court for the Southern District of New York, captioned Wasson v. Ophthotech Corporation, et al., No. 1:17-cv-01758. These cases were consolidated on March 13, 2018. On June 4, 2018, the lead plaintiff filed a consolidated amended complaint (the “CAC”). The CAC purports to be brought on behalf of shareholders who purchased the Company’s common stock between March 2, 2015 and December 12, 2016. The CAC generally alleges that the Company and certain of its officers violated Sections 10(b) and/or 20(a) of the Securities Exchange Act of 1934 and Rule 10b-5 promulgated thereunder by making allegedly false and/or misleading statements concerning the results of the Company’s Phase 2b trial and the prospects of the Company’s Phase 3 trials for Fovista in combination with anti-VEGF agents for the treatment of wet AMD. The CAC seeks unspecified damages, attorneys’ fees, and other costs. The Company and individual defendants filed a motion to dismiss the CAC on July 27, 2018. On September 18, 2019, the court issued an order dismissing some, but not all, of the allegations in the CAC. On November 18, 2019, the Company and the individual defendants filed an answer to the complaint. On June 12, 2020, the lead plaintiff filed a motion for class certification. The Company's response is due August 11, 2020. This case is currently in the discovery phase.</w:t>
      </w:r>
    </w:p>
    <w:p>
      <w:pPr>
        <w:spacing w:after="0" w:line="89" w:lineRule="exact"/>
        <w:rPr>
          <w:sz w:val="20"/>
          <w:szCs w:val="20"/>
          <w:color w:val="auto"/>
        </w:rPr>
      </w:pPr>
    </w:p>
    <w:p>
      <w:pPr>
        <w:ind w:right="500" w:firstLine="509"/>
        <w:spacing w:after="0" w:line="319" w:lineRule="auto"/>
        <w:rPr>
          <w:sz w:val="20"/>
          <w:szCs w:val="20"/>
          <w:color w:val="auto"/>
        </w:rPr>
      </w:pPr>
      <w:r>
        <w:rPr>
          <w:rFonts w:ascii="Arial" w:cs="Arial" w:eastAsia="Arial" w:hAnsi="Arial"/>
          <w:sz w:val="12"/>
          <w:szCs w:val="12"/>
          <w:color w:val="auto"/>
        </w:rPr>
        <w:t>On August 31, 2018, a shareholder derivative action was filed against current and former members of the Company's board of directors and certain current and former officers of the Company in the United States District Court for the Southern District of New York, captioned Luis Pacheco v. David R. Guyer, et al., Case No. 1:18-cv-07999. The complaint, which is based substantially on the facts alleged in the CAC, alleges that the defendants breached their fiduciary duties to the Company and wasted the Company's corporate assets by failing to oversee the Company's business, and also alleges that the defendants were unjustly enriched as a result of the alleged conduct, including through receipt of bonuses, stock options and similar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ind w:right="80"/>
        <w:spacing w:after="0" w:line="282" w:lineRule="auto"/>
        <w:rPr>
          <w:sz w:val="20"/>
          <w:szCs w:val="20"/>
          <w:color w:val="auto"/>
        </w:rPr>
      </w:pPr>
      <w:r>
        <w:rPr>
          <w:rFonts w:ascii="Arial" w:cs="Arial" w:eastAsia="Arial" w:hAnsi="Arial"/>
          <w:sz w:val="13"/>
          <w:szCs w:val="13"/>
          <w:color w:val="auto"/>
        </w:rPr>
        <w:t>compensation from the Company, and through sales of the Company's stock between March 2, 2015 and December 12, 2016. The complaint purports to seek unspecified damages on the Company's behalf, attorneys’ fees, and other costs, as well as an order directing the Company to reform and improve its corporate governance and internal procedures to comply with applicable laws, including submitting certain proposed amendments to the Company's corporate charter, bylaws and corporate governance policies for vote by the Company's stockholders. On December 14, 2018, the Company filed a motion to dismiss the complaint. On September 19, 2019, the court denied the Company's motion to dismiss this complaint. This matter was subsequently referred to a special litigation committee of the Company's board of directors. On February 18, 2020, the Company filed an answer to the complaint. The Company and the plaintiff agreed to stay this litigation while the special litigation committee conducts its investigation. On May 5, 2020, the court approved the stipulation and stayed the litigation through November 1, 2020.</w:t>
      </w:r>
    </w:p>
    <w:p>
      <w:pPr>
        <w:spacing w:after="0" w:line="71" w:lineRule="exact"/>
        <w:rPr>
          <w:sz w:val="20"/>
          <w:szCs w:val="20"/>
          <w:color w:val="auto"/>
        </w:rPr>
      </w:pPr>
    </w:p>
    <w:p>
      <w:pPr>
        <w:ind w:firstLine="509"/>
        <w:spacing w:after="0" w:line="313" w:lineRule="auto"/>
        <w:rPr>
          <w:sz w:val="20"/>
          <w:szCs w:val="20"/>
          <w:color w:val="auto"/>
        </w:rPr>
      </w:pPr>
      <w:r>
        <w:rPr>
          <w:rFonts w:ascii="Arial" w:cs="Arial" w:eastAsia="Arial" w:hAnsi="Arial"/>
          <w:sz w:val="12"/>
          <w:szCs w:val="12"/>
          <w:color w:val="auto"/>
        </w:rPr>
        <w:t>On October 16, 2018, the Company’s board of directors received a shareholder demand to investigate and commence legal proceedings against certain members of the Company’s board of directors. The demand alleges facts that are substantially similar to the facts alleged in the CAC and the Pacheco complaint and asserts claims that are substantially similar to the claims asserted in the Pacheco complaint. On January 30, 2019, the Company’s board of directors received a second shareholder demand from a different shareholder to investigate and commence legal proceedings against certain current and former members of the Company’s board of directors based on allegations that are substantially similar to the allegations contained in the first demand letter. These shareholder demands have been referred to a demand review committee of the Company's board of directors. The Company has entered into tolling agreements with the directors named in the demands.</w:t>
      </w:r>
    </w:p>
    <w:p>
      <w:pPr>
        <w:spacing w:after="0" w:line="66"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The Company denies any and all allegations of wrongdoing and intends to vigorously defend against these lawsuits. The Company is unable, however, to predict the outcome of these matters at this time. Moreover, any conclusion of these matters in a manner adverse to the Company and for which it incurs substantial costs or damages not covered by the Company's directors’ and officers’ liability insurance would have a material adverse effect on its financial condition and business. In addition, the litigation could adversely impact the Company's reputation and divert management’s attention and resources from other priorities, including the execution of its business plan and strategies that are important to the Company's ability to grow its business, any of which could have a material adverse effect on the Company's business.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Management's Discussion and Analysis of Financial Condition and Results of Operations</w:t>
      </w:r>
    </w:p>
    <w:p>
      <w:pPr>
        <w:spacing w:after="0" w:line="119" w:lineRule="exact"/>
        <w:rPr>
          <w:sz w:val="20"/>
          <w:szCs w:val="20"/>
          <w:color w:val="auto"/>
        </w:rPr>
      </w:pPr>
    </w:p>
    <w:p>
      <w:pPr>
        <w:ind w:right="20" w:firstLine="509"/>
        <w:spacing w:after="0" w:line="282" w:lineRule="auto"/>
        <w:rPr>
          <w:sz w:val="20"/>
          <w:szCs w:val="20"/>
          <w:color w:val="auto"/>
        </w:rPr>
      </w:pPr>
      <w:r>
        <w:rPr>
          <w:rFonts w:ascii="Arial" w:cs="Arial" w:eastAsia="Arial" w:hAnsi="Arial"/>
          <w:sz w:val="13"/>
          <w:szCs w:val="13"/>
          <w:i w:val="1"/>
          <w:iCs w:val="1"/>
          <w:color w:val="auto"/>
        </w:rPr>
        <w:t>The following discussion and analysis of our financial condition and results of operations should be read together with our financial statements and related notes appearing elsewhere in this Quarterly Report on Form 10-Q and the audited financial statements and related notes and management’s discussion and analysis of financial condition and results of operations for the year ended December 31, 2019 included in our Annual Report on Form 10-K filed with the Securities and Exchange Commission on February 27, 2020.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and should be read together with the "Risk Factors"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19" w:lineRule="exact"/>
        <w:rPr>
          <w:sz w:val="20"/>
          <w:szCs w:val="20"/>
          <w:color w:val="auto"/>
        </w:rPr>
      </w:pPr>
    </w:p>
    <w:p>
      <w:pPr>
        <w:ind w:right="320" w:firstLine="280"/>
        <w:spacing w:after="0" w:line="321" w:lineRule="auto"/>
        <w:rPr>
          <w:sz w:val="20"/>
          <w:szCs w:val="20"/>
          <w:color w:val="auto"/>
        </w:rPr>
      </w:pPr>
      <w:r>
        <w:rPr>
          <w:rFonts w:ascii="Arial" w:cs="Arial" w:eastAsia="Arial" w:hAnsi="Arial"/>
          <w:sz w:val="13"/>
          <w:szCs w:val="13"/>
          <w:color w:val="auto"/>
        </w:rPr>
        <w:t>We are a science-driven biopharmaceutical company focused on the discovery and development of novel treatment options for retinal diseases with significant unmet medical needs. We are currently developing both therapeutic product candidates for age-related retinal diseases and gene therapy product candidates for orphan inherited retinal diseases, or IRDs.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Our therapeutics portfolio consists of our clinical stage product candidate Zimura® (avacincaptad pegol), a complement C5 inhibitor, and IC-500, our preclinical product candidate from our</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High temperature requirement A serine peptidase 1 protein, or HtrA1, inhibitors program. We are currently targeting the following diseases with Zimura:</w:t>
      </w:r>
    </w:p>
    <w:p>
      <w:pPr>
        <w:spacing w:after="0" w:line="168" w:lineRule="exact"/>
        <w:rPr>
          <w:sz w:val="20"/>
          <w:szCs w:val="20"/>
          <w:color w:val="auto"/>
        </w:rPr>
      </w:pPr>
    </w:p>
    <w:p>
      <w:pPr>
        <w:ind w:left="520" w:right="480" w:hanging="260"/>
        <w:spacing w:after="0" w:line="281"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geographic atrophy, or GA, which is the advanced stage of age-related macular degeneration, or AMD, and is characterized by marked thinning or atrophy of retinal tissue, leading to irreversible loss of vision; and</w:t>
      </w:r>
    </w:p>
    <w:p>
      <w:pPr>
        <w:spacing w:after="0" w:line="79" w:lineRule="exact"/>
        <w:rPr>
          <w:rFonts w:ascii="Arial" w:cs="Arial" w:eastAsia="Arial" w:hAnsi="Arial"/>
          <w:sz w:val="14"/>
          <w:szCs w:val="14"/>
          <w:color w:val="auto"/>
        </w:rPr>
      </w:pPr>
    </w:p>
    <w:p>
      <w:pPr>
        <w:ind w:left="520" w:right="220" w:hanging="260"/>
        <w:spacing w:after="0" w:line="281"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autosomal recessive Stargardt disease, or STGD1, which is characterized by progressive damage to the central portion of the retina, or the macula, and other retinal tissue of young adults, leading to loss of vision.</w:t>
      </w:r>
    </w:p>
    <w:p>
      <w:pPr>
        <w:spacing w:after="0" w:line="79" w:lineRule="exact"/>
        <w:rPr>
          <w:sz w:val="20"/>
          <w:szCs w:val="20"/>
          <w:color w:val="auto"/>
        </w:rPr>
      </w:pPr>
    </w:p>
    <w:p>
      <w:pPr>
        <w:ind w:right="60" w:firstLine="283"/>
        <w:spacing w:after="0" w:line="276" w:lineRule="auto"/>
        <w:rPr>
          <w:sz w:val="20"/>
          <w:szCs w:val="20"/>
          <w:color w:val="auto"/>
        </w:rPr>
      </w:pPr>
      <w:r>
        <w:rPr>
          <w:rFonts w:ascii="Arial" w:cs="Arial" w:eastAsia="Arial" w:hAnsi="Arial"/>
          <w:sz w:val="13"/>
          <w:szCs w:val="13"/>
          <w:color w:val="auto"/>
        </w:rPr>
        <w:t>In June 2020, we announced 18-month data from our international, randomized, double masked, sham controlled, multi-center Phase 3 clinical trial, or the GATHER1 trial and which we have previously referred to as the OPH2003 trial, assessing the safety and efficacy of Zimura for the treatment of GA secondary to AMD. 286 patients were enrolled in this trial across multiple treatment groups, including various Zimura doses and sham control groups and patients were treated and followed for 18 months. The 18-month data supports the previously announced 12-month data from this trial, at which time point Zimura met the pre-specified primary efficacy endpoint, the reduction in the mean rate of GA growth, with statistical significance. The reduction in the mean rate of GA growth over 18 months was 28.11% for the Zimura 2 mg group as compared to the corresponding sham control group and 29.97% for the Zimura 4 mg group as compared to the corresponding sham control group. The pre-specified efficacy analysis for the primary endpoint was performed at month 12 using all of the statistical power in the trial to detect a statistically significant difference. Therefore, the p-values for the 18 month statistical analyses are descriptive in nature. The descriptive p-values for the treatment effects at month 18 were p=0.0014 for the Zimura 2 mg group and p=0.0021 for the Zimura 4 mg group. In this trial, the treatment effect was observed as early as 6 months, with an increase in the absolute difference of the mean change in GA growth for treatment with either Zimura 2 mg or Zimura 4 mg, as compared to sham, at each subsequent time point, suggesting the progressive benefit of continuous treatment with Zimura. Zimura maintained its favorable safety profile at 18 months with no investigator reported Zimura related adverse events, no cases of endophthalmitis and a lower rate of choroidal neovascularization, or CNV, than reported for C3 inhibition. The overall 18 month data may suggest a dose response relationship. GATHER1 was designed to be a Phase 2b screening trial, with the potential to qualify as a pivotal trial depending on the magnitude and statistical significance of the potential benefit observed. Based on the 12-month data, we believe that the GATHER1 trial qualifies as the first of two Phase 3 trials typically required by the U.S. Food and Drug Administration, or FDA, for marketing approval of a pharmaceutical product. In light of the 12-month data, we changed the phase designation of the GATHER1 trial to a Phase 2/3 trial and we believe it counts as a Phase 3 clinical trial.</w:t>
      </w:r>
    </w:p>
    <w:p>
      <w:pPr>
        <w:spacing w:after="0" w:line="140" w:lineRule="exact"/>
        <w:rPr>
          <w:sz w:val="20"/>
          <w:szCs w:val="20"/>
          <w:color w:val="auto"/>
        </w:rPr>
      </w:pPr>
    </w:p>
    <w:p>
      <w:pPr>
        <w:ind w:right="440" w:firstLine="509"/>
        <w:spacing w:after="0" w:line="321" w:lineRule="auto"/>
        <w:rPr>
          <w:sz w:val="20"/>
          <w:szCs w:val="20"/>
          <w:color w:val="auto"/>
        </w:rPr>
      </w:pPr>
      <w:r>
        <w:rPr>
          <w:rFonts w:ascii="Arial" w:cs="Arial" w:eastAsia="Arial" w:hAnsi="Arial"/>
          <w:sz w:val="13"/>
          <w:szCs w:val="13"/>
          <w:color w:val="auto"/>
        </w:rPr>
        <w:t>In June 2020, we dosed the first patient in our second international, randomized, double masked, sham controlled, multi-center Phase 3 clinical trial of Zimura for the treatment of GA secondary to AMD, or the GATHER2 trial and which we have previously referred to as the ISEE2008 trial. We plan to enroll approximately 400 patients in this trial.</w:t>
      </w:r>
    </w:p>
    <w:p>
      <w:pPr>
        <w:spacing w:after="0" w:line="109"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We recently reopened enrollment in OPH2005, our ongoing, international, randomized, double masked, sham controlled, multi-center Phase 2b clinical trial evaluating the safety and efficacy of Zimura for the treatment of STGD1. We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plan to enroll approximately 25 additional patients, with the goal of enrolling a total of approximately 120 patients as was initially intended in the protocol for the OPH2005 trial.</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We are developing IC-500 for GA and potentially other age-related retinal diseases.</w:t>
      </w:r>
    </w:p>
    <w:p>
      <w:pPr>
        <w:spacing w:after="0" w:line="179" w:lineRule="exact"/>
        <w:rPr>
          <w:sz w:val="20"/>
          <w:szCs w:val="20"/>
          <w:color w:val="auto"/>
        </w:rPr>
      </w:pPr>
    </w:p>
    <w:p>
      <w:pPr>
        <w:ind w:right="140" w:firstLine="283"/>
        <w:spacing w:after="0" w:line="281" w:lineRule="auto"/>
        <w:rPr>
          <w:sz w:val="20"/>
          <w:szCs w:val="20"/>
          <w:color w:val="auto"/>
        </w:rPr>
      </w:pPr>
      <w:r>
        <w:rPr>
          <w:rFonts w:ascii="Arial" w:cs="Arial" w:eastAsia="Arial" w:hAnsi="Arial"/>
          <w:sz w:val="14"/>
          <w:szCs w:val="14"/>
          <w:color w:val="auto"/>
        </w:rPr>
        <w:t>Our gene therapy portfolio consists of two product candidates in preclinical development and several ongoing collaborative sponsored research programs, each of which uses adeno-associated virus, or AAV, for gene delivery. These AAV mediated gene therapy programs are targeting the following orphan IRDs:</w:t>
      </w:r>
    </w:p>
    <w:p>
      <w:pPr>
        <w:spacing w:after="0" w:line="132" w:lineRule="exact"/>
        <w:rPr>
          <w:sz w:val="20"/>
          <w:szCs w:val="20"/>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rhodopsin-mediated autosomal dominant retinitis pigmentosa, or RHO-adRP, which is characterized by progressive and severe bilateral loss of vision leading to blindness;</w:t>
      </w:r>
    </w:p>
    <w:p>
      <w:pPr>
        <w:spacing w:after="0" w:line="178" w:lineRule="exact"/>
        <w:rPr>
          <w:rFonts w:ascii="Arial" w:cs="Arial" w:eastAsia="Arial" w:hAnsi="Arial"/>
          <w:sz w:val="14"/>
          <w:szCs w:val="14"/>
          <w:color w:val="auto"/>
        </w:rPr>
      </w:pPr>
    </w:p>
    <w:p>
      <w:pPr>
        <w:ind w:left="520" w:right="180" w:hanging="260"/>
        <w:spacing w:after="0" w:line="281"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IRDs associated with mutations in the </w:t>
      </w:r>
      <w:r>
        <w:rPr>
          <w:rFonts w:ascii="Arial" w:cs="Arial" w:eastAsia="Arial" w:hAnsi="Arial"/>
          <w:sz w:val="14"/>
          <w:szCs w:val="14"/>
          <w:i w:val="1"/>
          <w:iCs w:val="1"/>
          <w:color w:val="auto"/>
        </w:rPr>
        <w:t>BEST1</w:t>
      </w:r>
      <w:r>
        <w:rPr>
          <w:rFonts w:ascii="Arial" w:cs="Arial" w:eastAsia="Arial" w:hAnsi="Arial"/>
          <w:sz w:val="14"/>
          <w:szCs w:val="14"/>
          <w:color w:val="auto"/>
        </w:rPr>
        <w:t xml:space="preserve"> gene, including Best vitelliform macular dystrophy, or Best disease, which is generally characterized by bilateral egg yolk-like lesions in the macula, which, over time, progress to atrophy and loss of vision;</w:t>
      </w:r>
    </w:p>
    <w:p>
      <w:pPr>
        <w:spacing w:after="0" w:line="132"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Leber Congenital Amaurosis type 10, or LCA10, which is characterized by severe bilateral loss of vision at or soon after birth;</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autosomal recessive Stargardt disease;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 xml:space="preserve">IRDs associated with mutations in the </w:t>
      </w:r>
      <w:r>
        <w:rPr>
          <w:rFonts w:ascii="Arial" w:cs="Arial" w:eastAsia="Arial" w:hAnsi="Arial"/>
          <w:sz w:val="12"/>
          <w:szCs w:val="12"/>
          <w:i w:val="1"/>
          <w:iCs w:val="1"/>
          <w:color w:val="auto"/>
        </w:rPr>
        <w:t>USH2A</w:t>
      </w:r>
      <w:r>
        <w:rPr>
          <w:rFonts w:ascii="Arial" w:cs="Arial" w:eastAsia="Arial" w:hAnsi="Arial"/>
          <w:sz w:val="12"/>
          <w:szCs w:val="12"/>
          <w:color w:val="auto"/>
        </w:rPr>
        <w:t xml:space="preserve"> gene, which include Usher syndrome type 2A, or Usher 2A, and </w:t>
      </w:r>
      <w:r>
        <w:rPr>
          <w:rFonts w:ascii="Arial" w:cs="Arial" w:eastAsia="Arial" w:hAnsi="Arial"/>
          <w:sz w:val="12"/>
          <w:szCs w:val="12"/>
          <w:i w:val="1"/>
          <w:iCs w:val="1"/>
          <w:color w:val="auto"/>
        </w:rPr>
        <w:t>USH2A</w:t>
      </w:r>
      <w:r>
        <w:rPr>
          <w:rFonts w:ascii="Arial" w:cs="Arial" w:eastAsia="Arial" w:hAnsi="Arial"/>
          <w:sz w:val="12"/>
          <w:szCs w:val="12"/>
          <w:color w:val="auto"/>
        </w:rPr>
        <w:t>-associated non-syndromic autosomal recessive retinitis pigmentosa.</w:t>
      </w:r>
    </w:p>
    <w:p>
      <w:pPr>
        <w:spacing w:after="0" w:line="138" w:lineRule="exact"/>
        <w:rPr>
          <w:sz w:val="20"/>
          <w:szCs w:val="20"/>
          <w:color w:val="auto"/>
        </w:rPr>
      </w:pPr>
    </w:p>
    <w:p>
      <w:pPr>
        <w:ind w:right="140" w:firstLine="283"/>
        <w:spacing w:after="0" w:line="260" w:lineRule="auto"/>
        <w:rPr>
          <w:sz w:val="20"/>
          <w:szCs w:val="20"/>
          <w:color w:val="auto"/>
        </w:rPr>
      </w:pPr>
      <w:r>
        <w:rPr>
          <w:rFonts w:ascii="Arial" w:cs="Arial" w:eastAsia="Arial" w:hAnsi="Arial"/>
          <w:sz w:val="14"/>
          <w:szCs w:val="14"/>
          <w:color w:val="auto"/>
        </w:rPr>
        <w:t xml:space="preserve">Our lead gene therapy product candidate is IC-100, which we are developing for the treatment of RHO-adRP. Subject to successful completion of preclinical development and manufacturing under current good manufacturing practices, or cGMP, we plan to file an investigational new drug application, or IND, for IC-100 by the end of 2020 or early 2021 with the goal of starting patient enrollment in a Phase 1/2 clinical trial during the first half of 2021. We are also developing IC-200, our gene therapy product candidate for the treatment of IRDs associated with mutations in the </w:t>
      </w:r>
      <w:r>
        <w:rPr>
          <w:rFonts w:ascii="Arial" w:cs="Arial" w:eastAsia="Arial" w:hAnsi="Arial"/>
          <w:sz w:val="14"/>
          <w:szCs w:val="14"/>
          <w:i w:val="1"/>
          <w:iCs w:val="1"/>
          <w:color w:val="auto"/>
        </w:rPr>
        <w:t xml:space="preserve">BEST1 </w:t>
      </w:r>
      <w:r>
        <w:rPr>
          <w:rFonts w:ascii="Arial" w:cs="Arial" w:eastAsia="Arial" w:hAnsi="Arial"/>
          <w:sz w:val="14"/>
          <w:szCs w:val="14"/>
          <w:color w:val="auto"/>
        </w:rPr>
        <w:t>gene. Subject to successful completion of preclinical development and manufacturing under cGMP, we plan to file an IND and, subject to regulatory review, initiate a Phase 1/2 clinical trial</w:t>
      </w:r>
      <w:r>
        <w:rPr>
          <w:rFonts w:ascii="Arial" w:cs="Arial" w:eastAsia="Arial" w:hAnsi="Arial"/>
          <w:sz w:val="14"/>
          <w:szCs w:val="14"/>
          <w:i w:val="1"/>
          <w:iCs w:val="1"/>
          <w:color w:val="auto"/>
        </w:rPr>
        <w:t xml:space="preserve"> </w:t>
      </w:r>
      <w:r>
        <w:rPr>
          <w:rFonts w:ascii="Arial" w:cs="Arial" w:eastAsia="Arial" w:hAnsi="Arial"/>
          <w:sz w:val="14"/>
          <w:szCs w:val="14"/>
          <w:color w:val="auto"/>
        </w:rPr>
        <w:t>for IC-200 in 2021.</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of COVID-19</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COVID-19 pandemic and measures taken to contain it have affected our business and operations in a number of ways. These include, but are not limited to, the following:</w:t>
      </w:r>
    </w:p>
    <w:p>
      <w:pPr>
        <w:spacing w:after="0" w:line="179" w:lineRule="exact"/>
        <w:rPr>
          <w:sz w:val="20"/>
          <w:szCs w:val="20"/>
          <w:color w:val="auto"/>
        </w:rPr>
      </w:pPr>
    </w:p>
    <w:p>
      <w:pPr>
        <w:ind w:left="520" w:hanging="260"/>
        <w:spacing w:after="0" w:line="303" w:lineRule="auto"/>
        <w:tabs>
          <w:tab w:leader="none" w:pos="516"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 March 2020, we decided to delay initiation of patient enrollment in our GATHER2 trial. Although we initiated patient enrollment in June 2020 and our clinical trial sites are continuing to enroll patients, we and our clinical trial sites are doing so cautiously in light of new health and safety practices put into place as a result of the COVID-19 pandemic. We are continuing to monitor the situation closely and may need to slow down or stop patient enrollment in certain geographies depending on the local situation. In addition, we are continuing with activating additional sites and, because of the ongoing and variable nature of the pandemic and its potential impact on patient recruitment and retention, we are planning to add more countries and sites to this trial. Health authorities and ethics committees in certain countries, and many of the clinical trial sites we are using or plan to use for this trial, have reduced their staff and operations due to the COVID-19 pandemic. This reduction in operations has resulted in delays to the approval of our trial in certain countries outside the United States and delays in the activation process for a number of our planned clinical trial sites. Although many clinical trial sites have started to reopen, many are doing so with reduced staff and operations and focusing on more urgent matters rather than clinical trials. We may face difficulties in recruiting or retaining patients to the extent patients are affected by the virus or are fearful of visiting or traveling to our clinical trial sites because of the pandemic. At this time, we do not know whether there will be further impacts on the timing and progress of patient enrollment or on patient retention in the GATHER2 trial as a result of the COVID-19 pandemic. We may face similar issues with patient recruitment and patient retention for the expansion of the OPH2005 trial.</w:t>
      </w:r>
    </w:p>
    <w:p>
      <w:pPr>
        <w:spacing w:after="0" w:line="146" w:lineRule="exact"/>
        <w:rPr>
          <w:rFonts w:ascii="Arial" w:cs="Arial" w:eastAsia="Arial" w:hAnsi="Arial"/>
          <w:sz w:val="12"/>
          <w:szCs w:val="12"/>
          <w:color w:val="auto"/>
        </w:rPr>
      </w:pPr>
    </w:p>
    <w:p>
      <w:pPr>
        <w:ind w:left="520" w:right="120" w:hanging="260"/>
        <w:spacing w:after="0" w:line="267"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instituted company-wide remote working starting in the middle of March 2020 and expect to continue working remotely for the foreseeable future. Investor and scientific meetings and conferences have been canceled or are occurring virtually. We have been relying on remote means of working and communication both internally and externally. We are continuing to monitor and support the health and well-being of our employees and their productivity as remote working continues.</w:t>
      </w: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left="520" w:right="40" w:hanging="260"/>
        <w:spacing w:after="0" w:line="258"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Many of our clinical trial sites have been operating with reduced staff and other restrictions. We have increased our efforts to engage with our clinical trial sites with a focus on retaining patients and maintaining scheduled visits and treatments, and where possible, instituted practices such as flexible scheduling of visits for patients and remote monitoring. Based on the latest information we have available, we are aware that a small number of patients in the OPH2005 trial have missed consecutive trial visits during the pandemic; however, the number of missed visits has been decreasing recently. We continue to monitor the situation closely. We do not yet know whether the number of missed visits will increase or decrease in the OPH2005 trial or how many missed visits will occur in the GATHER2 trial, or what the impact of missed visits may be on trial results, especially because we are masked to the treatment condition of patients during the conduct of the trials.</w:t>
      </w:r>
    </w:p>
    <w:p>
      <w:pPr>
        <w:spacing w:after="0" w:line="171" w:lineRule="exact"/>
        <w:rPr>
          <w:rFonts w:ascii="Arial" w:cs="Arial" w:eastAsia="Arial" w:hAnsi="Arial"/>
          <w:sz w:val="14"/>
          <w:szCs w:val="14"/>
          <w:color w:val="auto"/>
        </w:rPr>
      </w:pPr>
    </w:p>
    <w:p>
      <w:pPr>
        <w:ind w:left="520" w:right="120" w:hanging="260"/>
        <w:spacing w:after="0" w:line="331" w:lineRule="auto"/>
        <w:tabs>
          <w:tab w:leader="none" w:pos="516"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 some instances, our third-party contract manufacturers, academic research collaborators and contract research organizations have limited their operations and staff, which has resulted in delays to some of our manufacturing and research and development activities and limited our ability to be on site to oversee these activities. For example, the closure of animal research laboratories at the University of Massachusetts Medical School, or UMMS, has caused delays to the progress of our collaborative gene therapy sponsored research programs.</w:t>
      </w:r>
    </w:p>
    <w:p>
      <w:pPr>
        <w:spacing w:after="0" w:line="129" w:lineRule="exact"/>
        <w:rPr>
          <w:rFonts w:ascii="Arial" w:cs="Arial" w:eastAsia="Arial" w:hAnsi="Arial"/>
          <w:sz w:val="12"/>
          <w:szCs w:val="12"/>
          <w:color w:val="auto"/>
        </w:rPr>
      </w:pPr>
    </w:p>
    <w:p>
      <w:pPr>
        <w:ind w:left="520" w:right="20" w:hanging="260"/>
        <w:spacing w:after="0" w:line="313" w:lineRule="auto"/>
        <w:tabs>
          <w:tab w:leader="none" w:pos="516" w:val="left"/>
        </w:tabs>
        <w:numPr>
          <w:ilvl w:val="0"/>
          <w:numId w:val="13"/>
        </w:numPr>
        <w:rPr>
          <w:rFonts w:ascii="Arial" w:cs="Arial" w:eastAsia="Arial" w:hAnsi="Arial"/>
          <w:sz w:val="12"/>
          <w:szCs w:val="12"/>
          <w:color w:val="auto"/>
        </w:rPr>
      </w:pPr>
      <w:r>
        <w:rPr>
          <w:rFonts w:ascii="Arial" w:cs="Arial" w:eastAsia="Arial" w:hAnsi="Arial"/>
          <w:sz w:val="12"/>
          <w:szCs w:val="12"/>
          <w:color w:val="auto"/>
        </w:rPr>
        <w:t>Shortages and governmental restrictions arising from the COVID-19 pandemic have disrupted and may continue to disrupt the ability of our contract manufacturers to procure items, such as raw materials, that are essential for the manufacture of our product candidates. For example, our contract manufacturer for IC-500 experienced a shortage in obtaining one of the critical raw materials that was sourced from China, which was caused by the shutdown of local suppliers and the slowdown in trade due to the COVID-19 pandemic. This shortage delayed our API process development activities for IC-500 by a number of months. Additionally, there is increased demand for the vials we are considering using for the fill/finish of Zimura drug product, which governments and other companies intend to use for COVID-19 vaccines and medicines. This increased demand may limit our ability to obtain these vials for our own needs.</w:t>
      </w:r>
    </w:p>
    <w:p>
      <w:pPr>
        <w:spacing w:after="0" w:line="139" w:lineRule="exact"/>
        <w:rPr>
          <w:rFonts w:ascii="Arial" w:cs="Arial" w:eastAsia="Arial" w:hAnsi="Arial"/>
          <w:sz w:val="12"/>
          <w:szCs w:val="12"/>
          <w:color w:val="auto"/>
        </w:rPr>
      </w:pPr>
    </w:p>
    <w:p>
      <w:pPr>
        <w:ind w:left="520" w:right="460" w:hanging="260"/>
        <w:spacing w:after="0" w:line="281"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pandemic has caused significant disruption to the financial markets, and has caused increased volatility in the price of our stock and that of other companies in the biotechnology industry.</w:t>
      </w:r>
    </w:p>
    <w:p>
      <w:pPr>
        <w:spacing w:after="0" w:line="153" w:lineRule="exact"/>
        <w:rPr>
          <w:sz w:val="20"/>
          <w:szCs w:val="20"/>
          <w:color w:val="auto"/>
        </w:rPr>
      </w:pPr>
    </w:p>
    <w:p>
      <w:pPr>
        <w:ind w:right="100" w:firstLine="280"/>
        <w:spacing w:after="0" w:line="282" w:lineRule="auto"/>
        <w:rPr>
          <w:sz w:val="20"/>
          <w:szCs w:val="20"/>
          <w:color w:val="auto"/>
        </w:rPr>
      </w:pPr>
      <w:r>
        <w:rPr>
          <w:rFonts w:ascii="Arial" w:cs="Arial" w:eastAsia="Arial" w:hAnsi="Arial"/>
          <w:sz w:val="13"/>
          <w:szCs w:val="13"/>
          <w:color w:val="212529"/>
        </w:rPr>
        <w:t>We do not believe that the COVID-19 pandemic, and our actions in response and the costs of those actions, have had a material impact on our financial position, results of operations, or cash flows for the three or six months ended June 30, 2020. The progression of the COVID-19 pandemic remains fluid and its impact on our business and operations remains uncertain. The full extent to which the COVID-19 pandemic will directly or indirectly impact our business, results of operations and financial condition will depend on developments that are highly uncertain and cannot be accurately predicted, including new information that may emerge concerning COVID-19, the actions taken to contain it or lessen its impact and the economic impact on local, regional, national and international markets. If the delays and other disruptions due to the pandemic become prolonged or more extensive, then we may experience further delays or disruptions to our research and development programs and our financial position, results of operations or cash flows for future periods may be materially affected.</w:t>
      </w:r>
    </w:p>
    <w:p>
      <w:pPr>
        <w:spacing w:after="0" w:line="134" w:lineRule="exact"/>
        <w:rPr>
          <w:sz w:val="20"/>
          <w:szCs w:val="20"/>
          <w:color w:val="auto"/>
        </w:rPr>
      </w:pPr>
    </w:p>
    <w:p>
      <w:pPr>
        <w:ind w:right="600" w:firstLine="283"/>
        <w:spacing w:after="0" w:line="281" w:lineRule="auto"/>
        <w:rPr>
          <w:sz w:val="20"/>
          <w:szCs w:val="20"/>
          <w:color w:val="auto"/>
        </w:rPr>
      </w:pPr>
      <w:r>
        <w:rPr>
          <w:rFonts w:ascii="Arial" w:cs="Arial" w:eastAsia="Arial" w:hAnsi="Arial"/>
          <w:sz w:val="14"/>
          <w:szCs w:val="14"/>
          <w:color w:val="212529"/>
        </w:rPr>
        <w:t>For further information on actual and potential impacts to us as a result of the COVID-19 pandemic, see the other sections of this Management's Discussion and Analysis of Results of Operations and Financial Position and the Risk Factors contained in this Quarterly Report on Form 10-Q.</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Therapeutic Development Programs</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Zimura</w:t>
      </w:r>
    </w:p>
    <w:p>
      <w:pPr>
        <w:spacing w:after="0" w:line="179" w:lineRule="exact"/>
        <w:rPr>
          <w:sz w:val="20"/>
          <w:szCs w:val="20"/>
          <w:color w:val="auto"/>
        </w:rPr>
      </w:pPr>
    </w:p>
    <w:p>
      <w:pPr>
        <w:ind w:firstLine="283"/>
        <w:spacing w:after="0" w:line="262" w:lineRule="auto"/>
        <w:rPr>
          <w:sz w:val="20"/>
          <w:szCs w:val="20"/>
          <w:color w:val="auto"/>
        </w:rPr>
      </w:pPr>
      <w:r>
        <w:rPr>
          <w:rFonts w:ascii="Arial" w:cs="Arial" w:eastAsia="Arial" w:hAnsi="Arial"/>
          <w:sz w:val="14"/>
          <w:szCs w:val="14"/>
          <w:color w:val="auto"/>
        </w:rPr>
        <w:t>Zimura, our C5 complement inhibitor, is a chemically-synthesized, pegylated RNA aptamer. Aptamers are short molecules made up of a single stranded nucleic acid sequence or amino acid sequence that binds molecular targets with high selectivity and specificity. In April 2020, we received fast track designation from the FDA for Zimura for the treatment of GA secondary to dry AMD. The following is a description of the 18-month data from our recently completed GATHER1 trial, and brief descriptions of our ongoing clinical trials for Zimura and our manufacturing activities for Zimura.</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i w:val="1"/>
          <w:iCs w:val="1"/>
          <w:u w:val="single" w:color="auto"/>
          <w:color w:val="auto"/>
        </w:rPr>
        <w:t>GATHER1 (GA secondary to AMD)</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 June 2020, we completed and announced 18-month data for our GATHER1 clinical trial. The following includes a detailed description of the 18-month data from the GATHER1 trial: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GA Growth Data over 18 Months</w:t>
      </w:r>
    </w:p>
    <w:p>
      <w:pPr>
        <w:spacing w:after="0" w:line="179"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The mean rate of change in GA growth over 18 months was measured by fundus autofluorescence, or FAF, based on readings at four time points (baseline, month 6, month 12 and month 18) and was calculated using the square root transformation of the GA area. The FAF images were assessed by an independent masked reading center. The prespecified statistical analysis plan used a model of repeated measures, or MRM, to compare data for the Zimura 2 mg and Zimura 4 mg groups to the corresponding sham groups. Detailed data are shown below (the p-values for the 18 month statistical analyses are descriptive in nature):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Mean Rate of Change in Geographic Atrophy (GA) Area from Baseline to Month 18</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(Square Root Transformation)</w:t>
      </w:r>
    </w:p>
    <w:p>
      <w:pPr>
        <w:spacing w:after="0" w:line="276" w:lineRule="exact"/>
        <w:rPr>
          <w:sz w:val="20"/>
          <w:szCs w:val="20"/>
          <w:color w:val="auto"/>
        </w:rPr>
      </w:pPr>
    </w:p>
    <w:tbl>
      <w:tblPr>
        <w:tblLayout w:type="fixed"/>
        <w:tblInd w:w="530" w:type="dxa"/>
        <w:tblCellMar>
          <w:top w:w="0" w:type="dxa"/>
          <w:left w:w="0" w:type="dxa"/>
          <w:bottom w:w="0" w:type="dxa"/>
          <w:right w:w="0" w:type="dxa"/>
        </w:tblCellMar>
      </w:tblPr>
      <w:tr>
        <w:trPr>
          <w:trHeight w:val="187"/>
        </w:trPr>
        <w:tc>
          <w:tcPr>
            <w:tcW w:w="2680" w:type="dxa"/>
            <w:vAlign w:val="bottom"/>
            <w:tcBorders>
              <w:top w:val="single" w:sz="8" w:color="00000A"/>
              <w:left w:val="single" w:sz="8" w:color="00000A"/>
              <w:right w:val="single" w:sz="8" w:color="00000A"/>
            </w:tcBorders>
            <w:vMerge w:val="restart"/>
          </w:tcPr>
          <w:p>
            <w:pPr>
              <w:jc w:val="center"/>
              <w:spacing w:after="0"/>
              <w:rPr>
                <w:sz w:val="20"/>
                <w:szCs w:val="20"/>
                <w:color w:val="auto"/>
              </w:rPr>
            </w:pPr>
            <w:r>
              <w:rPr>
                <w:rFonts w:ascii="Arial" w:cs="Arial" w:eastAsia="Arial" w:hAnsi="Arial"/>
                <w:sz w:val="14"/>
                <w:szCs w:val="14"/>
                <w:b w:val="1"/>
                <w:bCs w:val="1"/>
                <w:color w:val="auto"/>
                <w:w w:val="95"/>
              </w:rPr>
              <w:t>Cohort</w:t>
            </w:r>
          </w:p>
        </w:tc>
        <w:tc>
          <w:tcPr>
            <w:tcW w:w="15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b w:val="1"/>
                <w:bCs w:val="1"/>
                <w:color w:val="auto"/>
                <w:w w:val="96"/>
              </w:rPr>
              <w:t>Zimura 2 mg</w:t>
            </w:r>
          </w:p>
        </w:tc>
        <w:tc>
          <w:tcPr>
            <w:tcW w:w="15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b w:val="1"/>
                <w:bCs w:val="1"/>
                <w:color w:val="auto"/>
                <w:w w:val="89"/>
              </w:rPr>
              <w:t>Sham</w:t>
            </w:r>
          </w:p>
        </w:tc>
        <w:tc>
          <w:tcPr>
            <w:tcW w:w="1540" w:type="dxa"/>
            <w:vAlign w:val="bottom"/>
            <w:tcBorders>
              <w:top w:val="single" w:sz="8" w:color="00000A"/>
              <w:right w:val="single" w:sz="8" w:color="00000A"/>
            </w:tcBorders>
            <w:vMerge w:val="restart"/>
          </w:tcPr>
          <w:p>
            <w:pPr>
              <w:jc w:val="center"/>
              <w:spacing w:after="0"/>
              <w:rPr>
                <w:sz w:val="20"/>
                <w:szCs w:val="20"/>
                <w:color w:val="auto"/>
              </w:rPr>
            </w:pPr>
            <w:r>
              <w:rPr>
                <w:rFonts w:ascii="Arial" w:cs="Arial" w:eastAsia="Arial" w:hAnsi="Arial"/>
                <w:sz w:val="14"/>
                <w:szCs w:val="14"/>
                <w:b w:val="1"/>
                <w:bCs w:val="1"/>
                <w:color w:val="auto"/>
                <w:w w:val="90"/>
              </w:rPr>
              <w:t>Difference</w:t>
            </w:r>
          </w:p>
        </w:tc>
        <w:tc>
          <w:tcPr>
            <w:tcW w:w="1480" w:type="dxa"/>
            <w:vAlign w:val="bottom"/>
            <w:tcBorders>
              <w:top w:val="single" w:sz="8" w:color="00000A"/>
              <w:right w:val="single" w:sz="8" w:color="00000A"/>
            </w:tcBorders>
            <w:vMerge w:val="restart"/>
          </w:tcPr>
          <w:p>
            <w:pPr>
              <w:jc w:val="center"/>
              <w:spacing w:after="0"/>
              <w:rPr>
                <w:sz w:val="20"/>
                <w:szCs w:val="20"/>
                <w:color w:val="auto"/>
              </w:rPr>
            </w:pPr>
            <w:r>
              <w:rPr>
                <w:rFonts w:ascii="Arial" w:cs="Arial" w:eastAsia="Arial" w:hAnsi="Arial"/>
                <w:sz w:val="14"/>
                <w:szCs w:val="14"/>
                <w:b w:val="1"/>
                <w:bCs w:val="1"/>
                <w:color w:val="auto"/>
                <w:w w:val="94"/>
              </w:rPr>
              <w:t>% Difference</w:t>
            </w:r>
          </w:p>
        </w:tc>
        <w:tc>
          <w:tcPr>
            <w:tcW w:w="15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b w:val="1"/>
                <w:bCs w:val="1"/>
                <w:color w:val="auto"/>
                <w:w w:val="93"/>
              </w:rPr>
              <w:t>P-Value</w:t>
            </w:r>
          </w:p>
        </w:tc>
        <w:tc>
          <w:tcPr>
            <w:tcW w:w="0" w:type="dxa"/>
            <w:vAlign w:val="bottom"/>
          </w:tcPr>
          <w:p>
            <w:pPr>
              <w:spacing w:after="0"/>
              <w:rPr>
                <w:sz w:val="1"/>
                <w:szCs w:val="1"/>
                <w:color w:val="auto"/>
              </w:rPr>
            </w:pPr>
          </w:p>
        </w:tc>
      </w:tr>
      <w:tr>
        <w:trPr>
          <w:trHeight w:val="99"/>
        </w:trPr>
        <w:tc>
          <w:tcPr>
            <w:tcW w:w="2680" w:type="dxa"/>
            <w:vAlign w:val="bottom"/>
            <w:tcBorders>
              <w:left w:val="single" w:sz="8" w:color="00000A"/>
              <w:right w:val="single" w:sz="8" w:color="00000A"/>
            </w:tcBorders>
            <w:vMerge w:val="continue"/>
          </w:tcPr>
          <w:p>
            <w:pPr>
              <w:spacing w:after="0"/>
              <w:rPr>
                <w:sz w:val="8"/>
                <w:szCs w:val="8"/>
                <w:color w:val="auto"/>
              </w:rPr>
            </w:pPr>
          </w:p>
        </w:tc>
        <w:tc>
          <w:tcPr>
            <w:tcW w:w="15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4"/>
                <w:szCs w:val="14"/>
                <w:b w:val="1"/>
                <w:bCs w:val="1"/>
                <w:color w:val="auto"/>
                <w:w w:val="94"/>
              </w:rPr>
              <w:t>(N = 67)</w:t>
            </w:r>
          </w:p>
        </w:tc>
        <w:tc>
          <w:tcPr>
            <w:tcW w:w="15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4"/>
                <w:szCs w:val="14"/>
                <w:b w:val="1"/>
                <w:bCs w:val="1"/>
                <w:color w:val="auto"/>
                <w:w w:val="95"/>
              </w:rPr>
              <w:t>(N = 110)</w:t>
            </w:r>
          </w:p>
        </w:tc>
        <w:tc>
          <w:tcPr>
            <w:tcW w:w="1540" w:type="dxa"/>
            <w:vAlign w:val="bottom"/>
            <w:tcBorders>
              <w:right w:val="single" w:sz="8" w:color="00000A"/>
            </w:tcBorders>
            <w:vMerge w:val="continue"/>
          </w:tcPr>
          <w:p>
            <w:pPr>
              <w:spacing w:after="0"/>
              <w:rPr>
                <w:sz w:val="8"/>
                <w:szCs w:val="8"/>
                <w:color w:val="auto"/>
              </w:rPr>
            </w:pPr>
          </w:p>
        </w:tc>
        <w:tc>
          <w:tcPr>
            <w:tcW w:w="1480" w:type="dxa"/>
            <w:vAlign w:val="bottom"/>
            <w:tcBorders>
              <w:right w:val="single" w:sz="8" w:color="00000A"/>
            </w:tcBorders>
            <w:vMerge w:val="continue"/>
          </w:tcPr>
          <w:p>
            <w:pPr>
              <w:spacing w:after="0"/>
              <w:rPr>
                <w:sz w:val="8"/>
                <w:szCs w:val="8"/>
                <w:color w:val="auto"/>
              </w:rPr>
            </w:pP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4"/>
                <w:szCs w:val="14"/>
                <w:b w:val="1"/>
                <w:bCs w:val="1"/>
                <w:color w:val="auto"/>
                <w:w w:val="89"/>
              </w:rPr>
              <w:t>(Descriptive)</w:t>
            </w:r>
          </w:p>
        </w:tc>
        <w:tc>
          <w:tcPr>
            <w:tcW w:w="0" w:type="dxa"/>
            <w:vAlign w:val="bottom"/>
          </w:tcPr>
          <w:p>
            <w:pPr>
              <w:spacing w:after="0"/>
              <w:rPr>
                <w:sz w:val="1"/>
                <w:szCs w:val="1"/>
                <w:color w:val="auto"/>
              </w:rPr>
            </w:pPr>
          </w:p>
        </w:tc>
      </w:tr>
      <w:tr>
        <w:trPr>
          <w:trHeight w:val="85"/>
        </w:trPr>
        <w:tc>
          <w:tcPr>
            <w:tcW w:w="2680" w:type="dxa"/>
            <w:vAlign w:val="bottom"/>
            <w:tcBorders>
              <w:left w:val="single" w:sz="8" w:color="00000A"/>
              <w:right w:val="single" w:sz="8" w:color="00000A"/>
            </w:tcBorders>
          </w:tcPr>
          <w:p>
            <w:pPr>
              <w:spacing w:after="0"/>
              <w:rPr>
                <w:sz w:val="7"/>
                <w:szCs w:val="7"/>
                <w:color w:val="auto"/>
              </w:rPr>
            </w:pPr>
          </w:p>
        </w:tc>
        <w:tc>
          <w:tcPr>
            <w:tcW w:w="1540" w:type="dxa"/>
            <w:vAlign w:val="bottom"/>
            <w:tcBorders>
              <w:right w:val="single" w:sz="8" w:color="00000A"/>
            </w:tcBorders>
            <w:vMerge w:val="continue"/>
          </w:tcPr>
          <w:p>
            <w:pPr>
              <w:spacing w:after="0"/>
              <w:rPr>
                <w:sz w:val="7"/>
                <w:szCs w:val="7"/>
                <w:color w:val="auto"/>
              </w:rPr>
            </w:pPr>
          </w:p>
        </w:tc>
        <w:tc>
          <w:tcPr>
            <w:tcW w:w="1520" w:type="dxa"/>
            <w:vAlign w:val="bottom"/>
            <w:tcBorders>
              <w:right w:val="single" w:sz="8" w:color="00000A"/>
            </w:tcBorders>
            <w:vMerge w:val="continue"/>
          </w:tcPr>
          <w:p>
            <w:pPr>
              <w:spacing w:after="0"/>
              <w:rPr>
                <w:sz w:val="7"/>
                <w:szCs w:val="7"/>
                <w:color w:val="auto"/>
              </w:rPr>
            </w:pPr>
          </w:p>
        </w:tc>
        <w:tc>
          <w:tcPr>
            <w:tcW w:w="154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5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68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540" w:type="dxa"/>
            <w:vAlign w:val="bottom"/>
            <w:tcBorders>
              <w:bottom w:val="single" w:sz="8" w:color="00000A"/>
              <w:right w:val="single" w:sz="8" w:color="00000A"/>
            </w:tcBorders>
          </w:tcPr>
          <w:p>
            <w:pPr>
              <w:spacing w:after="0" w:line="20" w:lineRule="exact"/>
              <w:rPr>
                <w:sz w:val="1"/>
                <w:szCs w:val="1"/>
                <w:color w:val="auto"/>
              </w:rPr>
            </w:pPr>
          </w:p>
        </w:tc>
        <w:tc>
          <w:tcPr>
            <w:tcW w:w="1520" w:type="dxa"/>
            <w:vAlign w:val="bottom"/>
            <w:tcBorders>
              <w:bottom w:val="single" w:sz="8" w:color="00000A"/>
              <w:right w:val="single" w:sz="8" w:color="00000A"/>
            </w:tcBorders>
          </w:tcPr>
          <w:p>
            <w:pPr>
              <w:spacing w:after="0" w:line="20" w:lineRule="exact"/>
              <w:rPr>
                <w:sz w:val="1"/>
                <w:szCs w:val="1"/>
                <w:color w:val="auto"/>
              </w:rPr>
            </w:pPr>
          </w:p>
        </w:tc>
        <w:tc>
          <w:tcPr>
            <w:tcW w:w="1540" w:type="dxa"/>
            <w:vAlign w:val="bottom"/>
            <w:tcBorders>
              <w:bottom w:val="single" w:sz="8" w:color="00000A"/>
              <w:right w:val="single" w:sz="8" w:color="00000A"/>
            </w:tcBorders>
          </w:tcPr>
          <w:p>
            <w:pPr>
              <w:spacing w:after="0" w:line="20" w:lineRule="exact"/>
              <w:rPr>
                <w:sz w:val="1"/>
                <w:szCs w:val="1"/>
                <w:color w:val="auto"/>
              </w:rPr>
            </w:pPr>
          </w:p>
        </w:tc>
        <w:tc>
          <w:tcPr>
            <w:tcW w:w="1480" w:type="dxa"/>
            <w:vAlign w:val="bottom"/>
            <w:tcBorders>
              <w:bottom w:val="single" w:sz="8" w:color="00000A"/>
              <w:right w:val="single" w:sz="8" w:color="00000A"/>
            </w:tcBorders>
          </w:tcPr>
          <w:p>
            <w:pPr>
              <w:spacing w:after="0" w:line="20" w:lineRule="exact"/>
              <w:rPr>
                <w:sz w:val="1"/>
                <w:szCs w:val="1"/>
                <w:color w:val="auto"/>
              </w:rPr>
            </w:pPr>
          </w:p>
        </w:tc>
        <w:tc>
          <w:tcPr>
            <w:tcW w:w="150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00000A"/>
              <w:bottom w:val="single" w:sz="8" w:color="00000A"/>
              <w:right w:val="single" w:sz="8" w:color="00000A"/>
            </w:tcBorders>
          </w:tcPr>
          <w:p>
            <w:pPr>
              <w:jc w:val="center"/>
              <w:spacing w:after="0" w:line="203" w:lineRule="exact"/>
              <w:rPr>
                <w:sz w:val="20"/>
                <w:szCs w:val="20"/>
                <w:color w:val="auto"/>
              </w:rPr>
            </w:pPr>
            <w:r>
              <w:rPr>
                <w:rFonts w:ascii="Arial" w:cs="Arial" w:eastAsia="Arial" w:hAnsi="Arial"/>
                <w:sz w:val="14"/>
                <w:szCs w:val="14"/>
                <w:color w:val="auto"/>
                <w:w w:val="91"/>
              </w:rPr>
              <w:t>Mean Change in GA</w:t>
            </w:r>
            <w:r>
              <w:rPr>
                <w:rFonts w:ascii="Arial" w:cs="Arial" w:eastAsia="Arial" w:hAnsi="Arial"/>
                <w:sz w:val="18"/>
                <w:szCs w:val="18"/>
                <w:color w:val="auto"/>
                <w:w w:val="91"/>
                <w:vertAlign w:val="superscript"/>
              </w:rPr>
              <w:t>a</w:t>
            </w:r>
            <w:r>
              <w:rPr>
                <w:rFonts w:ascii="Arial" w:cs="Arial" w:eastAsia="Arial" w:hAnsi="Arial"/>
                <w:sz w:val="14"/>
                <w:szCs w:val="14"/>
                <w:color w:val="auto"/>
                <w:w w:val="91"/>
              </w:rPr>
              <w:t xml:space="preserve"> (mm)</w:t>
            </w:r>
          </w:p>
        </w:tc>
        <w:tc>
          <w:tcPr>
            <w:tcW w:w="15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w w:val="91"/>
              </w:rPr>
              <w:t>0.430</w:t>
            </w:r>
          </w:p>
        </w:tc>
        <w:tc>
          <w:tcPr>
            <w:tcW w:w="15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w w:val="91"/>
              </w:rPr>
              <w:t>0.599</w:t>
            </w:r>
          </w:p>
        </w:tc>
        <w:tc>
          <w:tcPr>
            <w:tcW w:w="15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w w:val="91"/>
              </w:rPr>
              <w:t>0.168</w:t>
            </w:r>
          </w:p>
        </w:tc>
        <w:tc>
          <w:tcPr>
            <w:tcW w:w="14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w w:val="92"/>
              </w:rPr>
              <w:t>28.11%</w:t>
            </w:r>
          </w:p>
        </w:tc>
        <w:tc>
          <w:tcPr>
            <w:tcW w:w="15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w w:val="93"/>
              </w:rPr>
              <w:t>0.0014</w:t>
            </w:r>
          </w:p>
        </w:tc>
        <w:tc>
          <w:tcPr>
            <w:tcW w:w="0" w:type="dxa"/>
            <w:vAlign w:val="bottom"/>
          </w:tcPr>
          <w:p>
            <w:pPr>
              <w:spacing w:after="0"/>
              <w:rPr>
                <w:sz w:val="1"/>
                <w:szCs w:val="1"/>
                <w:color w:val="auto"/>
              </w:rPr>
            </w:pPr>
          </w:p>
        </w:tc>
      </w:tr>
      <w:tr>
        <w:trPr>
          <w:trHeight w:val="65"/>
        </w:trPr>
        <w:tc>
          <w:tcPr>
            <w:tcW w:w="2680" w:type="dxa"/>
            <w:vAlign w:val="bottom"/>
            <w:tcBorders>
              <w:bottom w:val="single" w:sz="8" w:color="00000A"/>
            </w:tcBorders>
          </w:tcPr>
          <w:p>
            <w:pPr>
              <w:spacing w:after="0"/>
              <w:rPr>
                <w:sz w:val="5"/>
                <w:szCs w:val="5"/>
                <w:color w:val="auto"/>
              </w:rPr>
            </w:pPr>
          </w:p>
        </w:tc>
        <w:tc>
          <w:tcPr>
            <w:tcW w:w="1540" w:type="dxa"/>
            <w:vAlign w:val="bottom"/>
            <w:tcBorders>
              <w:bottom w:val="single" w:sz="8" w:color="00000A"/>
            </w:tcBorders>
          </w:tcPr>
          <w:p>
            <w:pPr>
              <w:spacing w:after="0"/>
              <w:rPr>
                <w:sz w:val="5"/>
                <w:szCs w:val="5"/>
                <w:color w:val="auto"/>
              </w:rPr>
            </w:pPr>
          </w:p>
        </w:tc>
        <w:tc>
          <w:tcPr>
            <w:tcW w:w="1520" w:type="dxa"/>
            <w:vAlign w:val="bottom"/>
            <w:tcBorders>
              <w:bottom w:val="single" w:sz="8" w:color="00000A"/>
            </w:tcBorders>
          </w:tcPr>
          <w:p>
            <w:pPr>
              <w:spacing w:after="0"/>
              <w:rPr>
                <w:sz w:val="5"/>
                <w:szCs w:val="5"/>
                <w:color w:val="auto"/>
              </w:rPr>
            </w:pPr>
          </w:p>
        </w:tc>
        <w:tc>
          <w:tcPr>
            <w:tcW w:w="1540" w:type="dxa"/>
            <w:vAlign w:val="bottom"/>
            <w:tcBorders>
              <w:bottom w:val="single" w:sz="8" w:color="00000A"/>
            </w:tcBorders>
          </w:tcPr>
          <w:p>
            <w:pPr>
              <w:spacing w:after="0"/>
              <w:rPr>
                <w:sz w:val="5"/>
                <w:szCs w:val="5"/>
                <w:color w:val="auto"/>
              </w:rPr>
            </w:pPr>
          </w:p>
        </w:tc>
        <w:tc>
          <w:tcPr>
            <w:tcW w:w="1480" w:type="dxa"/>
            <w:vAlign w:val="bottom"/>
            <w:tcBorders>
              <w:bottom w:val="single" w:sz="8" w:color="00000A"/>
            </w:tcBorders>
          </w:tcPr>
          <w:p>
            <w:pPr>
              <w:spacing w:after="0"/>
              <w:rPr>
                <w:sz w:val="5"/>
                <w:szCs w:val="5"/>
                <w:color w:val="auto"/>
              </w:rPr>
            </w:pPr>
          </w:p>
        </w:tc>
        <w:tc>
          <w:tcPr>
            <w:tcW w:w="1500" w:type="dxa"/>
            <w:vAlign w:val="bottom"/>
            <w:tcBorders>
              <w:bottom w:val="single" w:sz="8" w:color="00000A"/>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680" w:type="dxa"/>
            <w:vAlign w:val="bottom"/>
            <w:tcBorders>
              <w:left w:val="single" w:sz="8" w:color="00000A"/>
              <w:right w:val="single" w:sz="8" w:color="00000A"/>
            </w:tcBorders>
            <w:vMerge w:val="restart"/>
          </w:tcPr>
          <w:p>
            <w:pPr>
              <w:jc w:val="center"/>
              <w:spacing w:after="0"/>
              <w:rPr>
                <w:sz w:val="20"/>
                <w:szCs w:val="20"/>
                <w:color w:val="auto"/>
              </w:rPr>
            </w:pPr>
            <w:r>
              <w:rPr>
                <w:rFonts w:ascii="Arial" w:cs="Arial" w:eastAsia="Arial" w:hAnsi="Arial"/>
                <w:sz w:val="14"/>
                <w:szCs w:val="14"/>
                <w:b w:val="1"/>
                <w:bCs w:val="1"/>
                <w:color w:val="auto"/>
                <w:w w:val="95"/>
              </w:rPr>
              <w:t>Cohort</w:t>
            </w:r>
          </w:p>
        </w:tc>
        <w:tc>
          <w:tcPr>
            <w:tcW w:w="1540" w:type="dxa"/>
            <w:vAlign w:val="bottom"/>
            <w:tcBorders>
              <w:right w:val="single" w:sz="8" w:color="00000A"/>
            </w:tcBorders>
          </w:tcPr>
          <w:p>
            <w:pPr>
              <w:jc w:val="center"/>
              <w:spacing w:after="0"/>
              <w:rPr>
                <w:sz w:val="20"/>
                <w:szCs w:val="20"/>
                <w:color w:val="auto"/>
              </w:rPr>
            </w:pPr>
            <w:r>
              <w:rPr>
                <w:rFonts w:ascii="Arial" w:cs="Arial" w:eastAsia="Arial" w:hAnsi="Arial"/>
                <w:sz w:val="14"/>
                <w:szCs w:val="14"/>
                <w:b w:val="1"/>
                <w:bCs w:val="1"/>
                <w:color w:val="auto"/>
                <w:w w:val="96"/>
              </w:rPr>
              <w:t>Zimura 4 mg</w:t>
            </w:r>
          </w:p>
        </w:tc>
        <w:tc>
          <w:tcPr>
            <w:tcW w:w="1520" w:type="dxa"/>
            <w:vAlign w:val="bottom"/>
            <w:tcBorders>
              <w:right w:val="single" w:sz="8" w:color="00000A"/>
            </w:tcBorders>
          </w:tcPr>
          <w:p>
            <w:pPr>
              <w:jc w:val="center"/>
              <w:spacing w:after="0"/>
              <w:rPr>
                <w:sz w:val="20"/>
                <w:szCs w:val="20"/>
                <w:color w:val="auto"/>
              </w:rPr>
            </w:pPr>
            <w:r>
              <w:rPr>
                <w:rFonts w:ascii="Arial" w:cs="Arial" w:eastAsia="Arial" w:hAnsi="Arial"/>
                <w:sz w:val="14"/>
                <w:szCs w:val="14"/>
                <w:b w:val="1"/>
                <w:bCs w:val="1"/>
                <w:color w:val="auto"/>
                <w:w w:val="89"/>
              </w:rPr>
              <w:t>Sham</w:t>
            </w:r>
          </w:p>
        </w:tc>
        <w:tc>
          <w:tcPr>
            <w:tcW w:w="15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4"/>
                <w:szCs w:val="14"/>
                <w:b w:val="1"/>
                <w:bCs w:val="1"/>
                <w:color w:val="auto"/>
                <w:w w:val="90"/>
              </w:rPr>
              <w:t>Difference</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4"/>
                <w:szCs w:val="14"/>
                <w:b w:val="1"/>
                <w:bCs w:val="1"/>
                <w:color w:val="auto"/>
                <w:w w:val="94"/>
              </w:rPr>
              <w:t>% Difference</w:t>
            </w:r>
          </w:p>
        </w:tc>
        <w:tc>
          <w:tcPr>
            <w:tcW w:w="1500" w:type="dxa"/>
            <w:vAlign w:val="bottom"/>
            <w:tcBorders>
              <w:right w:val="single" w:sz="8" w:color="00000A"/>
            </w:tcBorders>
          </w:tcPr>
          <w:p>
            <w:pPr>
              <w:jc w:val="center"/>
              <w:spacing w:after="0"/>
              <w:rPr>
                <w:sz w:val="20"/>
                <w:szCs w:val="20"/>
                <w:color w:val="auto"/>
              </w:rPr>
            </w:pPr>
            <w:r>
              <w:rPr>
                <w:rFonts w:ascii="Arial" w:cs="Arial" w:eastAsia="Arial" w:hAnsi="Arial"/>
                <w:sz w:val="14"/>
                <w:szCs w:val="14"/>
                <w:b w:val="1"/>
                <w:bCs w:val="1"/>
                <w:color w:val="auto"/>
                <w:w w:val="93"/>
              </w:rPr>
              <w:t>P-Value</w:t>
            </w:r>
          </w:p>
        </w:tc>
        <w:tc>
          <w:tcPr>
            <w:tcW w:w="0" w:type="dxa"/>
            <w:vAlign w:val="bottom"/>
          </w:tcPr>
          <w:p>
            <w:pPr>
              <w:spacing w:after="0"/>
              <w:rPr>
                <w:sz w:val="1"/>
                <w:szCs w:val="1"/>
                <w:color w:val="auto"/>
              </w:rPr>
            </w:pPr>
          </w:p>
        </w:tc>
      </w:tr>
      <w:tr>
        <w:trPr>
          <w:trHeight w:val="99"/>
        </w:trPr>
        <w:tc>
          <w:tcPr>
            <w:tcW w:w="2680" w:type="dxa"/>
            <w:vAlign w:val="bottom"/>
            <w:tcBorders>
              <w:left w:val="single" w:sz="8" w:color="00000A"/>
              <w:right w:val="single" w:sz="8" w:color="00000A"/>
            </w:tcBorders>
            <w:vMerge w:val="continue"/>
          </w:tcPr>
          <w:p>
            <w:pPr>
              <w:spacing w:after="0"/>
              <w:rPr>
                <w:sz w:val="8"/>
                <w:szCs w:val="8"/>
                <w:color w:val="auto"/>
              </w:rPr>
            </w:pPr>
          </w:p>
        </w:tc>
        <w:tc>
          <w:tcPr>
            <w:tcW w:w="15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4"/>
                <w:szCs w:val="14"/>
                <w:b w:val="1"/>
                <w:bCs w:val="1"/>
                <w:color w:val="auto"/>
                <w:w w:val="94"/>
              </w:rPr>
              <w:t>(N = 83)</w:t>
            </w:r>
          </w:p>
        </w:tc>
        <w:tc>
          <w:tcPr>
            <w:tcW w:w="15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4"/>
                <w:szCs w:val="14"/>
                <w:b w:val="1"/>
                <w:bCs w:val="1"/>
                <w:color w:val="auto"/>
                <w:w w:val="94"/>
              </w:rPr>
              <w:t>(N = 84)</w:t>
            </w:r>
          </w:p>
        </w:tc>
        <w:tc>
          <w:tcPr>
            <w:tcW w:w="1540" w:type="dxa"/>
            <w:vAlign w:val="bottom"/>
            <w:tcBorders>
              <w:right w:val="single" w:sz="8" w:color="00000A"/>
            </w:tcBorders>
            <w:vMerge w:val="continue"/>
          </w:tcPr>
          <w:p>
            <w:pPr>
              <w:spacing w:after="0"/>
              <w:rPr>
                <w:sz w:val="8"/>
                <w:szCs w:val="8"/>
                <w:color w:val="auto"/>
              </w:rPr>
            </w:pPr>
          </w:p>
        </w:tc>
        <w:tc>
          <w:tcPr>
            <w:tcW w:w="1480" w:type="dxa"/>
            <w:vAlign w:val="bottom"/>
            <w:tcBorders>
              <w:right w:val="single" w:sz="8" w:color="00000A"/>
            </w:tcBorders>
            <w:vMerge w:val="continue"/>
          </w:tcPr>
          <w:p>
            <w:pPr>
              <w:spacing w:after="0"/>
              <w:rPr>
                <w:sz w:val="8"/>
                <w:szCs w:val="8"/>
                <w:color w:val="auto"/>
              </w:rPr>
            </w:pPr>
          </w:p>
        </w:tc>
        <w:tc>
          <w:tcPr>
            <w:tcW w:w="15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4"/>
                <w:szCs w:val="14"/>
                <w:b w:val="1"/>
                <w:bCs w:val="1"/>
                <w:color w:val="auto"/>
                <w:w w:val="89"/>
              </w:rPr>
              <w:t>(Descriptive)</w:t>
            </w:r>
          </w:p>
        </w:tc>
        <w:tc>
          <w:tcPr>
            <w:tcW w:w="0" w:type="dxa"/>
            <w:vAlign w:val="bottom"/>
          </w:tcPr>
          <w:p>
            <w:pPr>
              <w:spacing w:after="0"/>
              <w:rPr>
                <w:sz w:val="1"/>
                <w:szCs w:val="1"/>
                <w:color w:val="auto"/>
              </w:rPr>
            </w:pPr>
          </w:p>
        </w:tc>
      </w:tr>
      <w:tr>
        <w:trPr>
          <w:trHeight w:val="85"/>
        </w:trPr>
        <w:tc>
          <w:tcPr>
            <w:tcW w:w="2680" w:type="dxa"/>
            <w:vAlign w:val="bottom"/>
            <w:tcBorders>
              <w:left w:val="single" w:sz="8" w:color="00000A"/>
              <w:right w:val="single" w:sz="8" w:color="00000A"/>
            </w:tcBorders>
          </w:tcPr>
          <w:p>
            <w:pPr>
              <w:spacing w:after="0"/>
              <w:rPr>
                <w:sz w:val="7"/>
                <w:szCs w:val="7"/>
                <w:color w:val="auto"/>
              </w:rPr>
            </w:pPr>
          </w:p>
        </w:tc>
        <w:tc>
          <w:tcPr>
            <w:tcW w:w="1540" w:type="dxa"/>
            <w:vAlign w:val="bottom"/>
            <w:tcBorders>
              <w:right w:val="single" w:sz="8" w:color="00000A"/>
            </w:tcBorders>
            <w:vMerge w:val="continue"/>
          </w:tcPr>
          <w:p>
            <w:pPr>
              <w:spacing w:after="0"/>
              <w:rPr>
                <w:sz w:val="7"/>
                <w:szCs w:val="7"/>
                <w:color w:val="auto"/>
              </w:rPr>
            </w:pPr>
          </w:p>
        </w:tc>
        <w:tc>
          <w:tcPr>
            <w:tcW w:w="1520" w:type="dxa"/>
            <w:vAlign w:val="bottom"/>
            <w:tcBorders>
              <w:right w:val="single" w:sz="8" w:color="00000A"/>
            </w:tcBorders>
            <w:vMerge w:val="continue"/>
          </w:tcPr>
          <w:p>
            <w:pPr>
              <w:spacing w:after="0"/>
              <w:rPr>
                <w:sz w:val="7"/>
                <w:szCs w:val="7"/>
                <w:color w:val="auto"/>
              </w:rPr>
            </w:pPr>
          </w:p>
        </w:tc>
        <w:tc>
          <w:tcPr>
            <w:tcW w:w="1540" w:type="dxa"/>
            <w:vAlign w:val="bottom"/>
            <w:tcBorders>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15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68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540" w:type="dxa"/>
            <w:vAlign w:val="bottom"/>
            <w:tcBorders>
              <w:bottom w:val="single" w:sz="8" w:color="00000A"/>
              <w:right w:val="single" w:sz="8" w:color="00000A"/>
            </w:tcBorders>
          </w:tcPr>
          <w:p>
            <w:pPr>
              <w:spacing w:after="0" w:line="20" w:lineRule="exact"/>
              <w:rPr>
                <w:sz w:val="1"/>
                <w:szCs w:val="1"/>
                <w:color w:val="auto"/>
              </w:rPr>
            </w:pPr>
          </w:p>
        </w:tc>
        <w:tc>
          <w:tcPr>
            <w:tcW w:w="1520" w:type="dxa"/>
            <w:vAlign w:val="bottom"/>
            <w:tcBorders>
              <w:bottom w:val="single" w:sz="8" w:color="00000A"/>
              <w:right w:val="single" w:sz="8" w:color="00000A"/>
            </w:tcBorders>
          </w:tcPr>
          <w:p>
            <w:pPr>
              <w:spacing w:after="0" w:line="20" w:lineRule="exact"/>
              <w:rPr>
                <w:sz w:val="1"/>
                <w:szCs w:val="1"/>
                <w:color w:val="auto"/>
              </w:rPr>
            </w:pPr>
          </w:p>
        </w:tc>
        <w:tc>
          <w:tcPr>
            <w:tcW w:w="1540" w:type="dxa"/>
            <w:vAlign w:val="bottom"/>
            <w:tcBorders>
              <w:bottom w:val="single" w:sz="8" w:color="00000A"/>
              <w:right w:val="single" w:sz="8" w:color="00000A"/>
            </w:tcBorders>
          </w:tcPr>
          <w:p>
            <w:pPr>
              <w:spacing w:after="0" w:line="20" w:lineRule="exact"/>
              <w:rPr>
                <w:sz w:val="1"/>
                <w:szCs w:val="1"/>
                <w:color w:val="auto"/>
              </w:rPr>
            </w:pPr>
          </w:p>
        </w:tc>
        <w:tc>
          <w:tcPr>
            <w:tcW w:w="1480" w:type="dxa"/>
            <w:vAlign w:val="bottom"/>
            <w:tcBorders>
              <w:bottom w:val="single" w:sz="8" w:color="00000A"/>
              <w:right w:val="single" w:sz="8" w:color="00000A"/>
            </w:tcBorders>
          </w:tcPr>
          <w:p>
            <w:pPr>
              <w:spacing w:after="0" w:line="20" w:lineRule="exact"/>
              <w:rPr>
                <w:sz w:val="1"/>
                <w:szCs w:val="1"/>
                <w:color w:val="auto"/>
              </w:rPr>
            </w:pPr>
          </w:p>
        </w:tc>
        <w:tc>
          <w:tcPr>
            <w:tcW w:w="150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00000A"/>
              <w:bottom w:val="single" w:sz="8" w:color="auto"/>
              <w:right w:val="single" w:sz="8" w:color="00000A"/>
            </w:tcBorders>
          </w:tcPr>
          <w:p>
            <w:pPr>
              <w:jc w:val="center"/>
              <w:spacing w:after="0" w:line="203" w:lineRule="exact"/>
              <w:rPr>
                <w:sz w:val="20"/>
                <w:szCs w:val="20"/>
                <w:color w:val="auto"/>
              </w:rPr>
            </w:pPr>
            <w:r>
              <w:rPr>
                <w:rFonts w:ascii="Arial" w:cs="Arial" w:eastAsia="Arial" w:hAnsi="Arial"/>
                <w:sz w:val="14"/>
                <w:szCs w:val="14"/>
                <w:color w:val="auto"/>
                <w:w w:val="91"/>
              </w:rPr>
              <w:t>Mean Change in GA</w:t>
            </w:r>
            <w:r>
              <w:rPr>
                <w:rFonts w:ascii="Arial" w:cs="Arial" w:eastAsia="Arial" w:hAnsi="Arial"/>
                <w:sz w:val="18"/>
                <w:szCs w:val="18"/>
                <w:color w:val="auto"/>
                <w:w w:val="91"/>
                <w:vertAlign w:val="superscript"/>
              </w:rPr>
              <w:t>b</w:t>
            </w:r>
            <w:r>
              <w:rPr>
                <w:rFonts w:ascii="Arial" w:cs="Arial" w:eastAsia="Arial" w:hAnsi="Arial"/>
                <w:sz w:val="14"/>
                <w:szCs w:val="14"/>
                <w:color w:val="auto"/>
                <w:w w:val="91"/>
              </w:rPr>
              <w:t xml:space="preserve"> (mm)</w:t>
            </w:r>
          </w:p>
        </w:tc>
        <w:tc>
          <w:tcPr>
            <w:tcW w:w="1540" w:type="dxa"/>
            <w:vAlign w:val="bottom"/>
            <w:tcBorders>
              <w:bottom w:val="single" w:sz="8" w:color="auto"/>
              <w:right w:val="single" w:sz="8" w:color="00000A"/>
            </w:tcBorders>
          </w:tcPr>
          <w:p>
            <w:pPr>
              <w:jc w:val="center"/>
              <w:spacing w:after="0"/>
              <w:rPr>
                <w:sz w:val="20"/>
                <w:szCs w:val="20"/>
                <w:color w:val="auto"/>
              </w:rPr>
            </w:pPr>
            <w:r>
              <w:rPr>
                <w:rFonts w:ascii="Arial" w:cs="Arial" w:eastAsia="Arial" w:hAnsi="Arial"/>
                <w:sz w:val="14"/>
                <w:szCs w:val="14"/>
                <w:color w:val="auto"/>
                <w:w w:val="91"/>
              </w:rPr>
              <w:t>0.391</w:t>
            </w:r>
          </w:p>
        </w:tc>
        <w:tc>
          <w:tcPr>
            <w:tcW w:w="1520" w:type="dxa"/>
            <w:vAlign w:val="bottom"/>
            <w:tcBorders>
              <w:bottom w:val="single" w:sz="8" w:color="auto"/>
              <w:right w:val="single" w:sz="8" w:color="00000A"/>
            </w:tcBorders>
          </w:tcPr>
          <w:p>
            <w:pPr>
              <w:jc w:val="center"/>
              <w:spacing w:after="0"/>
              <w:rPr>
                <w:sz w:val="20"/>
                <w:szCs w:val="20"/>
                <w:color w:val="auto"/>
              </w:rPr>
            </w:pPr>
            <w:r>
              <w:rPr>
                <w:rFonts w:ascii="Arial" w:cs="Arial" w:eastAsia="Arial" w:hAnsi="Arial"/>
                <w:sz w:val="14"/>
                <w:szCs w:val="14"/>
                <w:color w:val="auto"/>
                <w:w w:val="91"/>
              </w:rPr>
              <w:t>0.559</w:t>
            </w:r>
          </w:p>
        </w:tc>
        <w:tc>
          <w:tcPr>
            <w:tcW w:w="1540" w:type="dxa"/>
            <w:vAlign w:val="bottom"/>
            <w:tcBorders>
              <w:bottom w:val="single" w:sz="8" w:color="auto"/>
              <w:right w:val="single" w:sz="8" w:color="00000A"/>
            </w:tcBorders>
          </w:tcPr>
          <w:p>
            <w:pPr>
              <w:jc w:val="center"/>
              <w:spacing w:after="0"/>
              <w:rPr>
                <w:sz w:val="20"/>
                <w:szCs w:val="20"/>
                <w:color w:val="auto"/>
              </w:rPr>
            </w:pPr>
            <w:r>
              <w:rPr>
                <w:rFonts w:ascii="Arial" w:cs="Arial" w:eastAsia="Arial" w:hAnsi="Arial"/>
                <w:sz w:val="14"/>
                <w:szCs w:val="14"/>
                <w:color w:val="auto"/>
                <w:w w:val="91"/>
              </w:rPr>
              <w:t>0.167</w:t>
            </w:r>
          </w:p>
        </w:tc>
        <w:tc>
          <w:tcPr>
            <w:tcW w:w="1480" w:type="dxa"/>
            <w:vAlign w:val="bottom"/>
            <w:tcBorders>
              <w:bottom w:val="single" w:sz="8" w:color="auto"/>
              <w:right w:val="single" w:sz="8" w:color="00000A"/>
            </w:tcBorders>
          </w:tcPr>
          <w:p>
            <w:pPr>
              <w:jc w:val="center"/>
              <w:spacing w:after="0"/>
              <w:rPr>
                <w:sz w:val="20"/>
                <w:szCs w:val="20"/>
                <w:color w:val="auto"/>
              </w:rPr>
            </w:pPr>
            <w:r>
              <w:rPr>
                <w:rFonts w:ascii="Arial" w:cs="Arial" w:eastAsia="Arial" w:hAnsi="Arial"/>
                <w:sz w:val="14"/>
                <w:szCs w:val="14"/>
                <w:color w:val="auto"/>
                <w:w w:val="92"/>
              </w:rPr>
              <w:t>29.97%</w:t>
            </w:r>
          </w:p>
        </w:tc>
        <w:tc>
          <w:tcPr>
            <w:tcW w:w="1500" w:type="dxa"/>
            <w:vAlign w:val="bottom"/>
            <w:tcBorders>
              <w:bottom w:val="single" w:sz="8" w:color="auto"/>
              <w:right w:val="single" w:sz="8" w:color="00000A"/>
            </w:tcBorders>
          </w:tcPr>
          <w:p>
            <w:pPr>
              <w:jc w:val="center"/>
              <w:spacing w:after="0"/>
              <w:rPr>
                <w:sz w:val="20"/>
                <w:szCs w:val="20"/>
                <w:color w:val="auto"/>
              </w:rPr>
            </w:pPr>
            <w:r>
              <w:rPr>
                <w:rFonts w:ascii="Arial" w:cs="Arial" w:eastAsia="Arial" w:hAnsi="Arial"/>
                <w:sz w:val="14"/>
                <w:szCs w:val="14"/>
                <w:color w:val="auto"/>
                <w:w w:val="93"/>
              </w:rPr>
              <w:t>0.0021</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right="20"/>
        <w:spacing w:after="0" w:line="276" w:lineRule="auto"/>
        <w:rPr>
          <w:sz w:val="20"/>
          <w:szCs w:val="20"/>
          <w:color w:val="auto"/>
        </w:rPr>
      </w:pPr>
      <w:r>
        <w:rPr>
          <w:rFonts w:ascii="Arial" w:cs="Arial" w:eastAsia="Arial" w:hAnsi="Arial"/>
          <w:sz w:val="11"/>
          <w:szCs w:val="11"/>
          <w:color w:val="auto"/>
        </w:rPr>
        <w:t>a Based on least squares means from MRM model, these least square means are from the MRM model, drawing on all available data at the month 18 time point, including data from groups with different randomization ratios in Part 1 and Part 2, and should not be interpreted as directly observed data.</w:t>
      </w:r>
    </w:p>
    <w:p>
      <w:pPr>
        <w:spacing w:after="0" w:line="155" w:lineRule="exact"/>
        <w:rPr>
          <w:sz w:val="20"/>
          <w:szCs w:val="20"/>
          <w:color w:val="auto"/>
        </w:rPr>
      </w:pPr>
    </w:p>
    <w:p>
      <w:pPr>
        <w:spacing w:after="0"/>
        <w:rPr>
          <w:sz w:val="20"/>
          <w:szCs w:val="20"/>
          <w:color w:val="auto"/>
        </w:rPr>
      </w:pPr>
      <w:r>
        <w:rPr>
          <w:rFonts w:ascii="Arial" w:cs="Arial" w:eastAsia="Arial" w:hAnsi="Arial"/>
          <w:sz w:val="11"/>
          <w:szCs w:val="11"/>
          <w:color w:val="auto"/>
        </w:rPr>
        <w:t>b These least squares means are estimates of the MRM model, drawing on all available data, at the month 18 time point.</w:t>
      </w:r>
    </w:p>
    <w:p>
      <w:pPr>
        <w:spacing w:after="0" w:line="196" w:lineRule="exact"/>
        <w:rPr>
          <w:sz w:val="20"/>
          <w:szCs w:val="20"/>
          <w:color w:val="auto"/>
        </w:rPr>
      </w:pPr>
    </w:p>
    <w:p>
      <w:pPr>
        <w:ind w:right="280"/>
        <w:spacing w:after="0" w:line="281" w:lineRule="auto"/>
        <w:rPr>
          <w:sz w:val="20"/>
          <w:szCs w:val="20"/>
          <w:color w:val="auto"/>
        </w:rPr>
      </w:pPr>
      <w:r>
        <w:rPr>
          <w:rFonts w:ascii="Arial" w:cs="Arial" w:eastAsia="Arial" w:hAnsi="Arial"/>
          <w:sz w:val="14"/>
          <w:szCs w:val="14"/>
          <w:color w:val="auto"/>
        </w:rPr>
        <w:t>The graphs below illustrate the observed difference in mean rate of GA growth between each of the Zimura 2 mg and Zimura 4 mg treatment groups and their corresponding sham control groups based on the MRM analysis at both 12 months and 18 months.</w:t>
      </w:r>
    </w:p>
    <w:p>
      <w:pPr>
        <w:spacing w:after="0" w:line="266" w:lineRule="exact"/>
        <w:rPr>
          <w:sz w:val="20"/>
          <w:szCs w:val="20"/>
          <w:color w:val="auto"/>
        </w:rPr>
      </w:pPr>
    </w:p>
    <w:tbl>
      <w:tblPr>
        <w:tblLayout w:type="fixed"/>
        <w:tblInd w:w="2580" w:type="dxa"/>
        <w:tblCellMar>
          <w:top w:w="0" w:type="dxa"/>
          <w:left w:w="0" w:type="dxa"/>
          <w:bottom w:w="0" w:type="dxa"/>
          <w:right w:w="0" w:type="dxa"/>
        </w:tblCellMar>
      </w:tblPr>
      <w:tr>
        <w:trPr>
          <w:trHeight w:val="184"/>
        </w:trPr>
        <w:tc>
          <w:tcPr>
            <w:tcW w:w="3220" w:type="dxa"/>
            <w:vAlign w:val="bottom"/>
          </w:tcPr>
          <w:p>
            <w:pPr>
              <w:jc w:val="center"/>
              <w:ind w:right="389"/>
              <w:spacing w:after="0"/>
              <w:rPr>
                <w:sz w:val="20"/>
                <w:szCs w:val="20"/>
                <w:color w:val="auto"/>
              </w:rPr>
            </w:pPr>
            <w:r>
              <w:rPr>
                <w:rFonts w:ascii="Arial" w:cs="Arial" w:eastAsia="Arial" w:hAnsi="Arial"/>
                <w:sz w:val="14"/>
                <w:szCs w:val="14"/>
                <w:b w:val="1"/>
                <w:bCs w:val="1"/>
                <w:color w:val="auto"/>
                <w:w w:val="94"/>
              </w:rPr>
              <w:t>Primary Efficacy Endpoint Met at 12 Months</w:t>
            </w:r>
          </w:p>
        </w:tc>
        <w:tc>
          <w:tcPr>
            <w:tcW w:w="2940" w:type="dxa"/>
            <w:vAlign w:val="bottom"/>
          </w:tcPr>
          <w:p>
            <w:pPr>
              <w:jc w:val="center"/>
              <w:ind w:left="409"/>
              <w:spacing w:after="0"/>
              <w:rPr>
                <w:sz w:val="20"/>
                <w:szCs w:val="20"/>
                <w:color w:val="auto"/>
              </w:rPr>
            </w:pPr>
            <w:r>
              <w:rPr>
                <w:rFonts w:ascii="Arial" w:cs="Arial" w:eastAsia="Arial" w:hAnsi="Arial"/>
                <w:sz w:val="14"/>
                <w:szCs w:val="14"/>
                <w:b w:val="1"/>
                <w:bCs w:val="1"/>
                <w:color w:val="auto"/>
                <w:w w:val="92"/>
              </w:rPr>
              <w:t>Decrease in GA Growth Over 18 Months</w:t>
            </w:r>
          </w:p>
        </w:tc>
      </w:tr>
      <w:tr>
        <w:trPr>
          <w:trHeight w:val="212"/>
        </w:trPr>
        <w:tc>
          <w:tcPr>
            <w:tcW w:w="3220" w:type="dxa"/>
            <w:vAlign w:val="bottom"/>
          </w:tcPr>
          <w:p>
            <w:pPr>
              <w:jc w:val="center"/>
              <w:ind w:right="409"/>
              <w:spacing w:after="0"/>
              <w:rPr>
                <w:sz w:val="20"/>
                <w:szCs w:val="20"/>
                <w:color w:val="auto"/>
              </w:rPr>
            </w:pPr>
            <w:r>
              <w:rPr>
                <w:rFonts w:ascii="Arial" w:cs="Arial" w:eastAsia="Arial" w:hAnsi="Arial"/>
                <w:sz w:val="14"/>
                <w:szCs w:val="14"/>
                <w:color w:val="auto"/>
                <w:w w:val="91"/>
              </w:rPr>
              <w:t>Zimura 2 mg vs Sham</w:t>
            </w:r>
          </w:p>
        </w:tc>
        <w:tc>
          <w:tcPr>
            <w:tcW w:w="2940" w:type="dxa"/>
            <w:vAlign w:val="bottom"/>
          </w:tcPr>
          <w:p>
            <w:pPr>
              <w:jc w:val="center"/>
              <w:ind w:left="409"/>
              <w:spacing w:after="0"/>
              <w:rPr>
                <w:sz w:val="20"/>
                <w:szCs w:val="20"/>
                <w:color w:val="auto"/>
              </w:rPr>
            </w:pPr>
            <w:r>
              <w:rPr>
                <w:rFonts w:ascii="Arial" w:cs="Arial" w:eastAsia="Arial" w:hAnsi="Arial"/>
                <w:sz w:val="14"/>
                <w:szCs w:val="14"/>
                <w:color w:val="auto"/>
                <w:w w:val="91"/>
              </w:rPr>
              <w:t>Zimura 2 mg vs Sham</w:t>
            </w:r>
          </w:p>
        </w:tc>
      </w:tr>
      <w:tr>
        <w:trPr>
          <w:trHeight w:val="212"/>
        </w:trPr>
        <w:tc>
          <w:tcPr>
            <w:tcW w:w="3220" w:type="dxa"/>
            <w:vAlign w:val="bottom"/>
          </w:tcPr>
          <w:p>
            <w:pPr>
              <w:jc w:val="center"/>
              <w:ind w:right="389"/>
              <w:spacing w:after="0"/>
              <w:rPr>
                <w:sz w:val="20"/>
                <w:szCs w:val="20"/>
                <w:color w:val="auto"/>
              </w:rPr>
            </w:pPr>
            <w:r>
              <w:rPr>
                <w:rFonts w:ascii="Arial" w:cs="Arial" w:eastAsia="Arial" w:hAnsi="Arial"/>
                <w:sz w:val="14"/>
                <w:szCs w:val="14"/>
                <w:color w:val="auto"/>
                <w:w w:val="92"/>
              </w:rPr>
              <w:t>(square root transformation)</w:t>
            </w:r>
          </w:p>
        </w:tc>
        <w:tc>
          <w:tcPr>
            <w:tcW w:w="2940" w:type="dxa"/>
            <w:vAlign w:val="bottom"/>
          </w:tcPr>
          <w:p>
            <w:pPr>
              <w:jc w:val="center"/>
              <w:ind w:left="409"/>
              <w:spacing w:after="0"/>
              <w:rPr>
                <w:sz w:val="20"/>
                <w:szCs w:val="20"/>
                <w:color w:val="auto"/>
              </w:rPr>
            </w:pPr>
            <w:r>
              <w:rPr>
                <w:rFonts w:ascii="Arial" w:cs="Arial" w:eastAsia="Arial" w:hAnsi="Arial"/>
                <w:sz w:val="14"/>
                <w:szCs w:val="14"/>
                <w:color w:val="auto"/>
                <w:w w:val="91"/>
              </w:rPr>
              <w:t>(square root transformation)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60960</wp:posOffset>
            </wp:positionV>
            <wp:extent cx="4608195" cy="11455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608195" cy="1145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76" w:lineRule="auto"/>
        <w:rPr>
          <w:sz w:val="20"/>
          <w:szCs w:val="20"/>
          <w:color w:val="auto"/>
        </w:rPr>
      </w:pPr>
      <w:r>
        <w:rPr>
          <w:rFonts w:ascii="Arial" w:cs="Arial" w:eastAsia="Arial" w:hAnsi="Arial"/>
          <w:sz w:val="11"/>
          <w:szCs w:val="11"/>
          <w:color w:val="auto"/>
        </w:rPr>
        <w:t>ITT Population; Based on the least squares means from MRM model drawing on all available data at the respective 12 month and 18 month analysis time points, including data from groups with different randomization ratios in Part 1 and Part 2, and should not be interpreted as directly observed data; Hochberg procedure used for significance testing for 12 month data.</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tbl>
      <w:tblPr>
        <w:tblLayout w:type="fixed"/>
        <w:tblInd w:w="2480" w:type="dxa"/>
        <w:tblCellMar>
          <w:top w:w="0" w:type="dxa"/>
          <w:left w:w="0" w:type="dxa"/>
          <w:bottom w:w="0" w:type="dxa"/>
          <w:right w:w="0" w:type="dxa"/>
        </w:tblCellMar>
      </w:tblPr>
      <w:tr>
        <w:trPr>
          <w:trHeight w:val="184"/>
        </w:trPr>
        <w:tc>
          <w:tcPr>
            <w:tcW w:w="3240" w:type="dxa"/>
            <w:vAlign w:val="bottom"/>
          </w:tcPr>
          <w:p>
            <w:pPr>
              <w:jc w:val="center"/>
              <w:ind w:right="409"/>
              <w:spacing w:after="0"/>
              <w:rPr>
                <w:sz w:val="20"/>
                <w:szCs w:val="20"/>
                <w:color w:val="auto"/>
              </w:rPr>
            </w:pPr>
            <w:r>
              <w:rPr>
                <w:rFonts w:ascii="Arial" w:cs="Arial" w:eastAsia="Arial" w:hAnsi="Arial"/>
                <w:sz w:val="14"/>
                <w:szCs w:val="14"/>
                <w:b w:val="1"/>
                <w:bCs w:val="1"/>
                <w:color w:val="auto"/>
                <w:w w:val="94"/>
              </w:rPr>
              <w:t>Primary Efficacy Endpoint Met at 12 Months</w:t>
            </w:r>
          </w:p>
        </w:tc>
        <w:tc>
          <w:tcPr>
            <w:tcW w:w="2920" w:type="dxa"/>
            <w:vAlign w:val="bottom"/>
          </w:tcPr>
          <w:p>
            <w:pPr>
              <w:jc w:val="center"/>
              <w:ind w:left="389"/>
              <w:spacing w:after="0"/>
              <w:rPr>
                <w:sz w:val="20"/>
                <w:szCs w:val="20"/>
                <w:color w:val="auto"/>
              </w:rPr>
            </w:pPr>
            <w:r>
              <w:rPr>
                <w:rFonts w:ascii="Arial" w:cs="Arial" w:eastAsia="Arial" w:hAnsi="Arial"/>
                <w:sz w:val="14"/>
                <w:szCs w:val="14"/>
                <w:b w:val="1"/>
                <w:bCs w:val="1"/>
                <w:color w:val="auto"/>
                <w:w w:val="92"/>
              </w:rPr>
              <w:t>Decrease in GA Growth Over 18 Months</w:t>
            </w:r>
          </w:p>
        </w:tc>
      </w:tr>
      <w:tr>
        <w:trPr>
          <w:trHeight w:val="212"/>
        </w:trPr>
        <w:tc>
          <w:tcPr>
            <w:tcW w:w="3240" w:type="dxa"/>
            <w:vAlign w:val="bottom"/>
          </w:tcPr>
          <w:p>
            <w:pPr>
              <w:jc w:val="center"/>
              <w:ind w:right="389"/>
              <w:spacing w:after="0"/>
              <w:rPr>
                <w:sz w:val="20"/>
                <w:szCs w:val="20"/>
                <w:color w:val="auto"/>
              </w:rPr>
            </w:pPr>
            <w:r>
              <w:rPr>
                <w:rFonts w:ascii="Arial" w:cs="Arial" w:eastAsia="Arial" w:hAnsi="Arial"/>
                <w:sz w:val="14"/>
                <w:szCs w:val="14"/>
                <w:color w:val="auto"/>
                <w:w w:val="91"/>
              </w:rPr>
              <w:t>Zimura 4 mg vs Sham</w:t>
            </w:r>
          </w:p>
        </w:tc>
        <w:tc>
          <w:tcPr>
            <w:tcW w:w="2920" w:type="dxa"/>
            <w:vAlign w:val="bottom"/>
          </w:tcPr>
          <w:p>
            <w:pPr>
              <w:jc w:val="center"/>
              <w:ind w:left="389"/>
              <w:spacing w:after="0"/>
              <w:rPr>
                <w:sz w:val="20"/>
                <w:szCs w:val="20"/>
                <w:color w:val="auto"/>
              </w:rPr>
            </w:pPr>
            <w:r>
              <w:rPr>
                <w:rFonts w:ascii="Arial" w:cs="Arial" w:eastAsia="Arial" w:hAnsi="Arial"/>
                <w:sz w:val="14"/>
                <w:szCs w:val="14"/>
                <w:color w:val="auto"/>
                <w:w w:val="91"/>
              </w:rPr>
              <w:t>Zimura 4 mg vs Sham</w:t>
            </w:r>
          </w:p>
        </w:tc>
      </w:tr>
      <w:tr>
        <w:trPr>
          <w:trHeight w:val="212"/>
        </w:trPr>
        <w:tc>
          <w:tcPr>
            <w:tcW w:w="3240" w:type="dxa"/>
            <w:vAlign w:val="bottom"/>
          </w:tcPr>
          <w:p>
            <w:pPr>
              <w:jc w:val="center"/>
              <w:ind w:right="409"/>
              <w:spacing w:after="0"/>
              <w:rPr>
                <w:sz w:val="20"/>
                <w:szCs w:val="20"/>
                <w:color w:val="auto"/>
              </w:rPr>
            </w:pPr>
            <w:r>
              <w:rPr>
                <w:rFonts w:ascii="Arial" w:cs="Arial" w:eastAsia="Arial" w:hAnsi="Arial"/>
                <w:sz w:val="14"/>
                <w:szCs w:val="14"/>
                <w:color w:val="auto"/>
                <w:w w:val="92"/>
              </w:rPr>
              <w:t>(square root transformation)</w:t>
            </w:r>
          </w:p>
        </w:tc>
        <w:tc>
          <w:tcPr>
            <w:tcW w:w="2920" w:type="dxa"/>
            <w:vAlign w:val="bottom"/>
          </w:tcPr>
          <w:p>
            <w:pPr>
              <w:jc w:val="center"/>
              <w:ind w:left="409"/>
              <w:spacing w:after="0"/>
              <w:rPr>
                <w:sz w:val="20"/>
                <w:szCs w:val="20"/>
                <w:color w:val="auto"/>
              </w:rPr>
            </w:pPr>
            <w:r>
              <w:rPr>
                <w:rFonts w:ascii="Arial" w:cs="Arial" w:eastAsia="Arial" w:hAnsi="Arial"/>
                <w:sz w:val="14"/>
                <w:szCs w:val="14"/>
                <w:color w:val="auto"/>
                <w:w w:val="92"/>
              </w:rPr>
              <w:t>(square root transformation)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4392930" cy="1037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92930"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0"/>
          <w:szCs w:val="10"/>
          <w:color w:val="auto"/>
        </w:rPr>
        <w:t>ITT Population; Based on the least squares means from the MRM model drawing on all available data at the respective 12 month and 18 month analysis time points; Hochberg procedure used for significance testing for 12 months data.</w:t>
      </w:r>
    </w:p>
    <w:p>
      <w:pPr>
        <w:spacing w:after="0" w:line="208"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18-Month Zimura 2 mg GA Data by Part</w:t>
      </w:r>
    </w:p>
    <w:p>
      <w:pPr>
        <w:spacing w:after="0" w:line="200" w:lineRule="exact"/>
        <w:rPr>
          <w:sz w:val="20"/>
          <w:szCs w:val="20"/>
          <w:color w:val="auto"/>
        </w:rPr>
      </w:pPr>
    </w:p>
    <w:p>
      <w:pPr>
        <w:ind w:right="40" w:firstLine="275"/>
        <w:spacing w:after="0" w:line="288" w:lineRule="auto"/>
        <w:rPr>
          <w:sz w:val="20"/>
          <w:szCs w:val="20"/>
          <w:color w:val="auto"/>
        </w:rPr>
      </w:pPr>
      <w:r>
        <w:rPr>
          <w:rFonts w:ascii="Arial" w:cs="Arial" w:eastAsia="Arial" w:hAnsi="Arial"/>
          <w:sz w:val="13"/>
          <w:szCs w:val="13"/>
          <w:color w:val="auto"/>
        </w:rPr>
        <w:t>As previously described in our Annual Report on Form 10-K for the year ended December 31, 2019, we enrolled patients for the GATHER1 trial in two different parts, Part 1 and Part 2, with different dosages and randomization ratios in each Part. Twenty-five patients receiving Zimura 2 mg were enrolled in Part 1 of the trial and 42 patients receiving Zimura 2 mg were enrolled in Part 2 of the trial. Consistent with the analysis performed at 12 months, the analysis of the mean change in GA growth for Zimura 2 mg as compared to the corresponding sham control group over 18 months was adjusted for the fact that this dose of Zimura was tested in both parts of the trial, each of which had different randomization ratios.</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least squares mean changes in GA in Part 1 and Part 2 at month 18 are shown separately in the following table:</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Mean Rate of Change in GA Area from Baseline to Month 18</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(MRM Analysis) (Square Root Transformation)</w:t>
      </w:r>
    </w:p>
    <w:p>
      <w:pPr>
        <w:spacing w:after="0" w:line="147" w:lineRule="exact"/>
        <w:rPr>
          <w:sz w:val="20"/>
          <w:szCs w:val="20"/>
          <w:color w:val="auto"/>
        </w:rPr>
      </w:pPr>
    </w:p>
    <w:tbl>
      <w:tblPr>
        <w:tblLayout w:type="fixed"/>
        <w:tblInd w:w="480" w:type="dxa"/>
        <w:tblCellMar>
          <w:top w:w="0" w:type="dxa"/>
          <w:left w:w="0" w:type="dxa"/>
          <w:bottom w:w="0" w:type="dxa"/>
          <w:right w:w="0" w:type="dxa"/>
        </w:tblCellMar>
      </w:tblPr>
      <w:tr>
        <w:trPr>
          <w:trHeight w:val="170"/>
        </w:trPr>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Cohort</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Zimura 2 mg</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87"/>
              </w:rPr>
              <w:t>Sham</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Difference</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 Difference</w:t>
            </w:r>
          </w:p>
        </w:tc>
        <w:tc>
          <w:tcPr>
            <w:tcW w:w="0" w:type="dxa"/>
            <w:vAlign w:val="bottom"/>
          </w:tcPr>
          <w:p>
            <w:pPr>
              <w:spacing w:after="0"/>
              <w:rPr>
                <w:sz w:val="1"/>
                <w:szCs w:val="1"/>
                <w:color w:val="auto"/>
              </w:rPr>
            </w:pPr>
          </w:p>
        </w:tc>
      </w:tr>
      <w:tr>
        <w:trPr>
          <w:trHeight w:val="180"/>
        </w:trPr>
        <w:tc>
          <w:tcPr>
            <w:tcW w:w="1340" w:type="dxa"/>
            <w:vAlign w:val="bottom"/>
            <w:gridSpan w:val="2"/>
            <w:vMerge w:val="continue"/>
          </w:tcPr>
          <w:p>
            <w:pPr>
              <w:spacing w:after="0"/>
              <w:rPr>
                <w:sz w:val="15"/>
                <w:szCs w:val="15"/>
                <w:color w:val="auto"/>
              </w:rPr>
            </w:pP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(N = 25)</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(N = 26)</w:t>
            </w:r>
          </w:p>
        </w:tc>
        <w:tc>
          <w:tcPr>
            <w:tcW w:w="152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Part 1</w:t>
            </w:r>
          </w:p>
        </w:tc>
        <w:tc>
          <w:tcPr>
            <w:tcW w:w="3020" w:type="dxa"/>
            <w:vAlign w:val="bottom"/>
            <w:gridSpan w:val="2"/>
          </w:tcPr>
          <w:p>
            <w:pPr>
              <w:ind w:left="20"/>
              <w:spacing w:after="0"/>
              <w:rPr>
                <w:sz w:val="20"/>
                <w:szCs w:val="20"/>
                <w:color w:val="auto"/>
              </w:rPr>
            </w:pPr>
            <w:r>
              <w:rPr>
                <w:rFonts w:ascii="Arial" w:cs="Arial" w:eastAsia="Arial" w:hAnsi="Arial"/>
                <w:sz w:val="14"/>
                <w:szCs w:val="14"/>
                <w:color w:val="auto"/>
              </w:rPr>
              <w:t>Mean Change in GA</w:t>
            </w:r>
            <w:r>
              <w:rPr>
                <w:rFonts w:ascii="Arial" w:cs="Arial" w:eastAsia="Arial" w:hAnsi="Arial"/>
                <w:sz w:val="18"/>
                <w:szCs w:val="18"/>
                <w:color w:val="auto"/>
                <w:vertAlign w:val="superscript"/>
              </w:rPr>
              <w:t>(a)</w:t>
            </w:r>
            <w:r>
              <w:rPr>
                <w:rFonts w:ascii="Arial" w:cs="Arial" w:eastAsia="Arial" w:hAnsi="Arial"/>
                <w:sz w:val="14"/>
                <w:szCs w:val="14"/>
                <w:color w:val="auto"/>
              </w:rPr>
              <w:t xml:space="preserve"> (mm)</w:t>
            </w:r>
          </w:p>
        </w:tc>
        <w:tc>
          <w:tcPr>
            <w:tcW w:w="1420" w:type="dxa"/>
            <w:vAlign w:val="bottom"/>
          </w:tcPr>
          <w:p>
            <w:pPr>
              <w:jc w:val="center"/>
              <w:spacing w:after="0"/>
              <w:rPr>
                <w:sz w:val="20"/>
                <w:szCs w:val="20"/>
                <w:color w:val="auto"/>
              </w:rPr>
            </w:pPr>
            <w:r>
              <w:rPr>
                <w:rFonts w:ascii="Arial" w:cs="Arial" w:eastAsia="Arial" w:hAnsi="Arial"/>
                <w:sz w:val="14"/>
                <w:szCs w:val="14"/>
                <w:color w:val="auto"/>
                <w:w w:val="91"/>
              </w:rPr>
              <w:t>0.464</w:t>
            </w:r>
          </w:p>
        </w:tc>
        <w:tc>
          <w:tcPr>
            <w:tcW w:w="8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0.635</w:t>
            </w:r>
          </w:p>
        </w:tc>
        <w:tc>
          <w:tcPr>
            <w:tcW w:w="80" w:type="dxa"/>
            <w:vAlign w:val="bottom"/>
          </w:tcPr>
          <w:p>
            <w:pPr>
              <w:spacing w:after="0"/>
              <w:rPr>
                <w:sz w:val="22"/>
                <w:szCs w:val="22"/>
                <w:color w:val="auto"/>
              </w:rPr>
            </w:pPr>
          </w:p>
        </w:tc>
        <w:tc>
          <w:tcPr>
            <w:tcW w:w="1420" w:type="dxa"/>
            <w:vAlign w:val="bottom"/>
          </w:tcPr>
          <w:p>
            <w:pPr>
              <w:jc w:val="right"/>
              <w:ind w:right="469"/>
              <w:spacing w:after="0"/>
              <w:rPr>
                <w:sz w:val="20"/>
                <w:szCs w:val="20"/>
                <w:color w:val="auto"/>
              </w:rPr>
            </w:pPr>
            <w:r>
              <w:rPr>
                <w:rFonts w:ascii="Arial" w:cs="Arial" w:eastAsia="Arial" w:hAnsi="Arial"/>
                <w:sz w:val="14"/>
                <w:szCs w:val="14"/>
                <w:color w:val="auto"/>
              </w:rPr>
              <w:t>0.170</w:t>
            </w:r>
          </w:p>
        </w:tc>
        <w:tc>
          <w:tcPr>
            <w:tcW w:w="100" w:type="dxa"/>
            <w:vAlign w:val="bottom"/>
          </w:tcPr>
          <w:p>
            <w:pPr>
              <w:spacing w:after="0"/>
              <w:rPr>
                <w:sz w:val="22"/>
                <w:szCs w:val="22"/>
                <w:color w:val="auto"/>
              </w:rPr>
            </w:pPr>
          </w:p>
        </w:tc>
        <w:tc>
          <w:tcPr>
            <w:tcW w:w="1440" w:type="dxa"/>
            <w:vAlign w:val="bottom"/>
          </w:tcPr>
          <w:p>
            <w:pPr>
              <w:jc w:val="right"/>
              <w:ind w:right="429"/>
              <w:spacing w:after="0"/>
              <w:rPr>
                <w:sz w:val="20"/>
                <w:szCs w:val="20"/>
                <w:color w:val="auto"/>
              </w:rPr>
            </w:pPr>
            <w:r>
              <w:rPr>
                <w:rFonts w:ascii="Arial" w:cs="Arial" w:eastAsia="Arial" w:hAnsi="Arial"/>
                <w:sz w:val="14"/>
                <w:szCs w:val="14"/>
                <w:color w:val="auto"/>
              </w:rPr>
              <w:t>26.84%</w:t>
            </w: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1020" w:hanging="251"/>
        <w:spacing w:after="0"/>
        <w:tabs>
          <w:tab w:leader="none" w:pos="1020" w:val="left"/>
        </w:tabs>
        <w:numPr>
          <w:ilvl w:val="0"/>
          <w:numId w:val="14"/>
        </w:numPr>
        <w:rPr>
          <w:rFonts w:ascii="Arial" w:cs="Arial" w:eastAsia="Arial" w:hAnsi="Arial"/>
          <w:sz w:val="11"/>
          <w:szCs w:val="11"/>
          <w:color w:val="auto"/>
        </w:rPr>
      </w:pPr>
      <w:r>
        <w:rPr>
          <w:rFonts w:ascii="Arial" w:cs="Arial" w:eastAsia="Arial" w:hAnsi="Arial"/>
          <w:sz w:val="11"/>
          <w:szCs w:val="11"/>
          <w:color w:val="auto"/>
        </w:rPr>
        <w:t>= based on the least squares mean from the MRM model</w:t>
      </w:r>
    </w:p>
    <w:p>
      <w:pPr>
        <w:spacing w:after="0" w:line="122" w:lineRule="exact"/>
        <w:rPr>
          <w:sz w:val="20"/>
          <w:szCs w:val="20"/>
          <w:color w:val="auto"/>
        </w:rPr>
      </w:pPr>
    </w:p>
    <w:tbl>
      <w:tblPr>
        <w:tblLayout w:type="fixed"/>
        <w:tblInd w:w="480" w:type="dxa"/>
        <w:tblCellMar>
          <w:top w:w="0" w:type="dxa"/>
          <w:left w:w="0" w:type="dxa"/>
          <w:bottom w:w="0" w:type="dxa"/>
          <w:right w:w="0" w:type="dxa"/>
        </w:tblCellMar>
      </w:tblPr>
      <w:tr>
        <w:trPr>
          <w:trHeight w:val="170"/>
        </w:trPr>
        <w:tc>
          <w:tcPr>
            <w:tcW w:w="13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Cohort</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Zimura 2 mg</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87"/>
              </w:rPr>
              <w:t>Sham</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Difference</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 Difference</w:t>
            </w:r>
          </w:p>
        </w:tc>
        <w:tc>
          <w:tcPr>
            <w:tcW w:w="0" w:type="dxa"/>
            <w:vAlign w:val="bottom"/>
          </w:tcPr>
          <w:p>
            <w:pPr>
              <w:spacing w:after="0"/>
              <w:rPr>
                <w:sz w:val="1"/>
                <w:szCs w:val="1"/>
                <w:color w:val="auto"/>
              </w:rPr>
            </w:pPr>
          </w:p>
        </w:tc>
      </w:tr>
      <w:tr>
        <w:trPr>
          <w:trHeight w:val="180"/>
        </w:trPr>
        <w:tc>
          <w:tcPr>
            <w:tcW w:w="1340" w:type="dxa"/>
            <w:vAlign w:val="bottom"/>
            <w:gridSpan w:val="2"/>
            <w:vMerge w:val="continue"/>
          </w:tcPr>
          <w:p>
            <w:pPr>
              <w:spacing w:after="0"/>
              <w:rPr>
                <w:sz w:val="15"/>
                <w:szCs w:val="15"/>
                <w:color w:val="auto"/>
              </w:rPr>
            </w:pP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(N = 42)</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(N = 84)</w:t>
            </w:r>
          </w:p>
        </w:tc>
        <w:tc>
          <w:tcPr>
            <w:tcW w:w="152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7"/>
        </w:trPr>
        <w:tc>
          <w:tcPr>
            <w:tcW w:w="1340" w:type="dxa"/>
            <w:vAlign w:val="bottom"/>
            <w:gridSpan w:val="2"/>
          </w:tcPr>
          <w:p>
            <w:pPr>
              <w:ind w:left="260"/>
              <w:spacing w:after="0"/>
              <w:rPr>
                <w:sz w:val="20"/>
                <w:szCs w:val="20"/>
                <w:color w:val="auto"/>
              </w:rPr>
            </w:pPr>
            <w:r>
              <w:rPr>
                <w:rFonts w:ascii="Arial" w:cs="Arial" w:eastAsia="Arial" w:hAnsi="Arial"/>
                <w:sz w:val="14"/>
                <w:szCs w:val="14"/>
                <w:color w:val="auto"/>
              </w:rPr>
              <w:t>Part 2</w:t>
            </w:r>
          </w:p>
        </w:tc>
        <w:tc>
          <w:tcPr>
            <w:tcW w:w="3020" w:type="dxa"/>
            <w:vAlign w:val="bottom"/>
            <w:gridSpan w:val="2"/>
          </w:tcPr>
          <w:p>
            <w:pPr>
              <w:ind w:left="20"/>
              <w:spacing w:after="0"/>
              <w:rPr>
                <w:sz w:val="20"/>
                <w:szCs w:val="20"/>
                <w:color w:val="auto"/>
              </w:rPr>
            </w:pPr>
            <w:r>
              <w:rPr>
                <w:rFonts w:ascii="Arial" w:cs="Arial" w:eastAsia="Arial" w:hAnsi="Arial"/>
                <w:sz w:val="14"/>
                <w:szCs w:val="14"/>
                <w:color w:val="auto"/>
              </w:rPr>
              <w:t>Mean Change in GA</w:t>
            </w:r>
            <w:r>
              <w:rPr>
                <w:rFonts w:ascii="Arial" w:cs="Arial" w:eastAsia="Arial" w:hAnsi="Arial"/>
                <w:sz w:val="18"/>
                <w:szCs w:val="18"/>
                <w:color w:val="auto"/>
                <w:vertAlign w:val="superscript"/>
              </w:rPr>
              <w:t>(a)</w:t>
            </w:r>
            <w:r>
              <w:rPr>
                <w:rFonts w:ascii="Arial" w:cs="Arial" w:eastAsia="Arial" w:hAnsi="Arial"/>
                <w:sz w:val="14"/>
                <w:szCs w:val="14"/>
                <w:color w:val="auto"/>
              </w:rPr>
              <w:t xml:space="preserve"> (mm)</w:t>
            </w:r>
          </w:p>
        </w:tc>
        <w:tc>
          <w:tcPr>
            <w:tcW w:w="1420" w:type="dxa"/>
            <w:vAlign w:val="bottom"/>
          </w:tcPr>
          <w:p>
            <w:pPr>
              <w:jc w:val="center"/>
              <w:spacing w:after="0"/>
              <w:rPr>
                <w:sz w:val="20"/>
                <w:szCs w:val="20"/>
                <w:color w:val="auto"/>
              </w:rPr>
            </w:pPr>
            <w:r>
              <w:rPr>
                <w:rFonts w:ascii="Arial" w:cs="Arial" w:eastAsia="Arial" w:hAnsi="Arial"/>
                <w:sz w:val="14"/>
                <w:szCs w:val="14"/>
                <w:color w:val="auto"/>
                <w:w w:val="91"/>
              </w:rPr>
              <w:t>0.440</w:t>
            </w:r>
          </w:p>
        </w:tc>
        <w:tc>
          <w:tcPr>
            <w:tcW w:w="8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0.608</w:t>
            </w:r>
          </w:p>
        </w:tc>
        <w:tc>
          <w:tcPr>
            <w:tcW w:w="80" w:type="dxa"/>
            <w:vAlign w:val="bottom"/>
          </w:tcPr>
          <w:p>
            <w:pPr>
              <w:spacing w:after="0"/>
              <w:rPr>
                <w:sz w:val="23"/>
                <w:szCs w:val="23"/>
                <w:color w:val="auto"/>
              </w:rPr>
            </w:pPr>
          </w:p>
        </w:tc>
        <w:tc>
          <w:tcPr>
            <w:tcW w:w="1420" w:type="dxa"/>
            <w:vAlign w:val="bottom"/>
          </w:tcPr>
          <w:p>
            <w:pPr>
              <w:jc w:val="right"/>
              <w:ind w:right="469"/>
              <w:spacing w:after="0"/>
              <w:rPr>
                <w:sz w:val="20"/>
                <w:szCs w:val="20"/>
                <w:color w:val="auto"/>
              </w:rPr>
            </w:pPr>
            <w:r>
              <w:rPr>
                <w:rFonts w:ascii="Arial" w:cs="Arial" w:eastAsia="Arial" w:hAnsi="Arial"/>
                <w:sz w:val="14"/>
                <w:szCs w:val="14"/>
                <w:color w:val="auto"/>
              </w:rPr>
              <w:t>0.168</w:t>
            </w:r>
          </w:p>
        </w:tc>
        <w:tc>
          <w:tcPr>
            <w:tcW w:w="100" w:type="dxa"/>
            <w:vAlign w:val="bottom"/>
          </w:tcPr>
          <w:p>
            <w:pPr>
              <w:spacing w:after="0"/>
              <w:rPr>
                <w:sz w:val="23"/>
                <w:szCs w:val="23"/>
                <w:color w:val="auto"/>
              </w:rPr>
            </w:pPr>
          </w:p>
        </w:tc>
        <w:tc>
          <w:tcPr>
            <w:tcW w:w="1440" w:type="dxa"/>
            <w:vAlign w:val="bottom"/>
          </w:tcPr>
          <w:p>
            <w:pPr>
              <w:jc w:val="right"/>
              <w:ind w:right="429"/>
              <w:spacing w:after="0"/>
              <w:rPr>
                <w:sz w:val="20"/>
                <w:szCs w:val="20"/>
                <w:color w:val="auto"/>
              </w:rPr>
            </w:pPr>
            <w:r>
              <w:rPr>
                <w:rFonts w:ascii="Arial" w:cs="Arial" w:eastAsia="Arial" w:hAnsi="Arial"/>
                <w:sz w:val="14"/>
                <w:szCs w:val="14"/>
                <w:color w:val="auto"/>
              </w:rPr>
              <w:t>27.67%</w:t>
            </w: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1020" w:hanging="251"/>
        <w:spacing w:after="0"/>
        <w:tabs>
          <w:tab w:leader="none" w:pos="10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 based on the least squares means from the MRM model</w:t>
      </w:r>
    </w:p>
    <w:p>
      <w:pPr>
        <w:spacing w:after="0" w:line="112" w:lineRule="exact"/>
        <w:rPr>
          <w:sz w:val="20"/>
          <w:szCs w:val="20"/>
          <w:color w:val="auto"/>
        </w:rPr>
      </w:pPr>
    </w:p>
    <w:p>
      <w:pPr>
        <w:ind w:firstLine="280"/>
        <w:spacing w:after="0" w:line="267" w:lineRule="auto"/>
        <w:rPr>
          <w:sz w:val="20"/>
          <w:szCs w:val="20"/>
          <w:color w:val="auto"/>
        </w:rPr>
      </w:pPr>
      <w:r>
        <w:rPr>
          <w:rFonts w:ascii="Arial" w:cs="Arial" w:eastAsia="Arial" w:hAnsi="Arial"/>
          <w:sz w:val="14"/>
          <w:szCs w:val="14"/>
          <w:color w:val="auto"/>
        </w:rPr>
        <w:t>When the data for the Zimura 2 mg groups from each Part of the trial as compared to the corresponding sham control groups are analyzed using the MRM model, which includes a regression factor by part, the mean difference in GA growth over 18 months between the Zimura 2 mg and sham control groups is 0.168 mm, representing a 28.11% relative benefit in the Zimura 2 mg group as compared to the corresponding sham control group.</w:t>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Observed 18-Month GA Data (non-square root transformation)</w:t>
      </w:r>
    </w:p>
    <w:p>
      <w:pPr>
        <w:spacing w:after="0" w:line="125" w:lineRule="exact"/>
        <w:rPr>
          <w:sz w:val="20"/>
          <w:szCs w:val="20"/>
          <w:color w:val="auto"/>
        </w:rPr>
      </w:pPr>
    </w:p>
    <w:p>
      <w:pPr>
        <w:ind w:right="20" w:firstLine="283"/>
        <w:spacing w:after="0" w:line="324" w:lineRule="auto"/>
        <w:rPr>
          <w:sz w:val="20"/>
          <w:szCs w:val="20"/>
          <w:color w:val="auto"/>
        </w:rPr>
      </w:pPr>
      <w:r>
        <w:rPr>
          <w:rFonts w:ascii="Arial" w:cs="Arial" w:eastAsia="Arial" w:hAnsi="Arial"/>
          <w:sz w:val="13"/>
          <w:szCs w:val="13"/>
          <w:color w:val="auto"/>
        </w:rPr>
        <w:t>In addition to analyzing the mean rate of change in GA area at month 18 using the square root transformation method (measured in millimeters (mm)), we also analyzed the mean rate of change in GA area using the observed GA areas (without the square root transformation, measured in square millimeters (mm</w:t>
      </w:r>
      <w:r>
        <w:rPr>
          <w:rFonts w:ascii="Arial" w:cs="Arial" w:eastAsia="Arial" w:hAnsi="Arial"/>
          <w:sz w:val="17"/>
          <w:szCs w:val="17"/>
          <w:color w:val="auto"/>
          <w:vertAlign w:val="superscript"/>
        </w:rPr>
        <w:t>2</w:t>
      </w:r>
      <w:r>
        <w:rPr>
          <w:rFonts w:ascii="Arial" w:cs="Arial" w:eastAsia="Arial" w:hAnsi="Arial"/>
          <w:sz w:val="13"/>
          <w:szCs w:val="13"/>
          <w:color w:val="auto"/>
        </w:rPr>
        <w:t>)), with the MRM model. The observed mean GA area</w:t>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data for the Zimura 2 mg and Zimura 4 mg groups as compared to the corresponding sham control groups are summarized in the following table:</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Mean Rate of Change in GA Area from Baseline to Month 18</w:t>
      </w:r>
    </w:p>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(MRM Analysis) (Observed)</w:t>
      </w:r>
    </w:p>
    <w:p>
      <w:pPr>
        <w:spacing w:after="0" w:line="157" w:lineRule="exact"/>
        <w:rPr>
          <w:sz w:val="20"/>
          <w:szCs w:val="20"/>
          <w:color w:val="auto"/>
        </w:rPr>
      </w:pPr>
    </w:p>
    <w:tbl>
      <w:tblPr>
        <w:tblLayout w:type="fixed"/>
        <w:tblInd w:w="1200" w:type="dxa"/>
        <w:tblCellMar>
          <w:top w:w="0" w:type="dxa"/>
          <w:left w:w="0" w:type="dxa"/>
          <w:bottom w:w="0" w:type="dxa"/>
          <w:right w:w="0" w:type="dxa"/>
        </w:tblCellMar>
      </w:tblPr>
      <w:tr>
        <w:trPr>
          <w:trHeight w:val="170"/>
        </w:trPr>
        <w:tc>
          <w:tcPr>
            <w:tcW w:w="2900" w:type="dxa"/>
            <w:vAlign w:val="bottom"/>
            <w:gridSpan w:val="2"/>
            <w:vMerge w:val="restart"/>
          </w:tcPr>
          <w:p>
            <w:pPr>
              <w:ind w:left="1180"/>
              <w:spacing w:after="0"/>
              <w:rPr>
                <w:sz w:val="20"/>
                <w:szCs w:val="20"/>
                <w:color w:val="auto"/>
              </w:rPr>
            </w:pPr>
            <w:r>
              <w:rPr>
                <w:rFonts w:ascii="Arial" w:cs="Arial" w:eastAsia="Arial" w:hAnsi="Arial"/>
                <w:sz w:val="14"/>
                <w:szCs w:val="14"/>
                <w:b w:val="1"/>
                <w:bCs w:val="1"/>
                <w:color w:val="auto"/>
              </w:rPr>
              <w:t>Cohort</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Zimura 2 mg</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Sham 2</w:t>
            </w: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Difference</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 Difference</w:t>
            </w:r>
          </w:p>
        </w:tc>
        <w:tc>
          <w:tcPr>
            <w:tcW w:w="0" w:type="dxa"/>
            <w:vAlign w:val="bottom"/>
          </w:tcPr>
          <w:p>
            <w:pPr>
              <w:spacing w:after="0"/>
              <w:rPr>
                <w:sz w:val="1"/>
                <w:szCs w:val="1"/>
                <w:color w:val="auto"/>
              </w:rPr>
            </w:pPr>
          </w:p>
        </w:tc>
      </w:tr>
      <w:tr>
        <w:trPr>
          <w:trHeight w:val="180"/>
        </w:trPr>
        <w:tc>
          <w:tcPr>
            <w:tcW w:w="2900" w:type="dxa"/>
            <w:vAlign w:val="bottom"/>
            <w:gridSpan w:val="2"/>
            <w:vMerge w:val="continue"/>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(N = 67)</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(N = 110)</w:t>
            </w:r>
          </w:p>
        </w:tc>
        <w:tc>
          <w:tcPr>
            <w:tcW w:w="152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2900" w:type="dxa"/>
            <w:vAlign w:val="bottom"/>
            <w:gridSpan w:val="2"/>
          </w:tcPr>
          <w:p>
            <w:pPr>
              <w:spacing w:after="0"/>
              <w:rPr>
                <w:sz w:val="20"/>
                <w:szCs w:val="20"/>
                <w:color w:val="auto"/>
              </w:rPr>
            </w:pPr>
            <w:r>
              <w:rPr>
                <w:rFonts w:ascii="Arial" w:cs="Arial" w:eastAsia="Arial" w:hAnsi="Arial"/>
                <w:sz w:val="14"/>
                <w:szCs w:val="14"/>
                <w:color w:val="auto"/>
              </w:rPr>
              <w:t>Mean Change in GA</w:t>
            </w:r>
            <w:r>
              <w:rPr>
                <w:rFonts w:ascii="Arial" w:cs="Arial" w:eastAsia="Arial" w:hAnsi="Arial"/>
                <w:sz w:val="18"/>
                <w:szCs w:val="18"/>
                <w:color w:val="auto"/>
                <w:vertAlign w:val="superscript"/>
              </w:rPr>
              <w:t>(a)</w:t>
            </w:r>
            <w:r>
              <w:rPr>
                <w:rFonts w:ascii="Arial" w:cs="Arial" w:eastAsia="Arial" w:hAnsi="Arial"/>
                <w:sz w:val="14"/>
                <w:szCs w:val="14"/>
                <w:color w:val="auto"/>
              </w:rPr>
              <w:t xml:space="preserve"> (mm</w:t>
            </w:r>
            <w:r>
              <w:rPr>
                <w:rFonts w:ascii="Arial" w:cs="Arial" w:eastAsia="Arial" w:hAnsi="Arial"/>
                <w:sz w:val="18"/>
                <w:szCs w:val="18"/>
                <w:color w:val="auto"/>
                <w:vertAlign w:val="superscript"/>
              </w:rPr>
              <w:t>2</w:t>
            </w:r>
            <w:r>
              <w:rPr>
                <w:rFonts w:ascii="Arial" w:cs="Arial" w:eastAsia="Arial" w:hAnsi="Arial"/>
                <w:sz w:val="14"/>
                <w:szCs w:val="14"/>
                <w:color w:val="auto"/>
              </w:rPr>
              <w:t>)</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84"/>
              </w:rPr>
              <w:t>2.431</w:t>
            </w:r>
            <w:r>
              <w:rPr>
                <w:rFonts w:ascii="Arial" w:cs="Arial" w:eastAsia="Arial" w:hAnsi="Arial"/>
                <w:sz w:val="18"/>
                <w:szCs w:val="18"/>
                <w:color w:val="auto"/>
                <w:w w:val="84"/>
                <w:vertAlign w:val="superscript"/>
              </w:rPr>
              <w:t>(b)</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w w:val="84"/>
              </w:rPr>
              <w:t>3.587</w:t>
            </w:r>
            <w:r>
              <w:rPr>
                <w:rFonts w:ascii="Arial" w:cs="Arial" w:eastAsia="Arial" w:hAnsi="Arial"/>
                <w:sz w:val="18"/>
                <w:szCs w:val="18"/>
                <w:color w:val="auto"/>
                <w:w w:val="84"/>
                <w:vertAlign w:val="superscript"/>
              </w:rPr>
              <w:t>(b)</w:t>
            </w:r>
          </w:p>
        </w:tc>
        <w:tc>
          <w:tcPr>
            <w:tcW w:w="1420" w:type="dxa"/>
            <w:vAlign w:val="bottom"/>
          </w:tcPr>
          <w:p>
            <w:pPr>
              <w:jc w:val="center"/>
              <w:spacing w:after="0"/>
              <w:rPr>
                <w:sz w:val="20"/>
                <w:szCs w:val="20"/>
                <w:color w:val="auto"/>
              </w:rPr>
            </w:pPr>
            <w:r>
              <w:rPr>
                <w:rFonts w:ascii="Arial" w:cs="Arial" w:eastAsia="Arial" w:hAnsi="Arial"/>
                <w:sz w:val="14"/>
                <w:szCs w:val="14"/>
                <w:color w:val="auto"/>
                <w:w w:val="91"/>
              </w:rPr>
              <w:t>1.156</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88"/>
              </w:rPr>
              <w:t>32.24%</w:t>
            </w:r>
          </w:p>
        </w:tc>
        <w:tc>
          <w:tcPr>
            <w:tcW w:w="0" w:type="dxa"/>
            <w:vAlign w:val="bottom"/>
          </w:tcPr>
          <w:p>
            <w:pPr>
              <w:spacing w:after="0"/>
              <w:rPr>
                <w:sz w:val="1"/>
                <w:szCs w:val="1"/>
                <w:color w:val="auto"/>
              </w:rPr>
            </w:pPr>
          </w:p>
        </w:tc>
      </w:tr>
      <w:tr>
        <w:trPr>
          <w:trHeight w:val="233"/>
        </w:trPr>
        <w:tc>
          <w:tcPr>
            <w:tcW w:w="2900" w:type="dxa"/>
            <w:vAlign w:val="bottom"/>
            <w:gridSpan w:val="2"/>
            <w:vMerge w:val="restart"/>
          </w:tcPr>
          <w:p>
            <w:pPr>
              <w:ind w:left="1180"/>
              <w:spacing w:after="0"/>
              <w:rPr>
                <w:sz w:val="20"/>
                <w:szCs w:val="20"/>
                <w:color w:val="auto"/>
              </w:rPr>
            </w:pPr>
            <w:r>
              <w:rPr>
                <w:rFonts w:ascii="Arial" w:cs="Arial" w:eastAsia="Arial" w:hAnsi="Arial"/>
                <w:sz w:val="14"/>
                <w:szCs w:val="14"/>
                <w:b w:val="1"/>
                <w:bCs w:val="1"/>
                <w:color w:val="auto"/>
              </w:rPr>
              <w:t>Cohort</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Zimura 4 mg</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Sham</w:t>
            </w: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Difference</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 Difference</w:t>
            </w:r>
          </w:p>
        </w:tc>
        <w:tc>
          <w:tcPr>
            <w:tcW w:w="0" w:type="dxa"/>
            <w:vAlign w:val="bottom"/>
          </w:tcPr>
          <w:p>
            <w:pPr>
              <w:spacing w:after="0"/>
              <w:rPr>
                <w:sz w:val="1"/>
                <w:szCs w:val="1"/>
                <w:color w:val="auto"/>
              </w:rPr>
            </w:pPr>
          </w:p>
        </w:tc>
      </w:tr>
      <w:tr>
        <w:trPr>
          <w:trHeight w:val="180"/>
        </w:trPr>
        <w:tc>
          <w:tcPr>
            <w:tcW w:w="2900" w:type="dxa"/>
            <w:vAlign w:val="bottom"/>
            <w:gridSpan w:val="2"/>
            <w:vMerge w:val="continue"/>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(N = 83)</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(N = 84)</w:t>
            </w:r>
          </w:p>
        </w:tc>
        <w:tc>
          <w:tcPr>
            <w:tcW w:w="152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7"/>
        </w:trPr>
        <w:tc>
          <w:tcPr>
            <w:tcW w:w="2900" w:type="dxa"/>
            <w:vAlign w:val="bottom"/>
            <w:gridSpan w:val="2"/>
          </w:tcPr>
          <w:p>
            <w:pPr>
              <w:spacing w:after="0"/>
              <w:rPr>
                <w:sz w:val="20"/>
                <w:szCs w:val="20"/>
                <w:color w:val="auto"/>
              </w:rPr>
            </w:pPr>
            <w:r>
              <w:rPr>
                <w:rFonts w:ascii="Arial" w:cs="Arial" w:eastAsia="Arial" w:hAnsi="Arial"/>
                <w:sz w:val="14"/>
                <w:szCs w:val="14"/>
                <w:color w:val="auto"/>
              </w:rPr>
              <w:t>Mean Change in GA</w:t>
            </w:r>
            <w:r>
              <w:rPr>
                <w:rFonts w:ascii="Arial" w:cs="Arial" w:eastAsia="Arial" w:hAnsi="Arial"/>
                <w:sz w:val="18"/>
                <w:szCs w:val="18"/>
                <w:color w:val="auto"/>
                <w:vertAlign w:val="superscript"/>
              </w:rPr>
              <w:t>(a)</w:t>
            </w:r>
            <w:r>
              <w:rPr>
                <w:rFonts w:ascii="Arial" w:cs="Arial" w:eastAsia="Arial" w:hAnsi="Arial"/>
                <w:sz w:val="14"/>
                <w:szCs w:val="14"/>
                <w:color w:val="auto"/>
              </w:rPr>
              <w:t xml:space="preserve"> (mm</w:t>
            </w:r>
            <w:r>
              <w:rPr>
                <w:rFonts w:ascii="Arial" w:cs="Arial" w:eastAsia="Arial" w:hAnsi="Arial"/>
                <w:sz w:val="18"/>
                <w:szCs w:val="18"/>
                <w:color w:val="auto"/>
                <w:vertAlign w:val="superscript"/>
              </w:rPr>
              <w:t>2</w:t>
            </w:r>
            <w:r>
              <w:rPr>
                <w:rFonts w:ascii="Arial" w:cs="Arial" w:eastAsia="Arial" w:hAnsi="Arial"/>
                <w:sz w:val="14"/>
                <w:szCs w:val="14"/>
                <w:color w:val="auto"/>
              </w:rPr>
              <w:t>)</w:t>
            </w:r>
          </w:p>
        </w:tc>
        <w:tc>
          <w:tcPr>
            <w:tcW w:w="1420" w:type="dxa"/>
            <w:vAlign w:val="bottom"/>
          </w:tcPr>
          <w:p>
            <w:pPr>
              <w:jc w:val="center"/>
              <w:spacing w:after="0"/>
              <w:rPr>
                <w:sz w:val="20"/>
                <w:szCs w:val="20"/>
                <w:color w:val="auto"/>
              </w:rPr>
            </w:pPr>
            <w:r>
              <w:rPr>
                <w:rFonts w:ascii="Arial" w:cs="Arial" w:eastAsia="Arial" w:hAnsi="Arial"/>
                <w:sz w:val="14"/>
                <w:szCs w:val="14"/>
                <w:color w:val="auto"/>
                <w:w w:val="91"/>
              </w:rPr>
              <w:t>2.460</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1"/>
              </w:rPr>
              <w:t>3.486</w:t>
            </w:r>
          </w:p>
        </w:tc>
        <w:tc>
          <w:tcPr>
            <w:tcW w:w="1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1"/>
              </w:rPr>
              <w:t>1.026</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88"/>
              </w:rPr>
              <w:t>29.44%</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760" w:hanging="246"/>
        <w:spacing w:after="0"/>
        <w:tabs>
          <w:tab w:leader="none" w:pos="7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 based on the least squares mean from the MRM model.</w:t>
      </w:r>
    </w:p>
    <w:p>
      <w:pPr>
        <w:spacing w:after="0" w:line="10" w:lineRule="exact"/>
        <w:rPr>
          <w:rFonts w:ascii="Arial" w:cs="Arial" w:eastAsia="Arial" w:hAnsi="Arial"/>
          <w:sz w:val="11"/>
          <w:szCs w:val="11"/>
          <w:color w:val="auto"/>
        </w:rPr>
      </w:pPr>
    </w:p>
    <w:p>
      <w:pPr>
        <w:ind w:left="760" w:right="140" w:hanging="246"/>
        <w:spacing w:after="0" w:line="257" w:lineRule="auto"/>
        <w:tabs>
          <w:tab w:leader="none" w:pos="754" w:val="left"/>
        </w:tabs>
        <w:numPr>
          <w:ilvl w:val="0"/>
          <w:numId w:val="16"/>
        </w:numPr>
        <w:rPr>
          <w:rFonts w:ascii="Arial" w:cs="Arial" w:eastAsia="Arial" w:hAnsi="Arial"/>
          <w:sz w:val="11"/>
          <w:szCs w:val="11"/>
          <w:color w:val="auto"/>
        </w:rPr>
      </w:pPr>
      <w:r>
        <w:rPr>
          <w:rFonts w:ascii="Arial" w:cs="Arial" w:eastAsia="Arial" w:hAnsi="Arial"/>
          <w:sz w:val="11"/>
          <w:szCs w:val="11"/>
          <w:color w:val="auto"/>
        </w:rPr>
        <w:t>= these least squares means are estimates from the MRM model, drawing on all available data, including data from groups with different randomization ratios in Part 1 and Part 2, and should not be interpreted as directly observed data.</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4"/>
          <w:szCs w:val="14"/>
          <w:i w:val="1"/>
          <w:iCs w:val="1"/>
          <w:u w:val="single" w:color="auto"/>
          <w:color w:val="auto"/>
        </w:rPr>
        <w:t>18-Month Visual Acuity Data</w:t>
      </w:r>
    </w:p>
    <w:p>
      <w:pPr>
        <w:spacing w:after="0" w:line="125" w:lineRule="exact"/>
        <w:rPr>
          <w:sz w:val="20"/>
          <w:szCs w:val="20"/>
          <w:color w:val="auto"/>
        </w:rPr>
      </w:pPr>
    </w:p>
    <w:p>
      <w:pPr>
        <w:ind w:firstLine="311"/>
        <w:spacing w:after="0" w:line="297" w:lineRule="auto"/>
        <w:rPr>
          <w:sz w:val="20"/>
          <w:szCs w:val="20"/>
          <w:color w:val="auto"/>
        </w:rPr>
      </w:pPr>
      <w:r>
        <w:rPr>
          <w:rFonts w:ascii="Arial" w:cs="Arial" w:eastAsia="Arial" w:hAnsi="Arial"/>
          <w:sz w:val="13"/>
          <w:szCs w:val="13"/>
          <w:color w:val="auto"/>
        </w:rPr>
        <w:t>In addition to analyzing mean change in GA area, we also performed pre-specified analyses of the mean change in best corrected visual acuity, or BCVA, from baseline to month 18 and the mean change in low luminance best corrected visual acuity, or LL BCVA, from baseline to month 18, both as measured by Early Treatment Diabetic Retinopathy Study, or ETDRS, letters. Testing for visual acuity serves as an important safety assessment to assure that the decrease in visual acuity in the Zimura treatment groups was not clinically different from the sham control groups.</w:t>
      </w:r>
    </w:p>
    <w:p>
      <w:pPr>
        <w:spacing w:after="0" w:line="71" w:lineRule="exact"/>
        <w:rPr>
          <w:sz w:val="20"/>
          <w:szCs w:val="20"/>
          <w:color w:val="auto"/>
        </w:rPr>
      </w:pPr>
    </w:p>
    <w:p>
      <w:pPr>
        <w:ind w:right="140" w:firstLine="280"/>
        <w:spacing w:after="0" w:line="281" w:lineRule="auto"/>
        <w:rPr>
          <w:sz w:val="20"/>
          <w:szCs w:val="20"/>
          <w:color w:val="auto"/>
        </w:rPr>
      </w:pPr>
      <w:r>
        <w:rPr>
          <w:rFonts w:ascii="Arial" w:cs="Arial" w:eastAsia="Arial" w:hAnsi="Arial"/>
          <w:sz w:val="14"/>
          <w:szCs w:val="14"/>
          <w:color w:val="auto"/>
        </w:rPr>
        <w:t>The GATHER1 trial was not designed to reliably assess differences in mean changes in BCVA or LL BCVA with statistical significance. Data for the mean change in BCVA and LL BCVA are summarized in the following tables: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Mean Change in BCVA from Baseline to Month 18</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(MRM Analysis) (ETDRS letters)</w:t>
      </w:r>
    </w:p>
    <w:p>
      <w:pPr>
        <w:spacing w:after="0" w:line="109" w:lineRule="exact"/>
        <w:rPr>
          <w:sz w:val="20"/>
          <w:szCs w:val="20"/>
          <w:color w:val="auto"/>
        </w:rPr>
      </w:pPr>
    </w:p>
    <w:tbl>
      <w:tblPr>
        <w:tblLayout w:type="fixed"/>
        <w:tblInd w:w="1940" w:type="dxa"/>
        <w:tblCellMar>
          <w:top w:w="0" w:type="dxa"/>
          <w:left w:w="0" w:type="dxa"/>
          <w:bottom w:w="0" w:type="dxa"/>
          <w:right w:w="0" w:type="dxa"/>
        </w:tblCellMar>
      </w:tblPr>
      <w:tr>
        <w:trPr>
          <w:trHeight w:val="159"/>
        </w:trPr>
        <w:tc>
          <w:tcPr>
            <w:tcW w:w="2940" w:type="dxa"/>
            <w:vAlign w:val="bottom"/>
            <w:gridSpan w:val="2"/>
            <w:vMerge w:val="restart"/>
          </w:tcPr>
          <w:p>
            <w:pPr>
              <w:ind w:left="1220"/>
              <w:spacing w:after="0"/>
              <w:rPr>
                <w:sz w:val="20"/>
                <w:szCs w:val="20"/>
                <w:color w:val="auto"/>
              </w:rPr>
            </w:pPr>
            <w:r>
              <w:rPr>
                <w:rFonts w:ascii="Arial" w:cs="Arial" w:eastAsia="Arial" w:hAnsi="Arial"/>
                <w:sz w:val="13"/>
                <w:szCs w:val="13"/>
                <w:b w:val="1"/>
                <w:bCs w:val="1"/>
                <w:color w:val="auto"/>
              </w:rPr>
              <w:t>Cohort</w:t>
            </w:r>
          </w:p>
        </w:tc>
        <w:tc>
          <w:tcPr>
            <w:tcW w:w="1520" w:type="dxa"/>
            <w:vAlign w:val="bottom"/>
            <w:gridSpan w:val="2"/>
          </w:tcPr>
          <w:p>
            <w:pPr>
              <w:jc w:val="center"/>
              <w:ind w:right="120"/>
              <w:spacing w:after="0"/>
              <w:rPr>
                <w:sz w:val="20"/>
                <w:szCs w:val="20"/>
                <w:color w:val="auto"/>
              </w:rPr>
            </w:pPr>
            <w:r>
              <w:rPr>
                <w:rFonts w:ascii="Arial" w:cs="Arial" w:eastAsia="Arial" w:hAnsi="Arial"/>
                <w:sz w:val="13"/>
                <w:szCs w:val="13"/>
                <w:color w:val="auto"/>
                <w:w w:val="93"/>
              </w:rPr>
              <w:t>Zimura 2 mg</w:t>
            </w:r>
          </w:p>
        </w:tc>
        <w:tc>
          <w:tcPr>
            <w:tcW w:w="1500" w:type="dxa"/>
            <w:vAlign w:val="bottom"/>
            <w:gridSpan w:val="2"/>
          </w:tcPr>
          <w:p>
            <w:pPr>
              <w:jc w:val="center"/>
              <w:ind w:right="100"/>
              <w:spacing w:after="0"/>
              <w:rPr>
                <w:sz w:val="20"/>
                <w:szCs w:val="20"/>
                <w:color w:val="auto"/>
              </w:rPr>
            </w:pPr>
            <w:r>
              <w:rPr>
                <w:rFonts w:ascii="Arial" w:cs="Arial" w:eastAsia="Arial" w:hAnsi="Arial"/>
                <w:sz w:val="13"/>
                <w:szCs w:val="13"/>
                <w:color w:val="auto"/>
                <w:w w:val="82"/>
              </w:rPr>
              <w:t>Sham</w:t>
            </w:r>
          </w:p>
        </w:tc>
        <w:tc>
          <w:tcPr>
            <w:tcW w:w="14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Difference</w:t>
            </w:r>
          </w:p>
        </w:tc>
        <w:tc>
          <w:tcPr>
            <w:tcW w:w="0" w:type="dxa"/>
            <w:vAlign w:val="bottom"/>
          </w:tcPr>
          <w:p>
            <w:pPr>
              <w:spacing w:after="0"/>
              <w:rPr>
                <w:sz w:val="1"/>
                <w:szCs w:val="1"/>
                <w:color w:val="auto"/>
              </w:rPr>
            </w:pPr>
          </w:p>
        </w:tc>
      </w:tr>
      <w:tr>
        <w:trPr>
          <w:trHeight w:val="161"/>
        </w:trPr>
        <w:tc>
          <w:tcPr>
            <w:tcW w:w="2940" w:type="dxa"/>
            <w:vAlign w:val="bottom"/>
            <w:gridSpan w:val="2"/>
            <w:vMerge w:val="continue"/>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(N = 67)</w:t>
            </w:r>
          </w:p>
        </w:tc>
        <w:tc>
          <w:tcPr>
            <w:tcW w:w="150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(N = 110)</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940" w:type="dxa"/>
            <w:vAlign w:val="bottom"/>
            <w:gridSpan w:val="2"/>
          </w:tcPr>
          <w:p>
            <w:pPr>
              <w:ind w:left="20"/>
              <w:spacing w:after="0"/>
              <w:rPr>
                <w:sz w:val="20"/>
                <w:szCs w:val="20"/>
                <w:color w:val="auto"/>
              </w:rPr>
            </w:pPr>
            <w:r>
              <w:rPr>
                <w:rFonts w:ascii="Arial" w:cs="Arial" w:eastAsia="Arial" w:hAnsi="Arial"/>
                <w:sz w:val="13"/>
                <w:szCs w:val="13"/>
                <w:color w:val="auto"/>
              </w:rPr>
              <w:t>Mean Change in BCVA</w:t>
            </w:r>
            <w:r>
              <w:rPr>
                <w:rFonts w:ascii="Arial" w:cs="Arial" w:eastAsia="Arial" w:hAnsi="Arial"/>
                <w:sz w:val="16"/>
                <w:szCs w:val="16"/>
                <w:color w:val="auto"/>
                <w:vertAlign w:val="superscript"/>
              </w:rPr>
              <w:t>(a)</w:t>
            </w:r>
          </w:p>
        </w:tc>
        <w:tc>
          <w:tcPr>
            <w:tcW w:w="1520" w:type="dxa"/>
            <w:vAlign w:val="bottom"/>
            <w:gridSpan w:val="2"/>
          </w:tcPr>
          <w:p>
            <w:pPr>
              <w:jc w:val="center"/>
              <w:ind w:right="120"/>
              <w:spacing w:after="0"/>
              <w:rPr>
                <w:sz w:val="20"/>
                <w:szCs w:val="20"/>
                <w:color w:val="auto"/>
              </w:rPr>
            </w:pPr>
            <w:r>
              <w:rPr>
                <w:rFonts w:ascii="Arial" w:cs="Arial" w:eastAsia="Arial" w:hAnsi="Arial"/>
                <w:sz w:val="13"/>
                <w:szCs w:val="13"/>
                <w:color w:val="auto"/>
                <w:w w:val="81"/>
              </w:rPr>
              <w:t>-12.7</w:t>
            </w:r>
            <w:r>
              <w:rPr>
                <w:rFonts w:ascii="Arial" w:cs="Arial" w:eastAsia="Arial" w:hAnsi="Arial"/>
                <w:sz w:val="18"/>
                <w:szCs w:val="18"/>
                <w:color w:val="auto"/>
                <w:w w:val="81"/>
                <w:vertAlign w:val="superscript"/>
              </w:rPr>
              <w:t>(b)</w:t>
            </w:r>
          </w:p>
        </w:tc>
        <w:tc>
          <w:tcPr>
            <w:tcW w:w="1500" w:type="dxa"/>
            <w:vAlign w:val="bottom"/>
            <w:gridSpan w:val="2"/>
          </w:tcPr>
          <w:p>
            <w:pPr>
              <w:jc w:val="center"/>
              <w:ind w:right="100"/>
              <w:spacing w:after="0"/>
              <w:rPr>
                <w:sz w:val="20"/>
                <w:szCs w:val="20"/>
                <w:color w:val="auto"/>
              </w:rPr>
            </w:pPr>
            <w:r>
              <w:rPr>
                <w:rFonts w:ascii="Arial" w:cs="Arial" w:eastAsia="Arial" w:hAnsi="Arial"/>
                <w:sz w:val="13"/>
                <w:szCs w:val="13"/>
                <w:color w:val="auto"/>
                <w:w w:val="81"/>
              </w:rPr>
              <w:t>-15.1</w:t>
            </w:r>
            <w:r>
              <w:rPr>
                <w:rFonts w:ascii="Arial" w:cs="Arial" w:eastAsia="Arial" w:hAnsi="Arial"/>
                <w:sz w:val="18"/>
                <w:szCs w:val="18"/>
                <w:color w:val="auto"/>
                <w:w w:val="81"/>
                <w:vertAlign w:val="superscript"/>
              </w:rPr>
              <w:t>(b)</w:t>
            </w:r>
          </w:p>
        </w:tc>
        <w:tc>
          <w:tcPr>
            <w:tcW w:w="1440" w:type="dxa"/>
            <w:vAlign w:val="bottom"/>
          </w:tcPr>
          <w:p>
            <w:pPr>
              <w:jc w:val="center"/>
              <w:spacing w:after="0"/>
              <w:rPr>
                <w:sz w:val="20"/>
                <w:szCs w:val="20"/>
                <w:color w:val="auto"/>
              </w:rPr>
            </w:pPr>
            <w:r>
              <w:rPr>
                <w:rFonts w:ascii="Arial" w:cs="Arial" w:eastAsia="Arial" w:hAnsi="Arial"/>
                <w:sz w:val="13"/>
                <w:szCs w:val="13"/>
                <w:color w:val="auto"/>
                <w:w w:val="86"/>
              </w:rPr>
              <w:t>2.37</w:t>
            </w:r>
          </w:p>
        </w:tc>
        <w:tc>
          <w:tcPr>
            <w:tcW w:w="0" w:type="dxa"/>
            <w:vAlign w:val="bottom"/>
          </w:tcPr>
          <w:p>
            <w:pPr>
              <w:spacing w:after="0"/>
              <w:rPr>
                <w:sz w:val="1"/>
                <w:szCs w:val="1"/>
                <w:color w:val="auto"/>
              </w:rPr>
            </w:pPr>
          </w:p>
        </w:tc>
      </w:tr>
      <w:tr>
        <w:trPr>
          <w:trHeight w:val="216"/>
        </w:trPr>
        <w:tc>
          <w:tcPr>
            <w:tcW w:w="2940" w:type="dxa"/>
            <w:vAlign w:val="bottom"/>
            <w:gridSpan w:val="2"/>
            <w:vMerge w:val="restart"/>
          </w:tcPr>
          <w:p>
            <w:pPr>
              <w:ind w:left="1220"/>
              <w:spacing w:after="0"/>
              <w:rPr>
                <w:sz w:val="20"/>
                <w:szCs w:val="20"/>
                <w:color w:val="auto"/>
              </w:rPr>
            </w:pPr>
            <w:r>
              <w:rPr>
                <w:rFonts w:ascii="Arial" w:cs="Arial" w:eastAsia="Arial" w:hAnsi="Arial"/>
                <w:sz w:val="13"/>
                <w:szCs w:val="13"/>
                <w:b w:val="1"/>
                <w:bCs w:val="1"/>
                <w:color w:val="auto"/>
              </w:rPr>
              <w:t>Cohort</w:t>
            </w:r>
          </w:p>
        </w:tc>
        <w:tc>
          <w:tcPr>
            <w:tcW w:w="1520" w:type="dxa"/>
            <w:vAlign w:val="bottom"/>
            <w:gridSpan w:val="2"/>
          </w:tcPr>
          <w:p>
            <w:pPr>
              <w:jc w:val="center"/>
              <w:ind w:right="120"/>
              <w:spacing w:after="0"/>
              <w:rPr>
                <w:sz w:val="20"/>
                <w:szCs w:val="20"/>
                <w:color w:val="auto"/>
              </w:rPr>
            </w:pPr>
            <w:r>
              <w:rPr>
                <w:rFonts w:ascii="Arial" w:cs="Arial" w:eastAsia="Arial" w:hAnsi="Arial"/>
                <w:sz w:val="13"/>
                <w:szCs w:val="13"/>
                <w:color w:val="auto"/>
                <w:w w:val="93"/>
              </w:rPr>
              <w:t>Zimura 4 mg</w:t>
            </w:r>
          </w:p>
        </w:tc>
        <w:tc>
          <w:tcPr>
            <w:tcW w:w="1500" w:type="dxa"/>
            <w:vAlign w:val="bottom"/>
            <w:gridSpan w:val="2"/>
          </w:tcPr>
          <w:p>
            <w:pPr>
              <w:jc w:val="center"/>
              <w:ind w:right="100"/>
              <w:spacing w:after="0"/>
              <w:rPr>
                <w:sz w:val="20"/>
                <w:szCs w:val="20"/>
                <w:color w:val="auto"/>
              </w:rPr>
            </w:pPr>
            <w:r>
              <w:rPr>
                <w:rFonts w:ascii="Arial" w:cs="Arial" w:eastAsia="Arial" w:hAnsi="Arial"/>
                <w:sz w:val="13"/>
                <w:szCs w:val="13"/>
                <w:color w:val="auto"/>
                <w:w w:val="82"/>
              </w:rPr>
              <w:t>Sham</w:t>
            </w:r>
          </w:p>
        </w:tc>
        <w:tc>
          <w:tcPr>
            <w:tcW w:w="14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Difference</w:t>
            </w:r>
          </w:p>
        </w:tc>
        <w:tc>
          <w:tcPr>
            <w:tcW w:w="0" w:type="dxa"/>
            <w:vAlign w:val="bottom"/>
          </w:tcPr>
          <w:p>
            <w:pPr>
              <w:spacing w:after="0"/>
              <w:rPr>
                <w:sz w:val="1"/>
                <w:szCs w:val="1"/>
                <w:color w:val="auto"/>
              </w:rPr>
            </w:pPr>
          </w:p>
        </w:tc>
      </w:tr>
      <w:tr>
        <w:trPr>
          <w:trHeight w:val="161"/>
        </w:trPr>
        <w:tc>
          <w:tcPr>
            <w:tcW w:w="2940" w:type="dxa"/>
            <w:vAlign w:val="bottom"/>
            <w:gridSpan w:val="2"/>
            <w:vMerge w:val="continue"/>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(N = 83)</w:t>
            </w:r>
          </w:p>
        </w:tc>
        <w:tc>
          <w:tcPr>
            <w:tcW w:w="150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(N = 84)</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940" w:type="dxa"/>
            <w:vAlign w:val="bottom"/>
            <w:gridSpan w:val="2"/>
          </w:tcPr>
          <w:p>
            <w:pPr>
              <w:ind w:left="20"/>
              <w:spacing w:after="0"/>
              <w:rPr>
                <w:sz w:val="20"/>
                <w:szCs w:val="20"/>
                <w:color w:val="auto"/>
              </w:rPr>
            </w:pPr>
            <w:r>
              <w:rPr>
                <w:rFonts w:ascii="Arial" w:cs="Arial" w:eastAsia="Arial" w:hAnsi="Arial"/>
                <w:sz w:val="13"/>
                <w:szCs w:val="13"/>
                <w:color w:val="auto"/>
              </w:rPr>
              <w:t>Mean Change in BCVA</w:t>
            </w:r>
            <w:r>
              <w:rPr>
                <w:rFonts w:ascii="Arial" w:cs="Arial" w:eastAsia="Arial" w:hAnsi="Arial"/>
                <w:sz w:val="16"/>
                <w:szCs w:val="16"/>
                <w:color w:val="auto"/>
                <w:vertAlign w:val="superscript"/>
              </w:rPr>
              <w:t>(a)</w:t>
            </w:r>
          </w:p>
        </w:tc>
        <w:tc>
          <w:tcPr>
            <w:tcW w:w="1400" w:type="dxa"/>
            <w:vAlign w:val="bottom"/>
          </w:tcPr>
          <w:p>
            <w:pPr>
              <w:jc w:val="center"/>
              <w:spacing w:after="0"/>
              <w:rPr>
                <w:sz w:val="20"/>
                <w:szCs w:val="20"/>
                <w:color w:val="auto"/>
              </w:rPr>
            </w:pPr>
            <w:r>
              <w:rPr>
                <w:rFonts w:ascii="Arial" w:cs="Arial" w:eastAsia="Arial" w:hAnsi="Arial"/>
                <w:sz w:val="13"/>
                <w:szCs w:val="13"/>
                <w:color w:val="auto"/>
                <w:w w:val="94"/>
              </w:rPr>
              <w:t>-4.27</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4"/>
              </w:rPr>
              <w:t>-7.07</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86"/>
              </w:rPr>
              <w:t>2.80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540"/>
        <w:spacing w:after="0"/>
        <w:rPr>
          <w:sz w:val="20"/>
          <w:szCs w:val="20"/>
          <w:color w:val="auto"/>
        </w:rPr>
      </w:pPr>
      <w:r>
        <w:rPr>
          <w:rFonts w:ascii="Arial" w:cs="Arial" w:eastAsia="Arial" w:hAnsi="Arial"/>
          <w:sz w:val="11"/>
          <w:szCs w:val="11"/>
          <w:color w:val="auto"/>
        </w:rPr>
        <w:t>(a) = based on the least squares mean from the MRM model</w:t>
      </w:r>
    </w:p>
    <w:p>
      <w:pPr>
        <w:spacing w:after="0" w:line="11" w:lineRule="exact"/>
        <w:rPr>
          <w:sz w:val="20"/>
          <w:szCs w:val="20"/>
          <w:color w:val="auto"/>
        </w:rPr>
      </w:pPr>
    </w:p>
    <w:p>
      <w:pPr>
        <w:ind w:left="1780" w:right="60" w:hanging="247"/>
        <w:spacing w:after="0" w:line="257" w:lineRule="auto"/>
        <w:tabs>
          <w:tab w:leader="none" w:pos="1778" w:val="left"/>
        </w:tabs>
        <w:numPr>
          <w:ilvl w:val="0"/>
          <w:numId w:val="17"/>
        </w:numPr>
        <w:rPr>
          <w:rFonts w:ascii="Arial" w:cs="Arial" w:eastAsia="Arial" w:hAnsi="Arial"/>
          <w:sz w:val="11"/>
          <w:szCs w:val="11"/>
          <w:color w:val="auto"/>
        </w:rPr>
      </w:pPr>
      <w:r>
        <w:rPr>
          <w:rFonts w:ascii="Arial" w:cs="Arial" w:eastAsia="Arial" w:hAnsi="Arial"/>
          <w:sz w:val="11"/>
          <w:szCs w:val="11"/>
          <w:color w:val="auto"/>
        </w:rPr>
        <w:t>= these least squares means are estimates from the MRM model, drawing on all available data, including data from groups with different randomization ratios in Part 1 and Part 2, and should not be interpreted as directly observed data.</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Mean Change in LL BCVA from Baseline to Month 18</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(MRM Analysis) (ETDRS letters)</w:t>
      </w:r>
    </w:p>
    <w:p>
      <w:pPr>
        <w:spacing w:after="0" w:line="109" w:lineRule="exact"/>
        <w:rPr>
          <w:sz w:val="20"/>
          <w:szCs w:val="20"/>
          <w:color w:val="auto"/>
        </w:rPr>
      </w:pPr>
    </w:p>
    <w:tbl>
      <w:tblPr>
        <w:tblLayout w:type="fixed"/>
        <w:tblInd w:w="1940" w:type="dxa"/>
        <w:tblCellMar>
          <w:top w:w="0" w:type="dxa"/>
          <w:left w:w="0" w:type="dxa"/>
          <w:bottom w:w="0" w:type="dxa"/>
          <w:right w:w="0" w:type="dxa"/>
        </w:tblCellMar>
      </w:tblPr>
      <w:tr>
        <w:trPr>
          <w:trHeight w:val="159"/>
        </w:trPr>
        <w:tc>
          <w:tcPr>
            <w:tcW w:w="2940" w:type="dxa"/>
            <w:vAlign w:val="bottom"/>
            <w:gridSpan w:val="2"/>
            <w:vMerge w:val="restart"/>
          </w:tcPr>
          <w:p>
            <w:pPr>
              <w:ind w:left="1220"/>
              <w:spacing w:after="0"/>
              <w:rPr>
                <w:sz w:val="20"/>
                <w:szCs w:val="20"/>
                <w:color w:val="auto"/>
              </w:rPr>
            </w:pPr>
            <w:r>
              <w:rPr>
                <w:rFonts w:ascii="Arial" w:cs="Arial" w:eastAsia="Arial" w:hAnsi="Arial"/>
                <w:sz w:val="13"/>
                <w:szCs w:val="13"/>
                <w:b w:val="1"/>
                <w:bCs w:val="1"/>
                <w:color w:val="auto"/>
              </w:rPr>
              <w:t>Cohort</w:t>
            </w:r>
          </w:p>
        </w:tc>
        <w:tc>
          <w:tcPr>
            <w:tcW w:w="1520" w:type="dxa"/>
            <w:vAlign w:val="bottom"/>
            <w:gridSpan w:val="2"/>
          </w:tcPr>
          <w:p>
            <w:pPr>
              <w:jc w:val="center"/>
              <w:ind w:right="120"/>
              <w:spacing w:after="0"/>
              <w:rPr>
                <w:sz w:val="20"/>
                <w:szCs w:val="20"/>
                <w:color w:val="auto"/>
              </w:rPr>
            </w:pPr>
            <w:r>
              <w:rPr>
                <w:rFonts w:ascii="Arial" w:cs="Arial" w:eastAsia="Arial" w:hAnsi="Arial"/>
                <w:sz w:val="13"/>
                <w:szCs w:val="13"/>
                <w:color w:val="auto"/>
                <w:w w:val="93"/>
              </w:rPr>
              <w:t>Zimura 2 mg</w:t>
            </w:r>
          </w:p>
        </w:tc>
        <w:tc>
          <w:tcPr>
            <w:tcW w:w="1500" w:type="dxa"/>
            <w:vAlign w:val="bottom"/>
            <w:gridSpan w:val="2"/>
          </w:tcPr>
          <w:p>
            <w:pPr>
              <w:jc w:val="center"/>
              <w:ind w:right="100"/>
              <w:spacing w:after="0"/>
              <w:rPr>
                <w:sz w:val="20"/>
                <w:szCs w:val="20"/>
                <w:color w:val="auto"/>
              </w:rPr>
            </w:pPr>
            <w:r>
              <w:rPr>
                <w:rFonts w:ascii="Arial" w:cs="Arial" w:eastAsia="Arial" w:hAnsi="Arial"/>
                <w:sz w:val="13"/>
                <w:szCs w:val="13"/>
                <w:color w:val="auto"/>
                <w:w w:val="82"/>
              </w:rPr>
              <w:t>Sham</w:t>
            </w:r>
          </w:p>
        </w:tc>
        <w:tc>
          <w:tcPr>
            <w:tcW w:w="14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Difference</w:t>
            </w:r>
          </w:p>
        </w:tc>
        <w:tc>
          <w:tcPr>
            <w:tcW w:w="0" w:type="dxa"/>
            <w:vAlign w:val="bottom"/>
          </w:tcPr>
          <w:p>
            <w:pPr>
              <w:spacing w:after="0"/>
              <w:rPr>
                <w:sz w:val="1"/>
                <w:szCs w:val="1"/>
                <w:color w:val="auto"/>
              </w:rPr>
            </w:pPr>
          </w:p>
        </w:tc>
      </w:tr>
      <w:tr>
        <w:trPr>
          <w:trHeight w:val="161"/>
        </w:trPr>
        <w:tc>
          <w:tcPr>
            <w:tcW w:w="2940" w:type="dxa"/>
            <w:vAlign w:val="bottom"/>
            <w:gridSpan w:val="2"/>
            <w:vMerge w:val="continue"/>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(N = 67)</w:t>
            </w:r>
          </w:p>
        </w:tc>
        <w:tc>
          <w:tcPr>
            <w:tcW w:w="150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(N = 110)</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940" w:type="dxa"/>
            <w:vAlign w:val="bottom"/>
            <w:gridSpan w:val="2"/>
          </w:tcPr>
          <w:p>
            <w:pPr>
              <w:ind w:left="20"/>
              <w:spacing w:after="0"/>
              <w:rPr>
                <w:sz w:val="20"/>
                <w:szCs w:val="20"/>
                <w:color w:val="auto"/>
              </w:rPr>
            </w:pPr>
            <w:r>
              <w:rPr>
                <w:rFonts w:ascii="Arial" w:cs="Arial" w:eastAsia="Arial" w:hAnsi="Arial"/>
                <w:sz w:val="13"/>
                <w:szCs w:val="13"/>
                <w:color w:val="auto"/>
              </w:rPr>
              <w:t>Mean Change in LL BCVA</w:t>
            </w:r>
            <w:r>
              <w:rPr>
                <w:rFonts w:ascii="Arial" w:cs="Arial" w:eastAsia="Arial" w:hAnsi="Arial"/>
                <w:sz w:val="16"/>
                <w:szCs w:val="16"/>
                <w:color w:val="auto"/>
                <w:vertAlign w:val="superscript"/>
              </w:rPr>
              <w:t>(a)</w:t>
            </w:r>
          </w:p>
        </w:tc>
        <w:tc>
          <w:tcPr>
            <w:tcW w:w="1520" w:type="dxa"/>
            <w:vAlign w:val="bottom"/>
            <w:gridSpan w:val="2"/>
          </w:tcPr>
          <w:p>
            <w:pPr>
              <w:jc w:val="center"/>
              <w:ind w:right="120"/>
              <w:spacing w:after="0"/>
              <w:rPr>
                <w:sz w:val="20"/>
                <w:szCs w:val="20"/>
                <w:color w:val="auto"/>
              </w:rPr>
            </w:pPr>
            <w:r>
              <w:rPr>
                <w:rFonts w:ascii="Arial" w:cs="Arial" w:eastAsia="Arial" w:hAnsi="Arial"/>
                <w:sz w:val="13"/>
                <w:szCs w:val="13"/>
                <w:color w:val="auto"/>
                <w:w w:val="81"/>
              </w:rPr>
              <w:t>-2.72</w:t>
            </w:r>
            <w:r>
              <w:rPr>
                <w:rFonts w:ascii="Arial" w:cs="Arial" w:eastAsia="Arial" w:hAnsi="Arial"/>
                <w:sz w:val="18"/>
                <w:szCs w:val="18"/>
                <w:color w:val="auto"/>
                <w:w w:val="81"/>
                <w:vertAlign w:val="superscript"/>
              </w:rPr>
              <w:t>(b)</w:t>
            </w:r>
          </w:p>
        </w:tc>
        <w:tc>
          <w:tcPr>
            <w:tcW w:w="1500" w:type="dxa"/>
            <w:vAlign w:val="bottom"/>
            <w:gridSpan w:val="2"/>
          </w:tcPr>
          <w:p>
            <w:pPr>
              <w:jc w:val="center"/>
              <w:ind w:right="100"/>
              <w:spacing w:after="0"/>
              <w:rPr>
                <w:sz w:val="20"/>
                <w:szCs w:val="20"/>
                <w:color w:val="auto"/>
              </w:rPr>
            </w:pPr>
            <w:r>
              <w:rPr>
                <w:rFonts w:ascii="Arial" w:cs="Arial" w:eastAsia="Arial" w:hAnsi="Arial"/>
                <w:sz w:val="13"/>
                <w:szCs w:val="13"/>
                <w:color w:val="auto"/>
                <w:w w:val="81"/>
              </w:rPr>
              <w:t>-3.10</w:t>
            </w:r>
            <w:r>
              <w:rPr>
                <w:rFonts w:ascii="Arial" w:cs="Arial" w:eastAsia="Arial" w:hAnsi="Arial"/>
                <w:sz w:val="18"/>
                <w:szCs w:val="18"/>
                <w:color w:val="auto"/>
                <w:w w:val="81"/>
                <w:vertAlign w:val="superscript"/>
              </w:rPr>
              <w:t>(b)</w:t>
            </w:r>
          </w:p>
        </w:tc>
        <w:tc>
          <w:tcPr>
            <w:tcW w:w="1440" w:type="dxa"/>
            <w:vAlign w:val="bottom"/>
          </w:tcPr>
          <w:p>
            <w:pPr>
              <w:jc w:val="center"/>
              <w:spacing w:after="0"/>
              <w:rPr>
                <w:sz w:val="20"/>
                <w:szCs w:val="20"/>
                <w:color w:val="auto"/>
              </w:rPr>
            </w:pPr>
            <w:r>
              <w:rPr>
                <w:rFonts w:ascii="Arial" w:cs="Arial" w:eastAsia="Arial" w:hAnsi="Arial"/>
                <w:sz w:val="13"/>
                <w:szCs w:val="13"/>
                <w:color w:val="auto"/>
                <w:w w:val="86"/>
              </w:rPr>
              <w:t>0.37</w:t>
            </w:r>
          </w:p>
        </w:tc>
        <w:tc>
          <w:tcPr>
            <w:tcW w:w="0" w:type="dxa"/>
            <w:vAlign w:val="bottom"/>
          </w:tcPr>
          <w:p>
            <w:pPr>
              <w:spacing w:after="0"/>
              <w:rPr>
                <w:sz w:val="1"/>
                <w:szCs w:val="1"/>
                <w:color w:val="auto"/>
              </w:rPr>
            </w:pPr>
          </w:p>
        </w:tc>
      </w:tr>
      <w:tr>
        <w:trPr>
          <w:trHeight w:val="216"/>
        </w:trPr>
        <w:tc>
          <w:tcPr>
            <w:tcW w:w="2940" w:type="dxa"/>
            <w:vAlign w:val="bottom"/>
            <w:gridSpan w:val="2"/>
            <w:vMerge w:val="restart"/>
          </w:tcPr>
          <w:p>
            <w:pPr>
              <w:ind w:left="1220"/>
              <w:spacing w:after="0"/>
              <w:rPr>
                <w:sz w:val="20"/>
                <w:szCs w:val="20"/>
                <w:color w:val="auto"/>
              </w:rPr>
            </w:pPr>
            <w:r>
              <w:rPr>
                <w:rFonts w:ascii="Arial" w:cs="Arial" w:eastAsia="Arial" w:hAnsi="Arial"/>
                <w:sz w:val="13"/>
                <w:szCs w:val="13"/>
                <w:b w:val="1"/>
                <w:bCs w:val="1"/>
                <w:color w:val="auto"/>
              </w:rPr>
              <w:t>Cohort</w:t>
            </w:r>
          </w:p>
        </w:tc>
        <w:tc>
          <w:tcPr>
            <w:tcW w:w="1520" w:type="dxa"/>
            <w:vAlign w:val="bottom"/>
            <w:gridSpan w:val="2"/>
          </w:tcPr>
          <w:p>
            <w:pPr>
              <w:jc w:val="center"/>
              <w:ind w:right="120"/>
              <w:spacing w:after="0"/>
              <w:rPr>
                <w:sz w:val="20"/>
                <w:szCs w:val="20"/>
                <w:color w:val="auto"/>
              </w:rPr>
            </w:pPr>
            <w:r>
              <w:rPr>
                <w:rFonts w:ascii="Arial" w:cs="Arial" w:eastAsia="Arial" w:hAnsi="Arial"/>
                <w:sz w:val="13"/>
                <w:szCs w:val="13"/>
                <w:color w:val="auto"/>
                <w:w w:val="93"/>
              </w:rPr>
              <w:t>Zimura 4 mg</w:t>
            </w:r>
          </w:p>
        </w:tc>
        <w:tc>
          <w:tcPr>
            <w:tcW w:w="1500" w:type="dxa"/>
            <w:vAlign w:val="bottom"/>
            <w:gridSpan w:val="2"/>
          </w:tcPr>
          <w:p>
            <w:pPr>
              <w:jc w:val="center"/>
              <w:ind w:right="100"/>
              <w:spacing w:after="0"/>
              <w:rPr>
                <w:sz w:val="20"/>
                <w:szCs w:val="20"/>
                <w:color w:val="auto"/>
              </w:rPr>
            </w:pPr>
            <w:r>
              <w:rPr>
                <w:rFonts w:ascii="Arial" w:cs="Arial" w:eastAsia="Arial" w:hAnsi="Arial"/>
                <w:sz w:val="13"/>
                <w:szCs w:val="13"/>
                <w:color w:val="auto"/>
                <w:w w:val="82"/>
              </w:rPr>
              <w:t>Sham</w:t>
            </w:r>
          </w:p>
        </w:tc>
        <w:tc>
          <w:tcPr>
            <w:tcW w:w="14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Difference</w:t>
            </w:r>
          </w:p>
        </w:tc>
        <w:tc>
          <w:tcPr>
            <w:tcW w:w="0" w:type="dxa"/>
            <w:vAlign w:val="bottom"/>
          </w:tcPr>
          <w:p>
            <w:pPr>
              <w:spacing w:after="0"/>
              <w:rPr>
                <w:sz w:val="1"/>
                <w:szCs w:val="1"/>
                <w:color w:val="auto"/>
              </w:rPr>
            </w:pPr>
          </w:p>
        </w:tc>
      </w:tr>
      <w:tr>
        <w:trPr>
          <w:trHeight w:val="161"/>
        </w:trPr>
        <w:tc>
          <w:tcPr>
            <w:tcW w:w="2940" w:type="dxa"/>
            <w:vAlign w:val="bottom"/>
            <w:gridSpan w:val="2"/>
            <w:vMerge w:val="continue"/>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(N = 83)</w:t>
            </w:r>
          </w:p>
        </w:tc>
        <w:tc>
          <w:tcPr>
            <w:tcW w:w="150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(N = 84)</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940" w:type="dxa"/>
            <w:vAlign w:val="bottom"/>
            <w:gridSpan w:val="2"/>
          </w:tcPr>
          <w:p>
            <w:pPr>
              <w:ind w:left="20"/>
              <w:spacing w:after="0"/>
              <w:rPr>
                <w:sz w:val="20"/>
                <w:szCs w:val="20"/>
                <w:color w:val="auto"/>
              </w:rPr>
            </w:pPr>
            <w:r>
              <w:rPr>
                <w:rFonts w:ascii="Arial" w:cs="Arial" w:eastAsia="Arial" w:hAnsi="Arial"/>
                <w:sz w:val="13"/>
                <w:szCs w:val="13"/>
                <w:color w:val="auto"/>
              </w:rPr>
              <w:t>Mean Change in LL BCVA</w:t>
            </w:r>
            <w:r>
              <w:rPr>
                <w:rFonts w:ascii="Arial" w:cs="Arial" w:eastAsia="Arial" w:hAnsi="Arial"/>
                <w:sz w:val="16"/>
                <w:szCs w:val="16"/>
                <w:color w:val="auto"/>
                <w:vertAlign w:val="superscript"/>
              </w:rPr>
              <w:t>(a)</w:t>
            </w:r>
          </w:p>
        </w:tc>
        <w:tc>
          <w:tcPr>
            <w:tcW w:w="1400" w:type="dxa"/>
            <w:vAlign w:val="bottom"/>
          </w:tcPr>
          <w:p>
            <w:pPr>
              <w:jc w:val="center"/>
              <w:spacing w:after="0"/>
              <w:rPr>
                <w:sz w:val="20"/>
                <w:szCs w:val="20"/>
                <w:color w:val="auto"/>
              </w:rPr>
            </w:pPr>
            <w:r>
              <w:rPr>
                <w:rFonts w:ascii="Arial" w:cs="Arial" w:eastAsia="Arial" w:hAnsi="Arial"/>
                <w:sz w:val="13"/>
                <w:szCs w:val="13"/>
                <w:color w:val="auto"/>
                <w:w w:val="94"/>
              </w:rPr>
              <w:t>2.85</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86"/>
              </w:rPr>
              <w:t>1.68</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86"/>
              </w:rPr>
              <w:t>1.17</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720" w:hanging="187"/>
        <w:spacing w:after="0"/>
        <w:tabs>
          <w:tab w:leader="none" w:pos="17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 based on the least squares mean from the MRM model</w:t>
      </w:r>
    </w:p>
    <w:p>
      <w:pPr>
        <w:spacing w:after="0" w:line="10" w:lineRule="exact"/>
        <w:rPr>
          <w:rFonts w:ascii="Arial" w:cs="Arial" w:eastAsia="Arial" w:hAnsi="Arial"/>
          <w:sz w:val="11"/>
          <w:szCs w:val="11"/>
          <w:color w:val="auto"/>
        </w:rPr>
      </w:pPr>
    </w:p>
    <w:p>
      <w:pPr>
        <w:ind w:left="1780" w:right="20" w:hanging="247"/>
        <w:spacing w:after="0" w:line="257" w:lineRule="auto"/>
        <w:tabs>
          <w:tab w:leader="none" w:pos="1685" w:val="left"/>
        </w:tabs>
        <w:numPr>
          <w:ilvl w:val="0"/>
          <w:numId w:val="18"/>
        </w:numPr>
        <w:rPr>
          <w:rFonts w:ascii="Arial" w:cs="Arial" w:eastAsia="Arial" w:hAnsi="Arial"/>
          <w:sz w:val="11"/>
          <w:szCs w:val="11"/>
          <w:color w:val="auto"/>
        </w:rPr>
      </w:pPr>
      <w:r>
        <w:rPr>
          <w:rFonts w:ascii="Arial" w:cs="Arial" w:eastAsia="Arial" w:hAnsi="Arial"/>
          <w:sz w:val="11"/>
          <w:szCs w:val="11"/>
          <w:color w:val="auto"/>
        </w:rPr>
        <w:t>= these least squares means are estimates from the MRM model, drawing on all available data, including data from groups with different randomization ratios in Part 1 and Part 2, and should not be interpreted as directly observed data.</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Arial" w:cs="Arial" w:eastAsia="Arial" w:hAnsi="Arial"/>
          <w:sz w:val="14"/>
          <w:szCs w:val="14"/>
          <w:i w:val="1"/>
          <w:iCs w:val="1"/>
          <w:u w:val="single" w:color="auto"/>
          <w:color w:val="auto"/>
        </w:rPr>
        <w:t>Zimura 1 mg 18-Month Efficacy Data</w:t>
      </w:r>
    </w:p>
    <w:p>
      <w:pPr>
        <w:spacing w:after="0" w:line="20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We performed descriptive analyses on the 18 month data for patients in the Zimura 1 mg group as compared to the patients in the sham control group in Part 1 of the trial.</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mean rate of change in GA area for the Zimura 1 mg group and the corresponding sham group from Part 1 of the trial over 18 months is summarized in the following table: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Summary of GA Area (mm) and Mean Percentage Change from Baseline to Month 18</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(Square Root Transformation)</w:t>
      </w:r>
    </w:p>
    <w:p>
      <w:pPr>
        <w:spacing w:after="0" w:line="119" w:lineRule="exact"/>
        <w:rPr>
          <w:sz w:val="20"/>
          <w:szCs w:val="20"/>
          <w:color w:val="auto"/>
        </w:rPr>
      </w:pPr>
    </w:p>
    <w:tbl>
      <w:tblPr>
        <w:tblLayout w:type="fixed"/>
        <w:tblInd w:w="1880" w:type="dxa"/>
        <w:tblCellMar>
          <w:top w:w="0" w:type="dxa"/>
          <w:left w:w="0" w:type="dxa"/>
          <w:bottom w:w="0" w:type="dxa"/>
          <w:right w:w="0" w:type="dxa"/>
        </w:tblCellMar>
      </w:tblPr>
      <w:tr>
        <w:trPr>
          <w:trHeight w:val="159"/>
        </w:trPr>
        <w:tc>
          <w:tcPr>
            <w:tcW w:w="4140" w:type="dxa"/>
            <w:vAlign w:val="bottom"/>
            <w:gridSpan w:val="2"/>
            <w:vMerge w:val="restart"/>
          </w:tcPr>
          <w:p>
            <w:pPr>
              <w:ind w:left="1820"/>
              <w:spacing w:after="0"/>
              <w:rPr>
                <w:sz w:val="20"/>
                <w:szCs w:val="20"/>
                <w:color w:val="auto"/>
              </w:rPr>
            </w:pPr>
            <w:r>
              <w:rPr>
                <w:rFonts w:ascii="Arial" w:cs="Arial" w:eastAsia="Arial" w:hAnsi="Arial"/>
                <w:sz w:val="13"/>
                <w:szCs w:val="13"/>
                <w:b w:val="1"/>
                <w:bCs w:val="1"/>
                <w:color w:val="auto"/>
              </w:rPr>
              <w:t>Cohort</w:t>
            </w:r>
          </w:p>
        </w:tc>
        <w:tc>
          <w:tcPr>
            <w:tcW w:w="1760" w:type="dxa"/>
            <w:vAlign w:val="bottom"/>
            <w:gridSpan w:val="2"/>
          </w:tcPr>
          <w:p>
            <w:pPr>
              <w:jc w:val="center"/>
              <w:ind w:right="120"/>
              <w:spacing w:after="0"/>
              <w:rPr>
                <w:sz w:val="20"/>
                <w:szCs w:val="20"/>
                <w:color w:val="auto"/>
              </w:rPr>
            </w:pPr>
            <w:r>
              <w:rPr>
                <w:rFonts w:ascii="Arial" w:cs="Arial" w:eastAsia="Arial" w:hAnsi="Arial"/>
                <w:sz w:val="13"/>
                <w:szCs w:val="13"/>
                <w:color w:val="auto"/>
                <w:w w:val="93"/>
              </w:rPr>
              <w:t>Zimura 1 mg</w:t>
            </w:r>
          </w:p>
        </w:tc>
        <w:tc>
          <w:tcPr>
            <w:tcW w:w="1640" w:type="dxa"/>
            <w:vAlign w:val="bottom"/>
          </w:tcPr>
          <w:p>
            <w:pPr>
              <w:jc w:val="center"/>
              <w:spacing w:after="0"/>
              <w:rPr>
                <w:sz w:val="20"/>
                <w:szCs w:val="20"/>
                <w:color w:val="auto"/>
              </w:rPr>
            </w:pPr>
            <w:r>
              <w:rPr>
                <w:rFonts w:ascii="Arial" w:cs="Arial" w:eastAsia="Arial" w:hAnsi="Arial"/>
                <w:sz w:val="13"/>
                <w:szCs w:val="13"/>
                <w:color w:val="auto"/>
                <w:w w:val="88"/>
              </w:rPr>
              <w:t>Sham</w:t>
            </w:r>
          </w:p>
        </w:tc>
        <w:tc>
          <w:tcPr>
            <w:tcW w:w="0" w:type="dxa"/>
            <w:vAlign w:val="bottom"/>
          </w:tcPr>
          <w:p>
            <w:pPr>
              <w:spacing w:after="0"/>
              <w:rPr>
                <w:sz w:val="1"/>
                <w:szCs w:val="1"/>
                <w:color w:val="auto"/>
              </w:rPr>
            </w:pPr>
          </w:p>
        </w:tc>
      </w:tr>
      <w:tr>
        <w:trPr>
          <w:trHeight w:val="161"/>
        </w:trPr>
        <w:tc>
          <w:tcPr>
            <w:tcW w:w="4140" w:type="dxa"/>
            <w:vAlign w:val="bottom"/>
            <w:gridSpan w:val="2"/>
            <w:vMerge w:val="continue"/>
          </w:tcPr>
          <w:p>
            <w:pPr>
              <w:spacing w:after="0"/>
              <w:rPr>
                <w:sz w:val="14"/>
                <w:szCs w:val="14"/>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(N = 26)</w:t>
            </w:r>
          </w:p>
        </w:tc>
        <w:tc>
          <w:tcPr>
            <w:tcW w:w="1640" w:type="dxa"/>
            <w:vAlign w:val="bottom"/>
          </w:tcPr>
          <w:p>
            <w:pPr>
              <w:jc w:val="center"/>
              <w:spacing w:after="0"/>
              <w:rPr>
                <w:sz w:val="20"/>
                <w:szCs w:val="20"/>
                <w:color w:val="auto"/>
              </w:rPr>
            </w:pPr>
            <w:r>
              <w:rPr>
                <w:rFonts w:ascii="Arial" w:cs="Arial" w:eastAsia="Arial" w:hAnsi="Arial"/>
                <w:sz w:val="13"/>
                <w:szCs w:val="13"/>
                <w:color w:val="auto"/>
                <w:w w:val="92"/>
              </w:rPr>
              <w:t>(N = 26)</w:t>
            </w:r>
          </w:p>
        </w:tc>
        <w:tc>
          <w:tcPr>
            <w:tcW w:w="0" w:type="dxa"/>
            <w:vAlign w:val="bottom"/>
          </w:tcPr>
          <w:p>
            <w:pPr>
              <w:spacing w:after="0"/>
              <w:rPr>
                <w:sz w:val="1"/>
                <w:szCs w:val="1"/>
                <w:color w:val="auto"/>
              </w:rPr>
            </w:pPr>
          </w:p>
        </w:tc>
      </w:tr>
      <w:tr>
        <w:trPr>
          <w:trHeight w:val="26"/>
        </w:trPr>
        <w:tc>
          <w:tcPr>
            <w:tcW w:w="4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140" w:type="dxa"/>
            <w:vAlign w:val="bottom"/>
            <w:gridSpan w:val="2"/>
          </w:tcPr>
          <w:p>
            <w:pPr>
              <w:ind w:left="20"/>
              <w:spacing w:after="0"/>
              <w:rPr>
                <w:sz w:val="20"/>
                <w:szCs w:val="20"/>
                <w:color w:val="auto"/>
              </w:rPr>
            </w:pPr>
            <w:r>
              <w:rPr>
                <w:rFonts w:ascii="Arial" w:cs="Arial" w:eastAsia="Arial" w:hAnsi="Arial"/>
                <w:sz w:val="13"/>
                <w:szCs w:val="13"/>
                <w:color w:val="auto"/>
              </w:rPr>
              <w:t>Mean Sq. Root of GA at BL, mm</w:t>
            </w:r>
          </w:p>
        </w:tc>
        <w:tc>
          <w:tcPr>
            <w:tcW w:w="1640" w:type="dxa"/>
            <w:vAlign w:val="bottom"/>
          </w:tcPr>
          <w:p>
            <w:pPr>
              <w:jc w:val="center"/>
              <w:spacing w:after="0"/>
              <w:rPr>
                <w:sz w:val="20"/>
                <w:szCs w:val="20"/>
                <w:color w:val="auto"/>
              </w:rPr>
            </w:pPr>
            <w:r>
              <w:rPr>
                <w:rFonts w:ascii="Arial" w:cs="Arial" w:eastAsia="Arial" w:hAnsi="Arial"/>
                <w:sz w:val="13"/>
                <w:szCs w:val="13"/>
                <w:color w:val="auto"/>
                <w:w w:val="85"/>
              </w:rPr>
              <w:t>2.591</w:t>
            </w:r>
          </w:p>
        </w:tc>
        <w:tc>
          <w:tcPr>
            <w:tcW w:w="1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auto"/>
                <w:w w:val="92"/>
              </w:rPr>
              <w:t>2.623</w:t>
            </w:r>
          </w:p>
        </w:tc>
        <w:tc>
          <w:tcPr>
            <w:tcW w:w="0" w:type="dxa"/>
            <w:vAlign w:val="bottom"/>
          </w:tcPr>
          <w:p>
            <w:pPr>
              <w:spacing w:after="0"/>
              <w:rPr>
                <w:sz w:val="1"/>
                <w:szCs w:val="1"/>
                <w:color w:val="auto"/>
              </w:rPr>
            </w:pPr>
          </w:p>
        </w:tc>
      </w:tr>
      <w:tr>
        <w:trPr>
          <w:trHeight w:val="202"/>
        </w:trPr>
        <w:tc>
          <w:tcPr>
            <w:tcW w:w="4140" w:type="dxa"/>
            <w:vAlign w:val="bottom"/>
            <w:gridSpan w:val="2"/>
          </w:tcPr>
          <w:p>
            <w:pPr>
              <w:ind w:left="20"/>
              <w:spacing w:after="0"/>
              <w:rPr>
                <w:sz w:val="20"/>
                <w:szCs w:val="20"/>
                <w:color w:val="auto"/>
              </w:rPr>
            </w:pPr>
            <w:r>
              <w:rPr>
                <w:rFonts w:ascii="Arial" w:cs="Arial" w:eastAsia="Arial" w:hAnsi="Arial"/>
                <w:sz w:val="13"/>
                <w:szCs w:val="13"/>
                <w:color w:val="auto"/>
              </w:rPr>
              <w:t>Mean Sq. Root of GA at M18, mm</w:t>
            </w:r>
          </w:p>
        </w:tc>
        <w:tc>
          <w:tcPr>
            <w:tcW w:w="1640" w:type="dxa"/>
            <w:vAlign w:val="bottom"/>
          </w:tcPr>
          <w:p>
            <w:pPr>
              <w:jc w:val="center"/>
              <w:spacing w:after="0"/>
              <w:rPr>
                <w:sz w:val="20"/>
                <w:szCs w:val="20"/>
                <w:color w:val="auto"/>
              </w:rPr>
            </w:pPr>
            <w:r>
              <w:rPr>
                <w:rFonts w:ascii="Arial" w:cs="Arial" w:eastAsia="Arial" w:hAnsi="Arial"/>
                <w:sz w:val="13"/>
                <w:szCs w:val="13"/>
                <w:color w:val="auto"/>
                <w:w w:val="85"/>
              </w:rPr>
              <w:t>3.258</w:t>
            </w:r>
          </w:p>
        </w:tc>
        <w:tc>
          <w:tcPr>
            <w:tcW w:w="12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auto"/>
                <w:w w:val="92"/>
              </w:rPr>
              <w:t>3.230</w:t>
            </w:r>
          </w:p>
        </w:tc>
        <w:tc>
          <w:tcPr>
            <w:tcW w:w="0" w:type="dxa"/>
            <w:vAlign w:val="bottom"/>
          </w:tcPr>
          <w:p>
            <w:pPr>
              <w:spacing w:after="0"/>
              <w:rPr>
                <w:sz w:val="1"/>
                <w:szCs w:val="1"/>
                <w:color w:val="auto"/>
              </w:rPr>
            </w:pPr>
          </w:p>
        </w:tc>
      </w:tr>
      <w:tr>
        <w:trPr>
          <w:trHeight w:val="202"/>
        </w:trPr>
        <w:tc>
          <w:tcPr>
            <w:tcW w:w="4140" w:type="dxa"/>
            <w:vAlign w:val="bottom"/>
            <w:gridSpan w:val="2"/>
          </w:tcPr>
          <w:p>
            <w:pPr>
              <w:ind w:left="20"/>
              <w:spacing w:after="0"/>
              <w:rPr>
                <w:sz w:val="20"/>
                <w:szCs w:val="20"/>
                <w:color w:val="auto"/>
              </w:rPr>
            </w:pPr>
            <w:r>
              <w:rPr>
                <w:rFonts w:ascii="Arial" w:cs="Arial" w:eastAsia="Arial" w:hAnsi="Arial"/>
                <w:sz w:val="13"/>
                <w:szCs w:val="13"/>
                <w:color w:val="auto"/>
              </w:rPr>
              <w:t>Difference</w:t>
            </w:r>
          </w:p>
        </w:tc>
        <w:tc>
          <w:tcPr>
            <w:tcW w:w="1640" w:type="dxa"/>
            <w:vAlign w:val="bottom"/>
          </w:tcPr>
          <w:p>
            <w:pPr>
              <w:jc w:val="center"/>
              <w:spacing w:after="0"/>
              <w:rPr>
                <w:sz w:val="20"/>
                <w:szCs w:val="20"/>
                <w:color w:val="auto"/>
              </w:rPr>
            </w:pPr>
            <w:r>
              <w:rPr>
                <w:rFonts w:ascii="Arial" w:cs="Arial" w:eastAsia="Arial" w:hAnsi="Arial"/>
                <w:sz w:val="13"/>
                <w:szCs w:val="13"/>
                <w:color w:val="auto"/>
                <w:w w:val="85"/>
              </w:rPr>
              <w:t>0.667</w:t>
            </w:r>
          </w:p>
        </w:tc>
        <w:tc>
          <w:tcPr>
            <w:tcW w:w="12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auto"/>
                <w:w w:val="92"/>
              </w:rPr>
              <w:t>0.607</w:t>
            </w:r>
          </w:p>
        </w:tc>
        <w:tc>
          <w:tcPr>
            <w:tcW w:w="0" w:type="dxa"/>
            <w:vAlign w:val="bottom"/>
          </w:tcPr>
          <w:p>
            <w:pPr>
              <w:spacing w:after="0"/>
              <w:rPr>
                <w:sz w:val="1"/>
                <w:szCs w:val="1"/>
                <w:color w:val="auto"/>
              </w:rPr>
            </w:pPr>
          </w:p>
        </w:tc>
      </w:tr>
      <w:tr>
        <w:trPr>
          <w:trHeight w:val="256"/>
        </w:trPr>
        <w:tc>
          <w:tcPr>
            <w:tcW w:w="4140" w:type="dxa"/>
            <w:vAlign w:val="bottom"/>
            <w:gridSpan w:val="2"/>
          </w:tcPr>
          <w:p>
            <w:pPr>
              <w:ind w:left="20"/>
              <w:spacing w:after="0"/>
              <w:rPr>
                <w:sz w:val="20"/>
                <w:szCs w:val="20"/>
                <w:color w:val="auto"/>
              </w:rPr>
            </w:pPr>
            <w:r>
              <w:rPr>
                <w:rFonts w:ascii="Arial" w:cs="Arial" w:eastAsia="Arial" w:hAnsi="Arial"/>
                <w:sz w:val="13"/>
                <w:szCs w:val="13"/>
                <w:color w:val="auto"/>
              </w:rPr>
              <w:t>Mean % Change</w:t>
            </w:r>
            <w:r>
              <w:rPr>
                <w:rFonts w:ascii="Arial" w:cs="Arial" w:eastAsia="Arial" w:hAnsi="Arial"/>
                <w:sz w:val="16"/>
                <w:szCs w:val="16"/>
                <w:color w:val="auto"/>
                <w:vertAlign w:val="superscript"/>
              </w:rPr>
              <w:t>(a)</w:t>
            </w:r>
          </w:p>
        </w:tc>
        <w:tc>
          <w:tcPr>
            <w:tcW w:w="1640" w:type="dxa"/>
            <w:vAlign w:val="bottom"/>
          </w:tcPr>
          <w:p>
            <w:pPr>
              <w:jc w:val="center"/>
              <w:spacing w:after="0"/>
              <w:rPr>
                <w:sz w:val="20"/>
                <w:szCs w:val="20"/>
                <w:color w:val="auto"/>
              </w:rPr>
            </w:pPr>
            <w:r>
              <w:rPr>
                <w:rFonts w:ascii="Arial" w:cs="Arial" w:eastAsia="Arial" w:hAnsi="Arial"/>
                <w:sz w:val="13"/>
                <w:szCs w:val="13"/>
                <w:color w:val="auto"/>
                <w:w w:val="90"/>
              </w:rPr>
              <w:t>21.91%</w:t>
            </w:r>
          </w:p>
        </w:tc>
        <w:tc>
          <w:tcPr>
            <w:tcW w:w="12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auto"/>
                <w:w w:val="86"/>
              </w:rPr>
              <w:t>23.87%</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1540"/>
        <w:spacing w:after="0"/>
        <w:rPr>
          <w:sz w:val="20"/>
          <w:szCs w:val="20"/>
          <w:color w:val="auto"/>
        </w:rPr>
      </w:pPr>
      <w:r>
        <w:rPr>
          <w:rFonts w:ascii="Arial" w:cs="Arial" w:eastAsia="Arial" w:hAnsi="Arial"/>
          <w:sz w:val="11"/>
          <w:szCs w:val="11"/>
          <w:color w:val="auto"/>
        </w:rPr>
        <w:t>BL = Baseline; M18 = Month 18</w:t>
      </w:r>
    </w:p>
    <w:p>
      <w:pPr>
        <w:spacing w:after="0" w:line="11" w:lineRule="exact"/>
        <w:rPr>
          <w:sz w:val="20"/>
          <w:szCs w:val="20"/>
          <w:color w:val="auto"/>
        </w:rPr>
      </w:pPr>
    </w:p>
    <w:p>
      <w:pPr>
        <w:ind w:left="1540"/>
        <w:spacing w:after="0"/>
        <w:rPr>
          <w:sz w:val="20"/>
          <w:szCs w:val="20"/>
          <w:color w:val="auto"/>
        </w:rPr>
      </w:pPr>
      <w:r>
        <w:rPr>
          <w:rFonts w:ascii="Arial" w:cs="Arial" w:eastAsia="Arial" w:hAnsi="Arial"/>
          <w:sz w:val="11"/>
          <w:szCs w:val="11"/>
          <w:color w:val="auto"/>
        </w:rPr>
        <w:t>(a) Mean % change in GA area is an average of the percentage change in GA area observed for each patient.</w:t>
      </w:r>
    </w:p>
    <w:p>
      <w:pPr>
        <w:spacing w:after="0" w:line="112" w:lineRule="exact"/>
        <w:rPr>
          <w:sz w:val="20"/>
          <w:szCs w:val="20"/>
          <w:color w:val="auto"/>
        </w:rPr>
      </w:pPr>
    </w:p>
    <w:p>
      <w:pPr>
        <w:jc w:val="both"/>
        <w:ind w:right="120" w:firstLine="275"/>
        <w:spacing w:after="0" w:line="267" w:lineRule="auto"/>
        <w:rPr>
          <w:sz w:val="20"/>
          <w:szCs w:val="20"/>
          <w:color w:val="auto"/>
        </w:rPr>
      </w:pPr>
      <w:r>
        <w:rPr>
          <w:rFonts w:ascii="Arial" w:cs="Arial" w:eastAsia="Arial" w:hAnsi="Arial"/>
          <w:sz w:val="14"/>
          <w:szCs w:val="14"/>
          <w:color w:val="auto"/>
        </w:rPr>
        <w:t>Although the sample size for the Zimura 1 mg group is small, we believe the apparent reduction in mean percentage change in GA area from baseline to month 18 in the Zimura 1 mg group as compared to the sham control group, when compared with the results observed in the Zimura 2 mg and Zimura 4 mg groups as compared to their corresponding sham control groups, may suggest a potential dose response relationship across treatment groups.</w:t>
      </w:r>
    </w:p>
    <w:p>
      <w:pPr>
        <w:spacing w:after="0" w:line="89" w:lineRule="exact"/>
        <w:rPr>
          <w:sz w:val="20"/>
          <w:szCs w:val="20"/>
          <w:color w:val="auto"/>
        </w:rPr>
      </w:pPr>
    </w:p>
    <w:p>
      <w:pPr>
        <w:ind w:left="520"/>
        <w:spacing w:after="0"/>
        <w:rPr>
          <w:sz w:val="20"/>
          <w:szCs w:val="20"/>
          <w:color w:val="auto"/>
        </w:rPr>
      </w:pPr>
      <w:r>
        <w:rPr>
          <w:rFonts w:ascii="Arial" w:cs="Arial" w:eastAsia="Arial" w:hAnsi="Arial"/>
          <w:sz w:val="14"/>
          <w:szCs w:val="14"/>
          <w:i w:val="1"/>
          <w:iCs w:val="1"/>
          <w:u w:val="single" w:color="auto"/>
          <w:color w:val="auto"/>
        </w:rPr>
        <w:t>18-Month Safety Data</w:t>
      </w:r>
    </w:p>
    <w:p>
      <w:pPr>
        <w:spacing w:after="0" w:line="115" w:lineRule="exact"/>
        <w:rPr>
          <w:sz w:val="20"/>
          <w:szCs w:val="20"/>
          <w:color w:val="auto"/>
        </w:rPr>
      </w:pPr>
    </w:p>
    <w:p>
      <w:pPr>
        <w:ind w:firstLine="35"/>
        <w:spacing w:after="0" w:line="284" w:lineRule="auto"/>
        <w:rPr>
          <w:sz w:val="20"/>
          <w:szCs w:val="20"/>
          <w:color w:val="auto"/>
        </w:rPr>
      </w:pPr>
      <w:r>
        <w:rPr>
          <w:rFonts w:ascii="Arial" w:cs="Arial" w:eastAsia="Arial" w:hAnsi="Arial"/>
          <w:sz w:val="13"/>
          <w:szCs w:val="13"/>
          <w:color w:val="auto"/>
        </w:rPr>
        <w:t>Based on our review of the safety data in the trial, Zimura was generally well tolerated after 18 months of administration. During the trial, there were no investigator-reported Zimura-related adverse events, no Zimura-related intraocular inflammation, no Zimura-related increased intraocular pressure, no cases of endophthalmitis, and no discontinuations attributed by investigators to Zimura in the trial. Through month 18, the reported incidence of CNV in the untreated fellow eye was 11 patients (3.8%), and in the study eye was 3 patients (2.7%) in the sham control group, 2 patients (7.7%) in the Zimura 1 mg group, 8 patients (11.9%) in the Zimura 2 mg group, and 13 patients (15.7%) in the Zimura 4 mg group. The most frequently reported ocular adverse events were related to the injection procedure. The numbers below are based on investigator-reported adverse events occurring during the 18-month duration of the trial for all patients.</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ind w:firstLine="280"/>
        <w:spacing w:after="0" w:line="281" w:lineRule="auto"/>
        <w:rPr>
          <w:sz w:val="20"/>
          <w:szCs w:val="20"/>
          <w:color w:val="auto"/>
        </w:rPr>
      </w:pPr>
      <w:r>
        <w:rPr>
          <w:rFonts w:ascii="Arial" w:cs="Arial" w:eastAsia="Arial" w:hAnsi="Arial"/>
          <w:sz w:val="14"/>
          <w:szCs w:val="14"/>
          <w:color w:val="auto"/>
        </w:rPr>
        <w:t>The number of patients with one or more serious treatment emergent adverse events, or TEAEs, organized by MedDRA system organ class, a standard method of reporting adverse events, are set forth in the table below:</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Patients with One or More Serious TEAEs in Any Organ Class</w:t>
      </w:r>
    </w:p>
    <w:p>
      <w:pPr>
        <w:spacing w:after="0" w:line="172" w:lineRule="exact"/>
        <w:rPr>
          <w:sz w:val="20"/>
          <w:szCs w:val="20"/>
          <w:color w:val="auto"/>
        </w:rPr>
      </w:pPr>
    </w:p>
    <w:tbl>
      <w:tblPr>
        <w:tblLayout w:type="fixed"/>
        <w:tblInd w:w="280" w:type="dxa"/>
        <w:tblCellMar>
          <w:top w:w="0" w:type="dxa"/>
          <w:left w:w="0" w:type="dxa"/>
          <w:bottom w:w="0" w:type="dxa"/>
          <w:right w:w="0" w:type="dxa"/>
        </w:tblCellMar>
      </w:tblPr>
      <w:tr>
        <w:trPr>
          <w:trHeight w:val="165"/>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3"/>
                <w:szCs w:val="13"/>
                <w:b w:val="1"/>
                <w:bCs w:val="1"/>
                <w:color w:val="auto"/>
                <w:w w:val="88"/>
              </w:rPr>
              <w:t>Part 1</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380"/>
              <w:spacing w:after="0"/>
              <w:rPr>
                <w:sz w:val="20"/>
                <w:szCs w:val="20"/>
                <w:color w:val="auto"/>
              </w:rPr>
            </w:pPr>
            <w:r>
              <w:rPr>
                <w:rFonts w:ascii="Arial" w:cs="Arial" w:eastAsia="Arial" w:hAnsi="Arial"/>
                <w:sz w:val="13"/>
                <w:szCs w:val="13"/>
                <w:b w:val="1"/>
                <w:bCs w:val="1"/>
                <w:color w:val="auto"/>
              </w:rPr>
              <w:t>Part 2</w:t>
            </w:r>
          </w:p>
        </w:tc>
        <w:tc>
          <w:tcPr>
            <w:tcW w:w="1120" w:type="dxa"/>
            <w:vAlign w:val="bottom"/>
          </w:tcPr>
          <w:p>
            <w:pPr>
              <w:spacing w:after="0"/>
              <w:rPr>
                <w:sz w:val="14"/>
                <w:szCs w:val="14"/>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54"/>
        </w:trPr>
        <w:tc>
          <w:tcPr>
            <w:tcW w:w="4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Zimura 1 mg</w:t>
            </w:r>
          </w:p>
        </w:tc>
        <w:tc>
          <w:tcPr>
            <w:tcW w:w="920" w:type="dxa"/>
            <w:vAlign w:val="bottom"/>
          </w:tcPr>
          <w:p>
            <w:pPr>
              <w:jc w:val="center"/>
              <w:ind w:right="56"/>
              <w:spacing w:after="0"/>
              <w:rPr>
                <w:sz w:val="20"/>
                <w:szCs w:val="20"/>
                <w:color w:val="auto"/>
              </w:rPr>
            </w:pPr>
            <w:r>
              <w:rPr>
                <w:rFonts w:ascii="Arial" w:cs="Arial" w:eastAsia="Arial" w:hAnsi="Arial"/>
                <w:sz w:val="13"/>
                <w:szCs w:val="13"/>
                <w:b w:val="1"/>
                <w:bCs w:val="1"/>
                <w:color w:val="auto"/>
                <w:w w:val="93"/>
              </w:rPr>
              <w:t>Zimura 2 mg</w:t>
            </w: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Sham</w:t>
            </w: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Zimura 2 mg</w:t>
            </w: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Zimura 4 mg</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6"/>
              </w:rPr>
              <w:t>Sham 4 mg</w:t>
            </w:r>
          </w:p>
        </w:tc>
      </w:tr>
      <w:tr>
        <w:trPr>
          <w:trHeight w:val="161"/>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(N = 26)</w:t>
            </w:r>
          </w:p>
        </w:tc>
        <w:tc>
          <w:tcPr>
            <w:tcW w:w="920" w:type="dxa"/>
            <w:vAlign w:val="bottom"/>
          </w:tcPr>
          <w:p>
            <w:pPr>
              <w:jc w:val="center"/>
              <w:ind w:right="56"/>
              <w:spacing w:after="0"/>
              <w:rPr>
                <w:sz w:val="20"/>
                <w:szCs w:val="20"/>
                <w:color w:val="auto"/>
              </w:rPr>
            </w:pPr>
            <w:r>
              <w:rPr>
                <w:rFonts w:ascii="Arial" w:cs="Arial" w:eastAsia="Arial" w:hAnsi="Arial"/>
                <w:sz w:val="13"/>
                <w:szCs w:val="13"/>
                <w:color w:val="auto"/>
                <w:w w:val="92"/>
              </w:rPr>
              <w:t>(N = 25)</w:t>
            </w:r>
          </w:p>
        </w:tc>
        <w:tc>
          <w:tcPr>
            <w:tcW w:w="9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(N = 26)</w:t>
            </w:r>
          </w:p>
        </w:tc>
        <w:tc>
          <w:tcPr>
            <w:tcW w:w="9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(N = 42)</w:t>
            </w:r>
          </w:p>
        </w:tc>
        <w:tc>
          <w:tcPr>
            <w:tcW w:w="9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(N = 83)</w:t>
            </w:r>
          </w:p>
        </w:tc>
        <w:tc>
          <w:tcPr>
            <w:tcW w:w="1120" w:type="dxa"/>
            <w:vAlign w:val="bottom"/>
          </w:tcPr>
          <w:p>
            <w:pPr>
              <w:jc w:val="center"/>
              <w:spacing w:after="0"/>
              <w:rPr>
                <w:sz w:val="20"/>
                <w:szCs w:val="20"/>
                <w:color w:val="auto"/>
              </w:rPr>
            </w:pPr>
            <w:r>
              <w:rPr>
                <w:rFonts w:ascii="Arial" w:cs="Arial" w:eastAsia="Arial" w:hAnsi="Arial"/>
                <w:sz w:val="13"/>
                <w:szCs w:val="13"/>
                <w:color w:val="auto"/>
                <w:w w:val="92"/>
              </w:rPr>
              <w:t>(N = 84)</w:t>
            </w:r>
          </w:p>
        </w:tc>
      </w:tr>
      <w:tr>
        <w:trPr>
          <w:trHeight w:val="26"/>
        </w:trPr>
        <w:tc>
          <w:tcPr>
            <w:tcW w:w="4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7"/>
        </w:trPr>
        <w:tc>
          <w:tcPr>
            <w:tcW w:w="5000" w:type="dxa"/>
            <w:vAlign w:val="bottom"/>
            <w:gridSpan w:val="2"/>
          </w:tcPr>
          <w:p>
            <w:pPr>
              <w:spacing w:after="0"/>
              <w:rPr>
                <w:sz w:val="20"/>
                <w:szCs w:val="20"/>
                <w:color w:val="auto"/>
              </w:rPr>
            </w:pPr>
            <w:r>
              <w:rPr>
                <w:rFonts w:ascii="Arial" w:cs="Arial" w:eastAsia="Arial" w:hAnsi="Arial"/>
                <w:sz w:val="13"/>
                <w:szCs w:val="13"/>
                <w:color w:val="auto"/>
              </w:rPr>
              <w:t>Blood and lymphatic system disorders</w:t>
            </w:r>
          </w:p>
        </w:tc>
        <w:tc>
          <w:tcPr>
            <w:tcW w:w="84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3"/>
                <w:szCs w:val="13"/>
                <w:color w:val="auto"/>
              </w:rPr>
              <w:t>0</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3"/>
              </w:rPr>
              <w:t>1 (1.2%)</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rPr>
              <w:t>0</w:t>
            </w:r>
          </w:p>
        </w:tc>
      </w:tr>
      <w:tr>
        <w:trPr>
          <w:trHeight w:val="202"/>
        </w:trPr>
        <w:tc>
          <w:tcPr>
            <w:tcW w:w="5000" w:type="dxa"/>
            <w:vAlign w:val="bottom"/>
            <w:gridSpan w:val="2"/>
          </w:tcPr>
          <w:p>
            <w:pPr>
              <w:spacing w:after="0"/>
              <w:rPr>
                <w:sz w:val="20"/>
                <w:szCs w:val="20"/>
                <w:color w:val="auto"/>
              </w:rPr>
            </w:pPr>
            <w:r>
              <w:rPr>
                <w:rFonts w:ascii="Arial" w:cs="Arial" w:eastAsia="Arial" w:hAnsi="Arial"/>
                <w:sz w:val="13"/>
                <w:szCs w:val="13"/>
                <w:color w:val="auto"/>
              </w:rPr>
              <w:t>Cardiac disorders</w:t>
            </w:r>
          </w:p>
        </w:tc>
        <w:tc>
          <w:tcPr>
            <w:tcW w:w="840" w:type="dxa"/>
            <w:vAlign w:val="bottom"/>
          </w:tcPr>
          <w:p>
            <w:pPr>
              <w:jc w:val="center"/>
              <w:spacing w:after="0"/>
              <w:rPr>
                <w:sz w:val="20"/>
                <w:szCs w:val="20"/>
                <w:color w:val="auto"/>
              </w:rPr>
            </w:pPr>
            <w:r>
              <w:rPr>
                <w:rFonts w:ascii="Arial" w:cs="Arial" w:eastAsia="Arial" w:hAnsi="Arial"/>
                <w:sz w:val="13"/>
                <w:szCs w:val="13"/>
                <w:color w:val="auto"/>
                <w:w w:val="89"/>
              </w:rPr>
              <w:t>1 (3.8%)</w:t>
            </w:r>
          </w:p>
        </w:tc>
        <w:tc>
          <w:tcPr>
            <w:tcW w:w="100" w:type="dxa"/>
            <w:vAlign w:val="bottom"/>
          </w:tcPr>
          <w:p>
            <w:pPr>
              <w:spacing w:after="0"/>
              <w:rPr>
                <w:sz w:val="17"/>
                <w:szCs w:val="17"/>
                <w:color w:val="auto"/>
              </w:rPr>
            </w:pPr>
          </w:p>
        </w:tc>
        <w:tc>
          <w:tcPr>
            <w:tcW w:w="920" w:type="dxa"/>
            <w:vAlign w:val="bottom"/>
          </w:tcPr>
          <w:p>
            <w:pPr>
              <w:jc w:val="center"/>
              <w:ind w:right="56"/>
              <w:spacing w:after="0"/>
              <w:rPr>
                <w:sz w:val="20"/>
                <w:szCs w:val="20"/>
                <w:color w:val="auto"/>
              </w:rPr>
            </w:pPr>
            <w:r>
              <w:rPr>
                <w:rFonts w:ascii="Arial" w:cs="Arial" w:eastAsia="Arial" w:hAnsi="Arial"/>
                <w:sz w:val="13"/>
                <w:szCs w:val="13"/>
                <w:color w:val="auto"/>
              </w:rPr>
              <w:t>0</w:t>
            </w:r>
          </w:p>
        </w:tc>
        <w:tc>
          <w:tcPr>
            <w:tcW w:w="820" w:type="dxa"/>
            <w:vAlign w:val="bottom"/>
          </w:tcPr>
          <w:p>
            <w:pPr>
              <w:jc w:val="center"/>
              <w:spacing w:after="0"/>
              <w:rPr>
                <w:sz w:val="20"/>
                <w:szCs w:val="20"/>
                <w:color w:val="auto"/>
              </w:rPr>
            </w:pPr>
            <w:r>
              <w:rPr>
                <w:rFonts w:ascii="Arial" w:cs="Arial" w:eastAsia="Arial" w:hAnsi="Arial"/>
                <w:sz w:val="13"/>
                <w:szCs w:val="13"/>
                <w:color w:val="auto"/>
                <w:w w:val="89"/>
              </w:rPr>
              <w:t>1 (3.8%)</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9"/>
              </w:rPr>
              <w:t>1 (2.4%)</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3"/>
              </w:rPr>
              <w:t>2 (2.4%)</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3 (3.6%)</w:t>
            </w:r>
          </w:p>
        </w:tc>
      </w:tr>
      <w:tr>
        <w:trPr>
          <w:trHeight w:val="202"/>
        </w:trPr>
        <w:tc>
          <w:tcPr>
            <w:tcW w:w="5000" w:type="dxa"/>
            <w:vAlign w:val="bottom"/>
            <w:gridSpan w:val="2"/>
          </w:tcPr>
          <w:p>
            <w:pPr>
              <w:spacing w:after="0"/>
              <w:rPr>
                <w:sz w:val="20"/>
                <w:szCs w:val="20"/>
                <w:color w:val="auto"/>
              </w:rPr>
            </w:pPr>
            <w:r>
              <w:rPr>
                <w:rFonts w:ascii="Arial" w:cs="Arial" w:eastAsia="Arial" w:hAnsi="Arial"/>
                <w:sz w:val="13"/>
                <w:szCs w:val="13"/>
                <w:color w:val="auto"/>
              </w:rPr>
              <w:t>Eye disorders</w:t>
            </w:r>
          </w:p>
        </w:tc>
        <w:tc>
          <w:tcPr>
            <w:tcW w:w="84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7"/>
                <w:szCs w:val="17"/>
                <w:color w:val="auto"/>
              </w:rPr>
            </w:pPr>
          </w:p>
        </w:tc>
        <w:tc>
          <w:tcPr>
            <w:tcW w:w="920" w:type="dxa"/>
            <w:vAlign w:val="bottom"/>
          </w:tcPr>
          <w:p>
            <w:pPr>
              <w:jc w:val="center"/>
              <w:ind w:right="56"/>
              <w:spacing w:after="0"/>
              <w:rPr>
                <w:sz w:val="20"/>
                <w:szCs w:val="20"/>
                <w:color w:val="auto"/>
              </w:rPr>
            </w:pPr>
            <w:r>
              <w:rPr>
                <w:rFonts w:ascii="Arial" w:cs="Arial" w:eastAsia="Arial" w:hAnsi="Arial"/>
                <w:sz w:val="13"/>
                <w:szCs w:val="13"/>
                <w:color w:val="auto"/>
              </w:rPr>
              <w:t>0</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9"/>
              </w:rPr>
              <w:t>1 (2.4%)</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3"/>
              </w:rPr>
              <w:t>1 (1.2%)</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rPr>
              <w:t>0</w:t>
            </w:r>
          </w:p>
        </w:tc>
      </w:tr>
      <w:tr>
        <w:trPr>
          <w:trHeight w:val="202"/>
        </w:trPr>
        <w:tc>
          <w:tcPr>
            <w:tcW w:w="5000" w:type="dxa"/>
            <w:vAlign w:val="bottom"/>
            <w:gridSpan w:val="2"/>
          </w:tcPr>
          <w:p>
            <w:pPr>
              <w:spacing w:after="0"/>
              <w:rPr>
                <w:sz w:val="20"/>
                <w:szCs w:val="20"/>
                <w:color w:val="auto"/>
              </w:rPr>
            </w:pPr>
            <w:r>
              <w:rPr>
                <w:rFonts w:ascii="Arial" w:cs="Arial" w:eastAsia="Arial" w:hAnsi="Arial"/>
                <w:sz w:val="13"/>
                <w:szCs w:val="13"/>
                <w:color w:val="auto"/>
              </w:rPr>
              <w:t>Gastrointestinal disorders</w:t>
            </w:r>
          </w:p>
        </w:tc>
        <w:tc>
          <w:tcPr>
            <w:tcW w:w="840" w:type="dxa"/>
            <w:vAlign w:val="bottom"/>
          </w:tcPr>
          <w:p>
            <w:pPr>
              <w:jc w:val="center"/>
              <w:spacing w:after="0"/>
              <w:rPr>
                <w:sz w:val="20"/>
                <w:szCs w:val="20"/>
                <w:color w:val="auto"/>
              </w:rPr>
            </w:pPr>
            <w:r>
              <w:rPr>
                <w:rFonts w:ascii="Arial" w:cs="Arial" w:eastAsia="Arial" w:hAnsi="Arial"/>
                <w:sz w:val="13"/>
                <w:szCs w:val="13"/>
                <w:color w:val="auto"/>
                <w:w w:val="89"/>
              </w:rPr>
              <w:t>1 (3.8%)</w:t>
            </w:r>
          </w:p>
        </w:tc>
        <w:tc>
          <w:tcPr>
            <w:tcW w:w="100" w:type="dxa"/>
            <w:vAlign w:val="bottom"/>
          </w:tcPr>
          <w:p>
            <w:pPr>
              <w:spacing w:after="0"/>
              <w:rPr>
                <w:sz w:val="17"/>
                <w:szCs w:val="17"/>
                <w:color w:val="auto"/>
              </w:rPr>
            </w:pPr>
          </w:p>
        </w:tc>
        <w:tc>
          <w:tcPr>
            <w:tcW w:w="920" w:type="dxa"/>
            <w:vAlign w:val="bottom"/>
          </w:tcPr>
          <w:p>
            <w:pPr>
              <w:jc w:val="center"/>
              <w:ind w:right="56"/>
              <w:spacing w:after="0"/>
              <w:rPr>
                <w:sz w:val="20"/>
                <w:szCs w:val="20"/>
                <w:color w:val="auto"/>
              </w:rPr>
            </w:pPr>
            <w:r>
              <w:rPr>
                <w:rFonts w:ascii="Arial" w:cs="Arial" w:eastAsia="Arial" w:hAnsi="Arial"/>
                <w:sz w:val="13"/>
                <w:szCs w:val="13"/>
                <w:color w:val="auto"/>
                <w:w w:val="89"/>
              </w:rPr>
              <w:t>1 (4.0%)</w:t>
            </w:r>
          </w:p>
        </w:tc>
        <w:tc>
          <w:tcPr>
            <w:tcW w:w="820" w:type="dxa"/>
            <w:vAlign w:val="bottom"/>
          </w:tcPr>
          <w:p>
            <w:pPr>
              <w:jc w:val="center"/>
              <w:spacing w:after="0"/>
              <w:rPr>
                <w:sz w:val="20"/>
                <w:szCs w:val="20"/>
                <w:color w:val="auto"/>
              </w:rPr>
            </w:pPr>
            <w:r>
              <w:rPr>
                <w:rFonts w:ascii="Arial" w:cs="Arial" w:eastAsia="Arial" w:hAnsi="Arial"/>
                <w:sz w:val="13"/>
                <w:szCs w:val="13"/>
                <w:color w:val="auto"/>
                <w:w w:val="89"/>
              </w:rPr>
              <w:t>2 (7.7%)</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3"/>
              </w:rPr>
              <w:t>2 (2.4%)</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6 (7.1%)</w:t>
            </w:r>
          </w:p>
        </w:tc>
      </w:tr>
      <w:tr>
        <w:trPr>
          <w:trHeight w:val="202"/>
        </w:trPr>
        <w:tc>
          <w:tcPr>
            <w:tcW w:w="5000" w:type="dxa"/>
            <w:vAlign w:val="bottom"/>
            <w:gridSpan w:val="2"/>
          </w:tcPr>
          <w:p>
            <w:pPr>
              <w:spacing w:after="0"/>
              <w:rPr>
                <w:sz w:val="20"/>
                <w:szCs w:val="20"/>
                <w:color w:val="auto"/>
              </w:rPr>
            </w:pPr>
            <w:r>
              <w:rPr>
                <w:rFonts w:ascii="Arial" w:cs="Arial" w:eastAsia="Arial" w:hAnsi="Arial"/>
                <w:sz w:val="13"/>
                <w:szCs w:val="13"/>
                <w:color w:val="auto"/>
              </w:rPr>
              <w:t>General disorders and administration site conditions</w:t>
            </w:r>
          </w:p>
        </w:tc>
        <w:tc>
          <w:tcPr>
            <w:tcW w:w="84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7"/>
                <w:szCs w:val="17"/>
                <w:color w:val="auto"/>
              </w:rPr>
            </w:pPr>
          </w:p>
        </w:tc>
        <w:tc>
          <w:tcPr>
            <w:tcW w:w="920" w:type="dxa"/>
            <w:vAlign w:val="bottom"/>
          </w:tcPr>
          <w:p>
            <w:pPr>
              <w:jc w:val="center"/>
              <w:ind w:right="56"/>
              <w:spacing w:after="0"/>
              <w:rPr>
                <w:sz w:val="20"/>
                <w:szCs w:val="20"/>
                <w:color w:val="auto"/>
              </w:rPr>
            </w:pPr>
            <w:r>
              <w:rPr>
                <w:rFonts w:ascii="Arial" w:cs="Arial" w:eastAsia="Arial" w:hAnsi="Arial"/>
                <w:sz w:val="13"/>
                <w:szCs w:val="13"/>
                <w:color w:val="auto"/>
              </w:rPr>
              <w:t>0</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9"/>
              </w:rPr>
              <w:t>1 (2.4%)</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rPr>
              <w:t>0</w:t>
            </w:r>
          </w:p>
        </w:tc>
      </w:tr>
      <w:tr>
        <w:trPr>
          <w:trHeight w:val="202"/>
        </w:trPr>
        <w:tc>
          <w:tcPr>
            <w:tcW w:w="5000" w:type="dxa"/>
            <w:vAlign w:val="bottom"/>
            <w:gridSpan w:val="2"/>
          </w:tcPr>
          <w:p>
            <w:pPr>
              <w:spacing w:after="0"/>
              <w:rPr>
                <w:sz w:val="20"/>
                <w:szCs w:val="20"/>
                <w:color w:val="auto"/>
              </w:rPr>
            </w:pPr>
            <w:r>
              <w:rPr>
                <w:rFonts w:ascii="Arial" w:cs="Arial" w:eastAsia="Arial" w:hAnsi="Arial"/>
                <w:sz w:val="13"/>
                <w:szCs w:val="13"/>
                <w:color w:val="auto"/>
              </w:rPr>
              <w:t>Hepatobiliary disorders</w:t>
            </w:r>
          </w:p>
        </w:tc>
        <w:tc>
          <w:tcPr>
            <w:tcW w:w="84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7"/>
                <w:szCs w:val="17"/>
                <w:color w:val="auto"/>
              </w:rPr>
            </w:pPr>
          </w:p>
        </w:tc>
        <w:tc>
          <w:tcPr>
            <w:tcW w:w="920" w:type="dxa"/>
            <w:vAlign w:val="bottom"/>
          </w:tcPr>
          <w:p>
            <w:pPr>
              <w:jc w:val="center"/>
              <w:ind w:right="56"/>
              <w:spacing w:after="0"/>
              <w:rPr>
                <w:sz w:val="20"/>
                <w:szCs w:val="20"/>
                <w:color w:val="auto"/>
              </w:rPr>
            </w:pPr>
            <w:r>
              <w:rPr>
                <w:rFonts w:ascii="Arial" w:cs="Arial" w:eastAsia="Arial" w:hAnsi="Arial"/>
                <w:sz w:val="13"/>
                <w:szCs w:val="13"/>
                <w:color w:val="auto"/>
                <w:w w:val="89"/>
              </w:rPr>
              <w:t>1 (4.0%)</w:t>
            </w:r>
          </w:p>
        </w:tc>
        <w:tc>
          <w:tcPr>
            <w:tcW w:w="820" w:type="dxa"/>
            <w:vAlign w:val="bottom"/>
          </w:tcPr>
          <w:p>
            <w:pPr>
              <w:jc w:val="center"/>
              <w:spacing w:after="0"/>
              <w:rPr>
                <w:sz w:val="20"/>
                <w:szCs w:val="20"/>
                <w:color w:val="auto"/>
              </w:rPr>
            </w:pPr>
            <w:r>
              <w:rPr>
                <w:rFonts w:ascii="Arial" w:cs="Arial" w:eastAsia="Arial" w:hAnsi="Arial"/>
                <w:sz w:val="13"/>
                <w:szCs w:val="13"/>
                <w:color w:val="auto"/>
                <w:w w:val="89"/>
              </w:rPr>
              <w:t>1 (3.8%)</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3"/>
              </w:rPr>
              <w:t>1 (1.2%)</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rPr>
              <w:t>0</w:t>
            </w:r>
          </w:p>
        </w:tc>
      </w:tr>
      <w:tr>
        <w:trPr>
          <w:trHeight w:val="202"/>
        </w:trPr>
        <w:tc>
          <w:tcPr>
            <w:tcW w:w="5000" w:type="dxa"/>
            <w:vAlign w:val="bottom"/>
            <w:gridSpan w:val="2"/>
          </w:tcPr>
          <w:p>
            <w:pPr>
              <w:spacing w:after="0"/>
              <w:rPr>
                <w:sz w:val="20"/>
                <w:szCs w:val="20"/>
                <w:color w:val="auto"/>
              </w:rPr>
            </w:pPr>
            <w:r>
              <w:rPr>
                <w:rFonts w:ascii="Arial" w:cs="Arial" w:eastAsia="Arial" w:hAnsi="Arial"/>
                <w:sz w:val="13"/>
                <w:szCs w:val="13"/>
                <w:color w:val="auto"/>
              </w:rPr>
              <w:t>Infections and infestations</w:t>
            </w:r>
          </w:p>
        </w:tc>
        <w:tc>
          <w:tcPr>
            <w:tcW w:w="84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7"/>
                <w:szCs w:val="17"/>
                <w:color w:val="auto"/>
              </w:rPr>
            </w:pPr>
          </w:p>
        </w:tc>
        <w:tc>
          <w:tcPr>
            <w:tcW w:w="920" w:type="dxa"/>
            <w:vAlign w:val="bottom"/>
          </w:tcPr>
          <w:p>
            <w:pPr>
              <w:jc w:val="center"/>
              <w:ind w:right="56"/>
              <w:spacing w:after="0"/>
              <w:rPr>
                <w:sz w:val="20"/>
                <w:szCs w:val="20"/>
                <w:color w:val="auto"/>
              </w:rPr>
            </w:pPr>
            <w:r>
              <w:rPr>
                <w:rFonts w:ascii="Arial" w:cs="Arial" w:eastAsia="Arial" w:hAnsi="Arial"/>
                <w:sz w:val="13"/>
                <w:szCs w:val="13"/>
                <w:color w:val="auto"/>
                <w:w w:val="89"/>
              </w:rPr>
              <w:t>1 (4.0%)</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9"/>
              </w:rPr>
              <w:t>2 (4.8%)</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3"/>
              </w:rPr>
              <w:t>8 (9.6%)</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2 (2.4%)</w:t>
            </w:r>
          </w:p>
        </w:tc>
      </w:tr>
      <w:tr>
        <w:trPr>
          <w:trHeight w:val="202"/>
        </w:trPr>
        <w:tc>
          <w:tcPr>
            <w:tcW w:w="5000" w:type="dxa"/>
            <w:vAlign w:val="bottom"/>
            <w:gridSpan w:val="2"/>
          </w:tcPr>
          <w:p>
            <w:pPr>
              <w:spacing w:after="0"/>
              <w:rPr>
                <w:sz w:val="20"/>
                <w:szCs w:val="20"/>
                <w:color w:val="auto"/>
              </w:rPr>
            </w:pPr>
            <w:r>
              <w:rPr>
                <w:rFonts w:ascii="Arial" w:cs="Arial" w:eastAsia="Arial" w:hAnsi="Arial"/>
                <w:sz w:val="13"/>
                <w:szCs w:val="13"/>
                <w:color w:val="auto"/>
              </w:rPr>
              <w:t>Injury, poisoning and procedural complications</w:t>
            </w:r>
          </w:p>
        </w:tc>
        <w:tc>
          <w:tcPr>
            <w:tcW w:w="84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7"/>
                <w:szCs w:val="17"/>
                <w:color w:val="auto"/>
              </w:rPr>
            </w:pPr>
          </w:p>
        </w:tc>
        <w:tc>
          <w:tcPr>
            <w:tcW w:w="920" w:type="dxa"/>
            <w:vAlign w:val="bottom"/>
          </w:tcPr>
          <w:p>
            <w:pPr>
              <w:jc w:val="center"/>
              <w:ind w:right="56"/>
              <w:spacing w:after="0"/>
              <w:rPr>
                <w:sz w:val="20"/>
                <w:szCs w:val="20"/>
                <w:color w:val="auto"/>
              </w:rPr>
            </w:pPr>
            <w:r>
              <w:rPr>
                <w:rFonts w:ascii="Arial" w:cs="Arial" w:eastAsia="Arial" w:hAnsi="Arial"/>
                <w:sz w:val="13"/>
                <w:szCs w:val="13"/>
                <w:color w:val="auto"/>
                <w:w w:val="89"/>
              </w:rPr>
              <w:t>1 (4.0%)</w:t>
            </w:r>
          </w:p>
        </w:tc>
        <w:tc>
          <w:tcPr>
            <w:tcW w:w="820" w:type="dxa"/>
            <w:vAlign w:val="bottom"/>
          </w:tcPr>
          <w:p>
            <w:pPr>
              <w:jc w:val="center"/>
              <w:spacing w:after="0"/>
              <w:rPr>
                <w:sz w:val="20"/>
                <w:szCs w:val="20"/>
                <w:color w:val="auto"/>
              </w:rPr>
            </w:pPr>
            <w:r>
              <w:rPr>
                <w:rFonts w:ascii="Arial" w:cs="Arial" w:eastAsia="Arial" w:hAnsi="Arial"/>
                <w:sz w:val="13"/>
                <w:szCs w:val="13"/>
                <w:color w:val="auto"/>
                <w:w w:val="89"/>
              </w:rPr>
              <w:t>1 (3.8%)</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9"/>
              </w:rPr>
              <w:t>1 (2.4%)</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3"/>
              </w:rPr>
              <w:t>3 (3.6%)</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2 (2.4%)</w:t>
            </w:r>
          </w:p>
        </w:tc>
      </w:tr>
      <w:tr>
        <w:trPr>
          <w:trHeight w:val="202"/>
        </w:trPr>
        <w:tc>
          <w:tcPr>
            <w:tcW w:w="5000" w:type="dxa"/>
            <w:vAlign w:val="bottom"/>
            <w:gridSpan w:val="2"/>
          </w:tcPr>
          <w:p>
            <w:pPr>
              <w:spacing w:after="0"/>
              <w:rPr>
                <w:sz w:val="20"/>
                <w:szCs w:val="20"/>
                <w:color w:val="auto"/>
              </w:rPr>
            </w:pPr>
            <w:r>
              <w:rPr>
                <w:rFonts w:ascii="Arial" w:cs="Arial" w:eastAsia="Arial" w:hAnsi="Arial"/>
                <w:sz w:val="13"/>
                <w:szCs w:val="13"/>
                <w:color w:val="auto"/>
              </w:rPr>
              <w:t>Metabolism and nutrition disorders</w:t>
            </w:r>
          </w:p>
        </w:tc>
        <w:tc>
          <w:tcPr>
            <w:tcW w:w="84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7"/>
                <w:szCs w:val="17"/>
                <w:color w:val="auto"/>
              </w:rPr>
            </w:pPr>
          </w:p>
        </w:tc>
        <w:tc>
          <w:tcPr>
            <w:tcW w:w="920" w:type="dxa"/>
            <w:vAlign w:val="bottom"/>
          </w:tcPr>
          <w:p>
            <w:pPr>
              <w:jc w:val="center"/>
              <w:ind w:right="56"/>
              <w:spacing w:after="0"/>
              <w:rPr>
                <w:sz w:val="20"/>
                <w:szCs w:val="20"/>
                <w:color w:val="auto"/>
              </w:rPr>
            </w:pPr>
            <w:r>
              <w:rPr>
                <w:rFonts w:ascii="Arial" w:cs="Arial" w:eastAsia="Arial" w:hAnsi="Arial"/>
                <w:sz w:val="13"/>
                <w:szCs w:val="13"/>
                <w:color w:val="auto"/>
              </w:rPr>
              <w:t>0</w:t>
            </w:r>
          </w:p>
        </w:tc>
        <w:tc>
          <w:tcPr>
            <w:tcW w:w="820" w:type="dxa"/>
            <w:vAlign w:val="bottom"/>
          </w:tcPr>
          <w:p>
            <w:pPr>
              <w:jc w:val="center"/>
              <w:spacing w:after="0"/>
              <w:rPr>
                <w:sz w:val="20"/>
                <w:szCs w:val="20"/>
                <w:color w:val="auto"/>
              </w:rPr>
            </w:pPr>
            <w:r>
              <w:rPr>
                <w:rFonts w:ascii="Arial" w:cs="Arial" w:eastAsia="Arial" w:hAnsi="Arial"/>
                <w:sz w:val="13"/>
                <w:szCs w:val="13"/>
                <w:color w:val="auto"/>
                <w:w w:val="89"/>
              </w:rPr>
              <w:t>2 (7.7%)</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rPr>
              <w:t>0</w:t>
            </w:r>
          </w:p>
        </w:tc>
      </w:tr>
      <w:tr>
        <w:trPr>
          <w:trHeight w:val="202"/>
        </w:trPr>
        <w:tc>
          <w:tcPr>
            <w:tcW w:w="5000" w:type="dxa"/>
            <w:vAlign w:val="bottom"/>
            <w:gridSpan w:val="2"/>
          </w:tcPr>
          <w:p>
            <w:pPr>
              <w:spacing w:after="0"/>
              <w:rPr>
                <w:sz w:val="20"/>
                <w:szCs w:val="20"/>
                <w:color w:val="auto"/>
              </w:rPr>
            </w:pPr>
            <w:r>
              <w:rPr>
                <w:rFonts w:ascii="Arial" w:cs="Arial" w:eastAsia="Arial" w:hAnsi="Arial"/>
                <w:sz w:val="13"/>
                <w:szCs w:val="13"/>
                <w:color w:val="auto"/>
              </w:rPr>
              <w:t>Musculoskeletal and connective tissue disorders</w:t>
            </w:r>
          </w:p>
        </w:tc>
        <w:tc>
          <w:tcPr>
            <w:tcW w:w="840" w:type="dxa"/>
            <w:vAlign w:val="bottom"/>
          </w:tcPr>
          <w:p>
            <w:pPr>
              <w:jc w:val="center"/>
              <w:spacing w:after="0"/>
              <w:rPr>
                <w:sz w:val="20"/>
                <w:szCs w:val="20"/>
                <w:color w:val="auto"/>
              </w:rPr>
            </w:pPr>
            <w:r>
              <w:rPr>
                <w:rFonts w:ascii="Arial" w:cs="Arial" w:eastAsia="Arial" w:hAnsi="Arial"/>
                <w:sz w:val="13"/>
                <w:szCs w:val="13"/>
                <w:color w:val="auto"/>
                <w:w w:val="89"/>
              </w:rPr>
              <w:t>1 (3.8%)</w:t>
            </w:r>
          </w:p>
        </w:tc>
        <w:tc>
          <w:tcPr>
            <w:tcW w:w="100" w:type="dxa"/>
            <w:vAlign w:val="bottom"/>
          </w:tcPr>
          <w:p>
            <w:pPr>
              <w:spacing w:after="0"/>
              <w:rPr>
                <w:sz w:val="17"/>
                <w:szCs w:val="17"/>
                <w:color w:val="auto"/>
              </w:rPr>
            </w:pPr>
          </w:p>
        </w:tc>
        <w:tc>
          <w:tcPr>
            <w:tcW w:w="920" w:type="dxa"/>
            <w:vAlign w:val="bottom"/>
          </w:tcPr>
          <w:p>
            <w:pPr>
              <w:jc w:val="center"/>
              <w:ind w:right="56"/>
              <w:spacing w:after="0"/>
              <w:rPr>
                <w:sz w:val="20"/>
                <w:szCs w:val="20"/>
                <w:color w:val="auto"/>
              </w:rPr>
            </w:pPr>
            <w:r>
              <w:rPr>
                <w:rFonts w:ascii="Arial" w:cs="Arial" w:eastAsia="Arial" w:hAnsi="Arial"/>
                <w:sz w:val="13"/>
                <w:szCs w:val="13"/>
                <w:color w:val="auto"/>
              </w:rPr>
              <w:t>0</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3 (3.6%)</w:t>
            </w:r>
          </w:p>
        </w:tc>
      </w:tr>
      <w:tr>
        <w:trPr>
          <w:trHeight w:val="202"/>
        </w:trPr>
        <w:tc>
          <w:tcPr>
            <w:tcW w:w="5000" w:type="dxa"/>
            <w:vAlign w:val="bottom"/>
            <w:gridSpan w:val="2"/>
          </w:tcPr>
          <w:p>
            <w:pPr>
              <w:spacing w:after="0"/>
              <w:rPr>
                <w:sz w:val="20"/>
                <w:szCs w:val="20"/>
                <w:color w:val="auto"/>
              </w:rPr>
            </w:pPr>
            <w:r>
              <w:rPr>
                <w:rFonts w:ascii="Arial" w:cs="Arial" w:eastAsia="Arial" w:hAnsi="Arial"/>
                <w:sz w:val="13"/>
                <w:szCs w:val="13"/>
                <w:color w:val="auto"/>
              </w:rPr>
              <w:t>Benign, malignant and unspecified neoplasms (including cysts and polyps)</w:t>
            </w:r>
          </w:p>
        </w:tc>
        <w:tc>
          <w:tcPr>
            <w:tcW w:w="84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7"/>
                <w:szCs w:val="17"/>
                <w:color w:val="auto"/>
              </w:rPr>
            </w:pPr>
          </w:p>
        </w:tc>
        <w:tc>
          <w:tcPr>
            <w:tcW w:w="920" w:type="dxa"/>
            <w:vAlign w:val="bottom"/>
          </w:tcPr>
          <w:p>
            <w:pPr>
              <w:jc w:val="center"/>
              <w:ind w:right="56"/>
              <w:spacing w:after="0"/>
              <w:rPr>
                <w:sz w:val="20"/>
                <w:szCs w:val="20"/>
                <w:color w:val="auto"/>
              </w:rPr>
            </w:pPr>
            <w:r>
              <w:rPr>
                <w:rFonts w:ascii="Arial" w:cs="Arial" w:eastAsia="Arial" w:hAnsi="Arial"/>
                <w:sz w:val="13"/>
                <w:szCs w:val="13"/>
                <w:color w:val="auto"/>
              </w:rPr>
              <w:t>0</w:t>
            </w:r>
          </w:p>
        </w:tc>
        <w:tc>
          <w:tcPr>
            <w:tcW w:w="820" w:type="dxa"/>
            <w:vAlign w:val="bottom"/>
          </w:tcPr>
          <w:p>
            <w:pPr>
              <w:jc w:val="center"/>
              <w:spacing w:after="0"/>
              <w:rPr>
                <w:sz w:val="20"/>
                <w:szCs w:val="20"/>
                <w:color w:val="auto"/>
              </w:rPr>
            </w:pPr>
            <w:r>
              <w:rPr>
                <w:rFonts w:ascii="Arial" w:cs="Arial" w:eastAsia="Arial" w:hAnsi="Arial"/>
                <w:sz w:val="13"/>
                <w:szCs w:val="13"/>
                <w:color w:val="auto"/>
                <w:w w:val="89"/>
              </w:rPr>
              <w:t>1 (3.8%)</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9"/>
              </w:rPr>
              <w:t>1 (2.4%)</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3"/>
              </w:rPr>
              <w:t>1 (1.2%)</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3 (3.6%)</w:t>
            </w:r>
          </w:p>
        </w:tc>
      </w:tr>
      <w:tr>
        <w:trPr>
          <w:trHeight w:val="202"/>
        </w:trPr>
        <w:tc>
          <w:tcPr>
            <w:tcW w:w="5000" w:type="dxa"/>
            <w:vAlign w:val="bottom"/>
            <w:gridSpan w:val="2"/>
          </w:tcPr>
          <w:p>
            <w:pPr>
              <w:spacing w:after="0"/>
              <w:rPr>
                <w:sz w:val="20"/>
                <w:szCs w:val="20"/>
                <w:color w:val="auto"/>
              </w:rPr>
            </w:pPr>
            <w:r>
              <w:rPr>
                <w:rFonts w:ascii="Arial" w:cs="Arial" w:eastAsia="Arial" w:hAnsi="Arial"/>
                <w:sz w:val="13"/>
                <w:szCs w:val="13"/>
                <w:color w:val="auto"/>
              </w:rPr>
              <w:t>Nervous system disorders</w:t>
            </w:r>
          </w:p>
        </w:tc>
        <w:tc>
          <w:tcPr>
            <w:tcW w:w="840" w:type="dxa"/>
            <w:vAlign w:val="bottom"/>
          </w:tcPr>
          <w:p>
            <w:pPr>
              <w:jc w:val="center"/>
              <w:spacing w:after="0"/>
              <w:rPr>
                <w:sz w:val="20"/>
                <w:szCs w:val="20"/>
                <w:color w:val="auto"/>
              </w:rPr>
            </w:pPr>
            <w:r>
              <w:rPr>
                <w:rFonts w:ascii="Arial" w:cs="Arial" w:eastAsia="Arial" w:hAnsi="Arial"/>
                <w:sz w:val="13"/>
                <w:szCs w:val="13"/>
                <w:color w:val="auto"/>
                <w:w w:val="89"/>
              </w:rPr>
              <w:t>1 (3.8%)</w:t>
            </w:r>
          </w:p>
        </w:tc>
        <w:tc>
          <w:tcPr>
            <w:tcW w:w="100" w:type="dxa"/>
            <w:vAlign w:val="bottom"/>
          </w:tcPr>
          <w:p>
            <w:pPr>
              <w:spacing w:after="0"/>
              <w:rPr>
                <w:sz w:val="17"/>
                <w:szCs w:val="17"/>
                <w:color w:val="auto"/>
              </w:rPr>
            </w:pPr>
          </w:p>
        </w:tc>
        <w:tc>
          <w:tcPr>
            <w:tcW w:w="920" w:type="dxa"/>
            <w:vAlign w:val="bottom"/>
          </w:tcPr>
          <w:p>
            <w:pPr>
              <w:jc w:val="center"/>
              <w:ind w:right="56"/>
              <w:spacing w:after="0"/>
              <w:rPr>
                <w:sz w:val="20"/>
                <w:szCs w:val="20"/>
                <w:color w:val="auto"/>
              </w:rPr>
            </w:pPr>
            <w:r>
              <w:rPr>
                <w:rFonts w:ascii="Arial" w:cs="Arial" w:eastAsia="Arial" w:hAnsi="Arial"/>
                <w:sz w:val="13"/>
                <w:szCs w:val="13"/>
                <w:color w:val="auto"/>
                <w:w w:val="89"/>
              </w:rPr>
              <w:t>1 (4.0%)</w:t>
            </w:r>
          </w:p>
        </w:tc>
        <w:tc>
          <w:tcPr>
            <w:tcW w:w="820" w:type="dxa"/>
            <w:vAlign w:val="bottom"/>
          </w:tcPr>
          <w:p>
            <w:pPr>
              <w:jc w:val="center"/>
              <w:spacing w:after="0"/>
              <w:rPr>
                <w:sz w:val="20"/>
                <w:szCs w:val="20"/>
                <w:color w:val="auto"/>
              </w:rPr>
            </w:pPr>
            <w:r>
              <w:rPr>
                <w:rFonts w:ascii="Arial" w:cs="Arial" w:eastAsia="Arial" w:hAnsi="Arial"/>
                <w:sz w:val="13"/>
                <w:szCs w:val="13"/>
                <w:color w:val="auto"/>
                <w:w w:val="89"/>
              </w:rPr>
              <w:t>2 (7.7%)</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9"/>
              </w:rPr>
              <w:t>2 (4.8%)</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3"/>
              </w:rPr>
              <w:t>3 (3.6%)</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2 (2.4%)</w:t>
            </w:r>
          </w:p>
        </w:tc>
      </w:tr>
      <w:tr>
        <w:trPr>
          <w:trHeight w:val="202"/>
        </w:trPr>
        <w:tc>
          <w:tcPr>
            <w:tcW w:w="5000" w:type="dxa"/>
            <w:vAlign w:val="bottom"/>
            <w:gridSpan w:val="2"/>
          </w:tcPr>
          <w:p>
            <w:pPr>
              <w:spacing w:after="0"/>
              <w:rPr>
                <w:sz w:val="20"/>
                <w:szCs w:val="20"/>
                <w:color w:val="auto"/>
              </w:rPr>
            </w:pPr>
            <w:r>
              <w:rPr>
                <w:rFonts w:ascii="Arial" w:cs="Arial" w:eastAsia="Arial" w:hAnsi="Arial"/>
                <w:sz w:val="13"/>
                <w:szCs w:val="13"/>
                <w:color w:val="auto"/>
              </w:rPr>
              <w:t>Psychiatric disorders</w:t>
            </w:r>
          </w:p>
        </w:tc>
        <w:tc>
          <w:tcPr>
            <w:tcW w:w="84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7"/>
                <w:szCs w:val="17"/>
                <w:color w:val="auto"/>
              </w:rPr>
            </w:pPr>
          </w:p>
        </w:tc>
        <w:tc>
          <w:tcPr>
            <w:tcW w:w="920" w:type="dxa"/>
            <w:vAlign w:val="bottom"/>
          </w:tcPr>
          <w:p>
            <w:pPr>
              <w:jc w:val="center"/>
              <w:ind w:right="56"/>
              <w:spacing w:after="0"/>
              <w:rPr>
                <w:sz w:val="20"/>
                <w:szCs w:val="20"/>
                <w:color w:val="auto"/>
              </w:rPr>
            </w:pPr>
            <w:r>
              <w:rPr>
                <w:rFonts w:ascii="Arial" w:cs="Arial" w:eastAsia="Arial" w:hAnsi="Arial"/>
                <w:sz w:val="13"/>
                <w:szCs w:val="13"/>
                <w:color w:val="auto"/>
              </w:rPr>
              <w:t>0</w:t>
            </w:r>
          </w:p>
        </w:tc>
        <w:tc>
          <w:tcPr>
            <w:tcW w:w="820" w:type="dxa"/>
            <w:vAlign w:val="bottom"/>
          </w:tcPr>
          <w:p>
            <w:pPr>
              <w:jc w:val="center"/>
              <w:spacing w:after="0"/>
              <w:rPr>
                <w:sz w:val="20"/>
                <w:szCs w:val="20"/>
                <w:color w:val="auto"/>
              </w:rPr>
            </w:pPr>
            <w:r>
              <w:rPr>
                <w:rFonts w:ascii="Arial" w:cs="Arial" w:eastAsia="Arial" w:hAnsi="Arial"/>
                <w:sz w:val="13"/>
                <w:szCs w:val="13"/>
                <w:color w:val="auto"/>
                <w:w w:val="89"/>
              </w:rPr>
              <w:t>1 (3.8%)</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1 (1.2%)</w:t>
            </w:r>
          </w:p>
        </w:tc>
      </w:tr>
      <w:tr>
        <w:trPr>
          <w:trHeight w:val="202"/>
        </w:trPr>
        <w:tc>
          <w:tcPr>
            <w:tcW w:w="5000" w:type="dxa"/>
            <w:vAlign w:val="bottom"/>
            <w:gridSpan w:val="2"/>
          </w:tcPr>
          <w:p>
            <w:pPr>
              <w:spacing w:after="0"/>
              <w:rPr>
                <w:sz w:val="20"/>
                <w:szCs w:val="20"/>
                <w:color w:val="auto"/>
              </w:rPr>
            </w:pPr>
            <w:r>
              <w:rPr>
                <w:rFonts w:ascii="Arial" w:cs="Arial" w:eastAsia="Arial" w:hAnsi="Arial"/>
                <w:sz w:val="13"/>
                <w:szCs w:val="13"/>
                <w:color w:val="auto"/>
              </w:rPr>
              <w:t>Respiratory, thoracic and mediastinal disorders</w:t>
            </w:r>
          </w:p>
        </w:tc>
        <w:tc>
          <w:tcPr>
            <w:tcW w:w="84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7"/>
                <w:szCs w:val="17"/>
                <w:color w:val="auto"/>
              </w:rPr>
            </w:pPr>
          </w:p>
        </w:tc>
        <w:tc>
          <w:tcPr>
            <w:tcW w:w="920" w:type="dxa"/>
            <w:vAlign w:val="bottom"/>
          </w:tcPr>
          <w:p>
            <w:pPr>
              <w:jc w:val="center"/>
              <w:ind w:right="56"/>
              <w:spacing w:after="0"/>
              <w:rPr>
                <w:sz w:val="20"/>
                <w:szCs w:val="20"/>
                <w:color w:val="auto"/>
              </w:rPr>
            </w:pPr>
            <w:r>
              <w:rPr>
                <w:rFonts w:ascii="Arial" w:cs="Arial" w:eastAsia="Arial" w:hAnsi="Arial"/>
                <w:sz w:val="13"/>
                <w:szCs w:val="13"/>
                <w:color w:val="auto"/>
                <w:w w:val="89"/>
              </w:rPr>
              <w:t>1 (4.0%)</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3"/>
              </w:rPr>
              <w:t>2 (2.4%)</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5 (6.0%)</w:t>
            </w:r>
          </w:p>
        </w:tc>
      </w:tr>
      <w:tr>
        <w:trPr>
          <w:trHeight w:val="202"/>
        </w:trPr>
        <w:tc>
          <w:tcPr>
            <w:tcW w:w="5000" w:type="dxa"/>
            <w:vAlign w:val="bottom"/>
            <w:gridSpan w:val="2"/>
          </w:tcPr>
          <w:p>
            <w:pPr>
              <w:spacing w:after="0"/>
              <w:rPr>
                <w:sz w:val="20"/>
                <w:szCs w:val="20"/>
                <w:color w:val="auto"/>
              </w:rPr>
            </w:pPr>
            <w:r>
              <w:rPr>
                <w:rFonts w:ascii="Arial" w:cs="Arial" w:eastAsia="Arial" w:hAnsi="Arial"/>
                <w:sz w:val="13"/>
                <w:szCs w:val="13"/>
                <w:color w:val="auto"/>
              </w:rPr>
              <w:t>Vascular disorders</w:t>
            </w:r>
          </w:p>
        </w:tc>
        <w:tc>
          <w:tcPr>
            <w:tcW w:w="84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7"/>
                <w:szCs w:val="17"/>
                <w:color w:val="auto"/>
              </w:rPr>
            </w:pPr>
          </w:p>
        </w:tc>
        <w:tc>
          <w:tcPr>
            <w:tcW w:w="920" w:type="dxa"/>
            <w:vAlign w:val="bottom"/>
          </w:tcPr>
          <w:p>
            <w:pPr>
              <w:jc w:val="center"/>
              <w:ind w:right="56"/>
              <w:spacing w:after="0"/>
              <w:rPr>
                <w:sz w:val="20"/>
                <w:szCs w:val="20"/>
                <w:color w:val="auto"/>
              </w:rPr>
            </w:pPr>
            <w:r>
              <w:rPr>
                <w:rFonts w:ascii="Arial" w:cs="Arial" w:eastAsia="Arial" w:hAnsi="Arial"/>
                <w:sz w:val="13"/>
                <w:szCs w:val="13"/>
                <w:color w:val="auto"/>
              </w:rPr>
              <w:t>0</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1 (1.2%)</w:t>
            </w:r>
          </w:p>
        </w:tc>
      </w:tr>
    </w:tbl>
    <w:p>
      <w:pPr>
        <w:spacing w:after="0" w:line="132" w:lineRule="exact"/>
        <w:rPr>
          <w:sz w:val="20"/>
          <w:szCs w:val="20"/>
          <w:color w:val="auto"/>
        </w:rPr>
      </w:pPr>
    </w:p>
    <w:p>
      <w:pPr>
        <w:ind w:right="140" w:firstLine="283"/>
        <w:spacing w:after="0" w:line="281" w:lineRule="auto"/>
        <w:rPr>
          <w:sz w:val="20"/>
          <w:szCs w:val="20"/>
          <w:color w:val="auto"/>
        </w:rPr>
      </w:pPr>
      <w:r>
        <w:rPr>
          <w:rFonts w:ascii="Arial" w:cs="Arial" w:eastAsia="Arial" w:hAnsi="Arial"/>
          <w:sz w:val="14"/>
          <w:szCs w:val="14"/>
          <w:color w:val="auto"/>
        </w:rPr>
        <w:t>Of the reported serious TEAEs that were eye disorders, one TEAE was an ischaemic optic neuropathy (in the Zimura 2 mg group) and one TEAE was a retinal detachment (in the Zimura 4 mg group). Neither of these TEAEs were reported as related to Zimura.</w:t>
      </w:r>
    </w:p>
    <w:p>
      <w:pPr>
        <w:spacing w:after="0" w:line="69" w:lineRule="exact"/>
        <w:rPr>
          <w:sz w:val="20"/>
          <w:szCs w:val="20"/>
          <w:color w:val="auto"/>
        </w:rPr>
      </w:pPr>
    </w:p>
    <w:p>
      <w:pPr>
        <w:jc w:val="center"/>
        <w:ind w:right="360"/>
        <w:spacing w:after="0"/>
        <w:rPr>
          <w:sz w:val="20"/>
          <w:szCs w:val="20"/>
          <w:color w:val="auto"/>
        </w:rPr>
      </w:pPr>
      <w:r>
        <w:rPr>
          <w:rFonts w:ascii="Arial" w:cs="Arial" w:eastAsia="Arial" w:hAnsi="Arial"/>
          <w:sz w:val="13"/>
          <w:szCs w:val="13"/>
          <w:color w:val="auto"/>
        </w:rPr>
        <w:t>The number of patients with one or more TEAEs, including serious TEAEs, identified by the investigator as related to the study drug (Zimura or sham) are set forth in the table below:</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Reported TEAEs Related to Zimura or Sham</w:t>
      </w:r>
    </w:p>
    <w:p>
      <w:pPr>
        <w:spacing w:after="0" w:line="172" w:lineRule="exact"/>
        <w:rPr>
          <w:sz w:val="20"/>
          <w:szCs w:val="20"/>
          <w:color w:val="auto"/>
        </w:rPr>
      </w:pPr>
    </w:p>
    <w:tbl>
      <w:tblPr>
        <w:tblLayout w:type="fixed"/>
        <w:tblInd w:w="360" w:type="dxa"/>
        <w:tblCellMar>
          <w:top w:w="0" w:type="dxa"/>
          <w:left w:w="0" w:type="dxa"/>
          <w:bottom w:w="0" w:type="dxa"/>
          <w:right w:w="0" w:type="dxa"/>
        </w:tblCellMar>
      </w:tblPr>
      <w:tr>
        <w:trPr>
          <w:trHeight w:val="165"/>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96"/>
              <w:spacing w:after="0"/>
              <w:rPr>
                <w:sz w:val="20"/>
                <w:szCs w:val="20"/>
                <w:color w:val="auto"/>
              </w:rPr>
            </w:pPr>
            <w:r>
              <w:rPr>
                <w:rFonts w:ascii="Arial" w:cs="Arial" w:eastAsia="Arial" w:hAnsi="Arial"/>
                <w:sz w:val="13"/>
                <w:szCs w:val="13"/>
                <w:b w:val="1"/>
                <w:bCs w:val="1"/>
                <w:color w:val="auto"/>
                <w:w w:val="88"/>
              </w:rPr>
              <w:t>Part 1</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300"/>
              <w:spacing w:after="0"/>
              <w:rPr>
                <w:sz w:val="20"/>
                <w:szCs w:val="20"/>
                <w:color w:val="auto"/>
              </w:rPr>
            </w:pPr>
            <w:r>
              <w:rPr>
                <w:rFonts w:ascii="Arial" w:cs="Arial" w:eastAsia="Arial" w:hAnsi="Arial"/>
                <w:sz w:val="13"/>
                <w:szCs w:val="13"/>
                <w:b w:val="1"/>
                <w:bCs w:val="1"/>
                <w:color w:val="auto"/>
              </w:rPr>
              <w:t>Part 2</w:t>
            </w:r>
          </w:p>
        </w:tc>
        <w:tc>
          <w:tcPr>
            <w:tcW w:w="920" w:type="dxa"/>
            <w:vAlign w:val="bottom"/>
          </w:tcPr>
          <w:p>
            <w:pPr>
              <w:spacing w:after="0"/>
              <w:rPr>
                <w:sz w:val="14"/>
                <w:szCs w:val="14"/>
                <w:color w:val="auto"/>
              </w:rPr>
            </w:pPr>
          </w:p>
        </w:tc>
      </w:tr>
      <w:tr>
        <w:trPr>
          <w:trHeight w:val="26"/>
        </w:trPr>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43"/>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20"/>
              <w:spacing w:after="0" w:line="143" w:lineRule="exact"/>
              <w:rPr>
                <w:sz w:val="20"/>
                <w:szCs w:val="20"/>
                <w:color w:val="auto"/>
              </w:rPr>
            </w:pPr>
            <w:r>
              <w:rPr>
                <w:rFonts w:ascii="Arial" w:cs="Arial" w:eastAsia="Arial" w:hAnsi="Arial"/>
                <w:sz w:val="13"/>
                <w:szCs w:val="13"/>
                <w:b w:val="1"/>
                <w:bCs w:val="1"/>
                <w:color w:val="auto"/>
                <w:w w:val="93"/>
              </w:rPr>
              <w:t>Zimura 1 mg</w:t>
            </w:r>
          </w:p>
        </w:tc>
        <w:tc>
          <w:tcPr>
            <w:tcW w:w="920" w:type="dxa"/>
            <w:vAlign w:val="bottom"/>
          </w:tcPr>
          <w:p>
            <w:pPr>
              <w:jc w:val="center"/>
              <w:ind w:right="56"/>
              <w:spacing w:after="0" w:line="143" w:lineRule="exact"/>
              <w:rPr>
                <w:sz w:val="20"/>
                <w:szCs w:val="20"/>
                <w:color w:val="auto"/>
              </w:rPr>
            </w:pPr>
            <w:r>
              <w:rPr>
                <w:rFonts w:ascii="Arial" w:cs="Arial" w:eastAsia="Arial" w:hAnsi="Arial"/>
                <w:sz w:val="13"/>
                <w:szCs w:val="13"/>
                <w:b w:val="1"/>
                <w:bCs w:val="1"/>
                <w:color w:val="auto"/>
                <w:w w:val="93"/>
              </w:rPr>
              <w:t>Zimura 2 mg</w:t>
            </w:r>
          </w:p>
        </w:tc>
        <w:tc>
          <w:tcPr>
            <w:tcW w:w="900" w:type="dxa"/>
            <w:vAlign w:val="bottom"/>
            <w:gridSpan w:val="2"/>
          </w:tcPr>
          <w:p>
            <w:pPr>
              <w:jc w:val="center"/>
              <w:ind w:right="120"/>
              <w:spacing w:after="0" w:line="143" w:lineRule="exact"/>
              <w:rPr>
                <w:sz w:val="20"/>
                <w:szCs w:val="20"/>
                <w:color w:val="auto"/>
              </w:rPr>
            </w:pPr>
            <w:r>
              <w:rPr>
                <w:rFonts w:ascii="Arial" w:cs="Arial" w:eastAsia="Arial" w:hAnsi="Arial"/>
                <w:sz w:val="13"/>
                <w:szCs w:val="13"/>
                <w:b w:val="1"/>
                <w:bCs w:val="1"/>
                <w:color w:val="auto"/>
                <w:w w:val="84"/>
              </w:rPr>
              <w:t>Sham</w:t>
            </w:r>
          </w:p>
        </w:tc>
        <w:tc>
          <w:tcPr>
            <w:tcW w:w="900" w:type="dxa"/>
            <w:vAlign w:val="bottom"/>
            <w:gridSpan w:val="2"/>
          </w:tcPr>
          <w:p>
            <w:pPr>
              <w:jc w:val="center"/>
              <w:ind w:right="100"/>
              <w:spacing w:after="0" w:line="143" w:lineRule="exact"/>
              <w:rPr>
                <w:sz w:val="20"/>
                <w:szCs w:val="20"/>
                <w:color w:val="auto"/>
              </w:rPr>
            </w:pPr>
            <w:r>
              <w:rPr>
                <w:rFonts w:ascii="Arial" w:cs="Arial" w:eastAsia="Arial" w:hAnsi="Arial"/>
                <w:sz w:val="13"/>
                <w:szCs w:val="13"/>
                <w:b w:val="1"/>
                <w:bCs w:val="1"/>
                <w:color w:val="auto"/>
                <w:w w:val="93"/>
              </w:rPr>
              <w:t>Zimura 2 mg</w:t>
            </w:r>
          </w:p>
        </w:tc>
        <w:tc>
          <w:tcPr>
            <w:tcW w:w="920" w:type="dxa"/>
            <w:vAlign w:val="bottom"/>
            <w:gridSpan w:val="2"/>
          </w:tcPr>
          <w:p>
            <w:pPr>
              <w:jc w:val="center"/>
              <w:ind w:right="100"/>
              <w:spacing w:after="0" w:line="143" w:lineRule="exact"/>
              <w:rPr>
                <w:sz w:val="20"/>
                <w:szCs w:val="20"/>
                <w:color w:val="auto"/>
              </w:rPr>
            </w:pPr>
            <w:r>
              <w:rPr>
                <w:rFonts w:ascii="Arial" w:cs="Arial" w:eastAsia="Arial" w:hAnsi="Arial"/>
                <w:sz w:val="13"/>
                <w:szCs w:val="13"/>
                <w:b w:val="1"/>
                <w:bCs w:val="1"/>
                <w:color w:val="auto"/>
                <w:w w:val="90"/>
              </w:rPr>
              <w:t>Zimura 4 mg</w:t>
            </w:r>
          </w:p>
        </w:tc>
        <w:tc>
          <w:tcPr>
            <w:tcW w:w="9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Sham 4 mg</w:t>
            </w:r>
          </w:p>
        </w:tc>
      </w:tr>
      <w:tr>
        <w:trPr>
          <w:trHeight w:val="161"/>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(N = 26)</w:t>
            </w:r>
          </w:p>
        </w:tc>
        <w:tc>
          <w:tcPr>
            <w:tcW w:w="920" w:type="dxa"/>
            <w:vAlign w:val="bottom"/>
          </w:tcPr>
          <w:p>
            <w:pPr>
              <w:jc w:val="center"/>
              <w:ind w:right="56"/>
              <w:spacing w:after="0"/>
              <w:rPr>
                <w:sz w:val="20"/>
                <w:szCs w:val="20"/>
                <w:color w:val="auto"/>
              </w:rPr>
            </w:pPr>
            <w:r>
              <w:rPr>
                <w:rFonts w:ascii="Arial" w:cs="Arial" w:eastAsia="Arial" w:hAnsi="Arial"/>
                <w:sz w:val="13"/>
                <w:szCs w:val="13"/>
                <w:color w:val="auto"/>
                <w:w w:val="92"/>
              </w:rPr>
              <w:t>(N = 25)</w:t>
            </w:r>
          </w:p>
        </w:tc>
        <w:tc>
          <w:tcPr>
            <w:tcW w:w="90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(N = 26)</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(N = 42)</w:t>
            </w:r>
          </w:p>
        </w:tc>
        <w:tc>
          <w:tcPr>
            <w:tcW w:w="92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(N = 83)</w:t>
            </w: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(N = 84)</w:t>
            </w:r>
          </w:p>
        </w:tc>
      </w:tr>
      <w:tr>
        <w:trPr>
          <w:trHeight w:val="36"/>
        </w:trPr>
        <w:tc>
          <w:tcPr>
            <w:tcW w:w="4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67"/>
        </w:trPr>
        <w:tc>
          <w:tcPr>
            <w:tcW w:w="5060" w:type="dxa"/>
            <w:vAlign w:val="bottom"/>
            <w:gridSpan w:val="2"/>
          </w:tcPr>
          <w:p>
            <w:pPr>
              <w:ind w:left="20"/>
              <w:spacing w:after="0"/>
              <w:rPr>
                <w:sz w:val="20"/>
                <w:szCs w:val="20"/>
                <w:color w:val="auto"/>
              </w:rPr>
            </w:pPr>
            <w:r>
              <w:rPr>
                <w:rFonts w:ascii="Arial" w:cs="Arial" w:eastAsia="Arial" w:hAnsi="Arial"/>
                <w:sz w:val="13"/>
                <w:szCs w:val="13"/>
                <w:color w:val="auto"/>
              </w:rPr>
              <w:t>Subjects with at least one TEAE</w:t>
            </w:r>
          </w:p>
        </w:tc>
        <w:tc>
          <w:tcPr>
            <w:tcW w:w="8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3"/>
                <w:szCs w:val="13"/>
                <w:color w:val="auto"/>
                <w:w w:val="82"/>
              </w:rPr>
              <w:t>0</w:t>
            </w:r>
          </w:p>
        </w:tc>
        <w:tc>
          <w:tcPr>
            <w:tcW w:w="80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2"/>
              </w:rPr>
              <w:t>0</w:t>
            </w:r>
          </w:p>
        </w:tc>
      </w:tr>
    </w:tbl>
    <w:p>
      <w:pPr>
        <w:spacing w:after="0" w:line="7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number of patients with one or more ocular TEAEs in the study eye are set forth in the table below:</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Reported Ocular TEAEs in Study Eyes</w:t>
      </w:r>
    </w:p>
    <w:p>
      <w:pPr>
        <w:spacing w:after="0" w:line="172" w:lineRule="exact"/>
        <w:rPr>
          <w:sz w:val="20"/>
          <w:szCs w:val="20"/>
          <w:color w:val="auto"/>
        </w:rPr>
      </w:pPr>
    </w:p>
    <w:tbl>
      <w:tblPr>
        <w:tblLayout w:type="fixed"/>
        <w:tblInd w:w="360" w:type="dxa"/>
        <w:tblCellMar>
          <w:top w:w="0" w:type="dxa"/>
          <w:left w:w="0" w:type="dxa"/>
          <w:bottom w:w="0" w:type="dxa"/>
          <w:right w:w="0" w:type="dxa"/>
        </w:tblCellMar>
      </w:tblPr>
      <w:tr>
        <w:trPr>
          <w:trHeight w:val="165"/>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3"/>
                <w:szCs w:val="13"/>
                <w:b w:val="1"/>
                <w:bCs w:val="1"/>
                <w:color w:val="auto"/>
                <w:w w:val="88"/>
              </w:rPr>
              <w:t>Part 1</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300"/>
              <w:spacing w:after="0"/>
              <w:rPr>
                <w:sz w:val="20"/>
                <w:szCs w:val="20"/>
                <w:color w:val="auto"/>
              </w:rPr>
            </w:pPr>
            <w:r>
              <w:rPr>
                <w:rFonts w:ascii="Arial" w:cs="Arial" w:eastAsia="Arial" w:hAnsi="Arial"/>
                <w:sz w:val="13"/>
                <w:szCs w:val="13"/>
                <w:b w:val="1"/>
                <w:bCs w:val="1"/>
                <w:color w:val="auto"/>
              </w:rPr>
              <w:t>Part 2</w:t>
            </w:r>
          </w:p>
        </w:tc>
        <w:tc>
          <w:tcPr>
            <w:tcW w:w="920" w:type="dxa"/>
            <w:vAlign w:val="bottom"/>
          </w:tcPr>
          <w:p>
            <w:pPr>
              <w:spacing w:after="0"/>
              <w:rPr>
                <w:sz w:val="14"/>
                <w:szCs w:val="14"/>
                <w:color w:val="auto"/>
              </w:rPr>
            </w:pPr>
          </w:p>
        </w:tc>
      </w:tr>
      <w:tr>
        <w:trPr>
          <w:trHeight w:val="26"/>
        </w:trPr>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54"/>
        </w:trPr>
        <w:tc>
          <w:tcPr>
            <w:tcW w:w="4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Zimura 1 mg</w:t>
            </w:r>
          </w:p>
        </w:tc>
        <w:tc>
          <w:tcPr>
            <w:tcW w:w="900" w:type="dxa"/>
            <w:vAlign w:val="bottom"/>
          </w:tcPr>
          <w:p>
            <w:pPr>
              <w:jc w:val="center"/>
              <w:ind w:right="36"/>
              <w:spacing w:after="0"/>
              <w:rPr>
                <w:sz w:val="20"/>
                <w:szCs w:val="20"/>
                <w:color w:val="auto"/>
              </w:rPr>
            </w:pPr>
            <w:r>
              <w:rPr>
                <w:rFonts w:ascii="Arial" w:cs="Arial" w:eastAsia="Arial" w:hAnsi="Arial"/>
                <w:sz w:val="13"/>
                <w:szCs w:val="13"/>
                <w:b w:val="1"/>
                <w:bCs w:val="1"/>
                <w:color w:val="auto"/>
                <w:w w:val="93"/>
              </w:rPr>
              <w:t>Zimura 2 mg</w:t>
            </w: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Sham</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Zimura 2 mg</w:t>
            </w: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Zimura 4 mg</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9"/>
              </w:rPr>
              <w:t>Sham 4 mg</w:t>
            </w:r>
          </w:p>
        </w:tc>
      </w:tr>
      <w:tr>
        <w:trPr>
          <w:trHeight w:val="161"/>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(N = 26)</w:t>
            </w:r>
          </w:p>
        </w:tc>
        <w:tc>
          <w:tcPr>
            <w:tcW w:w="900" w:type="dxa"/>
            <w:vAlign w:val="bottom"/>
          </w:tcPr>
          <w:p>
            <w:pPr>
              <w:jc w:val="center"/>
              <w:ind w:right="36"/>
              <w:spacing w:after="0"/>
              <w:rPr>
                <w:sz w:val="20"/>
                <w:szCs w:val="20"/>
                <w:color w:val="auto"/>
              </w:rPr>
            </w:pPr>
            <w:r>
              <w:rPr>
                <w:rFonts w:ascii="Arial" w:cs="Arial" w:eastAsia="Arial" w:hAnsi="Arial"/>
                <w:sz w:val="13"/>
                <w:szCs w:val="13"/>
                <w:color w:val="auto"/>
                <w:w w:val="92"/>
              </w:rPr>
              <w:t>(N = 25)</w:t>
            </w:r>
          </w:p>
        </w:tc>
        <w:tc>
          <w:tcPr>
            <w:tcW w:w="9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(N = 26)</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(N = 42)</w:t>
            </w:r>
          </w:p>
        </w:tc>
        <w:tc>
          <w:tcPr>
            <w:tcW w:w="92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(N = 83)</w:t>
            </w: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(N = 84)</w:t>
            </w:r>
          </w:p>
        </w:tc>
      </w:tr>
      <w:tr>
        <w:trPr>
          <w:trHeight w:val="26"/>
        </w:trPr>
        <w:tc>
          <w:tcPr>
            <w:tcW w:w="4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67"/>
        </w:trPr>
        <w:tc>
          <w:tcPr>
            <w:tcW w:w="5060" w:type="dxa"/>
            <w:vAlign w:val="bottom"/>
            <w:gridSpan w:val="2"/>
          </w:tcPr>
          <w:p>
            <w:pPr>
              <w:ind w:left="20"/>
              <w:spacing w:after="0"/>
              <w:rPr>
                <w:sz w:val="20"/>
                <w:szCs w:val="20"/>
                <w:color w:val="auto"/>
              </w:rPr>
            </w:pPr>
            <w:r>
              <w:rPr>
                <w:rFonts w:ascii="Arial" w:cs="Arial" w:eastAsia="Arial" w:hAnsi="Arial"/>
                <w:sz w:val="13"/>
                <w:szCs w:val="13"/>
                <w:color w:val="auto"/>
              </w:rPr>
              <w:t>Eye disorders</w:t>
            </w: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12 (46.2%)</w:t>
            </w:r>
          </w:p>
        </w:tc>
        <w:tc>
          <w:tcPr>
            <w:tcW w:w="100" w:type="dxa"/>
            <w:vAlign w:val="bottom"/>
          </w:tcPr>
          <w:p>
            <w:pPr>
              <w:spacing w:after="0"/>
              <w:rPr>
                <w:sz w:val="14"/>
                <w:szCs w:val="14"/>
                <w:color w:val="auto"/>
              </w:rPr>
            </w:pPr>
          </w:p>
        </w:tc>
        <w:tc>
          <w:tcPr>
            <w:tcW w:w="900" w:type="dxa"/>
            <w:vAlign w:val="bottom"/>
          </w:tcPr>
          <w:p>
            <w:pPr>
              <w:jc w:val="right"/>
              <w:ind w:right="156"/>
              <w:spacing w:after="0"/>
              <w:rPr>
                <w:sz w:val="20"/>
                <w:szCs w:val="20"/>
                <w:color w:val="auto"/>
              </w:rPr>
            </w:pPr>
            <w:r>
              <w:rPr>
                <w:rFonts w:ascii="Arial" w:cs="Arial" w:eastAsia="Arial" w:hAnsi="Arial"/>
                <w:sz w:val="13"/>
                <w:szCs w:val="13"/>
                <w:color w:val="auto"/>
              </w:rPr>
              <w:t>11 (44.0%)</w:t>
            </w:r>
          </w:p>
        </w:tc>
        <w:tc>
          <w:tcPr>
            <w:tcW w:w="820" w:type="dxa"/>
            <w:vAlign w:val="bottom"/>
          </w:tcPr>
          <w:p>
            <w:pPr>
              <w:jc w:val="right"/>
              <w:ind w:right="96"/>
              <w:spacing w:after="0"/>
              <w:rPr>
                <w:sz w:val="20"/>
                <w:szCs w:val="20"/>
                <w:color w:val="auto"/>
              </w:rPr>
            </w:pPr>
            <w:r>
              <w:rPr>
                <w:rFonts w:ascii="Arial" w:cs="Arial" w:eastAsia="Arial" w:hAnsi="Arial"/>
                <w:sz w:val="13"/>
                <w:szCs w:val="13"/>
                <w:color w:val="auto"/>
              </w:rPr>
              <w:t>6 (23.1%)</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7"/>
              </w:rPr>
              <w:t>28 (66.7%)</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1"/>
              </w:rPr>
              <w:t>61 (73.5%)</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39 (46.4%)</w:t>
            </w:r>
          </w:p>
        </w:tc>
      </w:tr>
      <w:tr>
        <w:trPr>
          <w:trHeight w:val="202"/>
        </w:trPr>
        <w:tc>
          <w:tcPr>
            <w:tcW w:w="5060" w:type="dxa"/>
            <w:vAlign w:val="bottom"/>
            <w:gridSpan w:val="2"/>
          </w:tcPr>
          <w:p>
            <w:pPr>
              <w:ind w:left="20"/>
              <w:spacing w:after="0"/>
              <w:rPr>
                <w:sz w:val="20"/>
                <w:szCs w:val="20"/>
                <w:color w:val="auto"/>
              </w:rPr>
            </w:pPr>
            <w:r>
              <w:rPr>
                <w:rFonts w:ascii="Arial" w:cs="Arial" w:eastAsia="Arial" w:hAnsi="Arial"/>
                <w:sz w:val="13"/>
                <w:szCs w:val="13"/>
                <w:color w:val="auto"/>
              </w:rPr>
              <w:t>Eye disorders related to injection procedure</w:t>
            </w:r>
          </w:p>
        </w:tc>
        <w:tc>
          <w:tcPr>
            <w:tcW w:w="860" w:type="dxa"/>
            <w:vAlign w:val="bottom"/>
          </w:tcPr>
          <w:p>
            <w:pPr>
              <w:jc w:val="right"/>
              <w:ind w:right="116"/>
              <w:spacing w:after="0"/>
              <w:rPr>
                <w:sz w:val="20"/>
                <w:szCs w:val="20"/>
                <w:color w:val="auto"/>
              </w:rPr>
            </w:pPr>
            <w:r>
              <w:rPr>
                <w:rFonts w:ascii="Arial" w:cs="Arial" w:eastAsia="Arial" w:hAnsi="Arial"/>
                <w:sz w:val="13"/>
                <w:szCs w:val="13"/>
                <w:color w:val="auto"/>
              </w:rPr>
              <w:t>4 (15.4%)</w:t>
            </w:r>
          </w:p>
        </w:tc>
        <w:tc>
          <w:tcPr>
            <w:tcW w:w="100" w:type="dxa"/>
            <w:vAlign w:val="bottom"/>
          </w:tcPr>
          <w:p>
            <w:pPr>
              <w:spacing w:after="0"/>
              <w:rPr>
                <w:sz w:val="17"/>
                <w:szCs w:val="17"/>
                <w:color w:val="auto"/>
              </w:rPr>
            </w:pPr>
          </w:p>
        </w:tc>
        <w:tc>
          <w:tcPr>
            <w:tcW w:w="900" w:type="dxa"/>
            <w:vAlign w:val="bottom"/>
          </w:tcPr>
          <w:p>
            <w:pPr>
              <w:jc w:val="right"/>
              <w:ind w:right="196"/>
              <w:spacing w:after="0"/>
              <w:rPr>
                <w:sz w:val="20"/>
                <w:szCs w:val="20"/>
                <w:color w:val="auto"/>
              </w:rPr>
            </w:pPr>
            <w:r>
              <w:rPr>
                <w:rFonts w:ascii="Arial" w:cs="Arial" w:eastAsia="Arial" w:hAnsi="Arial"/>
                <w:sz w:val="13"/>
                <w:szCs w:val="13"/>
                <w:color w:val="auto"/>
              </w:rPr>
              <w:t>5 (20.0%)</w:t>
            </w:r>
          </w:p>
        </w:tc>
        <w:tc>
          <w:tcPr>
            <w:tcW w:w="820" w:type="dxa"/>
            <w:vAlign w:val="bottom"/>
          </w:tcPr>
          <w:p>
            <w:pPr>
              <w:jc w:val="right"/>
              <w:ind w:right="136"/>
              <w:spacing w:after="0"/>
              <w:rPr>
                <w:sz w:val="20"/>
                <w:szCs w:val="20"/>
                <w:color w:val="auto"/>
              </w:rPr>
            </w:pPr>
            <w:r>
              <w:rPr>
                <w:rFonts w:ascii="Arial" w:cs="Arial" w:eastAsia="Arial" w:hAnsi="Arial"/>
                <w:sz w:val="13"/>
                <w:szCs w:val="13"/>
                <w:color w:val="auto"/>
              </w:rPr>
              <w:t>2 (7.7%)</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7"/>
              </w:rPr>
              <w:t>18 (42.9%)</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1"/>
              </w:rPr>
              <w:t>46 (55.4%)</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24 (28.6%)</w:t>
            </w:r>
          </w:p>
        </w:tc>
      </w:tr>
    </w:tbl>
    <w:p>
      <w:pPr>
        <w:spacing w:after="0" w:line="8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number of patients with one or more ocular TEAEs in the study eye, identified by the investigator as related to the study drug (Zimura or sham) is set forth in the table below:</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Reported Ocular TEAEs in the Study Eye Related to Zimura or Sham</w:t>
      </w:r>
    </w:p>
    <w:p>
      <w:pPr>
        <w:spacing w:after="0" w:line="172" w:lineRule="exact"/>
        <w:rPr>
          <w:sz w:val="20"/>
          <w:szCs w:val="20"/>
          <w:color w:val="auto"/>
        </w:rPr>
      </w:pPr>
    </w:p>
    <w:tbl>
      <w:tblPr>
        <w:tblLayout w:type="fixed"/>
        <w:tblInd w:w="360" w:type="dxa"/>
        <w:tblCellMar>
          <w:top w:w="0" w:type="dxa"/>
          <w:left w:w="0" w:type="dxa"/>
          <w:bottom w:w="0" w:type="dxa"/>
          <w:right w:w="0" w:type="dxa"/>
        </w:tblCellMar>
      </w:tblPr>
      <w:tr>
        <w:trPr>
          <w:trHeight w:val="165"/>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96"/>
              <w:spacing w:after="0"/>
              <w:rPr>
                <w:sz w:val="20"/>
                <w:szCs w:val="20"/>
                <w:color w:val="auto"/>
              </w:rPr>
            </w:pPr>
            <w:r>
              <w:rPr>
                <w:rFonts w:ascii="Arial" w:cs="Arial" w:eastAsia="Arial" w:hAnsi="Arial"/>
                <w:sz w:val="13"/>
                <w:szCs w:val="13"/>
                <w:b w:val="1"/>
                <w:bCs w:val="1"/>
                <w:color w:val="auto"/>
                <w:w w:val="88"/>
              </w:rPr>
              <w:t>Part 1</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300"/>
              <w:spacing w:after="0"/>
              <w:rPr>
                <w:sz w:val="20"/>
                <w:szCs w:val="20"/>
                <w:color w:val="auto"/>
              </w:rPr>
            </w:pPr>
            <w:r>
              <w:rPr>
                <w:rFonts w:ascii="Arial" w:cs="Arial" w:eastAsia="Arial" w:hAnsi="Arial"/>
                <w:sz w:val="13"/>
                <w:szCs w:val="13"/>
                <w:b w:val="1"/>
                <w:bCs w:val="1"/>
                <w:color w:val="auto"/>
              </w:rPr>
              <w:t>Part 2</w:t>
            </w:r>
          </w:p>
        </w:tc>
        <w:tc>
          <w:tcPr>
            <w:tcW w:w="920" w:type="dxa"/>
            <w:vAlign w:val="bottom"/>
          </w:tcPr>
          <w:p>
            <w:pPr>
              <w:spacing w:after="0"/>
              <w:rPr>
                <w:sz w:val="14"/>
                <w:szCs w:val="14"/>
                <w:color w:val="auto"/>
              </w:rPr>
            </w:pPr>
          </w:p>
        </w:tc>
      </w:tr>
      <w:tr>
        <w:trPr>
          <w:trHeight w:val="26"/>
        </w:trPr>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54"/>
        </w:trPr>
        <w:tc>
          <w:tcPr>
            <w:tcW w:w="4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Zimura 1 mg</w:t>
            </w:r>
          </w:p>
        </w:tc>
        <w:tc>
          <w:tcPr>
            <w:tcW w:w="920" w:type="dxa"/>
            <w:vAlign w:val="bottom"/>
          </w:tcPr>
          <w:p>
            <w:pPr>
              <w:jc w:val="center"/>
              <w:ind w:right="56"/>
              <w:spacing w:after="0"/>
              <w:rPr>
                <w:sz w:val="20"/>
                <w:szCs w:val="20"/>
                <w:color w:val="auto"/>
              </w:rPr>
            </w:pPr>
            <w:r>
              <w:rPr>
                <w:rFonts w:ascii="Arial" w:cs="Arial" w:eastAsia="Arial" w:hAnsi="Arial"/>
                <w:sz w:val="13"/>
                <w:szCs w:val="13"/>
                <w:b w:val="1"/>
                <w:bCs w:val="1"/>
                <w:color w:val="auto"/>
                <w:w w:val="93"/>
              </w:rPr>
              <w:t>Zimura 2 mg</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Sham</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Zimura 2 mg</w:t>
            </w: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Zimura 4 mg</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9"/>
              </w:rPr>
              <w:t>Sham 4 mg</w:t>
            </w:r>
          </w:p>
        </w:tc>
      </w:tr>
      <w:tr>
        <w:trPr>
          <w:trHeight w:val="161"/>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(N = 26)</w:t>
            </w:r>
          </w:p>
        </w:tc>
        <w:tc>
          <w:tcPr>
            <w:tcW w:w="920" w:type="dxa"/>
            <w:vAlign w:val="bottom"/>
          </w:tcPr>
          <w:p>
            <w:pPr>
              <w:jc w:val="center"/>
              <w:ind w:right="56"/>
              <w:spacing w:after="0"/>
              <w:rPr>
                <w:sz w:val="20"/>
                <w:szCs w:val="20"/>
                <w:color w:val="auto"/>
              </w:rPr>
            </w:pPr>
            <w:r>
              <w:rPr>
                <w:rFonts w:ascii="Arial" w:cs="Arial" w:eastAsia="Arial" w:hAnsi="Arial"/>
                <w:sz w:val="13"/>
                <w:szCs w:val="13"/>
                <w:color w:val="auto"/>
                <w:w w:val="92"/>
              </w:rPr>
              <w:t>(N = 25)</w:t>
            </w:r>
          </w:p>
        </w:tc>
        <w:tc>
          <w:tcPr>
            <w:tcW w:w="90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(N = 26)</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(N = 42)</w:t>
            </w:r>
          </w:p>
        </w:tc>
        <w:tc>
          <w:tcPr>
            <w:tcW w:w="92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(N = 83)</w:t>
            </w: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(N = 84)</w:t>
            </w:r>
          </w:p>
        </w:tc>
      </w:tr>
      <w:tr>
        <w:trPr>
          <w:trHeight w:val="26"/>
        </w:trPr>
        <w:tc>
          <w:tcPr>
            <w:tcW w:w="4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67"/>
        </w:trPr>
        <w:tc>
          <w:tcPr>
            <w:tcW w:w="5060" w:type="dxa"/>
            <w:vAlign w:val="bottom"/>
            <w:gridSpan w:val="2"/>
          </w:tcPr>
          <w:p>
            <w:pPr>
              <w:ind w:left="20"/>
              <w:spacing w:after="0"/>
              <w:rPr>
                <w:sz w:val="20"/>
                <w:szCs w:val="20"/>
                <w:color w:val="auto"/>
              </w:rPr>
            </w:pPr>
            <w:r>
              <w:rPr>
                <w:rFonts w:ascii="Arial" w:cs="Arial" w:eastAsia="Arial" w:hAnsi="Arial"/>
                <w:sz w:val="13"/>
                <w:szCs w:val="13"/>
                <w:color w:val="auto"/>
              </w:rPr>
              <w:t>Subjects with at least one TEAE</w:t>
            </w:r>
          </w:p>
        </w:tc>
        <w:tc>
          <w:tcPr>
            <w:tcW w:w="8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3"/>
                <w:szCs w:val="13"/>
                <w:color w:val="auto"/>
                <w:w w:val="82"/>
              </w:rPr>
              <w:t>0</w:t>
            </w:r>
          </w:p>
        </w:tc>
        <w:tc>
          <w:tcPr>
            <w:tcW w:w="80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2"/>
              </w:rPr>
              <w:t>0</w:t>
            </w:r>
          </w:p>
        </w:tc>
      </w:tr>
    </w:tbl>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firstLine="283"/>
        <w:spacing w:after="0" w:line="262" w:lineRule="auto"/>
        <w:rPr>
          <w:sz w:val="20"/>
          <w:szCs w:val="20"/>
          <w:color w:val="auto"/>
        </w:rPr>
      </w:pPr>
      <w:r>
        <w:rPr>
          <w:rFonts w:ascii="Arial" w:cs="Arial" w:eastAsia="Arial" w:hAnsi="Arial"/>
          <w:sz w:val="14"/>
          <w:szCs w:val="14"/>
          <w:color w:val="auto"/>
        </w:rPr>
        <w:t>In addition to us collecting investigator-reported adverse events, the independent masked reading center performed multi-modal imaging analysis. Multi-modal imaging analysis is a process used to assess patient retinal findings by reviewing different image types, in this case fluorescein angiograms and optical coherence tomography images, to provide a more comprehensive view of the patient's retinal tissue. In this trial, the reading center's multi-modal imaging analysis identified one additional case of macular CNV for a patient in the Zimura 4 mg group at month 12. Because this patient's investigator did not detect the CNV, the patient remained in the trial through month 18.</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i w:val="1"/>
          <w:iCs w:val="1"/>
          <w:u w:val="single" w:color="auto"/>
          <w:color w:val="auto"/>
        </w:rPr>
        <w:t>GATHER2 (GA secondary to AMD)</w:t>
      </w:r>
    </w:p>
    <w:p>
      <w:pPr>
        <w:spacing w:after="0" w:line="200"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In June 2020, we dosed the first patient in the international, randomized, double-masked, sham controlled, multi-center GATHER2 trial. While we initiated patient enrollment in this trial, we are continuing to monitor the COVID-19 pandemic</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closely and may need to slow down or stop patient enrollment in certain geographies depending on the local situation. In this trial, we plan to enroll approximately 400 patients, who will be randomized to receive either monthly administration of Zimura 2 mg or sham during the first 12 months of the trial, at which time the primary efficacy analysis of the mean rate of change of GA growth over 12 months using square root transformation, which is the same as the primary efficacy endpoint we used for the GATHER1 trial, will be performed. If the 12 month results are positive, we plan to file an application with the FDA and the European Medicines Agency, or the EMA, for marketing approval of Zimura for GA. At month 12, we plan to re-randomize patients in the Zimura 2 mg arm to receive either monthly or every other month administration of Zimura 2 mg. The final evaluation will take place at month 24.</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4"/>
          <w:szCs w:val="14"/>
          <w:i w:val="1"/>
          <w:iCs w:val="1"/>
          <w:u w:val="single" w:color="auto"/>
          <w:color w:val="auto"/>
        </w:rPr>
        <w:t>OPH2005 (STGD1)</w:t>
      </w:r>
    </w:p>
    <w:p>
      <w:pPr>
        <w:spacing w:after="0" w:line="200"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OPH2005, similar to GATHER1, was designed to be a Phase 2b screening trial, with the potential to demonstrate statistically significant results depending on the magnitude of the potential benefit observed, and which we believe could potentially serve as a clinical trial that can support an application for marketing approval. We have been focused on monitoring patients who remain in the trial and, together with participating investigators, efforts to retain patients and maintain scheduled visits and treatments in the trial in light of the COVID-19 pandemic. Most of our sites, even though they are operating with fewer staff and other restrictions, have continued to conduct patient visits for our clinical trials. We are aware that a small number of patients in the OPH2005 trial have missed consecutive trial visits during the pandemic; however, the number of missed visits has been decreasing recently. We continue to monitor the situation closely. We do not yet know whether the number of missed visits will increase or decrease, or what the impact of these missed visits may be on the results of the trial, especially because we are masked to the treatment condition of these patients.</w:t>
      </w:r>
    </w:p>
    <w:p>
      <w:pPr>
        <w:spacing w:after="0" w:line="172" w:lineRule="exact"/>
        <w:rPr>
          <w:sz w:val="20"/>
          <w:szCs w:val="20"/>
          <w:color w:val="auto"/>
        </w:rPr>
      </w:pPr>
    </w:p>
    <w:p>
      <w:pPr>
        <w:jc w:val="both"/>
        <w:ind w:right="20" w:firstLine="509"/>
        <w:spacing w:after="0" w:line="262" w:lineRule="auto"/>
        <w:rPr>
          <w:sz w:val="20"/>
          <w:szCs w:val="20"/>
          <w:color w:val="auto"/>
        </w:rPr>
      </w:pPr>
      <w:r>
        <w:rPr>
          <w:rFonts w:ascii="Arial" w:cs="Arial" w:eastAsia="Arial" w:hAnsi="Arial"/>
          <w:sz w:val="14"/>
          <w:szCs w:val="14"/>
          <w:color w:val="auto"/>
        </w:rPr>
        <w:t>We initially enrolled 95 patients in the OPH2005 trial. We recently reopened enrollment in this trial. We plan to enroll approximately 25 additional patients, with the goal of enrolling a total of approximately 120 patients as was initially intended in the protocol for the OPH2005 trial. Newly enrolled patients will be randomized on a 1:1 basis to be treated with either Zimura 4 mg or sham for 18 months. We have been and plan to remain masked to the treatment condition of all patients in the trial. In addition, we have not reviewed and do not plan to review or analyze efficacy data for any patients in the trial, until the 18-month data has been collected and analyzed for all patients enrolled in the trial.</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i w:val="1"/>
          <w:iCs w:val="1"/>
          <w:u w:val="single" w:color="auto"/>
          <w:color w:val="auto"/>
        </w:rPr>
        <w:t>Safety Data Across Completed Zimura Clinical Trials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addition to the GATHER1 trial, we have completed multiple clinical trials evaluating various doses of Zimura in age-related retinal diseases, including:</w:t>
      </w:r>
    </w:p>
    <w:p>
      <w:pPr>
        <w:spacing w:after="0" w:line="200" w:lineRule="exact"/>
        <w:rPr>
          <w:sz w:val="20"/>
          <w:szCs w:val="20"/>
          <w:color w:val="auto"/>
        </w:rPr>
      </w:pPr>
    </w:p>
    <w:p>
      <w:pPr>
        <w:ind w:left="1020" w:hanging="251"/>
        <w:spacing w:after="0"/>
        <w:tabs>
          <w:tab w:leader="none" w:pos="10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OPH2001, a Phase 1/2a clinical trial of various doses of Zimura monotherapy for the treatment of GA, with a total of 47 patients enrolled;</w:t>
      </w:r>
    </w:p>
    <w:p>
      <w:pPr>
        <w:spacing w:after="0" w:line="199" w:lineRule="exact"/>
        <w:rPr>
          <w:rFonts w:ascii="Arial" w:cs="Arial" w:eastAsia="Arial" w:hAnsi="Arial"/>
          <w:sz w:val="14"/>
          <w:szCs w:val="14"/>
          <w:color w:val="auto"/>
        </w:rPr>
      </w:pPr>
    </w:p>
    <w:p>
      <w:pPr>
        <w:ind w:left="1020" w:right="300" w:hanging="251"/>
        <w:spacing w:after="0" w:line="281" w:lineRule="auto"/>
        <w:tabs>
          <w:tab w:leader="none" w:pos="10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OPH2000: a Phase 1/2a clinical trial of various doses of Zimura administered in combination with Lucentis® (ranibizumab), an anti-vascular endothelial growth factor, or anti-VEGF, agent, for the treatment of wet AMD, with a total of 60 patients enrolled;</w:t>
      </w:r>
    </w:p>
    <w:p>
      <w:pPr>
        <w:spacing w:after="0" w:line="153" w:lineRule="exact"/>
        <w:rPr>
          <w:rFonts w:ascii="Arial" w:cs="Arial" w:eastAsia="Arial" w:hAnsi="Arial"/>
          <w:sz w:val="14"/>
          <w:szCs w:val="14"/>
          <w:color w:val="auto"/>
        </w:rPr>
      </w:pPr>
    </w:p>
    <w:p>
      <w:pPr>
        <w:ind w:left="1020" w:right="100" w:hanging="251"/>
        <w:spacing w:after="0" w:line="281" w:lineRule="auto"/>
        <w:tabs>
          <w:tab w:leader="none" w:pos="10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OPH2007, a Phase 2a clinical trial of various doses of Zimura administered in combination with Lucentis for the treatment of wet AMD, with a total of 64 patients enrolled, which concluded in the fourth quarter of 2018; and</w:t>
      </w:r>
    </w:p>
    <w:p>
      <w:pPr>
        <w:spacing w:after="0" w:line="153" w:lineRule="exact"/>
        <w:rPr>
          <w:rFonts w:ascii="Arial" w:cs="Arial" w:eastAsia="Arial" w:hAnsi="Arial"/>
          <w:sz w:val="14"/>
          <w:szCs w:val="14"/>
          <w:color w:val="auto"/>
        </w:rPr>
      </w:pPr>
    </w:p>
    <w:p>
      <w:pPr>
        <w:ind w:left="1020" w:right="400" w:hanging="251"/>
        <w:spacing w:after="0" w:line="281" w:lineRule="auto"/>
        <w:tabs>
          <w:tab w:leader="none" w:pos="10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OPH2002: a very small Phase 2a clinical trial of Zimura in combination with anti-VEGF agents for the treatment of idiopathic polypoidal choroidal vasculopathy, or IPCV, in patients for whom anti-VEGF monotherapy had failed.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80" w:firstLine="509"/>
        <w:spacing w:after="0" w:line="281" w:lineRule="auto"/>
        <w:rPr>
          <w:sz w:val="20"/>
          <w:szCs w:val="20"/>
          <w:color w:val="auto"/>
        </w:rPr>
      </w:pPr>
      <w:r>
        <w:rPr>
          <w:rFonts w:ascii="Arial" w:cs="Arial" w:eastAsia="Arial" w:hAnsi="Arial"/>
          <w:sz w:val="14"/>
          <w:szCs w:val="14"/>
          <w:color w:val="auto"/>
        </w:rPr>
        <w:t>Over 457 patients have been treated with Zimura in these completed trials, with treatment durations extending up to 18 months. All doses of Zimura administered in these trials were well-tolerated, with only a single adverse event, mild subcapsular cataract, assessed to be drug-related by participating investigators.</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4"/>
          <w:szCs w:val="14"/>
          <w:i w:val="1"/>
          <w:iCs w:val="1"/>
          <w:u w:val="single" w:color="auto"/>
          <w:color w:val="auto"/>
        </w:rPr>
        <w:t>Zimura Manufacturing</w:t>
      </w:r>
    </w:p>
    <w:p>
      <w:pPr>
        <w:spacing w:after="0" w:line="179" w:lineRule="exact"/>
        <w:rPr>
          <w:sz w:val="20"/>
          <w:szCs w:val="20"/>
          <w:color w:val="auto"/>
        </w:rPr>
      </w:pPr>
    </w:p>
    <w:p>
      <w:pPr>
        <w:ind w:right="60" w:firstLine="509"/>
        <w:spacing w:after="0" w:line="282" w:lineRule="auto"/>
        <w:rPr>
          <w:sz w:val="20"/>
          <w:szCs w:val="20"/>
          <w:color w:val="auto"/>
        </w:rPr>
      </w:pPr>
      <w:r>
        <w:rPr>
          <w:rFonts w:ascii="Arial" w:cs="Arial" w:eastAsia="Arial" w:hAnsi="Arial"/>
          <w:sz w:val="13"/>
          <w:szCs w:val="13"/>
          <w:color w:val="auto"/>
        </w:rPr>
        <w:t>We are continuing to plan for the scale-up and validation of the manufacturing process for the active pharmaceutical ingredient, or API, for Zimura. We have been continuing discussions with our existing API manufacturer, Agilent Technologies, Inc., or Agilent, for scale-up and validation and other activities in preparation for potential commercialization. We have also recently engaged a second manufacturer for the API, with the goal of assessing whether this manufacturer can produce Zimura API at an adequate scale for future potential commercial use. Depending on these discussions with Agilent and the success of any scale-up activities by Agilent and the second manufacturer, we may use either Agilent, this second manufacturer or both for future supply of Zimura API. In addition, regardless of which manufacturer we use, we will need to demonstrate that Zimura API produced through the scaled-up process is analytically comparable to the Zimura we are currently using. We have continued analytical method development work with our contract manufacturers and laboratories.</w:t>
      </w:r>
    </w:p>
    <w:p>
      <w:pPr>
        <w:spacing w:after="0" w:line="134" w:lineRule="exact"/>
        <w:rPr>
          <w:sz w:val="20"/>
          <w:szCs w:val="20"/>
          <w:color w:val="auto"/>
        </w:rPr>
      </w:pPr>
    </w:p>
    <w:p>
      <w:pPr>
        <w:ind w:firstLine="509"/>
        <w:spacing w:after="0" w:line="288" w:lineRule="auto"/>
        <w:rPr>
          <w:sz w:val="20"/>
          <w:szCs w:val="20"/>
          <w:color w:val="auto"/>
        </w:rPr>
      </w:pPr>
      <w:r>
        <w:rPr>
          <w:rFonts w:ascii="Arial" w:cs="Arial" w:eastAsia="Arial" w:hAnsi="Arial"/>
          <w:sz w:val="13"/>
          <w:szCs w:val="13"/>
          <w:color w:val="auto"/>
        </w:rPr>
        <w:t>We are also exploring a potential change to the vial used for the Zimura drug product, which we believe may allow us to support a more efficient fill/finish operation at a commercial scale. We have been in discussions with our existing fill/finish manufacturer, Ajinomoto Bio-Pharma Services, or Ajinomoto, for supply of the changed vial. We have also engaged a second manufacturer to provide us additional supply of the existing vial for Zimura drug product for our needs for the GATHER2 trial and the expanded OPH2005 trial. Depending on the success of these activities, the availability of vials and other factors, we may use Ajinomoto, the second manufacturer or both for future supply of Zimura drug product for potential commercial use.</w:t>
      </w:r>
    </w:p>
    <w:p>
      <w:pPr>
        <w:spacing w:after="0" w:line="131" w:lineRule="exact"/>
        <w:rPr>
          <w:sz w:val="20"/>
          <w:szCs w:val="20"/>
          <w:color w:val="auto"/>
        </w:rPr>
      </w:pPr>
    </w:p>
    <w:p>
      <w:pPr>
        <w:ind w:right="120" w:firstLine="509"/>
        <w:spacing w:after="0" w:line="281" w:lineRule="auto"/>
        <w:rPr>
          <w:sz w:val="20"/>
          <w:szCs w:val="20"/>
          <w:color w:val="auto"/>
        </w:rPr>
      </w:pPr>
      <w:r>
        <w:rPr>
          <w:rFonts w:ascii="Arial" w:cs="Arial" w:eastAsia="Arial" w:hAnsi="Arial"/>
          <w:sz w:val="14"/>
          <w:szCs w:val="14"/>
          <w:color w:val="auto"/>
        </w:rPr>
        <w:t>We have also ordered additional supply of the polyethylene glycol, or PEG, starting material used to make Zimura API from our sole source third-party manufacturer. We currently procure the supply on a purchase order basis and are planning to enter into a long-term supply agreement with this manufacturer for the PEG starting material.</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IC-500: Product Candidate from HtrA1 Inhibitor Program</w:t>
      </w:r>
    </w:p>
    <w:p>
      <w:pPr>
        <w:spacing w:after="0" w:line="179" w:lineRule="exact"/>
        <w:rPr>
          <w:sz w:val="20"/>
          <w:szCs w:val="20"/>
          <w:color w:val="auto"/>
        </w:rPr>
      </w:pPr>
    </w:p>
    <w:p>
      <w:pPr>
        <w:ind w:firstLine="283"/>
        <w:spacing w:after="0" w:line="260" w:lineRule="auto"/>
        <w:rPr>
          <w:sz w:val="20"/>
          <w:szCs w:val="20"/>
          <w:color w:val="auto"/>
        </w:rPr>
      </w:pPr>
      <w:r>
        <w:rPr>
          <w:rFonts w:ascii="Arial" w:cs="Arial" w:eastAsia="Arial" w:hAnsi="Arial"/>
          <w:sz w:val="14"/>
          <w:szCs w:val="14"/>
          <w:color w:val="auto"/>
        </w:rPr>
        <w:t>We are pursuing the preclinical development of IC-500 for the treatment of GA secondary to AMD and potentially other age-related retinal diseases. We have selected IC-500, the lead compound from our HtrA1 inhibitor program, which includes a number of small molecule compounds that show high affinity and specificity for HtrA1 when tested. We are continuing process development and formulation development with the goal of developing a manufacturing process and a formulation for intravitreal administration in the eye. We are also planning pharmacokinetic studies and other IND-enabling activities for IC-500 if process development and formulation development are successful. Based on current timelines and subject to successful preclinical development and cGMP manufacturing, we plan to file an IND for IC-500 during 2021.</w:t>
      </w:r>
    </w:p>
    <w:p>
      <w:pPr>
        <w:spacing w:after="0" w:line="146" w:lineRule="exact"/>
        <w:rPr>
          <w:sz w:val="20"/>
          <w:szCs w:val="20"/>
          <w:color w:val="auto"/>
        </w:rPr>
      </w:pPr>
    </w:p>
    <w:p>
      <w:pPr>
        <w:jc w:val="center"/>
        <w:ind w:right="8180"/>
        <w:spacing w:after="0"/>
        <w:rPr>
          <w:sz w:val="20"/>
          <w:szCs w:val="20"/>
          <w:color w:val="auto"/>
        </w:rPr>
      </w:pPr>
      <w:r>
        <w:rPr>
          <w:rFonts w:ascii="Arial" w:cs="Arial" w:eastAsia="Arial" w:hAnsi="Arial"/>
          <w:sz w:val="12"/>
          <w:szCs w:val="12"/>
          <w:b w:val="1"/>
          <w:bCs w:val="1"/>
          <w:i w:val="1"/>
          <w:iCs w:val="1"/>
          <w:color w:val="auto"/>
        </w:rPr>
        <w:t>Gene Therapy Research and Development Programs</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IC-100: Product Candidate for RHO-adRP</w:t>
      </w:r>
    </w:p>
    <w:p>
      <w:pPr>
        <w:spacing w:after="0" w:line="179" w:lineRule="exact"/>
        <w:rPr>
          <w:sz w:val="20"/>
          <w:szCs w:val="20"/>
          <w:color w:val="auto"/>
        </w:rPr>
      </w:pPr>
    </w:p>
    <w:p>
      <w:pPr>
        <w:ind w:right="40" w:firstLine="280"/>
        <w:spacing w:after="0" w:line="258" w:lineRule="auto"/>
        <w:rPr>
          <w:sz w:val="20"/>
          <w:szCs w:val="20"/>
          <w:color w:val="auto"/>
        </w:rPr>
      </w:pPr>
      <w:r>
        <w:rPr>
          <w:rFonts w:ascii="Arial" w:cs="Arial" w:eastAsia="Arial" w:hAnsi="Arial"/>
          <w:sz w:val="14"/>
          <w:szCs w:val="14"/>
          <w:color w:val="auto"/>
        </w:rPr>
        <w:t>We are pursuing the preclinical development of IC-100, our novel AAV gene therapy product candidate for the treatment of RHO-adRP. We and the University of Pennsylvania, or Penn, have conducted a number of preclinical studies of IC-100 and a natural history study of RHO-adRP patients. In parallel, we have engaged a gene therapy contract development and manufacturing organization, or CDMO, as the manufacturer for preclinical and Phase 1/2 clinical supply of IC-100. We are conducting cGMP manufacturing activities at our CDMO and other IND-enabling activities, including toxicology studies of IC-100. We have also begun planning for a Phase 1/2 clinical trial for IC-100, including site selection and other startup activities. Based on current timelines and subject to successful completion of preclinical development and cGMP manufacturing, we plan to file an IND for IC-100 by the end of 2020 or early 2021 with the goal of starting patient enrollment in a Phase 1/2 clinical trial during the first half of 2021.</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IC-200: Product Candidate for BEST1-Related IRDs</w:t>
      </w:r>
    </w:p>
    <w:p>
      <w:pPr>
        <w:spacing w:after="0" w:line="179" w:lineRule="exact"/>
        <w:rPr>
          <w:sz w:val="20"/>
          <w:szCs w:val="20"/>
          <w:color w:val="auto"/>
        </w:rPr>
      </w:pPr>
    </w:p>
    <w:p>
      <w:pPr>
        <w:ind w:firstLine="280"/>
        <w:spacing w:after="0" w:line="262" w:lineRule="auto"/>
        <w:rPr>
          <w:sz w:val="20"/>
          <w:szCs w:val="20"/>
          <w:color w:val="auto"/>
        </w:rPr>
      </w:pPr>
      <w:r>
        <w:rPr>
          <w:rFonts w:ascii="Arial" w:cs="Arial" w:eastAsia="Arial" w:hAnsi="Arial"/>
          <w:sz w:val="14"/>
          <w:szCs w:val="14"/>
          <w:color w:val="auto"/>
        </w:rPr>
        <w:t xml:space="preserve">We are pursuing the preclinical development of IC-200, our novel AAV gene therapy product candidate for the treatment of </w:t>
      </w:r>
      <w:r>
        <w:rPr>
          <w:rFonts w:ascii="Arial" w:cs="Arial" w:eastAsia="Arial" w:hAnsi="Arial"/>
          <w:sz w:val="14"/>
          <w:szCs w:val="14"/>
          <w:i w:val="1"/>
          <w:iCs w:val="1"/>
          <w:color w:val="auto"/>
        </w:rPr>
        <w:t>BEST1</w:t>
      </w:r>
      <w:r>
        <w:rPr>
          <w:rFonts w:ascii="Arial" w:cs="Arial" w:eastAsia="Arial" w:hAnsi="Arial"/>
          <w:sz w:val="14"/>
          <w:szCs w:val="14"/>
          <w:color w:val="auto"/>
        </w:rPr>
        <w:t xml:space="preserve">-related IRDs, including Best disease. We and Penn are conducting preclinical studies of IC-200 and natural history studies of patients with </w:t>
      </w:r>
      <w:r>
        <w:rPr>
          <w:rFonts w:ascii="Arial" w:cs="Arial" w:eastAsia="Arial" w:hAnsi="Arial"/>
          <w:sz w:val="14"/>
          <w:szCs w:val="14"/>
          <w:i w:val="1"/>
          <w:iCs w:val="1"/>
          <w:color w:val="auto"/>
        </w:rPr>
        <w:t>BEST1</w:t>
      </w:r>
      <w:r>
        <w:rPr>
          <w:rFonts w:ascii="Arial" w:cs="Arial" w:eastAsia="Arial" w:hAnsi="Arial"/>
          <w:sz w:val="14"/>
          <w:szCs w:val="14"/>
          <w:color w:val="auto"/>
        </w:rPr>
        <w:t>-related IRDs. In parallel, we have engaged a gene therapy CDMO as the manufacturer for preclinical and Phase 1/2 clinical supply of IC-200. We are planning for cGMP manufacturing activities at our CDMO and other IND-enabling activities, including toxicology studies. Based on current timelines and subject to successful completion of</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preclinical development and cGMP manufacturing, we plan to file an IND and, subject to regulatory review, initiate a Phase 1/2 clinical trial for IC-200 in 2021.</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Minigene Programs</w:t>
      </w:r>
    </w:p>
    <w:p>
      <w:pPr>
        <w:spacing w:after="0" w:line="179" w:lineRule="exact"/>
        <w:rPr>
          <w:sz w:val="20"/>
          <w:szCs w:val="20"/>
          <w:color w:val="auto"/>
        </w:rPr>
      </w:pPr>
    </w:p>
    <w:p>
      <w:pPr>
        <w:jc w:val="both"/>
        <w:ind w:right="260" w:firstLine="275"/>
        <w:spacing w:after="0" w:line="267" w:lineRule="auto"/>
        <w:rPr>
          <w:sz w:val="20"/>
          <w:szCs w:val="20"/>
          <w:color w:val="auto"/>
        </w:rPr>
      </w:pPr>
      <w:r>
        <w:rPr>
          <w:rFonts w:ascii="Arial" w:cs="Arial" w:eastAsia="Arial" w:hAnsi="Arial"/>
          <w:sz w:val="14"/>
          <w:szCs w:val="14"/>
          <w:color w:val="auto"/>
        </w:rPr>
        <w:t>AAV vectors are generally limited as a delivery vehicle by the size of their genetic cargo, which is restricted to approximately 4,700 base pairs of genetic code. The use of minigenes seeks to deliver a smaller but still functional form of a larger gene packaged into a standard-size AAV delivery vector. The goal of minigene therapy is to deliver a gene expressing a protein that, although different from the naturally occurring protein, is nonetheless functional for purposes of treating the associated disease.</w:t>
      </w:r>
    </w:p>
    <w:p>
      <w:pPr>
        <w:spacing w:after="0" w:line="142" w:lineRule="exact"/>
        <w:rPr>
          <w:sz w:val="20"/>
          <w:szCs w:val="20"/>
          <w:color w:val="auto"/>
        </w:rPr>
      </w:pPr>
    </w:p>
    <w:p>
      <w:pPr>
        <w:ind w:right="60" w:firstLine="280"/>
        <w:spacing w:after="0" w:line="281" w:lineRule="auto"/>
        <w:rPr>
          <w:sz w:val="20"/>
          <w:szCs w:val="20"/>
          <w:color w:val="auto"/>
        </w:rPr>
      </w:pPr>
      <w:r>
        <w:rPr>
          <w:rFonts w:ascii="Arial" w:cs="Arial" w:eastAsia="Arial" w:hAnsi="Arial"/>
          <w:sz w:val="14"/>
          <w:szCs w:val="14"/>
          <w:color w:val="auto"/>
        </w:rPr>
        <w:t>We are funding several sponsored research programs at UMMS seeking to use a minigene approach to develop new gene therapies for several orphan IRDs. The following is a summary of these minigene programs and their status:</w:t>
      </w:r>
    </w:p>
    <w:p>
      <w:pPr>
        <w:spacing w:after="0" w:line="128" w:lineRule="exact"/>
        <w:rPr>
          <w:sz w:val="20"/>
          <w:szCs w:val="20"/>
          <w:color w:val="auto"/>
        </w:rPr>
      </w:pPr>
    </w:p>
    <w:p>
      <w:pPr>
        <w:ind w:left="520" w:hanging="260"/>
        <w:spacing w:after="0" w:line="261"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b w:val="1"/>
          <w:bCs w:val="1"/>
          <w:color w:val="auto"/>
        </w:rPr>
        <w:t xml:space="preserve">miniCEP290 (LCA10): </w:t>
      </w:r>
      <w:r>
        <w:rPr>
          <w:rFonts w:ascii="Arial" w:cs="Arial" w:eastAsia="Arial" w:hAnsi="Arial"/>
          <w:sz w:val="14"/>
          <w:szCs w:val="14"/>
          <w:color w:val="auto"/>
        </w:rPr>
        <w:t>This program, which we refer to as the miniCEP290 program, is targeting LCA10, which is associated with mutations in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CEP290</w:t>
      </w:r>
      <w:r>
        <w:rPr>
          <w:rFonts w:ascii="Arial" w:cs="Arial" w:eastAsia="Arial" w:hAnsi="Arial"/>
          <w:sz w:val="14"/>
          <w:szCs w:val="14"/>
          <w:b w:val="1"/>
          <w:bCs w:val="1"/>
          <w:color w:val="auto"/>
        </w:rPr>
        <w:t xml:space="preserve"> </w:t>
      </w:r>
      <w:r>
        <w:rPr>
          <w:rFonts w:ascii="Arial" w:cs="Arial" w:eastAsia="Arial" w:hAnsi="Arial"/>
          <w:sz w:val="14"/>
          <w:szCs w:val="14"/>
          <w:color w:val="auto"/>
        </w:rPr>
        <w:t>gene. In July 2019, we entered</w:t>
      </w:r>
      <w:r>
        <w:rPr>
          <w:rFonts w:ascii="Arial" w:cs="Arial" w:eastAsia="Arial" w:hAnsi="Arial"/>
          <w:sz w:val="14"/>
          <w:szCs w:val="14"/>
          <w:b w:val="1"/>
          <w:bCs w:val="1"/>
          <w:color w:val="auto"/>
        </w:rPr>
        <w:t xml:space="preserve"> </w:t>
      </w:r>
      <w:r>
        <w:rPr>
          <w:rFonts w:ascii="Arial" w:cs="Arial" w:eastAsia="Arial" w:hAnsi="Arial"/>
          <w:sz w:val="14"/>
          <w:szCs w:val="14"/>
          <w:color w:val="auto"/>
        </w:rPr>
        <w:t>into a license agreement with the University of Massachusetts, or UMass, for exclusive development and commercialization rights to this program. The sponsored research, which is ongoing, has yielded a number of minigene constructs that show encouraging results when tested in a mouse model. UMMS is conducting additional experiments to optimize constructs, which have been delayed because of restrictions placed by UMMS on animal research activities as a result of the COVID-19 pandemic. We currently expect to identify a lead construct during the second half of 2020.</w:t>
      </w:r>
    </w:p>
    <w:p>
      <w:pPr>
        <w:spacing w:after="0" w:line="143" w:lineRule="exact"/>
        <w:rPr>
          <w:rFonts w:ascii="Arial" w:cs="Arial" w:eastAsia="Arial" w:hAnsi="Arial"/>
          <w:sz w:val="14"/>
          <w:szCs w:val="14"/>
          <w:color w:val="auto"/>
        </w:rPr>
      </w:pPr>
    </w:p>
    <w:p>
      <w:pPr>
        <w:jc w:val="both"/>
        <w:ind w:left="520" w:hanging="260"/>
        <w:spacing w:after="0" w:line="270"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b w:val="1"/>
          <w:bCs w:val="1"/>
          <w:color w:val="auto"/>
        </w:rPr>
        <w:t xml:space="preserve">miniABCA4 (STGD1): </w:t>
      </w:r>
      <w:r>
        <w:rPr>
          <w:rFonts w:ascii="Arial" w:cs="Arial" w:eastAsia="Arial" w:hAnsi="Arial"/>
          <w:sz w:val="14"/>
          <w:szCs w:val="14"/>
          <w:color w:val="auto"/>
        </w:rPr>
        <w:t>This program, which we refer to as the miniABCA4 program, is targeting STGD1, which is associated with mutations in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ABCA4</w:t>
      </w:r>
      <w:r>
        <w:rPr>
          <w:rFonts w:ascii="Arial" w:cs="Arial" w:eastAsia="Arial" w:hAnsi="Arial"/>
          <w:sz w:val="14"/>
          <w:szCs w:val="14"/>
          <w:b w:val="1"/>
          <w:bCs w:val="1"/>
          <w:color w:val="auto"/>
        </w:rPr>
        <w:t xml:space="preserve"> </w:t>
      </w:r>
      <w:r>
        <w:rPr>
          <w:rFonts w:ascii="Arial" w:cs="Arial" w:eastAsia="Arial" w:hAnsi="Arial"/>
          <w:sz w:val="14"/>
          <w:szCs w:val="14"/>
          <w:color w:val="auto"/>
        </w:rPr>
        <w:t>gene. UMMS has generated and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is evaluating several </w:t>
      </w:r>
      <w:r>
        <w:rPr>
          <w:rFonts w:ascii="Arial" w:cs="Arial" w:eastAsia="Arial" w:hAnsi="Arial"/>
          <w:sz w:val="14"/>
          <w:szCs w:val="14"/>
          <w:i w:val="1"/>
          <w:iCs w:val="1"/>
          <w:color w:val="auto"/>
        </w:rPr>
        <w:t>ABCA4</w:t>
      </w:r>
      <w:r>
        <w:rPr>
          <w:rFonts w:ascii="Arial" w:cs="Arial" w:eastAsia="Arial" w:hAnsi="Arial"/>
          <w:sz w:val="14"/>
          <w:szCs w:val="14"/>
          <w:color w:val="auto"/>
        </w:rPr>
        <w:t xml:space="preserve"> minigene constructs in both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experiments. We have received preliminary results and expect to receive additional results from the miniABCA4 program during the second half of 2020.</w:t>
      </w:r>
    </w:p>
    <w:p>
      <w:pPr>
        <w:spacing w:after="0" w:line="135" w:lineRule="exact"/>
        <w:rPr>
          <w:rFonts w:ascii="Arial" w:cs="Arial" w:eastAsia="Arial" w:hAnsi="Arial"/>
          <w:sz w:val="14"/>
          <w:szCs w:val="14"/>
          <w:color w:val="auto"/>
        </w:rPr>
      </w:pPr>
    </w:p>
    <w:p>
      <w:pPr>
        <w:ind w:left="520" w:right="20" w:hanging="260"/>
        <w:spacing w:after="0" w:line="270"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b w:val="1"/>
          <w:bCs w:val="1"/>
          <w:color w:val="auto"/>
        </w:rPr>
        <w:t>miniUSH2A (</w:t>
      </w:r>
      <w:r>
        <w:rPr>
          <w:rFonts w:ascii="Arial" w:cs="Arial" w:eastAsia="Arial" w:hAnsi="Arial"/>
          <w:sz w:val="14"/>
          <w:szCs w:val="14"/>
          <w:b w:val="1"/>
          <w:bCs w:val="1"/>
          <w:i w:val="1"/>
          <w:iCs w:val="1"/>
          <w:color w:val="auto"/>
        </w:rPr>
        <w:t>USH2A</w:t>
      </w:r>
      <w:r>
        <w:rPr>
          <w:rFonts w:ascii="Arial" w:cs="Arial" w:eastAsia="Arial" w:hAnsi="Arial"/>
          <w:sz w:val="14"/>
          <w:szCs w:val="14"/>
          <w:b w:val="1"/>
          <w:bCs w:val="1"/>
          <w:color w:val="auto"/>
        </w:rPr>
        <w:t xml:space="preserve">-related IRDs): </w:t>
      </w:r>
      <w:r>
        <w:rPr>
          <w:rFonts w:ascii="Arial" w:cs="Arial" w:eastAsia="Arial" w:hAnsi="Arial"/>
          <w:sz w:val="14"/>
          <w:szCs w:val="14"/>
          <w:color w:val="auto"/>
        </w:rPr>
        <w:t>This program, which we refer to as the miniUSH2A program, is targeting IRDs associated with mutations in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USH2A</w:t>
      </w:r>
      <w:r>
        <w:rPr>
          <w:rFonts w:ascii="Arial" w:cs="Arial" w:eastAsia="Arial" w:hAnsi="Arial"/>
          <w:sz w:val="14"/>
          <w:szCs w:val="14"/>
          <w:b w:val="1"/>
          <w:bCs w:val="1"/>
          <w:color w:val="auto"/>
        </w:rPr>
        <w:t xml:space="preserve"> </w:t>
      </w:r>
      <w:r>
        <w:rPr>
          <w:rFonts w:ascii="Arial" w:cs="Arial" w:eastAsia="Arial" w:hAnsi="Arial"/>
          <w:sz w:val="14"/>
          <w:szCs w:val="14"/>
          <w:color w:val="auto"/>
        </w:rPr>
        <w:t>gene, including Usher 2A and</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USH2A</w:t>
      </w:r>
      <w:r>
        <w:rPr>
          <w:rFonts w:ascii="Arial" w:cs="Arial" w:eastAsia="Arial" w:hAnsi="Arial"/>
          <w:sz w:val="14"/>
          <w:szCs w:val="14"/>
          <w:color w:val="auto"/>
        </w:rPr>
        <w:t>-associated non-syndromic autosomal recessive retinitis pigmentosa. Some of the activities in this program have been delayed as a result of the closure of UMMS animal research</w:t>
      </w:r>
      <w:r>
        <w:rPr>
          <w:rFonts w:ascii="Arial" w:cs="Arial" w:eastAsia="Arial" w:hAnsi="Arial"/>
          <w:sz w:val="14"/>
          <w:szCs w:val="14"/>
          <w:i w:val="1"/>
          <w:iCs w:val="1"/>
          <w:color w:val="auto"/>
        </w:rPr>
        <w:t xml:space="preserve"> </w:t>
      </w:r>
      <w:r>
        <w:rPr>
          <w:rFonts w:ascii="Arial" w:cs="Arial" w:eastAsia="Arial" w:hAnsi="Arial"/>
          <w:sz w:val="14"/>
          <w:szCs w:val="14"/>
          <w:color w:val="auto"/>
        </w:rPr>
        <w:t>laboratories due to the COVID-19 pandemic. We expect to receive preliminary results in late 2020 or early 2021.</w:t>
      </w:r>
    </w:p>
    <w:p>
      <w:pPr>
        <w:spacing w:after="0" w:line="140"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color w:val="auto"/>
        </w:rPr>
        <w:t>In addition to the license agreement for the miniCEP290 program, UMMS has granted us an option to obtain an exclusive license to any patents or patent applications that result from any of these sponsored research programs.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Pipeline</w:t>
      </w:r>
    </w:p>
    <w:p>
      <w:pPr>
        <w:spacing w:after="0" w:line="179" w:lineRule="exact"/>
        <w:rPr>
          <w:sz w:val="20"/>
          <w:szCs w:val="20"/>
          <w:color w:val="auto"/>
        </w:rPr>
      </w:pPr>
    </w:p>
    <w:p>
      <w:pPr>
        <w:ind w:right="200" w:firstLine="280"/>
        <w:spacing w:after="0" w:line="262" w:lineRule="auto"/>
        <w:rPr>
          <w:sz w:val="20"/>
          <w:szCs w:val="20"/>
          <w:color w:val="auto"/>
        </w:rPr>
      </w:pPr>
      <w:r>
        <w:rPr>
          <w:rFonts w:ascii="Arial" w:cs="Arial" w:eastAsia="Arial" w:hAnsi="Arial"/>
          <w:sz w:val="14"/>
          <w:szCs w:val="14"/>
          <w:color w:val="auto"/>
        </w:rPr>
        <w:t>We have summarized the current status of our ongoing research and development programs in the table below. We have given an IC number to our preclinical gene therapy product candidates (IC-100 and IC-200) and to the selected product candidate from our HtrA1 inhibitor program (IC-500). In the future, we intend to give an IC number to other product candidates that advance to preclinical development, whether from our collaborative gene therapy sponsored research programs or that we may otherwise in-license or acquire, in each case, once a lead product candidate is identified for a particular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4608195" cy="23514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608195" cy="2351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Development and Financing Activities</w:t>
      </w:r>
    </w:p>
    <w:p>
      <w:pPr>
        <w:spacing w:after="0" w:line="179" w:lineRule="exact"/>
        <w:rPr>
          <w:sz w:val="20"/>
          <w:szCs w:val="20"/>
          <w:color w:val="auto"/>
        </w:rPr>
      </w:pPr>
    </w:p>
    <w:p>
      <w:pPr>
        <w:ind w:right="220" w:firstLine="275"/>
        <w:spacing w:after="0" w:line="288" w:lineRule="auto"/>
        <w:rPr>
          <w:sz w:val="20"/>
          <w:szCs w:val="20"/>
          <w:color w:val="auto"/>
        </w:rPr>
      </w:pPr>
      <w:r>
        <w:rPr>
          <w:rFonts w:ascii="Arial" w:cs="Arial" w:eastAsia="Arial" w:hAnsi="Arial"/>
          <w:sz w:val="13"/>
          <w:szCs w:val="13"/>
          <w:color w:val="auto"/>
        </w:rPr>
        <w:t>As we continue the development of our product candidates and programs and evaluate our overall strategic priorities, we will continue to pursue selective business development and financing opportunities that advance us toward our strategic goals. We have been, and plan to continue, exploring options for the future development and potential commercialization of Zimura, including potential collaboration and out-licensing opportunities, including for indications for which we previously developed Zimura such as wet AMD and IPCV. In addition, we expect to continue to evaluate, on a selective and targeted basis, opportunities to potentially obtain rights to additional product candidates and technologies for retinal diseases.</w:t>
      </w:r>
    </w:p>
    <w:p>
      <w:pPr>
        <w:spacing w:after="0" w:line="131"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In June 2020, we closed an underwritten public offering in which we sold 28,503,220 shares of our common stock, which includes the exercise in full of the underwriters’ option to purchase additional shares of our common stock, at a price to the public of $4.10 per share, and at a price to the underwriters of $3.854 per share. We also sold to certain investors in lieu of common stock, pre-funded warrants to purchase 1,914,280 shares of our common stock at a price to the public of $4.099 per share underlying each pre-funded warrant, and at a price to the underwriters of $3.853 per share underlying each pre-funded warrant.</w:t>
      </w:r>
    </w:p>
    <w:p>
      <w:pPr>
        <w:spacing w:after="0" w:line="146" w:lineRule="exact"/>
        <w:rPr>
          <w:sz w:val="20"/>
          <w:szCs w:val="20"/>
          <w:color w:val="auto"/>
        </w:rPr>
      </w:pPr>
    </w:p>
    <w:p>
      <w:pPr>
        <w:ind w:firstLine="509"/>
        <w:spacing w:after="0" w:line="297" w:lineRule="auto"/>
        <w:rPr>
          <w:sz w:val="20"/>
          <w:szCs w:val="20"/>
          <w:color w:val="auto"/>
        </w:rPr>
      </w:pPr>
      <w:r>
        <w:rPr>
          <w:rFonts w:ascii="Arial" w:cs="Arial" w:eastAsia="Arial" w:hAnsi="Arial"/>
          <w:sz w:val="13"/>
          <w:szCs w:val="13"/>
          <w:color w:val="auto"/>
        </w:rPr>
        <w:t>Concurrently with the June 2020 public offering, we completed a private placement exempt from the registration requirements of the Securities Act of 1933, as amended, in which we sold 8,649,453 shares of our common stock to affiliates of Vivo Capital, LLC and Samsara BioCapital, LP, or the Private Placement Purchasers, at a purchase price equal to $4.10 per share, the price to the public in the public offering. The shares in the private placement were issued pursuant to a stock purchase agreement entered into among us and the Private Placement Purchasers.</w:t>
      </w:r>
    </w:p>
    <w:p>
      <w:pPr>
        <w:spacing w:after="0" w:line="124" w:lineRule="exact"/>
        <w:rPr>
          <w:sz w:val="20"/>
          <w:szCs w:val="20"/>
          <w:color w:val="auto"/>
        </w:rPr>
      </w:pPr>
    </w:p>
    <w:p>
      <w:pPr>
        <w:ind w:right="160" w:firstLine="509"/>
        <w:spacing w:after="0" w:line="281" w:lineRule="auto"/>
        <w:rPr>
          <w:sz w:val="20"/>
          <w:szCs w:val="20"/>
          <w:color w:val="auto"/>
        </w:rPr>
      </w:pPr>
      <w:r>
        <w:rPr>
          <w:rFonts w:ascii="Arial" w:cs="Arial" w:eastAsia="Arial" w:hAnsi="Arial"/>
          <w:sz w:val="14"/>
          <w:szCs w:val="14"/>
          <w:color w:val="auto"/>
        </w:rPr>
        <w:t>The net proceeds from the public offering and private placement, after deducting underwriting discounts, placement agent fees and other offering expenses of approximately $10.1 million, was approximately $150.1 million.</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expect to continue to pursue capital raising transactions opportunistically when they are available and if the opportunity benefits us and advances our strategic goals.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Matters</w:t>
      </w:r>
    </w:p>
    <w:p>
      <w:pPr>
        <w:spacing w:after="0" w:line="125" w:lineRule="exact"/>
        <w:rPr>
          <w:sz w:val="20"/>
          <w:szCs w:val="20"/>
          <w:color w:val="auto"/>
        </w:rPr>
      </w:pPr>
    </w:p>
    <w:p>
      <w:pPr>
        <w:ind w:right="120" w:firstLine="275"/>
        <w:spacing w:after="0" w:line="280" w:lineRule="auto"/>
        <w:rPr>
          <w:sz w:val="20"/>
          <w:szCs w:val="20"/>
          <w:color w:val="auto"/>
        </w:rPr>
      </w:pPr>
      <w:r>
        <w:rPr>
          <w:rFonts w:ascii="Arial" w:cs="Arial" w:eastAsia="Arial" w:hAnsi="Arial"/>
          <w:sz w:val="13"/>
          <w:szCs w:val="13"/>
          <w:color w:val="auto"/>
        </w:rPr>
        <w:t>As of June 30, 2020, we had cash and cash equivalents of $245.7 million. We estimate that our year-end 2020 cash and cash equivalents will range between $215 million and $220 million. We also estimate that our cash and cash equivalents will be sufficient to fund our currently planned capital expenditure requirements and operating expenses, excluding any potential approval or sales milestones payable to Archemix Corp., or Archemix, or any commercialization expenses for Zimura, through at least mid-2024. These estimates are based on our current business plan, which includes the continuation of our clinical development programs for Zimura, the progression of our IC-100 and IC-200 programs into the clinic, and the advancement of our IC-500 development program. These estimates assume that we will enroll approximately 400 patients in the GATHER2 trial. These estimates do not reflect any additional expenditures resulting from the potential in-licensing or acquisition of additional product candidates or technologies, commencement of any new sponsored research programs or any associated development we may pursue. We have based these estimates on assumptions that may prove to be wrong, and we could use our available capital resources sooner than we currently expect.</w:t>
      </w: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Operations Overview</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115" w:lineRule="exact"/>
        <w:rPr>
          <w:sz w:val="20"/>
          <w:szCs w:val="20"/>
          <w:color w:val="auto"/>
        </w:rPr>
      </w:pPr>
    </w:p>
    <w:p>
      <w:pPr>
        <w:ind w:right="340" w:firstLine="509"/>
        <w:spacing w:after="0" w:line="262" w:lineRule="auto"/>
        <w:rPr>
          <w:sz w:val="20"/>
          <w:szCs w:val="20"/>
          <w:color w:val="auto"/>
        </w:rPr>
      </w:pPr>
      <w:r>
        <w:rPr>
          <w:rFonts w:ascii="Arial" w:cs="Arial" w:eastAsia="Arial" w:hAnsi="Arial"/>
          <w:sz w:val="14"/>
          <w:szCs w:val="14"/>
          <w:color w:val="auto"/>
        </w:rPr>
        <w:t>As we have no products approved for sale, we do not expect to receive any revenue related to our product candidates until we obtain regulatory approval for and commercialize such products, or until we potentially enter into agreements with third parties for the development and commercialization of our product candidates. If our development efforts for any of our product candidates result in regulatory approval or if we enter into agreements with third parties, including for any collaborations or outlicensing of rights for further development and potential commercialization of Zimura, we may generate revenue from product sales or from such third parties.</w:t>
      </w:r>
    </w:p>
    <w:p>
      <w:pPr>
        <w:spacing w:after="0" w:line="93" w:lineRule="exact"/>
        <w:rPr>
          <w:sz w:val="20"/>
          <w:szCs w:val="20"/>
          <w:color w:val="auto"/>
        </w:rPr>
      </w:pPr>
    </w:p>
    <w:p>
      <w:pPr>
        <w:ind w:right="180" w:firstLine="509"/>
        <w:spacing w:after="0" w:line="262" w:lineRule="auto"/>
        <w:rPr>
          <w:sz w:val="20"/>
          <w:szCs w:val="20"/>
          <w:color w:val="auto"/>
        </w:rPr>
      </w:pPr>
      <w:r>
        <w:rPr>
          <w:rFonts w:ascii="Arial" w:cs="Arial" w:eastAsia="Arial" w:hAnsi="Arial"/>
          <w:sz w:val="14"/>
          <w:szCs w:val="14"/>
          <w:color w:val="auto"/>
        </w:rPr>
        <w:t>Our ability to become and remain profitable depends on our ability to generate revenue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15" w:lineRule="exact"/>
        <w:rPr>
          <w:sz w:val="20"/>
          <w:szCs w:val="20"/>
          <w:color w:val="auto"/>
        </w:rPr>
      </w:pPr>
    </w:p>
    <w:p>
      <w:pPr>
        <w:ind w:right="160" w:firstLine="509"/>
        <w:spacing w:after="0" w:line="281" w:lineRule="auto"/>
        <w:rPr>
          <w:sz w:val="20"/>
          <w:szCs w:val="20"/>
          <w:color w:val="auto"/>
        </w:rPr>
      </w:pPr>
      <w:r>
        <w:rPr>
          <w:rFonts w:ascii="Arial" w:cs="Arial" w:eastAsia="Arial" w:hAnsi="Arial"/>
          <w:sz w:val="14"/>
          <w:szCs w:val="14"/>
          <w:color w:val="auto"/>
        </w:rPr>
        <w:t>Our research and development expenses primarily consist of costs associated with the manufacturing, development, and preclinical and clinical testing of our product candidates and costs associated with our collaborative gene therapy sponsored research programs. Our research and development expenses consist of:</w:t>
      </w:r>
    </w:p>
    <w:p>
      <w:pPr>
        <w:spacing w:after="0" w:line="79" w:lineRule="exact"/>
        <w:rPr>
          <w:sz w:val="20"/>
          <w:szCs w:val="20"/>
          <w:color w:val="auto"/>
        </w:rPr>
      </w:pPr>
    </w:p>
    <w:p>
      <w:pPr>
        <w:ind w:left="760" w:right="280" w:hanging="246"/>
        <w:spacing w:after="0" w:line="281" w:lineRule="auto"/>
        <w:tabs>
          <w:tab w:leader="none" w:pos="7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external research and development expenses incurred under arrangements with third parties, such as academic research collaborators, contract research organizations, or CROs, and CDMOs and other vendors for the production and analysis of drug substance and drug product; and</w:t>
      </w:r>
    </w:p>
    <w:p>
      <w:pPr>
        <w:spacing w:after="0" w:line="79" w:lineRule="exact"/>
        <w:rPr>
          <w:rFonts w:ascii="Arial" w:cs="Arial" w:eastAsia="Arial" w:hAnsi="Arial"/>
          <w:sz w:val="14"/>
          <w:szCs w:val="14"/>
          <w:color w:val="auto"/>
        </w:rPr>
      </w:pPr>
    </w:p>
    <w:p>
      <w:pPr>
        <w:ind w:left="760" w:hanging="246"/>
        <w:spacing w:after="0"/>
        <w:tabs>
          <w:tab w:leader="none" w:pos="7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employee-related expenses for employees dedicated to research and development activities, including salaries, benefits and share-based compensation expense.</w:t>
      </w:r>
    </w:p>
    <w:p>
      <w:pPr>
        <w:spacing w:after="0" w:line="115"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collaborators.</w:t>
      </w:r>
    </w:p>
    <w:p>
      <w:pPr>
        <w:spacing w:after="0" w:line="79" w:lineRule="exact"/>
        <w:rPr>
          <w:sz w:val="20"/>
          <w:szCs w:val="20"/>
          <w:color w:val="auto"/>
        </w:rPr>
      </w:pPr>
    </w:p>
    <w:p>
      <w:pPr>
        <w:ind w:firstLine="509"/>
        <w:spacing w:after="0" w:line="284" w:lineRule="auto"/>
        <w:rPr>
          <w:sz w:val="20"/>
          <w:szCs w:val="20"/>
          <w:color w:val="auto"/>
        </w:rPr>
      </w:pPr>
      <w:r>
        <w:rPr>
          <w:rFonts w:ascii="Arial" w:cs="Arial" w:eastAsia="Arial" w:hAnsi="Arial"/>
          <w:sz w:val="13"/>
          <w:szCs w:val="13"/>
          <w:color w:val="auto"/>
        </w:rPr>
        <w:t xml:space="preserve">All research and development expenses are charged to operations as incurred in accordance with Financial Accounting Standards Board, or FASB, Accounting Standards Codification, or ASC, 730, </w:t>
      </w:r>
      <w:r>
        <w:rPr>
          <w:rFonts w:ascii="Arial" w:cs="Arial" w:eastAsia="Arial" w:hAnsi="Arial"/>
          <w:sz w:val="13"/>
          <w:szCs w:val="13"/>
          <w:i w:val="1"/>
          <w:iCs w:val="1"/>
          <w:color w:val="auto"/>
        </w:rPr>
        <w:t>Research and Development</w:t>
      </w:r>
      <w:r>
        <w:rPr>
          <w:rFonts w:ascii="Arial" w:cs="Arial" w:eastAsia="Arial" w:hAnsi="Arial"/>
          <w:sz w:val="13"/>
          <w:szCs w:val="13"/>
          <w:color w:val="auto"/>
        </w:rPr>
        <w:t>, or ASC 730</w:t>
      </w:r>
      <w:r>
        <w:rPr>
          <w:rFonts w:ascii="Arial" w:cs="Arial" w:eastAsia="Arial" w:hAnsi="Arial"/>
          <w:sz w:val="13"/>
          <w:szCs w:val="13"/>
          <w:i w:val="1"/>
          <w:iCs w:val="1"/>
          <w:color w:val="auto"/>
        </w:rPr>
        <w:t>.</w:t>
      </w:r>
      <w:r>
        <w:rPr>
          <w:rFonts w:ascii="Arial" w:cs="Arial" w:eastAsia="Arial" w:hAnsi="Arial"/>
          <w:sz w:val="13"/>
          <w:szCs w:val="13"/>
          <w:color w:val="auto"/>
        </w:rPr>
        <w:t xml:space="preserve"> We account for non-refundable advance payments for goods and services that will be used in future research and development activities as expenses when the service has been performed or when the goods have been received, rather than when the payment is made. We do not currently utilize a formal time allocation system to capture expenses on a project-by-project basis because we record expenses by functional department. Accordingly, we do not allocate all research and development expenses to individual projects or product candidates, although we do allocate some portion of these expenses by project or product candidate, as shown below.</w:t>
      </w: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our research and development expenses for the three and six months ended June 30, 2020 and 2019:</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700" w:type="dxa"/>
            <w:vAlign w:val="bottom"/>
          </w:tcPr>
          <w:p>
            <w:pPr>
              <w:spacing w:after="0"/>
              <w:rPr>
                <w:sz w:val="13"/>
                <w:szCs w:val="13"/>
                <w:color w:val="auto"/>
              </w:rPr>
            </w:pPr>
          </w:p>
        </w:tc>
        <w:tc>
          <w:tcPr>
            <w:tcW w:w="264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1"/>
                <w:szCs w:val="11"/>
                <w:b w:val="1"/>
                <w:bCs w:val="1"/>
                <w:color w:val="auto"/>
              </w:rPr>
              <w:t>Three Months Ended June 30,</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20" w:type="dxa"/>
            <w:vAlign w:val="bottom"/>
            <w:tcBorders>
              <w:bottom w:val="single" w:sz="8" w:color="auto"/>
            </w:tcBorders>
          </w:tcPr>
          <w:p>
            <w:pPr>
              <w:spacing w:after="0"/>
              <w:rPr>
                <w:sz w:val="13"/>
                <w:szCs w:val="13"/>
                <w:color w:val="auto"/>
              </w:rPr>
            </w:pPr>
          </w:p>
        </w:tc>
      </w:tr>
      <w:tr>
        <w:trPr>
          <w:trHeight w:val="150"/>
        </w:trPr>
        <w:tc>
          <w:tcPr>
            <w:tcW w:w="4700" w:type="dxa"/>
            <w:vAlign w:val="bottom"/>
          </w:tcPr>
          <w:p>
            <w:pPr>
              <w:spacing w:after="0"/>
              <w:rPr>
                <w:sz w:val="13"/>
                <w:szCs w:val="13"/>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2020</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2019</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11"/>
              <w:spacing w:after="0"/>
              <w:rPr>
                <w:sz w:val="20"/>
                <w:szCs w:val="20"/>
                <w:color w:val="auto"/>
              </w:rPr>
            </w:pPr>
            <w:r>
              <w:rPr>
                <w:rFonts w:ascii="Arial" w:cs="Arial" w:eastAsia="Arial" w:hAnsi="Arial"/>
                <w:sz w:val="11"/>
                <w:szCs w:val="11"/>
                <w:b w:val="1"/>
                <w:bCs w:val="1"/>
                <w:color w:val="auto"/>
                <w:w w:val="89"/>
              </w:rPr>
              <w:t>2019</w:t>
            </w:r>
          </w:p>
        </w:tc>
      </w:tr>
      <w:tr>
        <w:trPr>
          <w:trHeight w:val="150"/>
        </w:trPr>
        <w:tc>
          <w:tcPr>
            <w:tcW w:w="4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gridSpan w:val="3"/>
          </w:tcPr>
          <w:p>
            <w:pPr>
              <w:jc w:val="right"/>
              <w:ind w:right="109"/>
              <w:spacing w:after="0"/>
              <w:rPr>
                <w:sz w:val="20"/>
                <w:szCs w:val="20"/>
                <w:color w:val="auto"/>
              </w:rPr>
            </w:pPr>
            <w:r>
              <w:rPr>
                <w:rFonts w:ascii="Arial" w:cs="Arial" w:eastAsia="Arial" w:hAnsi="Arial"/>
                <w:sz w:val="11"/>
                <w:szCs w:val="11"/>
                <w:b w:val="1"/>
                <w:bCs w:val="1"/>
                <w:color w:val="auto"/>
              </w:rPr>
              <w:t>(in thousands)</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Zimura</w:t>
            </w:r>
          </w:p>
        </w:tc>
        <w:tc>
          <w:tcPr>
            <w:tcW w:w="98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4,490</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3,778</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8,976</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50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6,979</w:t>
            </w:r>
          </w:p>
        </w:tc>
      </w:tr>
      <w:tr>
        <w:trPr>
          <w:trHeight w:val="191"/>
        </w:trPr>
        <w:tc>
          <w:tcPr>
            <w:tcW w:w="4700" w:type="dxa"/>
            <w:vAlign w:val="bottom"/>
          </w:tcPr>
          <w:p>
            <w:pPr>
              <w:ind w:left="20"/>
              <w:spacing w:after="0"/>
              <w:rPr>
                <w:sz w:val="20"/>
                <w:szCs w:val="20"/>
                <w:color w:val="auto"/>
              </w:rPr>
            </w:pPr>
            <w:r>
              <w:rPr>
                <w:rFonts w:ascii="Arial" w:cs="Arial" w:eastAsia="Arial" w:hAnsi="Arial"/>
                <w:sz w:val="14"/>
                <w:szCs w:val="14"/>
                <w:color w:val="auto"/>
              </w:rPr>
              <w:t>HtrA1</w:t>
            </w:r>
          </w:p>
        </w:tc>
        <w:tc>
          <w:tcPr>
            <w:tcW w:w="980" w:type="dxa"/>
            <w:vAlign w:val="bottom"/>
          </w:tcPr>
          <w:p>
            <w:pPr>
              <w:spacing w:after="0"/>
              <w:rPr>
                <w:sz w:val="16"/>
                <w:szCs w:val="16"/>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ind w:right="71"/>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72"/>
              <w:spacing w:after="0"/>
              <w:rPr>
                <w:sz w:val="20"/>
                <w:szCs w:val="20"/>
                <w:color w:val="auto"/>
              </w:rPr>
            </w:pPr>
            <w:r>
              <w:rPr>
                <w:rFonts w:ascii="Arial" w:cs="Arial" w:eastAsia="Arial" w:hAnsi="Arial"/>
                <w:sz w:val="14"/>
                <w:szCs w:val="14"/>
                <w:color w:val="auto"/>
              </w:rPr>
              <w:t>818</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232</w:t>
            </w:r>
          </w:p>
        </w:tc>
      </w:tr>
      <w:tr>
        <w:trPr>
          <w:trHeight w:val="22"/>
        </w:trPr>
        <w:tc>
          <w:tcPr>
            <w:tcW w:w="4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RHO-adRP</w:t>
            </w:r>
          </w:p>
        </w:tc>
        <w:tc>
          <w:tcPr>
            <w:tcW w:w="9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1,899</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1,777</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4,408</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2,625</w:t>
            </w:r>
          </w:p>
        </w:tc>
      </w:tr>
      <w:tr>
        <w:trPr>
          <w:trHeight w:val="191"/>
        </w:trPr>
        <w:tc>
          <w:tcPr>
            <w:tcW w:w="4700" w:type="dxa"/>
            <w:vAlign w:val="bottom"/>
          </w:tcPr>
          <w:p>
            <w:pPr>
              <w:ind w:left="20"/>
              <w:spacing w:after="0"/>
              <w:rPr>
                <w:sz w:val="20"/>
                <w:szCs w:val="20"/>
                <w:color w:val="auto"/>
              </w:rPr>
            </w:pPr>
            <w:r>
              <w:rPr>
                <w:rFonts w:ascii="Arial" w:cs="Arial" w:eastAsia="Arial" w:hAnsi="Arial"/>
                <w:sz w:val="14"/>
                <w:szCs w:val="14"/>
                <w:color w:val="auto"/>
              </w:rPr>
              <w:t>BEST1</w:t>
            </w:r>
          </w:p>
        </w:tc>
        <w:tc>
          <w:tcPr>
            <w:tcW w:w="980" w:type="dxa"/>
            <w:vAlign w:val="bottom"/>
          </w:tcPr>
          <w:p>
            <w:pPr>
              <w:spacing w:after="0"/>
              <w:rPr>
                <w:sz w:val="16"/>
                <w:szCs w:val="16"/>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1,294</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ind w:right="71"/>
              <w:spacing w:after="0"/>
              <w:rPr>
                <w:sz w:val="20"/>
                <w:szCs w:val="20"/>
                <w:color w:val="auto"/>
              </w:rPr>
            </w:pPr>
            <w:r>
              <w:rPr>
                <w:rFonts w:ascii="Arial" w:cs="Arial" w:eastAsia="Arial" w:hAnsi="Arial"/>
                <w:sz w:val="14"/>
                <w:szCs w:val="14"/>
                <w:color w:val="auto"/>
              </w:rPr>
              <w:t>1,138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72"/>
              <w:spacing w:after="0"/>
              <w:rPr>
                <w:sz w:val="20"/>
                <w:szCs w:val="20"/>
                <w:color w:val="auto"/>
              </w:rPr>
            </w:pPr>
            <w:r>
              <w:rPr>
                <w:rFonts w:ascii="Arial" w:cs="Arial" w:eastAsia="Arial" w:hAnsi="Arial"/>
                <w:sz w:val="14"/>
                <w:szCs w:val="14"/>
                <w:color w:val="auto"/>
              </w:rPr>
              <w:t>3,516</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1,283</w:t>
            </w:r>
          </w:p>
        </w:tc>
      </w:tr>
      <w:tr>
        <w:trPr>
          <w:trHeight w:val="22"/>
        </w:trPr>
        <w:tc>
          <w:tcPr>
            <w:tcW w:w="4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gene therapy</w:t>
            </w:r>
          </w:p>
        </w:tc>
        <w:tc>
          <w:tcPr>
            <w:tcW w:w="9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331</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864</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439</w:t>
            </w:r>
          </w:p>
        </w:tc>
      </w:tr>
      <w:tr>
        <w:trPr>
          <w:trHeight w:val="191"/>
        </w:trPr>
        <w:tc>
          <w:tcPr>
            <w:tcW w:w="4700" w:type="dxa"/>
            <w:vAlign w:val="bottom"/>
          </w:tcPr>
          <w:p>
            <w:pPr>
              <w:ind w:left="20"/>
              <w:spacing w:after="0"/>
              <w:rPr>
                <w:sz w:val="20"/>
                <w:szCs w:val="20"/>
                <w:color w:val="auto"/>
              </w:rPr>
            </w:pPr>
            <w:r>
              <w:rPr>
                <w:rFonts w:ascii="Arial" w:cs="Arial" w:eastAsia="Arial" w:hAnsi="Arial"/>
                <w:sz w:val="14"/>
                <w:szCs w:val="14"/>
                <w:color w:val="auto"/>
              </w:rPr>
              <w:t>Prior product candidate Fovista</w:t>
            </w:r>
          </w:p>
        </w:tc>
        <w:tc>
          <w:tcPr>
            <w:tcW w:w="980" w:type="dxa"/>
            <w:vAlign w:val="bottom"/>
          </w:tcPr>
          <w:p>
            <w:pPr>
              <w:spacing w:after="0"/>
              <w:rPr>
                <w:sz w:val="16"/>
                <w:szCs w:val="16"/>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ind w:right="71"/>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72"/>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29</w:t>
            </w:r>
          </w:p>
        </w:tc>
      </w:tr>
      <w:tr>
        <w:trPr>
          <w:trHeight w:val="22"/>
        </w:trPr>
        <w:tc>
          <w:tcPr>
            <w:tcW w:w="4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Personnel-related</w:t>
            </w:r>
          </w:p>
        </w:tc>
        <w:tc>
          <w:tcPr>
            <w:tcW w:w="9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2,946</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1,689</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5,453</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3,304</w:t>
            </w:r>
          </w:p>
        </w:tc>
      </w:tr>
      <w:tr>
        <w:trPr>
          <w:trHeight w:val="191"/>
        </w:trPr>
        <w:tc>
          <w:tcPr>
            <w:tcW w:w="47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80" w:type="dxa"/>
            <w:vAlign w:val="bottom"/>
          </w:tcPr>
          <w:p>
            <w:pPr>
              <w:spacing w:after="0"/>
              <w:rPr>
                <w:sz w:val="16"/>
                <w:szCs w:val="16"/>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951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ind w:right="71"/>
              <w:spacing w:after="0"/>
              <w:rPr>
                <w:sz w:val="20"/>
                <w:szCs w:val="20"/>
                <w:color w:val="auto"/>
              </w:rPr>
            </w:pPr>
            <w:r>
              <w:rPr>
                <w:rFonts w:ascii="Arial" w:cs="Arial" w:eastAsia="Arial" w:hAnsi="Arial"/>
                <w:sz w:val="14"/>
                <w:szCs w:val="14"/>
                <w:color w:val="auto"/>
              </w:rPr>
              <w:t>989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72"/>
              <w:spacing w:after="0"/>
              <w:rPr>
                <w:sz w:val="20"/>
                <w:szCs w:val="20"/>
                <w:color w:val="auto"/>
              </w:rPr>
            </w:pPr>
            <w:r>
              <w:rPr>
                <w:rFonts w:ascii="Arial" w:cs="Arial" w:eastAsia="Arial" w:hAnsi="Arial"/>
                <w:sz w:val="14"/>
                <w:szCs w:val="14"/>
                <w:color w:val="auto"/>
              </w:rPr>
              <w:t>2,104</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2,159</w:t>
            </w:r>
          </w:p>
        </w:tc>
      </w:tr>
      <w:tr>
        <w:trPr>
          <w:trHeight w:val="22"/>
        </w:trPr>
        <w:tc>
          <w:tcPr>
            <w:tcW w:w="4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279</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199</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293</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644</w:t>
            </w:r>
          </w:p>
        </w:tc>
      </w:tr>
      <w:tr>
        <w:trPr>
          <w:trHeight w:val="181"/>
        </w:trPr>
        <w:tc>
          <w:tcPr>
            <w:tcW w:w="4700" w:type="dxa"/>
            <w:vAlign w:val="bottom"/>
          </w:tcPr>
          <w:p>
            <w:pPr>
              <w:spacing w:after="0"/>
              <w:rPr>
                <w:sz w:val="15"/>
                <w:szCs w:val="15"/>
                <w:color w:val="auto"/>
              </w:rPr>
            </w:pPr>
          </w:p>
        </w:tc>
        <w:tc>
          <w:tcPr>
            <w:tcW w:w="980" w:type="dxa"/>
            <w:vAlign w:val="bottom"/>
            <w:tcBorders>
              <w:top w:val="single" w:sz="8" w:color="auto"/>
            </w:tcBorders>
          </w:tcPr>
          <w:p>
            <w:pPr>
              <w:jc w:val="right"/>
              <w:ind w:right="836"/>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12,720</w:t>
            </w:r>
          </w:p>
        </w:tc>
        <w:tc>
          <w:tcPr>
            <w:tcW w:w="100" w:type="dxa"/>
            <w:vAlign w:val="bottom"/>
          </w:tcPr>
          <w:p>
            <w:pPr>
              <w:spacing w:after="0"/>
              <w:rPr>
                <w:sz w:val="15"/>
                <w:szCs w:val="15"/>
                <w:color w:val="auto"/>
              </w:rPr>
            </w:pPr>
          </w:p>
        </w:tc>
        <w:tc>
          <w:tcPr>
            <w:tcW w:w="960" w:type="dxa"/>
            <w:vAlign w:val="bottom"/>
            <w:tcBorders>
              <w:top w:val="single" w:sz="8" w:color="auto"/>
            </w:tcBorders>
          </w:tcPr>
          <w:p>
            <w:pPr>
              <w:jc w:val="right"/>
              <w:ind w:right="814"/>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10,009</w:t>
            </w:r>
          </w:p>
        </w:tc>
        <w:tc>
          <w:tcPr>
            <w:tcW w:w="100" w:type="dxa"/>
            <w:vAlign w:val="bottom"/>
          </w:tcPr>
          <w:p>
            <w:pPr>
              <w:spacing w:after="0"/>
              <w:rPr>
                <w:sz w:val="15"/>
                <w:szCs w:val="15"/>
                <w:color w:val="auto"/>
              </w:rPr>
            </w:pPr>
          </w:p>
        </w:tc>
        <w:tc>
          <w:tcPr>
            <w:tcW w:w="480" w:type="dxa"/>
            <w:vAlign w:val="bottom"/>
            <w:tcBorders>
              <w:top w:val="single" w:sz="8" w:color="auto"/>
            </w:tcBorders>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26,470</w:t>
            </w:r>
          </w:p>
        </w:tc>
        <w:tc>
          <w:tcPr>
            <w:tcW w:w="100" w:type="dxa"/>
            <w:vAlign w:val="bottom"/>
          </w:tcPr>
          <w:p>
            <w:pPr>
              <w:spacing w:after="0"/>
              <w:rPr>
                <w:sz w:val="15"/>
                <w:szCs w:val="15"/>
                <w:color w:val="auto"/>
              </w:rPr>
            </w:pPr>
          </w:p>
        </w:tc>
        <w:tc>
          <w:tcPr>
            <w:tcW w:w="660" w:type="dxa"/>
            <w:vAlign w:val="bottom"/>
            <w:tcBorders>
              <w:top w:val="single" w:sz="8" w:color="auto"/>
            </w:tcBorders>
          </w:tcPr>
          <w:p>
            <w:pPr>
              <w:jc w:val="right"/>
              <w:ind w:right="50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17,694</w:t>
            </w:r>
          </w:p>
        </w:tc>
      </w:tr>
      <w:tr>
        <w:trPr>
          <w:trHeight w:val="22"/>
        </w:trPr>
        <w:tc>
          <w:tcPr>
            <w:tcW w:w="4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
        </w:trPr>
        <w:tc>
          <w:tcPr>
            <w:tcW w:w="4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2"/>
          <w:szCs w:val="12"/>
          <w:color w:val="auto"/>
        </w:rPr>
        <w:t>As we continue our ongoing clinical trials and our planned manufacturing activities for Zimura, we expect our research and development expenses for Zimura to increase. We also expect our research and development expenses for each of IC-100, IC-200 and IC-500 to increase as development continues. We expect our research and development expenses for our miniCEP290 program and other collaborative gene therapy sponsored research programs to decrease as the sponsored research for those programs reaches completion. Our research and development expenses may also increase if we in-license or acquire any new product candidates, including from our collaborative gene therapy sponsored research programs, or commence any new sponsored research programs.</w:t>
      </w:r>
    </w:p>
    <w:p>
      <w:pPr>
        <w:spacing w:after="0" w:line="51" w:lineRule="exact"/>
        <w:rPr>
          <w:sz w:val="20"/>
          <w:szCs w:val="20"/>
          <w:color w:val="auto"/>
        </w:rPr>
      </w:pPr>
    </w:p>
    <w:p>
      <w:pPr>
        <w:ind w:right="60" w:firstLine="280"/>
        <w:spacing w:after="0" w:line="319" w:lineRule="auto"/>
        <w:rPr>
          <w:sz w:val="20"/>
          <w:szCs w:val="20"/>
          <w:color w:val="auto"/>
        </w:rPr>
      </w:pPr>
      <w:r>
        <w:rPr>
          <w:rFonts w:ascii="Arial" w:cs="Arial" w:eastAsia="Arial" w:hAnsi="Arial"/>
          <w:sz w:val="12"/>
          <w:szCs w:val="12"/>
          <w:color w:val="auto"/>
        </w:rPr>
        <w:t>We expect we will require substantial, additional funding in order to complete the activities necessary to develop and commercialize one or more of our product candidates. Although the future development of our product candidates is highly uncertain, we expect the development of our product candidates will continue for at least the next several years. At this time, except for our estimates regarding the costs for the future development of Zimura in GA and necessary manufacturing scale-up and validation activities, we cannot reasonably estimate the total remaining costs necessary to complete development, to complete process development and manufacturing scale-up and validation activities and to potentially seek marketing approval for any of our product candidates.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successful development of our product candidates is subject to numerous risks and uncertainties associated with developing drugs, including the uncertainty of:</w:t>
      </w:r>
    </w:p>
    <w:p>
      <w:pPr>
        <w:spacing w:after="0" w:line="125" w:lineRule="exact"/>
        <w:rPr>
          <w:sz w:val="20"/>
          <w:szCs w:val="20"/>
          <w:color w:val="auto"/>
        </w:rPr>
      </w:pPr>
    </w:p>
    <w:p>
      <w:pPr>
        <w:ind w:left="760" w:hanging="182"/>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scope, rate of progress and costs of our research and development activities, including manufacturing activities;</w:t>
      </w:r>
    </w:p>
    <w:p>
      <w:pPr>
        <w:spacing w:after="0" w:line="114" w:lineRule="exact"/>
        <w:rPr>
          <w:rFonts w:ascii="Arial" w:cs="Arial" w:eastAsia="Arial" w:hAnsi="Arial"/>
          <w:sz w:val="14"/>
          <w:szCs w:val="14"/>
          <w:color w:val="auto"/>
        </w:rPr>
      </w:pPr>
    </w:p>
    <w:p>
      <w:pPr>
        <w:ind w:left="760" w:hanging="182"/>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potential benefits of our product candidates over other therapies;</w:t>
      </w:r>
    </w:p>
    <w:p>
      <w:pPr>
        <w:spacing w:after="0" w:line="125" w:lineRule="exact"/>
        <w:rPr>
          <w:rFonts w:ascii="Arial" w:cs="Arial" w:eastAsia="Arial" w:hAnsi="Arial"/>
          <w:sz w:val="14"/>
          <w:szCs w:val="14"/>
          <w:color w:val="auto"/>
        </w:rPr>
      </w:pPr>
    </w:p>
    <w:p>
      <w:pPr>
        <w:ind w:left="760" w:hanging="182"/>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preclinical development results and clinical trial results;</w:t>
      </w:r>
    </w:p>
    <w:p>
      <w:pPr>
        <w:spacing w:after="0" w:line="125" w:lineRule="exact"/>
        <w:rPr>
          <w:rFonts w:ascii="Arial" w:cs="Arial" w:eastAsia="Arial" w:hAnsi="Arial"/>
          <w:sz w:val="14"/>
          <w:szCs w:val="14"/>
          <w:color w:val="auto"/>
        </w:rPr>
      </w:pPr>
    </w:p>
    <w:p>
      <w:pPr>
        <w:ind w:left="760" w:hanging="182"/>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terms and timing of regulatory approvals;</w:t>
      </w:r>
    </w:p>
    <w:p>
      <w:pPr>
        <w:spacing w:after="0" w:line="114" w:lineRule="exact"/>
        <w:rPr>
          <w:rFonts w:ascii="Arial" w:cs="Arial" w:eastAsia="Arial" w:hAnsi="Arial"/>
          <w:sz w:val="14"/>
          <w:szCs w:val="14"/>
          <w:color w:val="auto"/>
        </w:rPr>
      </w:pPr>
    </w:p>
    <w:p>
      <w:pPr>
        <w:ind w:left="760" w:hanging="182"/>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ability to market, commercialize and achieve market acceptance for any of our product candidates; and</w:t>
      </w:r>
    </w:p>
    <w:p>
      <w:pPr>
        <w:spacing w:after="0" w:line="125" w:lineRule="exact"/>
        <w:rPr>
          <w:rFonts w:ascii="Arial" w:cs="Arial" w:eastAsia="Arial" w:hAnsi="Arial"/>
          <w:sz w:val="14"/>
          <w:szCs w:val="14"/>
          <w:color w:val="auto"/>
        </w:rPr>
      </w:pPr>
    </w:p>
    <w:p>
      <w:pPr>
        <w:ind w:left="760" w:hanging="182"/>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ability to successfully file, prosecute, defend and enforce patent claims and other intellectual property rights, together with associated expenses.</w:t>
      </w:r>
    </w:p>
    <w:p>
      <w:pPr>
        <w:spacing w:after="0" w:line="125" w:lineRule="exact"/>
        <w:rPr>
          <w:sz w:val="20"/>
          <w:szCs w:val="20"/>
          <w:color w:val="auto"/>
        </w:rPr>
      </w:pPr>
    </w:p>
    <w:p>
      <w:pPr>
        <w:ind w:right="340" w:firstLine="509"/>
        <w:spacing w:after="0" w:line="281" w:lineRule="auto"/>
        <w:rPr>
          <w:sz w:val="20"/>
          <w:szCs w:val="20"/>
          <w:color w:val="auto"/>
        </w:rPr>
      </w:pPr>
      <w:r>
        <w:rPr>
          <w:rFonts w:ascii="Arial" w:cs="Arial" w:eastAsia="Arial" w:hAnsi="Arial"/>
          <w:sz w:val="14"/>
          <w:szCs w:val="14"/>
          <w:color w:val="auto"/>
        </w:rPr>
        <w:t>A change in the outcome of any of these variables with respect to the development of our product candidates could mean a significant change in the costs and timing associated with the development of that product candidate.</w:t>
      </w:r>
    </w:p>
    <w:p>
      <w:pPr>
        <w:spacing w:after="0" w:line="69" w:lineRule="exact"/>
        <w:rPr>
          <w:sz w:val="20"/>
          <w:szCs w:val="20"/>
          <w:color w:val="auto"/>
        </w:rPr>
      </w:pPr>
    </w:p>
    <w:p>
      <w:pPr>
        <w:ind w:right="120" w:firstLine="509"/>
        <w:spacing w:after="0" w:line="288" w:lineRule="auto"/>
        <w:rPr>
          <w:sz w:val="20"/>
          <w:szCs w:val="20"/>
          <w:color w:val="auto"/>
        </w:rPr>
      </w:pPr>
      <w:r>
        <w:rPr>
          <w:rFonts w:ascii="Arial" w:cs="Arial" w:eastAsia="Arial" w:hAnsi="Arial"/>
          <w:sz w:val="13"/>
          <w:szCs w:val="13"/>
          <w:color w:val="auto"/>
        </w:rPr>
        <w:t>We may require additional funding beyond what we currently expect due to unforeseen or other reasons. Our costs may exceed our expectations if we experience an issue in our clinical trials, such as issues with patient enrollment, the retention of enrolled patients, enrolled patients maintaining scheduled visits and receiving scheduled treatments, or the availability of drug supply, if we experience an issue in our preclinical development programs, such as unfavorable toxicology or other preclinical data, inability to develop formulations or other issues with manufacturing, or if we modify or further expand the scope of our clinical trials, preclinical development programs or collaborative gene therapy sponsored research programs. For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example, we have decided to enroll approximately 25 additional patients in our ongoing OPH2005 trial, with the goal of enrolling a total of approximately 120 patients as was initially intended in the protocol for this trial, which will extend the duration of that trial and increase our costs of conducting that trial. Our costs may also exceed our expectations for other reasons, for example, if we are required by the FDA, the EMA, or regulatory authorities in other jurisdictions to perform clinical or nonclinical trials or other studies in addition to those we currently expect to conduct, if we experience issues with process development, establishing or scaling-up of manufacturing activities or activities to enable and qualify second source suppliers, or if we decide to increase preclinical and clinical research and development activities, build internal research capabilities or pursue internal research efforts. For example, we are conducting the GATHER2 trial with the expectation that data collected from such trial, if it is positive, together with data from our GATHER1 trial, will be sufficient to seek marketing approval in the United States and the European Union and we may subsequently decide to, or be required by regulatory authorities to, enroll additional patients in the GATHER2 trial beyond our current expectations, conduct additional clinical trials for Zimura in GA or conduct additional non-clinical studies of Zimura in order to seek or maintain regulatory approval or qualify for reimbursement approval. In addition, the COVID-19 pandemic may result in additional delays to the progress of the GATHER2 trial, including slowing down or stopping patient enrollment in certain geographic areas, our ability to recruit additional patients for our OPH2005 trial or to our other research and development programs, which could cause us to continue to expend our cash resources while not progressing our research and development programs as expeditiously as we would have had the pandemic not occurred or persisted. We may experience difficulty in enrolling or retaining patients or maintaining scheduled visits and treatments due to patients' fears of visiting clinical trial sites or ongoing restrictive measures requiring social distancing or limiting travel. For example, we are aware that, in the OPH2005 trial, a small number of patients missed consecutive visits during the COVID-19 pandemic and we do not know yet whether the number of missed visits will increase or decrease in the OPH2005 trial or occur in the GATHER2 trial. As a result of any of the above, we may need or may seek to obtain additional funding for our continuing operations sooner or in greater amounts than expected.</w:t>
      </w:r>
    </w:p>
    <w:p>
      <w:pPr>
        <w:spacing w:after="0" w:line="86" w:lineRule="exact"/>
        <w:rPr>
          <w:sz w:val="20"/>
          <w:szCs w:val="20"/>
          <w:color w:val="auto"/>
        </w:rPr>
      </w:pPr>
    </w:p>
    <w:p>
      <w:pPr>
        <w:ind w:right="300" w:firstLine="509"/>
        <w:spacing w:after="0" w:line="281" w:lineRule="auto"/>
        <w:rPr>
          <w:sz w:val="20"/>
          <w:szCs w:val="20"/>
          <w:color w:val="auto"/>
        </w:rPr>
      </w:pPr>
      <w:r>
        <w:rPr>
          <w:rFonts w:ascii="Arial" w:cs="Arial" w:eastAsia="Arial" w:hAnsi="Arial"/>
          <w:sz w:val="14"/>
          <w:szCs w:val="14"/>
          <w:color w:val="auto"/>
        </w:rPr>
        <w:t>See the “Liquidity and Capital Resources” section of this Quarterly Report on Form 10-Q for more information regarding our current and future financial resources and our expectations regarding our research and development expenses and funding requirements.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25" w:lineRule="exact"/>
        <w:rPr>
          <w:sz w:val="20"/>
          <w:szCs w:val="20"/>
          <w:color w:val="auto"/>
        </w:rPr>
      </w:pPr>
    </w:p>
    <w:p>
      <w:pPr>
        <w:ind w:right="260" w:firstLine="283"/>
        <w:spacing w:after="0" w:line="267" w:lineRule="auto"/>
        <w:rPr>
          <w:sz w:val="20"/>
          <w:szCs w:val="20"/>
          <w:color w:val="auto"/>
        </w:rPr>
      </w:pPr>
      <w:r>
        <w:rPr>
          <w:rFonts w:ascii="Arial" w:cs="Arial" w:eastAsia="Arial" w:hAnsi="Arial"/>
          <w:sz w:val="14"/>
          <w:szCs w:val="14"/>
          <w:color w:val="auto"/>
        </w:rPr>
        <w:t>General and administrative expenses consist primarily of salaries and related costs for personnel, including share-based compensation expense, in our executive, legal, finance, business development, human resources, investor relations and information technology functions. Other general and administrative expenses include facility costs and professional fees for legal, including patent-related, services and expenses, consulting and accounting services, and travel expenses.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Income</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currently have invested our cash and cash equivalents in money market funds and investment-grade corporate debt securities, which generate a nominal amount of interest income.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Significant Judgments and Estimates</w:t>
      </w:r>
    </w:p>
    <w:p>
      <w:pPr>
        <w:spacing w:after="0" w:line="119" w:lineRule="exact"/>
        <w:rPr>
          <w:sz w:val="20"/>
          <w:szCs w:val="20"/>
          <w:color w:val="auto"/>
        </w:rPr>
      </w:pPr>
    </w:p>
    <w:p>
      <w:pPr>
        <w:ind w:firstLine="509"/>
        <w:spacing w:after="0" w:line="282" w:lineRule="auto"/>
        <w:rPr>
          <w:sz w:val="20"/>
          <w:szCs w:val="20"/>
          <w:color w:val="auto"/>
        </w:rPr>
      </w:pPr>
      <w:r>
        <w:rPr>
          <w:rFonts w:ascii="Arial" w:cs="Arial" w:eastAsia="Arial" w:hAnsi="Arial"/>
          <w:sz w:val="13"/>
          <w:szCs w:val="13"/>
          <w:color w:val="auto"/>
        </w:rPr>
        <w:t>Our management’s discussion and analysis of our financial condition and results of operations is based on our financial statements, which we have prepared in accordance with U.S. generally accepted accounting principles, or GAAP.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share-based compensation and income taxes described in greater detail below. We base our estimates on our limited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81" w:lineRule="exact"/>
        <w:rPr>
          <w:sz w:val="20"/>
          <w:szCs w:val="20"/>
          <w:color w:val="auto"/>
        </w:rPr>
      </w:pPr>
    </w:p>
    <w:p>
      <w:pPr>
        <w:ind w:right="260" w:firstLine="509"/>
        <w:spacing w:after="0" w:line="321" w:lineRule="auto"/>
        <w:rPr>
          <w:sz w:val="20"/>
          <w:szCs w:val="20"/>
          <w:color w:val="auto"/>
        </w:rPr>
      </w:pPr>
      <w:r>
        <w:rPr>
          <w:rFonts w:ascii="Arial" w:cs="Arial" w:eastAsia="Arial" w:hAnsi="Arial"/>
          <w:sz w:val="13"/>
          <w:szCs w:val="13"/>
          <w:color w:val="auto"/>
        </w:rPr>
        <w:t>Our significant accounting policies are described in more detail in the notes to our financial statements appearing elsewhere in this Quarterly Report on Form 10-Q. Of those policies, we believe that the following accounting policies are the most critical to aid our stockholders in fully understanding and evaluating our financial condition and results of operations.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Accrued Research and Development Expenses</w:t>
      </w:r>
    </w:p>
    <w:p>
      <w:pPr>
        <w:spacing w:after="0" w:line="115" w:lineRule="exact"/>
        <w:rPr>
          <w:sz w:val="20"/>
          <w:szCs w:val="20"/>
          <w:color w:val="auto"/>
        </w:rPr>
      </w:pPr>
    </w:p>
    <w:p>
      <w:pPr>
        <w:ind w:right="60" w:firstLine="509"/>
        <w:spacing w:after="0" w:line="321" w:lineRule="auto"/>
        <w:rPr>
          <w:sz w:val="20"/>
          <w:szCs w:val="20"/>
          <w:color w:val="auto"/>
        </w:rPr>
      </w:pPr>
      <w:r>
        <w:rPr>
          <w:rFonts w:ascii="Arial" w:cs="Arial" w:eastAsia="Arial" w:hAnsi="Arial"/>
          <w:sz w:val="13"/>
          <w:szCs w:val="13"/>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ind w:right="120"/>
        <w:spacing w:after="0" w:line="288" w:lineRule="auto"/>
        <w:rPr>
          <w:sz w:val="20"/>
          <w:szCs w:val="20"/>
          <w:color w:val="auto"/>
        </w:rPr>
      </w:pPr>
      <w:r>
        <w:rPr>
          <w:rFonts w:ascii="Arial" w:cs="Arial" w:eastAsia="Arial" w:hAnsi="Arial"/>
          <w:sz w:val="13"/>
          <w:szCs w:val="13"/>
          <w:color w:val="auto"/>
        </w:rPr>
        <w:t>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are related to expenses incurred with respect to academic research collaborators, CROs, CDMOs and other vendors in connection with research and development and manufacturing activities.</w:t>
      </w:r>
    </w:p>
    <w:p>
      <w:pPr>
        <w:spacing w:after="0" w:line="68" w:lineRule="exact"/>
        <w:rPr>
          <w:sz w:val="20"/>
          <w:szCs w:val="20"/>
          <w:color w:val="auto"/>
        </w:rPr>
      </w:pPr>
    </w:p>
    <w:p>
      <w:pPr>
        <w:ind w:firstLine="280"/>
        <w:spacing w:after="0" w:line="280" w:lineRule="auto"/>
        <w:rPr>
          <w:sz w:val="20"/>
          <w:szCs w:val="20"/>
          <w:color w:val="auto"/>
        </w:rPr>
      </w:pPr>
      <w:r>
        <w:rPr>
          <w:rFonts w:ascii="Arial" w:cs="Arial" w:eastAsia="Arial" w:hAnsi="Arial"/>
          <w:sz w:val="13"/>
          <w:szCs w:val="13"/>
          <w:color w:val="auto"/>
        </w:rPr>
        <w:t>We base our expenses related to academic research collaborators, CROs and CDMOs on our estimates of the services received and efforts expended pursuant to quotations and contracts with such vendors that conduct research and development and manufacturing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applicable research and development or manufacturing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 There have been no material changes in estimates for the periods presented.</w:t>
      </w: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Three Month Periods Ended June 30, 2020 and 2019</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460" w:type="dxa"/>
            <w:vAlign w:val="bottom"/>
          </w:tcPr>
          <w:p>
            <w:pPr>
              <w:spacing w:after="0"/>
              <w:rPr>
                <w:sz w:val="12"/>
                <w:szCs w:val="12"/>
                <w:color w:val="auto"/>
              </w:rPr>
            </w:pPr>
          </w:p>
        </w:tc>
        <w:tc>
          <w:tcPr>
            <w:tcW w:w="252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1"/>
                <w:szCs w:val="11"/>
                <w:b w:val="1"/>
                <w:bCs w:val="1"/>
                <w:color w:val="auto"/>
              </w:rPr>
              <w:t>Three months ended June 30,</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646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2020</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2019</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jc w:val="right"/>
              <w:ind w:right="512"/>
              <w:spacing w:after="0" w:line="109" w:lineRule="exact"/>
              <w:rPr>
                <w:sz w:val="20"/>
                <w:szCs w:val="20"/>
                <w:color w:val="auto"/>
              </w:rPr>
            </w:pPr>
            <w:r>
              <w:rPr>
                <w:rFonts w:ascii="Arial" w:cs="Arial" w:eastAsia="Arial" w:hAnsi="Arial"/>
                <w:sz w:val="11"/>
                <w:szCs w:val="11"/>
                <w:b w:val="1"/>
                <w:bCs w:val="1"/>
                <w:color w:val="auto"/>
              </w:rPr>
              <w:t>Increase</w:t>
            </w:r>
          </w:p>
        </w:tc>
        <w:tc>
          <w:tcPr>
            <w:tcW w:w="0" w:type="dxa"/>
            <w:vAlign w:val="bottom"/>
          </w:tcPr>
          <w:p>
            <w:pPr>
              <w:spacing w:after="0"/>
              <w:rPr>
                <w:sz w:val="1"/>
                <w:szCs w:val="1"/>
                <w:color w:val="auto"/>
              </w:rPr>
            </w:pPr>
          </w:p>
        </w:tc>
      </w:tr>
      <w:tr>
        <w:trPr>
          <w:trHeight w:val="151"/>
        </w:trPr>
        <w:tc>
          <w:tcPr>
            <w:tcW w:w="6460" w:type="dxa"/>
            <w:vAlign w:val="bottom"/>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1"/>
                <w:szCs w:val="11"/>
                <w:b w:val="1"/>
                <w:bCs w:val="1"/>
                <w:color w:val="auto"/>
              </w:rPr>
              <w:t>(Decrease)</w:t>
            </w:r>
          </w:p>
        </w:tc>
        <w:tc>
          <w:tcPr>
            <w:tcW w:w="0" w:type="dxa"/>
            <w:vAlign w:val="bottom"/>
          </w:tcPr>
          <w:p>
            <w:pPr>
              <w:spacing w:after="0"/>
              <w:rPr>
                <w:sz w:val="1"/>
                <w:szCs w:val="1"/>
                <w:color w:val="auto"/>
              </w:rPr>
            </w:pPr>
          </w:p>
        </w:tc>
      </w:tr>
      <w:tr>
        <w:trPr>
          <w:trHeight w:val="150"/>
        </w:trPr>
        <w:tc>
          <w:tcPr>
            <w:tcW w:w="6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gridSpan w:val="3"/>
          </w:tcPr>
          <w:p>
            <w:pPr>
              <w:jc w:val="right"/>
              <w:ind w:right="534"/>
              <w:spacing w:after="0"/>
              <w:rPr>
                <w:sz w:val="20"/>
                <w:szCs w:val="20"/>
                <w:color w:val="auto"/>
              </w:rPr>
            </w:pPr>
            <w:r>
              <w:rPr>
                <w:rFonts w:ascii="Arial" w:cs="Arial" w:eastAsia="Arial" w:hAnsi="Arial"/>
                <w:sz w:val="11"/>
                <w:szCs w:val="11"/>
                <w:b w:val="1"/>
                <w:bCs w:val="1"/>
                <w:color w:val="auto"/>
              </w:rPr>
              <w:t>(in thousands)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Statements of Operations Data:</w:t>
            </w:r>
          </w:p>
        </w:tc>
        <w:tc>
          <w:tcPr>
            <w:tcW w:w="9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4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Research and development</w:t>
            </w:r>
          </w:p>
        </w:tc>
        <w:tc>
          <w:tcPr>
            <w:tcW w:w="90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12,720</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10,009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2,711</w:t>
            </w:r>
          </w:p>
        </w:tc>
        <w:tc>
          <w:tcPr>
            <w:tcW w:w="0" w:type="dxa"/>
            <w:vAlign w:val="bottom"/>
          </w:tcPr>
          <w:p>
            <w:pPr>
              <w:spacing w:after="0"/>
              <w:rPr>
                <w:sz w:val="1"/>
                <w:szCs w:val="1"/>
                <w:color w:val="auto"/>
              </w:rPr>
            </w:pPr>
          </w:p>
        </w:tc>
      </w:tr>
      <w:tr>
        <w:trPr>
          <w:trHeight w:val="191"/>
        </w:trPr>
        <w:tc>
          <w:tcPr>
            <w:tcW w:w="6460" w:type="dxa"/>
            <w:vAlign w:val="bottom"/>
          </w:tcPr>
          <w:p>
            <w:pPr>
              <w:ind w:left="100"/>
              <w:spacing w:after="0"/>
              <w:rPr>
                <w:sz w:val="20"/>
                <w:szCs w:val="20"/>
                <w:color w:val="auto"/>
              </w:rPr>
            </w:pPr>
            <w:r>
              <w:rPr>
                <w:rFonts w:ascii="Arial" w:cs="Arial" w:eastAsia="Arial" w:hAnsi="Arial"/>
                <w:sz w:val="14"/>
                <w:szCs w:val="14"/>
                <w:color w:val="auto"/>
              </w:rPr>
              <w:t>General and administrative</w:t>
            </w:r>
          </w:p>
        </w:tc>
        <w:tc>
          <w:tcPr>
            <w:tcW w:w="900" w:type="dxa"/>
            <w:vAlign w:val="bottom"/>
          </w:tcPr>
          <w:p>
            <w:pPr>
              <w:spacing w:after="0"/>
              <w:rPr>
                <w:sz w:val="16"/>
                <w:szCs w:val="16"/>
                <w:color w:val="auto"/>
              </w:rPr>
            </w:pPr>
          </w:p>
        </w:tc>
        <w:tc>
          <w:tcPr>
            <w:tcW w:w="620" w:type="dxa"/>
            <w:vAlign w:val="bottom"/>
          </w:tcPr>
          <w:p>
            <w:pPr>
              <w:jc w:val="right"/>
              <w:ind w:right="71"/>
              <w:spacing w:after="0"/>
              <w:rPr>
                <w:sz w:val="20"/>
                <w:szCs w:val="20"/>
                <w:color w:val="auto"/>
              </w:rPr>
            </w:pPr>
            <w:r>
              <w:rPr>
                <w:rFonts w:ascii="Arial" w:cs="Arial" w:eastAsia="Arial" w:hAnsi="Arial"/>
                <w:sz w:val="14"/>
                <w:szCs w:val="14"/>
                <w:color w:val="auto"/>
              </w:rPr>
              <w:t>6,289</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5,198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1,091</w:t>
            </w:r>
          </w:p>
        </w:tc>
        <w:tc>
          <w:tcPr>
            <w:tcW w:w="0" w:type="dxa"/>
            <w:vAlign w:val="bottom"/>
          </w:tcPr>
          <w:p>
            <w:pPr>
              <w:spacing w:after="0"/>
              <w:rPr>
                <w:sz w:val="1"/>
                <w:szCs w:val="1"/>
                <w:color w:val="auto"/>
              </w:rPr>
            </w:pPr>
          </w:p>
        </w:tc>
      </w:tr>
      <w:tr>
        <w:trPr>
          <w:trHeight w:val="22"/>
        </w:trPr>
        <w:tc>
          <w:tcPr>
            <w:tcW w:w="6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operating expenses</w:t>
            </w:r>
          </w:p>
        </w:tc>
        <w:tc>
          <w:tcPr>
            <w:tcW w:w="9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19,009</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15,207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3,802</w:t>
            </w:r>
          </w:p>
        </w:tc>
        <w:tc>
          <w:tcPr>
            <w:tcW w:w="0" w:type="dxa"/>
            <w:vAlign w:val="bottom"/>
          </w:tcPr>
          <w:p>
            <w:pPr>
              <w:spacing w:after="0"/>
              <w:rPr>
                <w:sz w:val="1"/>
                <w:szCs w:val="1"/>
                <w:color w:val="auto"/>
              </w:rPr>
            </w:pPr>
          </w:p>
        </w:tc>
      </w:tr>
      <w:tr>
        <w:trPr>
          <w:trHeight w:val="181"/>
        </w:trPr>
        <w:tc>
          <w:tcPr>
            <w:tcW w:w="646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9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w w:val="95"/>
              </w:rPr>
              <w:t>(19,009)</w:t>
            </w: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w w:val="95"/>
              </w:rPr>
              <w:t>(15,207)</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color w:val="auto"/>
              </w:rPr>
              <w:t>3,802</w:t>
            </w:r>
          </w:p>
        </w:tc>
        <w:tc>
          <w:tcPr>
            <w:tcW w:w="0" w:type="dxa"/>
            <w:vAlign w:val="bottom"/>
          </w:tcPr>
          <w:p>
            <w:pPr>
              <w:spacing w:after="0"/>
              <w:rPr>
                <w:sz w:val="1"/>
                <w:szCs w:val="1"/>
                <w:color w:val="auto"/>
              </w:rPr>
            </w:pPr>
          </w:p>
        </w:tc>
      </w:tr>
      <w:tr>
        <w:trPr>
          <w:trHeight w:val="22"/>
        </w:trPr>
        <w:tc>
          <w:tcPr>
            <w:tcW w:w="6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9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617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191"/>
        </w:trPr>
        <w:tc>
          <w:tcPr>
            <w:tcW w:w="646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900" w:type="dxa"/>
            <w:vAlign w:val="bottom"/>
          </w:tcPr>
          <w:p>
            <w:pPr>
              <w:spacing w:after="0"/>
              <w:rPr>
                <w:sz w:val="16"/>
                <w:szCs w:val="16"/>
                <w:color w:val="auto"/>
              </w:rPr>
            </w:pPr>
          </w:p>
        </w:tc>
        <w:tc>
          <w:tcPr>
            <w:tcW w:w="620" w:type="dxa"/>
            <w:vAlign w:val="bottom"/>
          </w:tcPr>
          <w:p>
            <w:pPr>
              <w:jc w:val="right"/>
              <w:ind w:right="31"/>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2"/>
        </w:trPr>
        <w:tc>
          <w:tcPr>
            <w:tcW w:w="6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Loss before income tax provision (benefit)</w:t>
            </w:r>
          </w:p>
        </w:tc>
        <w:tc>
          <w:tcPr>
            <w:tcW w:w="9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95"/>
              </w:rPr>
              <w:t>(18,975)</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95"/>
              </w:rPr>
              <w:t>(14,439)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4,536</w:t>
            </w:r>
          </w:p>
        </w:tc>
        <w:tc>
          <w:tcPr>
            <w:tcW w:w="0" w:type="dxa"/>
            <w:vAlign w:val="bottom"/>
          </w:tcPr>
          <w:p>
            <w:pPr>
              <w:spacing w:after="0"/>
              <w:rPr>
                <w:sz w:val="1"/>
                <w:szCs w:val="1"/>
                <w:color w:val="auto"/>
              </w:rPr>
            </w:pPr>
          </w:p>
        </w:tc>
      </w:tr>
      <w:tr>
        <w:trPr>
          <w:trHeight w:val="191"/>
        </w:trPr>
        <w:tc>
          <w:tcPr>
            <w:tcW w:w="6460" w:type="dxa"/>
            <w:vAlign w:val="bottom"/>
          </w:tcPr>
          <w:p>
            <w:pPr>
              <w:ind w:left="20"/>
              <w:spacing w:after="0"/>
              <w:rPr>
                <w:sz w:val="20"/>
                <w:szCs w:val="20"/>
                <w:color w:val="auto"/>
              </w:rPr>
            </w:pPr>
            <w:r>
              <w:rPr>
                <w:rFonts w:ascii="Arial" w:cs="Arial" w:eastAsia="Arial" w:hAnsi="Arial"/>
                <w:sz w:val="14"/>
                <w:szCs w:val="14"/>
                <w:color w:val="auto"/>
              </w:rPr>
              <w:t>Income tax provision (benefit)</w:t>
            </w:r>
          </w:p>
        </w:tc>
        <w:tc>
          <w:tcPr>
            <w:tcW w:w="900" w:type="dxa"/>
            <w:vAlign w:val="bottom"/>
          </w:tcPr>
          <w:p>
            <w:pPr>
              <w:spacing w:after="0"/>
              <w:rPr>
                <w:sz w:val="16"/>
                <w:szCs w:val="16"/>
                <w:color w:val="auto"/>
              </w:rPr>
            </w:pPr>
          </w:p>
        </w:tc>
        <w:tc>
          <w:tcPr>
            <w:tcW w:w="620" w:type="dxa"/>
            <w:vAlign w:val="bottom"/>
          </w:tcPr>
          <w:p>
            <w:pPr>
              <w:jc w:val="right"/>
              <w:ind w:right="31"/>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22"/>
        </w:trPr>
        <w:tc>
          <w:tcPr>
            <w:tcW w:w="6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0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95"/>
              </w:rPr>
              <w:t>(18,589)</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95"/>
              </w:rPr>
              <w:t>(14,443)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4,146</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25"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Our research and development expenses were $12.7 million for the three months ended June 30, 2020, an increase of $2.7 million compared to $10.0 million for the three months ended June 30, 2019. The increase in research and development expenses for the three months ended June 30, 2020 was primarily due to a $1.3 million increase in personnel costs, a $0.4 million increase in costs resulting from the progress of our gene therapy programs, $0.7 million increase in costs associated with our Zimura programs and a $0.3 million increase in costs resulting from the progress of our HtrA1 inhibitor program. The increased costs for our gene therapy programs primary reflect increased manufacturing and preclinical development costs associated with IC-100 and IC-200. The increased costs for our Zimura programs were primarily due to the initiation and start-up activities for our GATHER2 trial and Zimura manufacturing activities, which was partially offset by lower clinical trial costs as a result of the near completion of our GATHER1 trial.</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25" w:lineRule="exact"/>
        <w:rPr>
          <w:sz w:val="20"/>
          <w:szCs w:val="20"/>
          <w:color w:val="auto"/>
        </w:rPr>
      </w:pPr>
    </w:p>
    <w:p>
      <w:pPr>
        <w:ind w:right="380" w:firstLine="509"/>
        <w:spacing w:after="0" w:line="321" w:lineRule="auto"/>
        <w:rPr>
          <w:sz w:val="20"/>
          <w:szCs w:val="20"/>
          <w:color w:val="auto"/>
        </w:rPr>
      </w:pPr>
      <w:r>
        <w:rPr>
          <w:rFonts w:ascii="Arial" w:cs="Arial" w:eastAsia="Arial" w:hAnsi="Arial"/>
          <w:sz w:val="13"/>
          <w:szCs w:val="13"/>
          <w:color w:val="auto"/>
        </w:rPr>
        <w:t>Our general and administrative expenses were $6.3 million for the three months ended June 30, 2020, an increase of $1.1 million, compared to $5.2 million for the three months ended June 30, 2019. The increase in general and administrative expenses for the three months ended June 30, 2020 was primarily due to an increase in general consulting costs and</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professional fees.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Interest Income</w:t>
      </w:r>
    </w:p>
    <w:p>
      <w:pPr>
        <w:spacing w:after="0" w:line="125" w:lineRule="exact"/>
        <w:rPr>
          <w:sz w:val="20"/>
          <w:szCs w:val="20"/>
          <w:color w:val="auto"/>
        </w:rPr>
      </w:pPr>
    </w:p>
    <w:p>
      <w:pPr>
        <w:ind w:right="160" w:firstLine="509"/>
        <w:spacing w:after="0" w:line="281" w:lineRule="auto"/>
        <w:rPr>
          <w:sz w:val="20"/>
          <w:szCs w:val="20"/>
          <w:color w:val="auto"/>
        </w:rPr>
      </w:pPr>
      <w:r>
        <w:rPr>
          <w:rFonts w:ascii="Arial" w:cs="Arial" w:eastAsia="Arial" w:hAnsi="Arial"/>
          <w:sz w:val="14"/>
          <w:szCs w:val="14"/>
          <w:color w:val="auto"/>
        </w:rPr>
        <w:t>Interest income for the three months ended June 30, 2020 was $46 thousand compared to interest income of $0.6 million for the three months ended June 30, 2019. The decrease in interest income was primarily due to the decrease in our investment balances and interest rate yields.</w:t>
      </w:r>
    </w:p>
    <w:p>
      <w:pPr>
        <w:spacing w:after="0" w:line="79"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Income Tax Provision (Benefit)</w:t>
      </w:r>
    </w:p>
    <w:p>
      <w:pPr>
        <w:spacing w:after="0" w:line="115" w:lineRule="exact"/>
        <w:rPr>
          <w:sz w:val="20"/>
          <w:szCs w:val="20"/>
          <w:color w:val="auto"/>
        </w:rPr>
      </w:pPr>
    </w:p>
    <w:p>
      <w:pPr>
        <w:ind w:right="100" w:firstLine="509"/>
        <w:spacing w:after="0" w:line="281" w:lineRule="auto"/>
        <w:rPr>
          <w:sz w:val="20"/>
          <w:szCs w:val="20"/>
          <w:color w:val="auto"/>
        </w:rPr>
      </w:pPr>
      <w:r>
        <w:rPr>
          <w:rFonts w:ascii="Arial" w:cs="Arial" w:eastAsia="Arial" w:hAnsi="Arial"/>
          <w:sz w:val="14"/>
          <w:szCs w:val="14"/>
          <w:color w:val="auto"/>
        </w:rPr>
        <w:t>For the three months ended June 30, 2020, we recorded an income tax benefit of $0.4 million which was to reflect the interest received from our settlement of a local tax audit. For the three months ended June 30, 2019, we recorded a de minimis provision for income taxes.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Six Month Periods Ended June 30, 2020 and 2019</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460" w:type="dxa"/>
            <w:vAlign w:val="bottom"/>
          </w:tcPr>
          <w:p>
            <w:pPr>
              <w:spacing w:after="0"/>
              <w:rPr>
                <w:sz w:val="15"/>
                <w:szCs w:val="15"/>
                <w:color w:val="auto"/>
              </w:rPr>
            </w:pPr>
          </w:p>
        </w:tc>
        <w:tc>
          <w:tcPr>
            <w:tcW w:w="2520" w:type="dxa"/>
            <w:vAlign w:val="bottom"/>
            <w:gridSpan w:val="4"/>
          </w:tcPr>
          <w:p>
            <w:pPr>
              <w:jc w:val="right"/>
              <w:ind w:right="114"/>
              <w:spacing w:after="0"/>
              <w:rPr>
                <w:sz w:val="20"/>
                <w:szCs w:val="20"/>
                <w:color w:val="auto"/>
              </w:rPr>
            </w:pPr>
            <w:r>
              <w:rPr>
                <w:rFonts w:ascii="Arial" w:cs="Arial" w:eastAsia="Arial" w:hAnsi="Arial"/>
                <w:sz w:val="14"/>
                <w:szCs w:val="14"/>
                <w:color w:val="auto"/>
              </w:rPr>
              <w:t>Six months ended June 30,</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vMerge w:val="restart"/>
          </w:tcPr>
          <w:p>
            <w:pPr>
              <w:jc w:val="right"/>
              <w:ind w:right="512"/>
              <w:spacing w:after="0"/>
              <w:rPr>
                <w:sz w:val="20"/>
                <w:szCs w:val="20"/>
                <w:color w:val="auto"/>
              </w:rPr>
            </w:pPr>
            <w:r>
              <w:rPr>
                <w:rFonts w:ascii="Arial" w:cs="Arial" w:eastAsia="Arial" w:hAnsi="Arial"/>
                <w:sz w:val="11"/>
                <w:szCs w:val="11"/>
                <w:b w:val="1"/>
                <w:bCs w:val="1"/>
                <w:color w:val="auto"/>
              </w:rPr>
              <w:t>Increase</w:t>
            </w:r>
          </w:p>
        </w:tc>
        <w:tc>
          <w:tcPr>
            <w:tcW w:w="0" w:type="dxa"/>
            <w:vAlign w:val="bottom"/>
          </w:tcPr>
          <w:p>
            <w:pPr>
              <w:spacing w:after="0"/>
              <w:rPr>
                <w:sz w:val="1"/>
                <w:szCs w:val="1"/>
                <w:color w:val="auto"/>
              </w:rPr>
            </w:pPr>
          </w:p>
        </w:tc>
      </w:tr>
      <w:tr>
        <w:trPr>
          <w:trHeight w:val="101"/>
        </w:trPr>
        <w:tc>
          <w:tcPr>
            <w:tcW w:w="646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2020</w:t>
            </w: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2019</w:t>
            </w: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6460" w:type="dxa"/>
            <w:vAlign w:val="bottom"/>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1"/>
                <w:szCs w:val="11"/>
                <w:b w:val="1"/>
                <w:bCs w:val="1"/>
                <w:color w:val="auto"/>
              </w:rPr>
              <w:t>(Decrease)</w:t>
            </w:r>
          </w:p>
        </w:tc>
        <w:tc>
          <w:tcPr>
            <w:tcW w:w="0" w:type="dxa"/>
            <w:vAlign w:val="bottom"/>
          </w:tcPr>
          <w:p>
            <w:pPr>
              <w:spacing w:after="0"/>
              <w:rPr>
                <w:sz w:val="1"/>
                <w:szCs w:val="1"/>
                <w:color w:val="auto"/>
              </w:rPr>
            </w:pPr>
          </w:p>
        </w:tc>
      </w:tr>
      <w:tr>
        <w:trPr>
          <w:trHeight w:val="150"/>
        </w:trPr>
        <w:tc>
          <w:tcPr>
            <w:tcW w:w="6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gridSpan w:val="3"/>
          </w:tcPr>
          <w:p>
            <w:pPr>
              <w:jc w:val="right"/>
              <w:ind w:right="534"/>
              <w:spacing w:after="0"/>
              <w:rPr>
                <w:sz w:val="20"/>
                <w:szCs w:val="20"/>
                <w:color w:val="auto"/>
              </w:rPr>
            </w:pPr>
            <w:r>
              <w:rPr>
                <w:rFonts w:ascii="Arial" w:cs="Arial" w:eastAsia="Arial" w:hAnsi="Arial"/>
                <w:sz w:val="11"/>
                <w:szCs w:val="11"/>
                <w:b w:val="1"/>
                <w:bCs w:val="1"/>
                <w:color w:val="auto"/>
              </w:rPr>
              <w:t>(in thousands)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Statements of Operations Data:</w:t>
            </w:r>
          </w:p>
        </w:tc>
        <w:tc>
          <w:tcPr>
            <w:tcW w:w="9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4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Research and development</w:t>
            </w:r>
          </w:p>
        </w:tc>
        <w:tc>
          <w:tcPr>
            <w:tcW w:w="90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26,470</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17,694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8,776</w:t>
            </w:r>
          </w:p>
        </w:tc>
        <w:tc>
          <w:tcPr>
            <w:tcW w:w="0" w:type="dxa"/>
            <w:vAlign w:val="bottom"/>
          </w:tcPr>
          <w:p>
            <w:pPr>
              <w:spacing w:after="0"/>
              <w:rPr>
                <w:sz w:val="1"/>
                <w:szCs w:val="1"/>
                <w:color w:val="auto"/>
              </w:rPr>
            </w:pPr>
          </w:p>
        </w:tc>
      </w:tr>
      <w:tr>
        <w:trPr>
          <w:trHeight w:val="191"/>
        </w:trPr>
        <w:tc>
          <w:tcPr>
            <w:tcW w:w="6460" w:type="dxa"/>
            <w:vAlign w:val="bottom"/>
          </w:tcPr>
          <w:p>
            <w:pPr>
              <w:ind w:left="100"/>
              <w:spacing w:after="0"/>
              <w:rPr>
                <w:sz w:val="20"/>
                <w:szCs w:val="20"/>
                <w:color w:val="auto"/>
              </w:rPr>
            </w:pPr>
            <w:r>
              <w:rPr>
                <w:rFonts w:ascii="Arial" w:cs="Arial" w:eastAsia="Arial" w:hAnsi="Arial"/>
                <w:sz w:val="14"/>
                <w:szCs w:val="14"/>
                <w:color w:val="auto"/>
              </w:rPr>
              <w:t>General and administrative</w:t>
            </w:r>
          </w:p>
        </w:tc>
        <w:tc>
          <w:tcPr>
            <w:tcW w:w="900" w:type="dxa"/>
            <w:vAlign w:val="bottom"/>
          </w:tcPr>
          <w:p>
            <w:pPr>
              <w:spacing w:after="0"/>
              <w:rPr>
                <w:sz w:val="16"/>
                <w:szCs w:val="16"/>
                <w:color w:val="auto"/>
              </w:rPr>
            </w:pPr>
          </w:p>
        </w:tc>
        <w:tc>
          <w:tcPr>
            <w:tcW w:w="620" w:type="dxa"/>
            <w:vAlign w:val="bottom"/>
          </w:tcPr>
          <w:p>
            <w:pPr>
              <w:jc w:val="right"/>
              <w:ind w:right="71"/>
              <w:spacing w:after="0"/>
              <w:rPr>
                <w:sz w:val="20"/>
                <w:szCs w:val="20"/>
                <w:color w:val="auto"/>
              </w:rPr>
            </w:pPr>
            <w:r>
              <w:rPr>
                <w:rFonts w:ascii="Arial" w:cs="Arial" w:eastAsia="Arial" w:hAnsi="Arial"/>
                <w:sz w:val="14"/>
                <w:szCs w:val="14"/>
                <w:color w:val="auto"/>
              </w:rPr>
              <w:t>11,287</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10,679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608</w:t>
            </w:r>
          </w:p>
        </w:tc>
        <w:tc>
          <w:tcPr>
            <w:tcW w:w="0" w:type="dxa"/>
            <w:vAlign w:val="bottom"/>
          </w:tcPr>
          <w:p>
            <w:pPr>
              <w:spacing w:after="0"/>
              <w:rPr>
                <w:sz w:val="1"/>
                <w:szCs w:val="1"/>
                <w:color w:val="auto"/>
              </w:rPr>
            </w:pPr>
          </w:p>
        </w:tc>
      </w:tr>
      <w:tr>
        <w:trPr>
          <w:trHeight w:val="22"/>
        </w:trPr>
        <w:tc>
          <w:tcPr>
            <w:tcW w:w="6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operating expenses</w:t>
            </w:r>
          </w:p>
        </w:tc>
        <w:tc>
          <w:tcPr>
            <w:tcW w:w="9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37,757</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28,373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9,384</w:t>
            </w:r>
          </w:p>
        </w:tc>
        <w:tc>
          <w:tcPr>
            <w:tcW w:w="0" w:type="dxa"/>
            <w:vAlign w:val="bottom"/>
          </w:tcPr>
          <w:p>
            <w:pPr>
              <w:spacing w:after="0"/>
              <w:rPr>
                <w:sz w:val="1"/>
                <w:szCs w:val="1"/>
                <w:color w:val="auto"/>
              </w:rPr>
            </w:pPr>
          </w:p>
        </w:tc>
      </w:tr>
      <w:tr>
        <w:trPr>
          <w:trHeight w:val="181"/>
        </w:trPr>
        <w:tc>
          <w:tcPr>
            <w:tcW w:w="646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9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w w:val="95"/>
              </w:rPr>
              <w:t>(37,757)</w:t>
            </w: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w w:val="95"/>
              </w:rPr>
              <w:t>(28,373)</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color w:val="auto"/>
              </w:rPr>
              <w:t>9,384</w:t>
            </w:r>
          </w:p>
        </w:tc>
        <w:tc>
          <w:tcPr>
            <w:tcW w:w="0" w:type="dxa"/>
            <w:vAlign w:val="bottom"/>
          </w:tcPr>
          <w:p>
            <w:pPr>
              <w:spacing w:after="0"/>
              <w:rPr>
                <w:sz w:val="1"/>
                <w:szCs w:val="1"/>
                <w:color w:val="auto"/>
              </w:rPr>
            </w:pPr>
          </w:p>
        </w:tc>
      </w:tr>
      <w:tr>
        <w:trPr>
          <w:trHeight w:val="22"/>
        </w:trPr>
        <w:tc>
          <w:tcPr>
            <w:tcW w:w="6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9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404</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1,287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(883)</w:t>
            </w:r>
          </w:p>
        </w:tc>
        <w:tc>
          <w:tcPr>
            <w:tcW w:w="0" w:type="dxa"/>
            <w:vAlign w:val="bottom"/>
          </w:tcPr>
          <w:p>
            <w:pPr>
              <w:spacing w:after="0"/>
              <w:rPr>
                <w:sz w:val="1"/>
                <w:szCs w:val="1"/>
                <w:color w:val="auto"/>
              </w:rPr>
            </w:pPr>
          </w:p>
        </w:tc>
      </w:tr>
      <w:tr>
        <w:trPr>
          <w:trHeight w:val="191"/>
        </w:trPr>
        <w:tc>
          <w:tcPr>
            <w:tcW w:w="646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900" w:type="dxa"/>
            <w:vAlign w:val="bottom"/>
          </w:tcPr>
          <w:p>
            <w:pPr>
              <w:spacing w:after="0"/>
              <w:rPr>
                <w:sz w:val="16"/>
                <w:szCs w:val="16"/>
                <w:color w:val="auto"/>
              </w:rPr>
            </w:pPr>
          </w:p>
        </w:tc>
        <w:tc>
          <w:tcPr>
            <w:tcW w:w="620" w:type="dxa"/>
            <w:vAlign w:val="bottom"/>
          </w:tcPr>
          <w:p>
            <w:pPr>
              <w:jc w:val="right"/>
              <w:ind w:right="31"/>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2"/>
        </w:trPr>
        <w:tc>
          <w:tcPr>
            <w:tcW w:w="6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Loss before income tax provision (benefit)</w:t>
            </w:r>
          </w:p>
        </w:tc>
        <w:tc>
          <w:tcPr>
            <w:tcW w:w="9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95"/>
              </w:rPr>
              <w:t>(37,360)</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95"/>
              </w:rPr>
              <w:t>(26,935)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10,425</w:t>
            </w:r>
          </w:p>
        </w:tc>
        <w:tc>
          <w:tcPr>
            <w:tcW w:w="0" w:type="dxa"/>
            <w:vAlign w:val="bottom"/>
          </w:tcPr>
          <w:p>
            <w:pPr>
              <w:spacing w:after="0"/>
              <w:rPr>
                <w:sz w:val="1"/>
                <w:szCs w:val="1"/>
                <w:color w:val="auto"/>
              </w:rPr>
            </w:pPr>
          </w:p>
        </w:tc>
      </w:tr>
      <w:tr>
        <w:trPr>
          <w:trHeight w:val="191"/>
        </w:trPr>
        <w:tc>
          <w:tcPr>
            <w:tcW w:w="6460" w:type="dxa"/>
            <w:vAlign w:val="bottom"/>
          </w:tcPr>
          <w:p>
            <w:pPr>
              <w:ind w:left="20"/>
              <w:spacing w:after="0"/>
              <w:rPr>
                <w:sz w:val="20"/>
                <w:szCs w:val="20"/>
                <w:color w:val="auto"/>
              </w:rPr>
            </w:pPr>
            <w:r>
              <w:rPr>
                <w:rFonts w:ascii="Arial" w:cs="Arial" w:eastAsia="Arial" w:hAnsi="Arial"/>
                <w:sz w:val="14"/>
                <w:szCs w:val="14"/>
                <w:color w:val="auto"/>
              </w:rPr>
              <w:t>Income tax provision (benefit)</w:t>
            </w:r>
          </w:p>
        </w:tc>
        <w:tc>
          <w:tcPr>
            <w:tcW w:w="900" w:type="dxa"/>
            <w:vAlign w:val="bottom"/>
          </w:tcPr>
          <w:p>
            <w:pPr>
              <w:spacing w:after="0"/>
              <w:rPr>
                <w:sz w:val="16"/>
                <w:szCs w:val="16"/>
                <w:color w:val="auto"/>
              </w:rPr>
            </w:pPr>
          </w:p>
        </w:tc>
        <w:tc>
          <w:tcPr>
            <w:tcW w:w="620" w:type="dxa"/>
            <w:vAlign w:val="bottom"/>
          </w:tcPr>
          <w:p>
            <w:pPr>
              <w:jc w:val="right"/>
              <w:ind w:right="31"/>
              <w:spacing w:after="0"/>
              <w:rPr>
                <w:sz w:val="20"/>
                <w:szCs w:val="20"/>
                <w:color w:val="auto"/>
              </w:rPr>
            </w:pPr>
            <w:r>
              <w:rPr>
                <w:rFonts w:ascii="Arial" w:cs="Arial" w:eastAsia="Arial" w:hAnsi="Arial"/>
                <w:sz w:val="14"/>
                <w:szCs w:val="14"/>
                <w:color w:val="auto"/>
              </w:rPr>
              <w:t>(3,695)</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(3,704)</w:t>
            </w:r>
          </w:p>
        </w:tc>
        <w:tc>
          <w:tcPr>
            <w:tcW w:w="0" w:type="dxa"/>
            <w:vAlign w:val="bottom"/>
          </w:tcPr>
          <w:p>
            <w:pPr>
              <w:spacing w:after="0"/>
              <w:rPr>
                <w:sz w:val="1"/>
                <w:szCs w:val="1"/>
                <w:color w:val="auto"/>
              </w:rPr>
            </w:pPr>
          </w:p>
        </w:tc>
      </w:tr>
      <w:tr>
        <w:trPr>
          <w:trHeight w:val="22"/>
        </w:trPr>
        <w:tc>
          <w:tcPr>
            <w:tcW w:w="6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0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95"/>
              </w:rPr>
              <w:t>(33,665)</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95"/>
              </w:rPr>
              <w:t>(26,944)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6,721</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15" w:lineRule="exact"/>
        <w:rPr>
          <w:sz w:val="20"/>
          <w:szCs w:val="20"/>
          <w:color w:val="auto"/>
        </w:rPr>
      </w:pPr>
    </w:p>
    <w:p>
      <w:pPr>
        <w:ind w:right="60" w:firstLine="509"/>
        <w:spacing w:after="0" w:line="258" w:lineRule="auto"/>
        <w:rPr>
          <w:sz w:val="20"/>
          <w:szCs w:val="20"/>
          <w:color w:val="auto"/>
        </w:rPr>
      </w:pPr>
      <w:r>
        <w:rPr>
          <w:rFonts w:ascii="Arial" w:cs="Arial" w:eastAsia="Arial" w:hAnsi="Arial"/>
          <w:sz w:val="14"/>
          <w:szCs w:val="14"/>
          <w:color w:val="auto"/>
        </w:rPr>
        <w:t>Our research and development expenses were $26.5 million for the six months ended June 30, 2020, an increase of $8.8 million compared to $17.7 million for the six months ended June 30, 2019. The increase in research and development expenses for the six months ended June 30, 2020 was primarily due to a $4.4 million increase in costs resulting from the progress of our gene therapy programs, a $2.0 million increase in costs associated with our Zimura programs, a $2.1 million increase in personnel related costs and a $0.6 million increase in costs resulting from the progress of our HtrA1 inhibitor program. The increased costs for our gene therapy programs primary reflect increased manufacturing and preclinical development costs associated with IC-100 and IC-200. The increased costs for our Zimura programs were primarily due to the initiation and start-up activities for our GATHER2 trial and Zimura manufacturing activities, which was partially offset by lower clinical trial costs as a result of the near completion of our GATHER1 trial.</w:t>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25" w:lineRule="exact"/>
        <w:rPr>
          <w:sz w:val="20"/>
          <w:szCs w:val="20"/>
          <w:color w:val="auto"/>
        </w:rPr>
      </w:pPr>
    </w:p>
    <w:p>
      <w:pPr>
        <w:ind w:right="20" w:firstLine="509"/>
        <w:spacing w:after="0" w:line="321" w:lineRule="auto"/>
        <w:rPr>
          <w:sz w:val="20"/>
          <w:szCs w:val="20"/>
          <w:color w:val="auto"/>
        </w:rPr>
      </w:pPr>
      <w:r>
        <w:rPr>
          <w:rFonts w:ascii="Arial" w:cs="Arial" w:eastAsia="Arial" w:hAnsi="Arial"/>
          <w:sz w:val="13"/>
          <w:szCs w:val="13"/>
          <w:color w:val="auto"/>
        </w:rPr>
        <w:t>Our general and administrative expenses were $11.3 million for the six months ended June 30, 2020, an increase of $0.6 million, compared to $10.7 million for the six months ended June 30, 2019. The increase in general and administrative expenses for the six months ended June 30, 2020 was primarily due to an increase in general consulting costs and professional fees.</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Interest Income</w:t>
      </w:r>
    </w:p>
    <w:p>
      <w:pPr>
        <w:spacing w:after="0" w:line="125"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Interest income for the six months ended June 30, 2020 was $0.4 million compared to interest income of $1.3 million for the six months ended June 30, 2019. The decrease in interest income was primarily due to the decrease in our investment balances and interest rate yields.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Income Tax Provision (Benefit)</w:t>
      </w:r>
    </w:p>
    <w:p>
      <w:pPr>
        <w:spacing w:after="0" w:line="115" w:lineRule="exact"/>
        <w:rPr>
          <w:sz w:val="20"/>
          <w:szCs w:val="20"/>
          <w:color w:val="auto"/>
        </w:rPr>
      </w:pPr>
    </w:p>
    <w:p>
      <w:pPr>
        <w:ind w:right="20" w:firstLine="509"/>
        <w:spacing w:after="0" w:line="281" w:lineRule="auto"/>
        <w:rPr>
          <w:sz w:val="20"/>
          <w:szCs w:val="20"/>
          <w:color w:val="auto"/>
        </w:rPr>
      </w:pPr>
      <w:r>
        <w:rPr>
          <w:rFonts w:ascii="Arial" w:cs="Arial" w:eastAsia="Arial" w:hAnsi="Arial"/>
          <w:sz w:val="14"/>
          <w:szCs w:val="14"/>
          <w:color w:val="auto"/>
        </w:rPr>
        <w:t>For the six months ended June 30, 2020, we recorded an income tax benefit of $3.7 million which was to reflect a settlement of a local tax audit. For the six months ended June 30, 2019, we recorded a de minimis provision for income taxes.</w:t>
      </w: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Sources of Liquidity</w:t>
      </w:r>
    </w:p>
    <w:p>
      <w:pPr>
        <w:spacing w:after="0" w:line="125"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Since inception, we have financed our operations primarily through private placements of our common stock and preferred stock, venture debt borrowings, funding we received under our prior Fovista royalty purchase and sale agreement with Novo Holdings A/S, our initial public offering of common stock, which we closed in September 2013, funds we received under a prior Fovista licensing and commercialization agreement with Novartis Pharma AG, funds we received in connection with our acquisition of Inception 4, Inc., or Inception 4, in October 2018 and our follow-on public offerings of common stock, which we closed in February 2014, December 2019 and June 2020, including the sale of pre-funded warrants in December 2019 and June 2020. We do not have any committed external source of funds.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115" w:lineRule="exact"/>
        <w:rPr>
          <w:sz w:val="20"/>
          <w:szCs w:val="20"/>
          <w:color w:val="auto"/>
        </w:rPr>
      </w:pPr>
    </w:p>
    <w:p>
      <w:pPr>
        <w:ind w:right="160" w:firstLine="509"/>
        <w:spacing w:after="0" w:line="281" w:lineRule="auto"/>
        <w:rPr>
          <w:sz w:val="20"/>
          <w:szCs w:val="20"/>
          <w:color w:val="auto"/>
        </w:rPr>
      </w:pPr>
      <w:r>
        <w:rPr>
          <w:rFonts w:ascii="Arial" w:cs="Arial" w:eastAsia="Arial" w:hAnsi="Arial"/>
          <w:sz w:val="14"/>
          <w:szCs w:val="14"/>
          <w:color w:val="auto"/>
        </w:rPr>
        <w:t>As of June 30, 2020, we had cash and cash equivalents totaling $245.7 million and no debt. We currently have invested our cash and cash equivalents in money market funds with original maturities of 90 days or less.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shows a summary of our cash flows for the six months ended June 30, 2020 and 2019:</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3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4"/>
          </w:tcPr>
          <w:p>
            <w:pPr>
              <w:ind w:left="460"/>
              <w:spacing w:after="0"/>
              <w:rPr>
                <w:sz w:val="20"/>
                <w:szCs w:val="20"/>
                <w:color w:val="auto"/>
              </w:rPr>
            </w:pPr>
            <w:r>
              <w:rPr>
                <w:rFonts w:ascii="Arial" w:cs="Arial" w:eastAsia="Arial" w:hAnsi="Arial"/>
                <w:sz w:val="11"/>
                <w:szCs w:val="11"/>
                <w:b w:val="1"/>
                <w:bCs w:val="1"/>
                <w:color w:val="auto"/>
              </w:rPr>
              <w:t>Six months ended June 30,</w:t>
            </w:r>
          </w:p>
        </w:tc>
      </w:tr>
      <w:tr>
        <w:trPr>
          <w:trHeight w:val="150"/>
        </w:trPr>
        <w:tc>
          <w:tcPr>
            <w:tcW w:w="83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5"/>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1"/>
                <w:szCs w:val="11"/>
                <w:b w:val="1"/>
                <w:bCs w:val="1"/>
                <w:color w:val="auto"/>
              </w:rPr>
              <w:t>2019</w:t>
            </w:r>
          </w:p>
        </w:tc>
      </w:tr>
      <w:tr>
        <w:trPr>
          <w:trHeight w:val="150"/>
        </w:trPr>
        <w:tc>
          <w:tcPr>
            <w:tcW w:w="8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gridSpan w:val="3"/>
          </w:tcPr>
          <w:p>
            <w:pPr>
              <w:ind w:left="760"/>
              <w:spacing w:after="0"/>
              <w:rPr>
                <w:sz w:val="20"/>
                <w:szCs w:val="20"/>
                <w:color w:val="auto"/>
              </w:rPr>
            </w:pPr>
            <w:r>
              <w:rPr>
                <w:rFonts w:ascii="Arial" w:cs="Arial" w:eastAsia="Arial" w:hAnsi="Arial"/>
                <w:sz w:val="11"/>
                <w:szCs w:val="11"/>
                <w:b w:val="1"/>
                <w:bCs w:val="1"/>
                <w:color w:val="auto"/>
              </w:rPr>
              <w:t>(in thousands)</w:t>
            </w:r>
          </w:p>
        </w:tc>
        <w:tc>
          <w:tcPr>
            <w:tcW w:w="960" w:type="dxa"/>
            <w:vAlign w:val="bottom"/>
          </w:tcPr>
          <w:p>
            <w:pPr>
              <w:spacing w:after="0"/>
              <w:rPr>
                <w:sz w:val="13"/>
                <w:szCs w:val="13"/>
                <w:color w:val="auto"/>
              </w:rPr>
            </w:pPr>
          </w:p>
        </w:tc>
      </w:tr>
      <w:tr>
        <w:trPr>
          <w:trHeight w:val="19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provided by:</w:t>
            </w:r>
          </w:p>
        </w:tc>
        <w:tc>
          <w:tcPr>
            <w:tcW w:w="3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1"/>
        </w:trPr>
        <w:tc>
          <w:tcPr>
            <w:tcW w:w="8360" w:type="dxa"/>
            <w:vAlign w:val="bottom"/>
          </w:tcPr>
          <w:p>
            <w:pPr>
              <w:ind w:left="100"/>
              <w:spacing w:after="0"/>
              <w:rPr>
                <w:sz w:val="20"/>
                <w:szCs w:val="20"/>
                <w:color w:val="auto"/>
              </w:rPr>
            </w:pPr>
            <w:r>
              <w:rPr>
                <w:rFonts w:ascii="Arial" w:cs="Arial" w:eastAsia="Arial" w:hAnsi="Arial"/>
                <w:sz w:val="14"/>
                <w:szCs w:val="14"/>
                <w:color w:val="auto"/>
              </w:rPr>
              <w:t>Operating Activities</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40" w:type="dxa"/>
            <w:vAlign w:val="bottom"/>
          </w:tcPr>
          <w:p>
            <w:pPr>
              <w:ind w:left="460"/>
              <w:spacing w:after="0"/>
              <w:rPr>
                <w:sz w:val="20"/>
                <w:szCs w:val="20"/>
                <w:color w:val="auto"/>
              </w:rPr>
            </w:pPr>
            <w:r>
              <w:rPr>
                <w:rFonts w:ascii="Arial" w:cs="Arial" w:eastAsia="Arial" w:hAnsi="Arial"/>
                <w:sz w:val="14"/>
                <w:szCs w:val="14"/>
                <w:color w:val="auto"/>
              </w:rPr>
              <w:t>(30,270)</w:t>
            </w:r>
          </w:p>
        </w:tc>
        <w:tc>
          <w:tcPr>
            <w:tcW w:w="100" w:type="dxa"/>
            <w:vAlign w:val="bottom"/>
          </w:tcPr>
          <w:p>
            <w:pPr>
              <w:spacing w:after="0"/>
              <w:rPr>
                <w:sz w:val="16"/>
                <w:szCs w:val="16"/>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(24,353)</w:t>
            </w:r>
          </w:p>
        </w:tc>
      </w:tr>
      <w:tr>
        <w:trPr>
          <w:trHeight w:val="22"/>
        </w:trPr>
        <w:tc>
          <w:tcPr>
            <w:tcW w:w="8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8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Investing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r>
      <w:tr>
        <w:trPr>
          <w:trHeight w:val="191"/>
        </w:trPr>
        <w:tc>
          <w:tcPr>
            <w:tcW w:w="8360" w:type="dxa"/>
            <w:vAlign w:val="bottom"/>
          </w:tcPr>
          <w:p>
            <w:pPr>
              <w:ind w:left="100"/>
              <w:spacing w:after="0"/>
              <w:rPr>
                <w:sz w:val="20"/>
                <w:szCs w:val="20"/>
                <w:color w:val="auto"/>
              </w:rPr>
            </w:pPr>
            <w:r>
              <w:rPr>
                <w:rFonts w:ascii="Arial" w:cs="Arial" w:eastAsia="Arial" w:hAnsi="Arial"/>
                <w:sz w:val="14"/>
                <w:szCs w:val="14"/>
                <w:color w:val="auto"/>
              </w:rPr>
              <w:t>Financing Activities</w:t>
            </w:r>
          </w:p>
        </w:tc>
        <w:tc>
          <w:tcPr>
            <w:tcW w:w="340" w:type="dxa"/>
            <w:vAlign w:val="bottom"/>
          </w:tcPr>
          <w:p>
            <w:pPr>
              <w:spacing w:after="0"/>
              <w:rPr>
                <w:sz w:val="16"/>
                <w:szCs w:val="16"/>
                <w:color w:val="auto"/>
              </w:rPr>
            </w:pPr>
          </w:p>
        </w:tc>
        <w:tc>
          <w:tcPr>
            <w:tcW w:w="1040" w:type="dxa"/>
            <w:vAlign w:val="bottom"/>
          </w:tcPr>
          <w:p>
            <w:pPr>
              <w:jc w:val="right"/>
              <w:ind w:right="75"/>
              <w:spacing w:after="0"/>
              <w:rPr>
                <w:sz w:val="20"/>
                <w:szCs w:val="20"/>
                <w:color w:val="auto"/>
              </w:rPr>
            </w:pPr>
            <w:r>
              <w:rPr>
                <w:rFonts w:ascii="Arial" w:cs="Arial" w:eastAsia="Arial" w:hAnsi="Arial"/>
                <w:sz w:val="14"/>
                <w:szCs w:val="14"/>
                <w:color w:val="auto"/>
              </w:rPr>
              <w:t>150,306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92"/>
              <w:spacing w:after="0"/>
              <w:rPr>
                <w:sz w:val="20"/>
                <w:szCs w:val="20"/>
                <w:color w:val="auto"/>
              </w:rPr>
            </w:pPr>
            <w:r>
              <w:rPr>
                <w:rFonts w:ascii="Arial" w:cs="Arial" w:eastAsia="Arial" w:hAnsi="Arial"/>
                <w:sz w:val="14"/>
                <w:szCs w:val="14"/>
                <w:color w:val="auto"/>
              </w:rPr>
              <w:t>41</w:t>
            </w:r>
          </w:p>
        </w:tc>
      </w:tr>
      <w:tr>
        <w:trPr>
          <w:trHeight w:val="22"/>
        </w:trPr>
        <w:tc>
          <w:tcPr>
            <w:tcW w:w="8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and cash equivalents</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4"/>
                <w:szCs w:val="14"/>
                <w:color w:val="auto"/>
              </w:rPr>
              <w:t>120,036</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(24,312)</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Cash Flows from Operating Activities</w:t>
      </w:r>
    </w:p>
    <w:p>
      <w:pPr>
        <w:spacing w:after="0" w:line="115" w:lineRule="exact"/>
        <w:rPr>
          <w:sz w:val="20"/>
          <w:szCs w:val="20"/>
          <w:color w:val="auto"/>
        </w:rPr>
      </w:pPr>
    </w:p>
    <w:p>
      <w:pPr>
        <w:ind w:right="140" w:firstLine="509"/>
        <w:spacing w:after="0" w:line="267" w:lineRule="auto"/>
        <w:rPr>
          <w:sz w:val="20"/>
          <w:szCs w:val="20"/>
          <w:color w:val="auto"/>
        </w:rPr>
      </w:pPr>
      <w:r>
        <w:rPr>
          <w:rFonts w:ascii="Arial" w:cs="Arial" w:eastAsia="Arial" w:hAnsi="Arial"/>
          <w:sz w:val="14"/>
          <w:szCs w:val="14"/>
          <w:color w:val="auto"/>
        </w:rPr>
        <w:t>Net cash used in operating activities in the six months ended June 30, 2020 and the six months ended June 30, 2019 related primarily to net cash used to fund our Zimura clinical trials and manufacturing activities, preclinical development of IC-100, IC-200 and IC-500, and our collaborative gene therapy sponsored research programs and to support our general and administrative operations.</w:t>
      </w:r>
    </w:p>
    <w:p>
      <w:pPr>
        <w:spacing w:after="0" w:line="8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"—Funding Requirements" below for a description of how we expect to use our cash for operating activities in future periods.</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Cash Flows from Investing Activities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had no net cash provided by investing activities for the six months ended June 30, 2020 and for the six months ended June 30, 2019.</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Cash Flows from Financing Activities</w:t>
      </w:r>
    </w:p>
    <w:p>
      <w:pPr>
        <w:spacing w:after="0" w:line="125" w:lineRule="exact"/>
        <w:rPr>
          <w:sz w:val="20"/>
          <w:szCs w:val="20"/>
          <w:color w:val="auto"/>
        </w:rPr>
      </w:pPr>
    </w:p>
    <w:p>
      <w:pPr>
        <w:ind w:right="120" w:firstLine="509"/>
        <w:spacing w:after="0" w:line="368" w:lineRule="auto"/>
        <w:rPr>
          <w:sz w:val="20"/>
          <w:szCs w:val="20"/>
          <w:color w:val="auto"/>
        </w:rPr>
      </w:pPr>
      <w:r>
        <w:rPr>
          <w:rFonts w:ascii="Arial" w:cs="Arial" w:eastAsia="Arial" w:hAnsi="Arial"/>
          <w:sz w:val="12"/>
          <w:szCs w:val="12"/>
          <w:color w:val="auto"/>
        </w:rPr>
        <w:t>Net cash provided by financing activities was $150.3 million for the six months ended June 30, 2020, which relates primarily to our June 2020 public offering and private placement of our common stock. Net cash provided by financing activities was $41 thousand for the six months ended June 30, 2019, which related to purchases made under our employee stock purchase plan.</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Funding Requirements</w:t>
      </w:r>
    </w:p>
    <w:p>
      <w:pPr>
        <w:spacing w:after="0" w:line="125" w:lineRule="exact"/>
        <w:rPr>
          <w:sz w:val="20"/>
          <w:szCs w:val="20"/>
          <w:color w:val="auto"/>
        </w:rPr>
      </w:pPr>
    </w:p>
    <w:p>
      <w:pPr>
        <w:ind w:right="480" w:firstLine="509"/>
        <w:spacing w:after="0" w:line="368" w:lineRule="auto"/>
        <w:rPr>
          <w:sz w:val="20"/>
          <w:szCs w:val="20"/>
          <w:color w:val="auto"/>
        </w:rPr>
      </w:pPr>
      <w:r>
        <w:rPr>
          <w:rFonts w:ascii="Arial" w:cs="Arial" w:eastAsia="Arial" w:hAnsi="Arial"/>
          <w:sz w:val="12"/>
          <w:szCs w:val="12"/>
          <w:color w:val="auto"/>
        </w:rPr>
        <w:t>Zimura is in clinical development, our gene therapy product candidates IC-100 and IC-200 and IC-500, the selected product candidate from our HtrA1 inhibitor program, are each in preclinical development, and we are funding multiple ongoing collaborative gene therapy sponsored research programs. We expect our research and development expenses to increase as we</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pursue these programs as currently planned. If we experience delays or disruptions to our research and development programs, including the manufacture and supply of products for such programs, whether due to the COVID-19 pandemic or otherwise, such delays or disruptions could increase our operating expenses or otherwise have a material adverse effect on our business and financial results. We could also incur additional research and development expenses as we evaluate and potentially in-license or acquire, and undertake development of, additional product candidates and technologies, including any promising product candidates that emerge from our collaborative gene therapy sponsored research programs. Furthermore, if we successfully develop and obtain marketing approval for any of our product candidates, we expect to incur significant commercialization expenses related to product sales, marketing, distribution and manufacturing. We are party to agreements with Archemix with respect to Zimura, the University of Florida Research Foundation, Incorporated, or UFRF, and Penn with respect to IC-100 and IC-200, UMass with respect to any potential product candidates from our miniCEP290 program, and the former equityholders of Inception 4 with respect to our HtrA1 inhibitor program, in each case, that impose significant milestone payment obligations on us if we achieve specified clinical, regulatory and commercial milestones with respect to these product candidates or programs, as well as certain royalties on net sales with respect to IC-100, IC-200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163" w:lineRule="exact"/>
        <w:rPr>
          <w:sz w:val="20"/>
          <w:szCs w:val="20"/>
          <w:color w:val="auto"/>
        </w:rPr>
      </w:pPr>
    </w:p>
    <w:p>
      <w:pPr>
        <w:ind w:left="1020" w:hanging="251"/>
        <w:spacing w:after="0"/>
        <w:tabs>
          <w:tab w:leader="none" w:pos="10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 expect that we will continue to incur significant expenses as we:</w:t>
      </w:r>
    </w:p>
    <w:p>
      <w:pPr>
        <w:spacing w:after="0" w:line="199" w:lineRule="exact"/>
        <w:rPr>
          <w:rFonts w:ascii="Arial" w:cs="Arial" w:eastAsia="Arial" w:hAnsi="Arial"/>
          <w:sz w:val="14"/>
          <w:szCs w:val="14"/>
          <w:color w:val="auto"/>
        </w:rPr>
      </w:pPr>
    </w:p>
    <w:p>
      <w:pPr>
        <w:ind w:left="1020" w:hanging="251"/>
        <w:spacing w:after="0"/>
        <w:tabs>
          <w:tab w:leader="none" w:pos="10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continue the development of Zimura in GA and STGD1;</w:t>
      </w:r>
    </w:p>
    <w:p>
      <w:pPr>
        <w:spacing w:after="0" w:line="199" w:lineRule="exact"/>
        <w:rPr>
          <w:rFonts w:ascii="Arial" w:cs="Arial" w:eastAsia="Arial" w:hAnsi="Arial"/>
          <w:sz w:val="14"/>
          <w:szCs w:val="14"/>
          <w:color w:val="auto"/>
        </w:rPr>
      </w:pPr>
    </w:p>
    <w:p>
      <w:pPr>
        <w:ind w:left="1020" w:right="120" w:hanging="251"/>
        <w:spacing w:after="0" w:line="281" w:lineRule="auto"/>
        <w:tabs>
          <w:tab w:leader="none" w:pos="10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expand our outsourced manufacturing activities or establish commercial operations or sales, marketing and distribution capabilities, if we receive, or expect to receive, marketing approval for any of our product candidates;</w:t>
      </w:r>
    </w:p>
    <w:p>
      <w:pPr>
        <w:spacing w:after="0" w:line="153" w:lineRule="exact"/>
        <w:rPr>
          <w:rFonts w:ascii="Arial" w:cs="Arial" w:eastAsia="Arial" w:hAnsi="Arial"/>
          <w:sz w:val="14"/>
          <w:szCs w:val="14"/>
          <w:color w:val="auto"/>
        </w:rPr>
      </w:pPr>
    </w:p>
    <w:p>
      <w:pPr>
        <w:ind w:left="1020" w:hanging="251"/>
        <w:spacing w:after="0"/>
        <w:tabs>
          <w:tab w:leader="none" w:pos="10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continue the development of IC-100, IC-200 and IC-500 and pursue our collaborative gene therapy sponsored research programs;</w:t>
      </w:r>
    </w:p>
    <w:p>
      <w:pPr>
        <w:spacing w:after="0" w:line="199" w:lineRule="exact"/>
        <w:rPr>
          <w:rFonts w:ascii="Arial" w:cs="Arial" w:eastAsia="Arial" w:hAnsi="Arial"/>
          <w:sz w:val="14"/>
          <w:szCs w:val="14"/>
          <w:color w:val="auto"/>
        </w:rPr>
      </w:pPr>
    </w:p>
    <w:p>
      <w:pPr>
        <w:ind w:left="1020" w:hanging="251"/>
        <w:spacing w:after="0"/>
        <w:tabs>
          <w:tab w:leader="none" w:pos="10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in-license or acquire the rights to, and pursue the development of, other product candidates or technologies;</w:t>
      </w:r>
    </w:p>
    <w:p>
      <w:pPr>
        <w:spacing w:after="0" w:line="199" w:lineRule="exact"/>
        <w:rPr>
          <w:rFonts w:ascii="Arial" w:cs="Arial" w:eastAsia="Arial" w:hAnsi="Arial"/>
          <w:sz w:val="14"/>
          <w:szCs w:val="14"/>
          <w:color w:val="auto"/>
        </w:rPr>
      </w:pPr>
    </w:p>
    <w:p>
      <w:pPr>
        <w:ind w:left="1020" w:hanging="251"/>
        <w:spacing w:after="0"/>
        <w:tabs>
          <w:tab w:leader="none" w:pos="10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seek marketing approval for any product candidates that successfully complete clinical trials;</w:t>
      </w:r>
    </w:p>
    <w:p>
      <w:pPr>
        <w:spacing w:after="0" w:line="200" w:lineRule="exact"/>
        <w:rPr>
          <w:sz w:val="20"/>
          <w:szCs w:val="20"/>
          <w:color w:val="auto"/>
        </w:rPr>
      </w:pPr>
    </w:p>
    <w:p>
      <w:pPr>
        <w:ind w:left="1020" w:hanging="251"/>
        <w:spacing w:after="0"/>
        <w:tabs>
          <w:tab w:leader="none" w:pos="10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maintain, expand and protect our intellectual property portfolio;</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t>
      </w:r>
    </w:p>
    <w:p>
      <w:pPr>
        <w:spacing w:after="0" w:line="9" w:lineRule="exact"/>
        <w:rPr>
          <w:sz w:val="20"/>
          <w:szCs w:val="20"/>
          <w:color w:val="auto"/>
        </w:rPr>
      </w:pPr>
    </w:p>
    <w:p>
      <w:pPr>
        <w:ind w:left="1020" w:hanging="251"/>
        <w:spacing w:after="0"/>
        <w:tabs>
          <w:tab w:leader="none" w:pos="10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hire additional clinical, manufacturing, quality control, quality assurance and scientific personnel; and</w:t>
      </w:r>
    </w:p>
    <w:p>
      <w:pPr>
        <w:spacing w:after="0" w:line="189" w:lineRule="exact"/>
        <w:rPr>
          <w:rFonts w:ascii="Arial" w:cs="Arial" w:eastAsia="Arial" w:hAnsi="Arial"/>
          <w:sz w:val="14"/>
          <w:szCs w:val="14"/>
          <w:color w:val="auto"/>
        </w:rPr>
      </w:pPr>
    </w:p>
    <w:p>
      <w:pPr>
        <w:ind w:left="1020" w:hanging="251"/>
        <w:spacing w:after="0"/>
        <w:tabs>
          <w:tab w:leader="none" w:pos="10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expand our general and administrative functions to support our future growth.</w:t>
      </w:r>
    </w:p>
    <w:p>
      <w:pPr>
        <w:spacing w:after="0" w:line="125" w:lineRule="exact"/>
        <w:rPr>
          <w:sz w:val="20"/>
          <w:szCs w:val="20"/>
          <w:color w:val="auto"/>
        </w:rPr>
      </w:pPr>
    </w:p>
    <w:p>
      <w:pPr>
        <w:ind w:right="80" w:firstLine="275"/>
        <w:spacing w:after="0" w:line="280" w:lineRule="auto"/>
        <w:rPr>
          <w:sz w:val="20"/>
          <w:szCs w:val="20"/>
          <w:color w:val="auto"/>
        </w:rPr>
      </w:pPr>
      <w:r>
        <w:rPr>
          <w:rFonts w:ascii="Arial" w:cs="Arial" w:eastAsia="Arial" w:hAnsi="Arial"/>
          <w:sz w:val="13"/>
          <w:szCs w:val="13"/>
          <w:color w:val="auto"/>
        </w:rPr>
        <w:t>As of June 30, 2020, we had cash and cash equivalents of $245.7 million. We estimate that our year-end 2020 cash and cash equivalents will range between $215 million and $220 million. We also estimate that our cash and cash equivalents will be sufficient to fund our currently planned capital expenditure requirements and operating expenses, excluding any potential approval or sales milestones payable to Archemix Corp., or Archemix, or any commercialization expenses for Zimura, through at least mid-2024. These estimates are based on our current business plan, which includes the continuation of our clinical development programs for Zimura, the progression of our IC-100 and IC-200 programs into the clinic, and the advancement of our IC-500 development program. These estimates assume that we will enroll approximately 400 patients in the GATHER2 trial. These estimates do not reflect any additional expenditures resulting from the potential in-licensing or acquisition of additional product candidates or technologies, commencement of any new sponsored research programs or any associated development we may pursue. We have based these estimates on assumptions that may prove to be wrong, and we could use our available capital resources sooner than we currently expect.</w:t>
      </w:r>
    </w:p>
    <w:p>
      <w:pPr>
        <w:spacing w:after="0" w:line="265" w:lineRule="exact"/>
        <w:rPr>
          <w:sz w:val="20"/>
          <w:szCs w:val="20"/>
          <w:color w:val="auto"/>
        </w:rPr>
      </w:pPr>
    </w:p>
    <w:p>
      <w:pPr>
        <w:ind w:right="140" w:firstLine="509"/>
        <w:spacing w:after="0" w:line="260" w:lineRule="auto"/>
        <w:rPr>
          <w:sz w:val="20"/>
          <w:szCs w:val="20"/>
          <w:color w:val="auto"/>
        </w:rPr>
      </w:pPr>
      <w:r>
        <w:rPr>
          <w:rFonts w:ascii="Arial" w:cs="Arial" w:eastAsia="Arial" w:hAnsi="Arial"/>
          <w:sz w:val="14"/>
          <w:szCs w:val="14"/>
          <w:color w:val="auto"/>
        </w:rPr>
        <w:t>We expect we will require substantial, additional funding in order to complete the activities necessary to develop and commercialize one or more of our product candidates. Although the future development of our product candidates is highly uncertain, we expect the development of our product candidates will continue for at least the next several years. At this time, except for our estimates regarding the costs for the future development of Zimura in GA and necessary manufacturing scale-up and validation activities, we cannot reasonably estimate the total remaining costs necessary to complete development, to complete process development and manufacturing scale-up and validation activities and to potentially seek marketing approval for any of our product candidates.</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future capital requirements will depend on many factors, including:</w:t>
      </w: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180"/>
          </w:cols>
          <w:pgMar w:left="300" w:top="129" w:right="41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 w:right="100" w:hanging="246"/>
        <w:spacing w:after="0" w:line="281" w:lineRule="auto"/>
        <w:tabs>
          <w:tab w:leader="none" w:pos="7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scope, progress, costs and results of our current and any future Zimura clinical programs and any further development we may undertake to enable us to file a new drug application, or NDA, for Zimura in one or more indications;</w:t>
      </w:r>
    </w:p>
    <w:p>
      <w:pPr>
        <w:spacing w:after="0" w:line="153" w:lineRule="exact"/>
        <w:rPr>
          <w:rFonts w:ascii="Arial" w:cs="Arial" w:eastAsia="Arial" w:hAnsi="Arial"/>
          <w:sz w:val="14"/>
          <w:szCs w:val="14"/>
          <w:color w:val="auto"/>
        </w:rPr>
      </w:pPr>
    </w:p>
    <w:p>
      <w:pPr>
        <w:ind w:left="760" w:right="60" w:hanging="246"/>
        <w:spacing w:after="0" w:line="281" w:lineRule="auto"/>
        <w:tabs>
          <w:tab w:leader="none" w:pos="7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costs, progress, timing and results of process development, manufacturing scale-up and validation activities, analytical development and stability studies associated with Zimura and our other product candidates;</w:t>
      </w:r>
    </w:p>
    <w:p>
      <w:pPr>
        <w:spacing w:after="0" w:line="153" w:lineRule="exact"/>
        <w:rPr>
          <w:rFonts w:ascii="Arial" w:cs="Arial" w:eastAsia="Arial" w:hAnsi="Arial"/>
          <w:sz w:val="14"/>
          <w:szCs w:val="14"/>
          <w:color w:val="auto"/>
        </w:rPr>
      </w:pPr>
    </w:p>
    <w:p>
      <w:pPr>
        <w:ind w:left="760" w:right="100" w:hanging="246"/>
        <w:spacing w:after="0" w:line="281" w:lineRule="auto"/>
        <w:tabs>
          <w:tab w:leader="none" w:pos="7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scope, progress, costs and results of our efforts to develop IC-100, IC-200 and IC-500, including activities to establish manufacturing capabilities and other preclinical development activities to enable us to file INDs for these product candidates;</w:t>
      </w:r>
    </w:p>
    <w:p>
      <w:pPr>
        <w:spacing w:after="0" w:line="153"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scope, progress, costs and results from our collaborative gene therapy sponsored research programs, including costs related to the in-license and future development of any promising product candidates and technologies that emerge from these programs;</w:t>
      </w:r>
    </w:p>
    <w:p>
      <w:pPr>
        <w:spacing w:after="0" w:line="153" w:lineRule="exact"/>
        <w:rPr>
          <w:rFonts w:ascii="Arial" w:cs="Arial" w:eastAsia="Arial" w:hAnsi="Arial"/>
          <w:sz w:val="14"/>
          <w:szCs w:val="14"/>
          <w:color w:val="auto"/>
        </w:rPr>
      </w:pPr>
    </w:p>
    <w:p>
      <w:pPr>
        <w:ind w:left="760" w:right="340" w:hanging="246"/>
        <w:spacing w:after="0" w:line="281" w:lineRule="auto"/>
        <w:tabs>
          <w:tab w:leader="none" w:pos="7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ability to establish collaborations on favorable terms, if at all, if we choose to do so, including any collaboration for the further development and potential commercialization of Zimura;</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timing and extent of delays or disruptions to our research and development programs as a result of the COVID-19 pandemic;</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extent to which we in-license or acquire rights to, and undertake research or development of, additional product candidates or technologies;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costs, timing and outcome of regulatory filings and reviews of our product candidates;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costs of preparing, filing and prosecuting patent applications, maintaining and protecting our intellectual property rights and defending intellectual property-related claims;</w:t>
      </w:r>
    </w:p>
    <w:p>
      <w:pPr>
        <w:spacing w:after="0" w:line="211" w:lineRule="exact"/>
        <w:rPr>
          <w:rFonts w:ascii="Arial" w:cs="Arial" w:eastAsia="Arial" w:hAnsi="Arial"/>
          <w:sz w:val="13"/>
          <w:szCs w:val="13"/>
          <w:color w:val="auto"/>
        </w:rPr>
      </w:pPr>
    </w:p>
    <w:p>
      <w:pPr>
        <w:ind w:left="760" w:hanging="246"/>
        <w:spacing w:after="0"/>
        <w:tabs>
          <w:tab w:leader="none" w:pos="7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timing, scope and cost of commercialization activities for any of our product candidates if we receive, or expect to receive, marketing approval for a product candidate; and</w:t>
      </w:r>
    </w:p>
    <w:p>
      <w:pPr>
        <w:spacing w:after="0" w:line="211" w:lineRule="exact"/>
        <w:rPr>
          <w:rFonts w:ascii="Arial" w:cs="Arial" w:eastAsia="Arial" w:hAnsi="Arial"/>
          <w:sz w:val="13"/>
          <w:szCs w:val="13"/>
          <w:color w:val="auto"/>
        </w:rPr>
      </w:pPr>
    </w:p>
    <w:p>
      <w:pPr>
        <w:ind w:left="760" w:right="60" w:hanging="246"/>
        <w:spacing w:after="0" w:line="281" w:lineRule="auto"/>
        <w:tabs>
          <w:tab w:leader="none" w:pos="7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subject to receipt of marketing approval, net revenue received from commercial sales of any of our product candidates, after milestone payments and royalty payments that we would be obligated to make.</w:t>
      </w:r>
    </w:p>
    <w:p>
      <w:pPr>
        <w:spacing w:after="0" w:line="153" w:lineRule="exact"/>
        <w:rPr>
          <w:sz w:val="20"/>
          <w:szCs w:val="20"/>
          <w:color w:val="auto"/>
        </w:rPr>
      </w:pPr>
    </w:p>
    <w:p>
      <w:pPr>
        <w:ind w:right="20" w:firstLine="509"/>
        <w:spacing w:after="0" w:line="276" w:lineRule="auto"/>
        <w:rPr>
          <w:sz w:val="20"/>
          <w:szCs w:val="20"/>
          <w:color w:val="auto"/>
        </w:rPr>
      </w:pPr>
      <w:r>
        <w:rPr>
          <w:rFonts w:ascii="Arial" w:cs="Arial" w:eastAsia="Arial" w:hAnsi="Arial"/>
          <w:sz w:val="13"/>
          <w:szCs w:val="13"/>
          <w:color w:val="auto"/>
        </w:rPr>
        <w:t>We do not have any committed external source of funds. 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For example, the COVID-19 pandemic has caused significant volatility and uncertainty in the financial markets as well as additional volatility in the price of our stock, which may result in prospective investors being less likely to invest new capital. These factors may make raising capital difficult, and may result in us accepting terms that are unfavorable to us, especially if we are in need of financing at the particular time. Although we were able to raise approximately $150 million in net proceeds through our June 2020 public offering and concurrent private placement, we may not be able to successfully raise additional capital. The size of our company and our status as a company listed on The Nasdaq Global Select Market, or Nasdaq, may also limit our ability to raise financing. For example, our ability to raise adequate 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limit, reduce or terminate the development of one or more of our product candidates, our collaborative gene therapy sponsored research programs, or our future commercialization efforts.</w:t>
      </w:r>
    </w:p>
    <w:p>
      <w:pPr>
        <w:spacing w:after="0" w:line="165" w:lineRule="exact"/>
        <w:rPr>
          <w:sz w:val="20"/>
          <w:szCs w:val="20"/>
          <w:color w:val="auto"/>
        </w:rPr>
      </w:pPr>
    </w:p>
    <w:p>
      <w:pPr>
        <w:ind w:right="120" w:firstLine="509"/>
        <w:spacing w:after="0" w:line="267" w:lineRule="auto"/>
        <w:rPr>
          <w:sz w:val="20"/>
          <w:szCs w:val="20"/>
          <w:color w:val="auto"/>
        </w:rPr>
      </w:pPr>
      <w:r>
        <w:rPr>
          <w:rFonts w:ascii="Arial" w:cs="Arial" w:eastAsia="Arial" w:hAnsi="Arial"/>
          <w:sz w:val="14"/>
          <w:szCs w:val="14"/>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equity issuances may be substantial, depending on the price of our common stock at the time of such capital raise, with a lower stock price translating to greater dilution for existing stockholders. Debt financing and preferred equity financing, if available, may involve agreements that include covenants limiting or restricting our ability to take specific actions, such as incurring additional debt, making capital expenditures or declaring dividends. In addition, we have issued, and may in the future issue additional, equity securities as consideration for business development transactions, which may also dilute our existing stockholders' ownership interests.</w:t>
      </w:r>
    </w:p>
    <w:p>
      <w:pPr>
        <w:spacing w:after="0" w:line="171" w:lineRule="exact"/>
        <w:rPr>
          <w:sz w:val="20"/>
          <w:szCs w:val="20"/>
          <w:color w:val="auto"/>
        </w:rPr>
      </w:pPr>
    </w:p>
    <w:p>
      <w:pPr>
        <w:ind w:firstLine="283"/>
        <w:spacing w:after="0" w:line="282" w:lineRule="auto"/>
        <w:rPr>
          <w:sz w:val="20"/>
          <w:szCs w:val="20"/>
          <w:color w:val="auto"/>
        </w:rPr>
      </w:pPr>
      <w:r>
        <w:rPr>
          <w:rFonts w:ascii="Arial" w:cs="Arial" w:eastAsia="Arial" w:hAnsi="Arial"/>
          <w:sz w:val="13"/>
          <w:szCs w:val="13"/>
          <w:color w:val="auto"/>
        </w:rPr>
        <w:t>In response to the COVID-19 pandemic, the U.S. Congress enacted the Coronavirus Aid, Relief, and Economic Security Act, or the CARES Act, on March 27, 2020. The CARES Act provides numerous tax provisions and other stimulus measures, including minimum tax credit refunds, temporary changes regarding the utilization of net operating losses, temporary changes to the prior and future limitations on interest deductions, deferral of certain payment requirements for the employer portion of Social Security taxes, technical corrections from prior tax legislation for tax depreciation of certain qualified improved property, and the creation of certain refundable employee retention credits. As a result of the CARES Act, we have recorded a current tax receivable of approximately $1.8 million in anticipation of a refund of minimum tax credits. We are continuing to evaluate how these provisions in the CARES Act will impact our financial position, results of operations and cash flows. Additional similar legislation may be passed by the U.S. Congress or various states.</w:t>
      </w:r>
    </w:p>
    <w:p>
      <w:pPr>
        <w:spacing w:after="0" w:line="156" w:lineRule="exact"/>
        <w:rPr>
          <w:sz w:val="20"/>
          <w:szCs w:val="20"/>
          <w:color w:val="auto"/>
        </w:rPr>
      </w:pPr>
    </w:p>
    <w:p>
      <w:pPr>
        <w:ind w:right="40" w:firstLine="509"/>
        <w:spacing w:after="0" w:line="288" w:lineRule="auto"/>
        <w:rPr>
          <w:sz w:val="20"/>
          <w:szCs w:val="20"/>
          <w:color w:val="auto"/>
        </w:rPr>
      </w:pPr>
      <w:r>
        <w:rPr>
          <w:rFonts w:ascii="Arial" w:cs="Arial" w:eastAsia="Arial" w:hAnsi="Arial"/>
          <w:sz w:val="13"/>
          <w:szCs w:val="13"/>
          <w:color w:val="auto"/>
        </w:rPr>
        <w:t>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For example, if we choose to pursue a collaboration for Zimura, we may be required to relinquish certain valuable rights depending on the terms of such a transaction. If we are unable to raise additional funds through equity or debt financings when needed, we may be required to grant rights to develop and market products or product candidates that we would otherwise prefer to develop and market ourselves.</w:t>
      </w:r>
    </w:p>
    <w:p>
      <w:pPr>
        <w:spacing w:after="0" w:line="152" w:lineRule="exact"/>
        <w:rPr>
          <w:sz w:val="20"/>
          <w:szCs w:val="20"/>
          <w:color w:val="auto"/>
        </w:rPr>
      </w:pPr>
    </w:p>
    <w:p>
      <w:pPr>
        <w:ind w:right="120" w:firstLine="509"/>
        <w:spacing w:after="0" w:line="288" w:lineRule="auto"/>
        <w:rPr>
          <w:sz w:val="20"/>
          <w:szCs w:val="20"/>
          <w:color w:val="auto"/>
        </w:rPr>
      </w:pPr>
      <w:r>
        <w:rPr>
          <w:rFonts w:ascii="Arial" w:cs="Arial" w:eastAsia="Arial" w:hAnsi="Arial"/>
          <w:sz w:val="13"/>
          <w:szCs w:val="13"/>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our contractual obligations as of June 30, 2020: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5"/>
          </w:tcPr>
          <w:p>
            <w:pPr>
              <w:jc w:val="center"/>
              <w:spacing w:after="0"/>
              <w:rPr>
                <w:sz w:val="20"/>
                <w:szCs w:val="20"/>
                <w:color w:val="auto"/>
              </w:rPr>
            </w:pPr>
            <w:r>
              <w:rPr>
                <w:rFonts w:ascii="Arial" w:cs="Arial" w:eastAsia="Arial" w:hAnsi="Arial"/>
                <w:sz w:val="11"/>
                <w:szCs w:val="11"/>
                <w:b w:val="1"/>
                <w:bCs w:val="1"/>
                <w:color w:val="auto"/>
                <w:w w:val="91"/>
              </w:rPr>
              <w:t>Payments Due by Period</w:t>
            </w: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Total</w:t>
            </w:r>
          </w:p>
        </w:tc>
        <w:tc>
          <w:tcPr>
            <w:tcW w:w="160" w:type="dxa"/>
            <w:vAlign w:val="bottom"/>
          </w:tcPr>
          <w:p>
            <w:pPr>
              <w:spacing w:after="0"/>
              <w:rPr>
                <w:sz w:val="10"/>
                <w:szCs w:val="10"/>
                <w:color w:val="auto"/>
              </w:rPr>
            </w:pPr>
          </w:p>
        </w:tc>
        <w:tc>
          <w:tcPr>
            <w:tcW w:w="760" w:type="dxa"/>
            <w:vAlign w:val="bottom"/>
          </w:tcPr>
          <w:p>
            <w:pPr>
              <w:jc w:val="right"/>
              <w:ind w:right="174"/>
              <w:spacing w:after="0" w:line="116" w:lineRule="exact"/>
              <w:rPr>
                <w:sz w:val="20"/>
                <w:szCs w:val="20"/>
                <w:color w:val="auto"/>
              </w:rPr>
            </w:pPr>
            <w:r>
              <w:rPr>
                <w:rFonts w:ascii="Arial" w:cs="Arial" w:eastAsia="Arial" w:hAnsi="Arial"/>
                <w:sz w:val="11"/>
                <w:szCs w:val="11"/>
                <w:b w:val="1"/>
                <w:bCs w:val="1"/>
                <w:color w:val="auto"/>
                <w:w w:val="97"/>
              </w:rPr>
              <w:t>Less than</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1 - 3 years</w:t>
            </w:r>
          </w:p>
        </w:tc>
        <w:tc>
          <w:tcPr>
            <w:tcW w:w="140" w:type="dxa"/>
            <w:vAlign w:val="bottom"/>
          </w:tcPr>
          <w:p>
            <w:pPr>
              <w:spacing w:after="0"/>
              <w:rPr>
                <w:sz w:val="10"/>
                <w:szCs w:val="10"/>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3 - 5 years</w:t>
            </w:r>
          </w:p>
        </w:tc>
        <w:tc>
          <w:tcPr>
            <w:tcW w:w="160" w:type="dxa"/>
            <w:vAlign w:val="bottom"/>
          </w:tcPr>
          <w:p>
            <w:pPr>
              <w:spacing w:after="0"/>
              <w:rPr>
                <w:sz w:val="10"/>
                <w:szCs w:val="10"/>
                <w:color w:val="auto"/>
              </w:rPr>
            </w:pPr>
          </w:p>
        </w:tc>
        <w:tc>
          <w:tcPr>
            <w:tcW w:w="820" w:type="dxa"/>
            <w:vAlign w:val="bottom"/>
          </w:tcPr>
          <w:p>
            <w:pPr>
              <w:ind w:left="80"/>
              <w:spacing w:after="0" w:line="116" w:lineRule="exact"/>
              <w:rPr>
                <w:sz w:val="20"/>
                <w:szCs w:val="20"/>
                <w:color w:val="auto"/>
              </w:rPr>
            </w:pPr>
            <w:r>
              <w:rPr>
                <w:rFonts w:ascii="Arial" w:cs="Arial" w:eastAsia="Arial" w:hAnsi="Arial"/>
                <w:sz w:val="11"/>
                <w:szCs w:val="11"/>
                <w:b w:val="1"/>
                <w:bCs w:val="1"/>
                <w:color w:val="auto"/>
              </w:rPr>
              <w:t>More than</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1"/>
                <w:szCs w:val="11"/>
                <w:b w:val="1"/>
                <w:bCs w:val="1"/>
                <w:color w:val="auto"/>
              </w:rPr>
              <w:t>1 year</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5 years</w:t>
            </w: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(in thousands)</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Sponsored Research (1)</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1,278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4"/>
                <w:szCs w:val="14"/>
                <w:color w:val="auto"/>
              </w:rPr>
              <w:t>1,247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6220" w:type="dxa"/>
            <w:vAlign w:val="bottom"/>
            <w:gridSpan w:val="2"/>
          </w:tcPr>
          <w:p>
            <w:pPr>
              <w:spacing w:after="0"/>
              <w:rPr>
                <w:sz w:val="20"/>
                <w:szCs w:val="20"/>
                <w:color w:val="auto"/>
              </w:rPr>
            </w:pPr>
            <w:r>
              <w:rPr>
                <w:rFonts w:ascii="Arial" w:cs="Arial" w:eastAsia="Arial" w:hAnsi="Arial"/>
                <w:sz w:val="14"/>
                <w:szCs w:val="14"/>
                <w:color w:val="auto"/>
              </w:rPr>
              <w:t>Purchase Obligations (2)</w:t>
            </w:r>
          </w:p>
        </w:tc>
        <w:tc>
          <w:tcPr>
            <w:tcW w:w="180" w:type="dxa"/>
            <w:vAlign w:val="bottom"/>
          </w:tcPr>
          <w:p>
            <w:pPr>
              <w:spacing w:after="0"/>
              <w:rPr>
                <w:sz w:val="16"/>
                <w:szCs w:val="16"/>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color w:val="auto"/>
              </w:rPr>
              <w:t>5,302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94"/>
              <w:spacing w:after="0"/>
              <w:rPr>
                <w:sz w:val="20"/>
                <w:szCs w:val="20"/>
                <w:color w:val="auto"/>
              </w:rPr>
            </w:pPr>
            <w:r>
              <w:rPr>
                <w:rFonts w:ascii="Arial" w:cs="Arial" w:eastAsia="Arial" w:hAnsi="Arial"/>
                <w:sz w:val="14"/>
                <w:szCs w:val="14"/>
                <w:color w:val="auto"/>
              </w:rPr>
              <w:t>5,302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0" w:type="dxa"/>
            <w:vAlign w:val="bottom"/>
          </w:tcPr>
          <w:p>
            <w:pPr>
              <w:spacing w:after="0"/>
              <w:rPr>
                <w:sz w:val="18"/>
                <w:szCs w:val="18"/>
                <w:color w:val="auto"/>
              </w:rPr>
            </w:pPr>
          </w:p>
        </w:tc>
        <w:tc>
          <w:tcPr>
            <w:tcW w:w="6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Operating Leases (3)</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648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4"/>
                <w:szCs w:val="14"/>
                <w:color w:val="auto"/>
              </w:rPr>
              <w:t>554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Arial" w:cs="Arial" w:eastAsia="Arial" w:hAnsi="Arial"/>
                <w:sz w:val="14"/>
                <w:szCs w:val="14"/>
                <w:color w:val="auto"/>
              </w:rPr>
              <w:t>Total (4)</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7,228</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color w:val="auto"/>
              </w:rPr>
              <w:t>7,103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40" w:type="dxa"/>
            <w:vAlign w:val="bottom"/>
            <w:tcBorders>
              <w:bottom w:val="single" w:sz="8" w:color="auto"/>
            </w:tcBorders>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3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00" w:hanging="240"/>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item includes our contracted obligations under our sponsored research agreements.</w:t>
      </w:r>
    </w:p>
    <w:p>
      <w:pPr>
        <w:spacing w:after="0" w:line="125" w:lineRule="exact"/>
        <w:rPr>
          <w:rFonts w:ascii="Arial" w:cs="Arial" w:eastAsia="Arial" w:hAnsi="Arial"/>
          <w:sz w:val="14"/>
          <w:szCs w:val="14"/>
          <w:color w:val="auto"/>
        </w:rPr>
      </w:pPr>
    </w:p>
    <w:p>
      <w:pPr>
        <w:ind w:left="500" w:hanging="240"/>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item includes our contracted commitments under certain of our manufacturing and supply agreements.</w:t>
      </w:r>
    </w:p>
    <w:p>
      <w:pPr>
        <w:spacing w:after="0" w:line="125" w:lineRule="exact"/>
        <w:rPr>
          <w:rFonts w:ascii="Arial" w:cs="Arial" w:eastAsia="Arial" w:hAnsi="Arial"/>
          <w:sz w:val="14"/>
          <w:szCs w:val="14"/>
          <w:color w:val="auto"/>
        </w:rPr>
      </w:pPr>
    </w:p>
    <w:p>
      <w:pPr>
        <w:ind w:left="500" w:hanging="240"/>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item includes our continuing rent obligations, including for office space in New York, New York, the term for which is scheduled to expire at the end of December 2020.</w:t>
      </w:r>
    </w:p>
    <w:p>
      <w:pPr>
        <w:spacing w:after="0" w:line="114" w:lineRule="exact"/>
        <w:rPr>
          <w:rFonts w:ascii="Arial" w:cs="Arial" w:eastAsia="Arial" w:hAnsi="Arial"/>
          <w:sz w:val="14"/>
          <w:szCs w:val="14"/>
          <w:color w:val="auto"/>
        </w:rPr>
      </w:pPr>
    </w:p>
    <w:p>
      <w:pPr>
        <w:ind w:left="500" w:hanging="240"/>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table does not include:</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1"/>
          <w:numId w:val="27"/>
        </w:numPr>
        <w:rPr>
          <w:rFonts w:ascii="Arial" w:cs="Arial" w:eastAsia="Arial" w:hAnsi="Arial"/>
          <w:sz w:val="12"/>
          <w:szCs w:val="12"/>
          <w:color w:val="auto"/>
        </w:rPr>
      </w:pPr>
      <w:r>
        <w:rPr>
          <w:rFonts w:ascii="Arial" w:cs="Arial" w:eastAsia="Arial" w:hAnsi="Arial"/>
          <w:sz w:val="12"/>
          <w:szCs w:val="12"/>
          <w:color w:val="auto"/>
        </w:rPr>
        <w:t>any milestone payments which may become payable to third parties under license or acquisition agreements as the timing and likelihood of such payments are not known with certainty;</w:t>
      </w:r>
    </w:p>
    <w:p>
      <w:pPr>
        <w:spacing w:after="0" w:line="148" w:lineRule="exact"/>
        <w:rPr>
          <w:rFonts w:ascii="Arial" w:cs="Arial" w:eastAsia="Arial" w:hAnsi="Arial"/>
          <w:sz w:val="12"/>
          <w:szCs w:val="12"/>
          <w:color w:val="auto"/>
        </w:rPr>
      </w:pPr>
    </w:p>
    <w:p>
      <w:pPr>
        <w:ind w:left="760" w:hanging="246"/>
        <w:spacing w:after="0"/>
        <w:tabs>
          <w:tab w:leader="none" w:pos="760" w:val="left"/>
        </w:tabs>
        <w:numPr>
          <w:ilvl w:val="1"/>
          <w:numId w:val="27"/>
        </w:numPr>
        <w:rPr>
          <w:rFonts w:ascii="Arial" w:cs="Arial" w:eastAsia="Arial" w:hAnsi="Arial"/>
          <w:sz w:val="14"/>
          <w:szCs w:val="14"/>
          <w:color w:val="auto"/>
        </w:rPr>
      </w:pPr>
      <w:r>
        <w:rPr>
          <w:rFonts w:ascii="Arial" w:cs="Arial" w:eastAsia="Arial" w:hAnsi="Arial"/>
          <w:sz w:val="14"/>
          <w:szCs w:val="14"/>
          <w:color w:val="auto"/>
        </w:rPr>
        <w:t>any royalty payments to third parties as the amounts, timing and likelihood of such payments are not known;</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ind w:left="760" w:hanging="246"/>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anticipated expenditures under supply agreements for periods for which we are not yet bound under binding purchase orders; or</w:t>
      </w:r>
    </w:p>
    <w:p>
      <w:pPr>
        <w:spacing w:after="0" w:line="114" w:lineRule="exact"/>
        <w:rPr>
          <w:rFonts w:ascii="Arial" w:cs="Arial" w:eastAsia="Arial" w:hAnsi="Arial"/>
          <w:sz w:val="14"/>
          <w:szCs w:val="14"/>
          <w:color w:val="auto"/>
        </w:rPr>
      </w:pPr>
    </w:p>
    <w:p>
      <w:pPr>
        <w:ind w:left="760" w:hanging="246"/>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contracts that are entered into in the ordinary course of business that are not material in the aggregate in any period presented above.</w:t>
      </w:r>
    </w:p>
    <w:p>
      <w:pPr>
        <w:spacing w:after="0" w:line="125" w:lineRule="exact"/>
        <w:rPr>
          <w:sz w:val="20"/>
          <w:szCs w:val="20"/>
          <w:color w:val="auto"/>
        </w:rPr>
      </w:pPr>
    </w:p>
    <w:p>
      <w:pPr>
        <w:jc w:val="both"/>
        <w:ind w:right="360" w:firstLine="509"/>
        <w:spacing w:after="0" w:line="267" w:lineRule="auto"/>
        <w:rPr>
          <w:sz w:val="20"/>
          <w:szCs w:val="20"/>
          <w:color w:val="auto"/>
        </w:rPr>
      </w:pPr>
      <w:r>
        <w:rPr>
          <w:rFonts w:ascii="Arial" w:cs="Arial" w:eastAsia="Arial" w:hAnsi="Arial"/>
          <w:sz w:val="14"/>
          <w:szCs w:val="14"/>
          <w:color w:val="auto"/>
        </w:rPr>
        <w:t>In addition to the amounts set forth in the table above, we may be required, under the agreements under which we acquired rights to Zimura, IC-100, IC-200, our miniCEP290 program and our HtrA1 inhibitor program, to make milestone payments and/or pay royalties. These payments are described in "Note 9—Commitments and Contingencies" in our unaudited consolidated financial statements appearing elsewhere in this Quarterly Report.</w:t>
      </w:r>
    </w:p>
    <w:p>
      <w:pPr>
        <w:spacing w:after="0" w:line="89" w:lineRule="exact"/>
        <w:rPr>
          <w:sz w:val="20"/>
          <w:szCs w:val="20"/>
          <w:color w:val="auto"/>
        </w:rPr>
      </w:pPr>
    </w:p>
    <w:p>
      <w:pPr>
        <w:ind w:right="220" w:firstLine="509"/>
        <w:spacing w:after="0" w:line="267" w:lineRule="auto"/>
        <w:rPr>
          <w:sz w:val="20"/>
          <w:szCs w:val="20"/>
          <w:color w:val="auto"/>
        </w:rPr>
      </w:pPr>
      <w:r>
        <w:rPr>
          <w:rFonts w:ascii="Arial" w:cs="Arial" w:eastAsia="Arial" w:hAnsi="Arial"/>
          <w:sz w:val="14"/>
          <w:szCs w:val="14"/>
          <w:color w:val="auto"/>
        </w:rPr>
        <w:t>We also have letter agreements with certain employees that require the funding of a specific level of payments if certain events, such as a termination of employment in connection with a change in control or termination of employment by the employee for good reason or by us without cause, occur. For a description of these obligations, see our definitive proxy statement on Schedule 14A for our 2020 annual meeting of stockholders, as filed with the SEC on April 28, 2020.</w:t>
      </w:r>
    </w:p>
    <w:p>
      <w:pPr>
        <w:spacing w:after="0" w:line="78" w:lineRule="exact"/>
        <w:rPr>
          <w:sz w:val="20"/>
          <w:szCs w:val="20"/>
          <w:color w:val="auto"/>
        </w:rPr>
      </w:pPr>
    </w:p>
    <w:p>
      <w:pPr>
        <w:jc w:val="both"/>
        <w:ind w:right="20" w:firstLine="509"/>
        <w:spacing w:after="0" w:line="288" w:lineRule="auto"/>
        <w:rPr>
          <w:sz w:val="20"/>
          <w:szCs w:val="20"/>
          <w:color w:val="auto"/>
        </w:rPr>
      </w:pPr>
      <w:r>
        <w:rPr>
          <w:rFonts w:ascii="Arial" w:cs="Arial" w:eastAsia="Arial" w:hAnsi="Arial"/>
          <w:sz w:val="13"/>
          <w:szCs w:val="13"/>
          <w:color w:val="auto"/>
        </w:rPr>
        <w:t>In addition, in the course of normal business operations, we have agreements with contract service providers to assist in the performance of our research and development and manufacturing activities. Expenditures to CROs and CDMOs represent significant costs in preclinical and clinical development. Subject to required notice periods and our obligations under binding purchase orders and any cancellation fees that we may be obligated to pay, we can elect to discontinue the work under these agreements at any time. We may also enter into additional collaborative research, contract research, manufacturing, and supplier agreements in the future, which may require upfront payments and even long-term commitments of cash.</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did not have during the periods presented, and we do not currently have, any off-balance sheet arrangements, as defined under Securities and Exchange Commission rules.</w:t>
      </w:r>
    </w:p>
    <w:p>
      <w:pPr>
        <w:spacing w:after="0" w:line="200" w:lineRule="exact"/>
        <w:rPr>
          <w:sz w:val="20"/>
          <w:szCs w:val="20"/>
          <w:color w:val="auto"/>
        </w:rPr>
      </w:pPr>
    </w:p>
    <w:p>
      <w:pPr>
        <w:spacing w:after="0" w:line="230"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Quantitative and Qualitative Disclosures About Market Risk.</w:t>
      </w:r>
    </w:p>
    <w:p>
      <w:pPr>
        <w:spacing w:after="0" w:line="129"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We are exposed to market risk related to changes in interest rates. We had cash and cash equivalents of $245.7 million as of June 30, 2020, consisting of cash and investments in money market funds. Our primary exposure to market risk is interest rate sensitivity, which is affected by changes in the general level of U.S. interest rates, particularly because a significant portion of our investments are in short-term securities. Due to the low risk profile of our investments, an immediate 100 basis point change in interest rates would not have a material effect on the fair market value of our portfolio.</w:t>
      </w:r>
    </w:p>
    <w:p>
      <w:pPr>
        <w:spacing w:after="0" w:line="82" w:lineRule="exact"/>
        <w:rPr>
          <w:sz w:val="20"/>
          <w:szCs w:val="20"/>
          <w:color w:val="auto"/>
        </w:rPr>
      </w:pPr>
    </w:p>
    <w:p>
      <w:pPr>
        <w:jc w:val="both"/>
        <w:ind w:right="100" w:firstLine="509"/>
        <w:spacing w:after="0" w:line="267" w:lineRule="auto"/>
        <w:rPr>
          <w:sz w:val="20"/>
          <w:szCs w:val="20"/>
          <w:color w:val="auto"/>
        </w:rPr>
      </w:pPr>
      <w:r>
        <w:rPr>
          <w:rFonts w:ascii="Arial" w:cs="Arial" w:eastAsia="Arial" w:hAnsi="Arial"/>
          <w:sz w:val="14"/>
          <w:szCs w:val="14"/>
          <w:color w:val="auto"/>
        </w:rPr>
        <w:t>We contract with CROs and certain other vendors to perform services outside of the United States. We may be subject to fluctuations in foreign currency rates in connection with certain of these agreements. Transactions denominated in currencies other than the U.S. dollar are recorded based on exchange rates at the time such transactions arise. As of June 30, 2020, substantially all of our total liabilities were denominated in the U.S. dollar.</w:t>
      </w:r>
    </w:p>
    <w:p>
      <w:pPr>
        <w:spacing w:after="0" w:line="392"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29" w:lineRule="exact"/>
        <w:rPr>
          <w:sz w:val="20"/>
          <w:szCs w:val="20"/>
          <w:color w:val="auto"/>
        </w:rPr>
      </w:pPr>
    </w:p>
    <w:p>
      <w:pPr>
        <w:ind w:firstLine="509"/>
        <w:spacing w:after="0" w:line="279" w:lineRule="auto"/>
        <w:rPr>
          <w:sz w:val="20"/>
          <w:szCs w:val="20"/>
          <w:color w:val="auto"/>
        </w:rPr>
      </w:pPr>
      <w:r>
        <w:rPr>
          <w:rFonts w:ascii="Arial" w:cs="Arial" w:eastAsia="Arial" w:hAnsi="Arial"/>
          <w:sz w:val="13"/>
          <w:szCs w:val="13"/>
          <w:color w:val="auto"/>
        </w:rPr>
        <w:t>Our management, with the participation of our chief executive officer and chief financial officer, evaluated the effectiveness of our disclosure controls and procedures as of June 30, 2020.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ind w:right="120" w:firstLine="509"/>
        <w:spacing w:after="0" w:line="281" w:lineRule="auto"/>
        <w:rPr>
          <w:sz w:val="20"/>
          <w:szCs w:val="20"/>
          <w:color w:val="auto"/>
        </w:rPr>
      </w:pPr>
      <w:r>
        <w:rPr>
          <w:rFonts w:ascii="Arial" w:cs="Arial" w:eastAsia="Arial" w:hAnsi="Arial"/>
          <w:sz w:val="14"/>
          <w:szCs w:val="14"/>
          <w:color w:val="auto"/>
        </w:rPr>
        <w:t>Based on the evaluation of our disclosure controls and procedures as of June 30, 2020, our chief executive officer and chief financial officer concluded that, as of such date, our disclosure controls and procedures were effective at the reasonable assurance level.</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29"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Effective April 1, 2020, we implemented a new enterprise resource planning system (“ERP”) that materially affected our internal control over financial reporting. In connection with implementation of the ERP system, we are updating our internal control over financial reporting, as necessary, to accommodate modifications to our business processes and accounting procedures. Although our internal control over financial reporting has been materially affected by the implementation of the ERP system, we do not believe that the implementation of the ERP system will have an adverse effect on our internal control over financial reporting.</w:t>
      </w:r>
    </w:p>
    <w:p>
      <w:pPr>
        <w:spacing w:after="0" w:line="93" w:lineRule="exact"/>
        <w:rPr>
          <w:sz w:val="20"/>
          <w:szCs w:val="20"/>
          <w:color w:val="auto"/>
        </w:rPr>
      </w:pPr>
    </w:p>
    <w:p>
      <w:pPr>
        <w:ind w:firstLine="509"/>
        <w:spacing w:after="0" w:line="288" w:lineRule="auto"/>
        <w:rPr>
          <w:sz w:val="20"/>
          <w:szCs w:val="20"/>
          <w:color w:val="auto"/>
        </w:rPr>
      </w:pPr>
      <w:r>
        <w:rPr>
          <w:rFonts w:ascii="Arial" w:cs="Arial" w:eastAsia="Arial" w:hAnsi="Arial"/>
          <w:sz w:val="13"/>
          <w:szCs w:val="13"/>
          <w:color w:val="auto"/>
        </w:rPr>
        <w:t>Except as described in the preceding paragraph, we determined that there were no other changes in our internal control over financial reporting (as defined in Rules 13a-15(d) and 15d-15(d) under the Exchange Act) that occurred during the quarter ended June 30, 2020 that have materially affected, or are reasonably likely to materially affect, our internal control over financial reporting. Further, we have not experienced any material impact to our internal controls over financial reporting despite the fact that our employees are working remotely due to the COVID-19 pandemic. We are continually monitoring and assessing the impact the COVID-19 pandemic has on the operating effectiveness of our internal controls.</w:t>
      </w: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w:t>
      </w:r>
    </w:p>
    <w:p>
      <w:pPr>
        <w:spacing w:after="0" w:line="200" w:lineRule="exact"/>
        <w:rPr>
          <w:sz w:val="20"/>
          <w:szCs w:val="20"/>
          <w:color w:val="auto"/>
        </w:rPr>
      </w:pPr>
    </w:p>
    <w:p>
      <w:pPr>
        <w:spacing w:after="0" w:line="223"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29" w:lineRule="exact"/>
        <w:rPr>
          <w:sz w:val="20"/>
          <w:szCs w:val="20"/>
          <w:color w:val="auto"/>
        </w:rPr>
      </w:pPr>
    </w:p>
    <w:p>
      <w:pPr>
        <w:ind w:right="20" w:firstLine="509"/>
        <w:spacing w:after="0" w:line="256" w:lineRule="auto"/>
        <w:rPr>
          <w:sz w:val="20"/>
          <w:szCs w:val="20"/>
          <w:color w:val="auto"/>
        </w:rPr>
      </w:pPr>
      <w:r>
        <w:rPr>
          <w:rFonts w:ascii="Arial" w:cs="Arial" w:eastAsia="Arial" w:hAnsi="Arial"/>
          <w:sz w:val="14"/>
          <w:szCs w:val="14"/>
          <w:color w:val="auto"/>
        </w:rPr>
        <w:t>On January 11, 2017, a putative class action lawsuit was filed against us and certain of our current and former executive officers in the United States District Court for the Southern District of New York, captioned Frank Micholle v. Ophthotech Corporation, et al., No. 1:17-cv-00210. On March 9, 2017, a related putative class action lawsuit was filed against us and the same group of our current and former executive officers in the United States District Court for the Southern District of New York, captioned Wasson v. Ophthotech Corporation, et al., No. 1:17-cv-01758. These cases were consolidated on March 13, 2018. On June 4, 2018, the lead plaintiff filed a consolidated amended complaint, the CAC. The CAC purports to be brought on behalf of shareholders who purchased our common stock between March 2, 2015 and December 12, 2016. The CAC generally alleges that we and certain of our officers violated Sections 10(b) and/or 20(a) of the Securities Exchange Act of 1934 and Rule 10b-5 promulgated thereunder by making allegedly false and/or misleading statements concerning the results of our Phase 2b trial and the prospects of our Phase 3 trials for Fovista in combination with anti-VEGF agents for the treatment of wet AMD. The CAC seeks unspecified damages, attorneys' fees, and other costs. We and the individual defendants filed a motion to dismiss the CAC on July 27, 2018. On September 18, 2019, the court issued an order dismissing some, but not all, of the allegations in the CAC. On November 18, 2019, we and the individual defendants filed an answer to the complaint. On June 12, 2020, the lead plaintiff filed a motion for class certification. Our response is due on August 11, 2020. This case is currently in the discovery phase.</w:t>
      </w:r>
    </w:p>
    <w:p>
      <w:pPr>
        <w:spacing w:after="0" w:line="86" w:lineRule="exact"/>
        <w:rPr>
          <w:sz w:val="20"/>
          <w:szCs w:val="20"/>
          <w:color w:val="auto"/>
        </w:rPr>
      </w:pPr>
    </w:p>
    <w:p>
      <w:pPr>
        <w:ind w:firstLine="509"/>
        <w:spacing w:after="0" w:line="278" w:lineRule="auto"/>
        <w:rPr>
          <w:sz w:val="20"/>
          <w:szCs w:val="20"/>
          <w:color w:val="auto"/>
        </w:rPr>
      </w:pPr>
      <w:r>
        <w:rPr>
          <w:rFonts w:ascii="Arial" w:cs="Arial" w:eastAsia="Arial" w:hAnsi="Arial"/>
          <w:sz w:val="13"/>
          <w:szCs w:val="13"/>
          <w:color w:val="auto"/>
        </w:rPr>
        <w:t>On August 31, 2018, a shareholder derivative action was filed against current and former members of our board of directors and certain of our current and former officers in the United States District Court for the Southern District of New York, captioned Luis Pacheco v. David R. Guyer, et al., Case No. 1:18-cv-07999. The complaint, which is based substantially on the facts alleged in the CAC, alleges that the defendants breached their fiduciary duties to our company and wasted our corporate assets by failing to oversee our business, and also alleges that the defendants were unjustly enriched as a result of the alleged conduct, including through receipt of bonuses, stock options and similar compensation from us, and through sales of our stock between March 2, 2015 and December 12, 2016. The complaint purports to seek unspecified damages on our behalf, attorneys’ fees, and other costs, as well as an order directing us to reform and improve our corporate governance and internal procedures to comply with applicable laws, including submitting certain proposed amendments to our corporate charter, bylaws and corporate governance policies for vote by our stockholders. On December 14, 2018, we filed a motion to dismiss the complaint. On September 19, 2019, the court denied our motion to dismiss this complaint. This matter was subsequently referred to a special litigation committee of our board of directors. On February 18, 2020, we filed an answer to the complaint. We and the plaintiff agreed to stay this litigation while the special litigation committee conducts its investigation. On May 5, 2020, the court approved the stipulation and stayed the litigation through November 1, 2020.</w:t>
      </w:r>
    </w:p>
    <w:p>
      <w:pPr>
        <w:spacing w:after="0" w:line="86" w:lineRule="exact"/>
        <w:rPr>
          <w:sz w:val="20"/>
          <w:szCs w:val="20"/>
          <w:color w:val="auto"/>
        </w:rPr>
      </w:pPr>
    </w:p>
    <w:p>
      <w:pPr>
        <w:ind w:right="60" w:firstLine="509"/>
        <w:spacing w:after="0" w:line="284" w:lineRule="auto"/>
        <w:rPr>
          <w:sz w:val="20"/>
          <w:szCs w:val="20"/>
          <w:color w:val="auto"/>
        </w:rPr>
      </w:pPr>
      <w:r>
        <w:rPr>
          <w:rFonts w:ascii="Arial" w:cs="Arial" w:eastAsia="Arial" w:hAnsi="Arial"/>
          <w:sz w:val="13"/>
          <w:szCs w:val="13"/>
          <w:color w:val="auto"/>
        </w:rPr>
        <w:t>On October 16, 2018, our board of directors received a shareholder demand to investigate and commence legal proceedings against certain members of our board of directors. The demand alleges facts that are substantially similar to the facts alleged in the CAC and the Pacheco complaint and asserts claims that are substantially similar to the claims asserted in the Pacheco complaint. On January 30, 2019, our board of directors received a second shareholder demand from a different shareholder to investigate and commence legal proceedings against certain current and former members of our board of directors based on allegations that are substantially similar to the allegations contained in the first demand letter. These shareholder demands have been referred to a demand review committee of our board of directors. We have entered into tolling agreements with the directors named in the demands.</w:t>
      </w:r>
    </w:p>
    <w:p>
      <w:pPr>
        <w:spacing w:after="0" w:line="81" w:lineRule="exact"/>
        <w:rPr>
          <w:sz w:val="20"/>
          <w:szCs w:val="20"/>
          <w:color w:val="auto"/>
        </w:rPr>
      </w:pPr>
    </w:p>
    <w:p>
      <w:pPr>
        <w:ind w:right="60" w:firstLine="509"/>
        <w:spacing w:after="0" w:line="288" w:lineRule="auto"/>
        <w:rPr>
          <w:sz w:val="20"/>
          <w:szCs w:val="20"/>
          <w:color w:val="auto"/>
        </w:rPr>
      </w:pPr>
      <w:r>
        <w:rPr>
          <w:rFonts w:ascii="Arial" w:cs="Arial" w:eastAsia="Arial" w:hAnsi="Arial"/>
          <w:sz w:val="13"/>
          <w:szCs w:val="13"/>
          <w:color w:val="auto"/>
        </w:rPr>
        <w:t>We deny any and all allegations of wrongdoing and intend to vigorously defend against these lawsuits.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management’s attention and resources from other priorities, including the execution of our business plan and strategies that are important to our ability to grow our business, any of which could have a material adverse effect on our business.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19"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i w:val="1"/>
          <w:iCs w:val="1"/>
          <w:color w:val="auto"/>
        </w:rPr>
        <w:t>The following risk factors and other information included in this Quarterly Report on Form 10-Q should be carefully considered. The risks and uncertainties described below are not the only risks and uncertainties we face. Additional risks and uncertainties not presently known to us or that we presently deem less significant may also impair our business operations. Please see page 1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Plan, Financial Position and Need for Additional Capital</w:t>
      </w:r>
    </w:p>
    <w:p>
      <w:pPr>
        <w:spacing w:after="0" w:line="183" w:lineRule="exact"/>
        <w:rPr>
          <w:sz w:val="20"/>
          <w:szCs w:val="20"/>
          <w:color w:val="auto"/>
        </w:rPr>
      </w:pPr>
    </w:p>
    <w:p>
      <w:pPr>
        <w:spacing w:after="0" w:line="267" w:lineRule="auto"/>
        <w:rPr>
          <w:sz w:val="20"/>
          <w:szCs w:val="20"/>
          <w:color w:val="auto"/>
        </w:rPr>
      </w:pPr>
      <w:r>
        <w:rPr>
          <w:rFonts w:ascii="Arial" w:cs="Arial" w:eastAsia="Arial" w:hAnsi="Arial"/>
          <w:sz w:val="14"/>
          <w:szCs w:val="14"/>
          <w:b w:val="1"/>
          <w:bCs w:val="1"/>
          <w:i w:val="1"/>
          <w:iCs w:val="1"/>
          <w:color w:val="auto"/>
        </w:rPr>
        <w:t>We are a development-stage company without any commercial products. The value of our company, therefore, is highly dependent on the success of our research and development efforts and the amount of our available cash. Our research and development programs, which are focused on novel therapies and technologies, carry significant scientific and other risks. If any of these programs are not successful, the value of your investment may decline.</w:t>
      </w:r>
    </w:p>
    <w:p>
      <w:pPr>
        <w:spacing w:after="0" w:line="142" w:lineRule="exact"/>
        <w:rPr>
          <w:sz w:val="20"/>
          <w:szCs w:val="20"/>
          <w:color w:val="auto"/>
        </w:rPr>
      </w:pPr>
    </w:p>
    <w:p>
      <w:pPr>
        <w:ind w:right="200" w:firstLine="509"/>
        <w:spacing w:after="0" w:line="267" w:lineRule="auto"/>
        <w:rPr>
          <w:sz w:val="20"/>
          <w:szCs w:val="20"/>
          <w:color w:val="auto"/>
        </w:rPr>
      </w:pPr>
      <w:r>
        <w:rPr>
          <w:rFonts w:ascii="Arial" w:cs="Arial" w:eastAsia="Arial" w:hAnsi="Arial"/>
          <w:sz w:val="14"/>
          <w:szCs w:val="14"/>
          <w:color w:val="auto"/>
        </w:rPr>
        <w:t>We are a development-stage company without any approved products. Our growth prospects and the future value of our company are highly dependent on the progress of our research and development programs, including our ongoing and any future clinical trials for Zimura, our preclinical development programs for IC-100, IC-200 and IC-500, and our collaborative gene therapy sponsored research programs. Drug development is a highly uncertain undertaking and carries significant scientific and other risks.</w:t>
      </w:r>
    </w:p>
    <w:p>
      <w:pPr>
        <w:spacing w:after="0" w:line="142" w:lineRule="exact"/>
        <w:rPr>
          <w:sz w:val="20"/>
          <w:szCs w:val="20"/>
          <w:color w:val="auto"/>
        </w:rPr>
      </w:pPr>
    </w:p>
    <w:p>
      <w:pPr>
        <w:ind w:firstLine="509"/>
        <w:spacing w:after="0" w:line="277" w:lineRule="auto"/>
        <w:rPr>
          <w:sz w:val="20"/>
          <w:szCs w:val="20"/>
          <w:color w:val="auto"/>
        </w:rPr>
      </w:pPr>
      <w:r>
        <w:rPr>
          <w:rFonts w:ascii="Arial" w:cs="Arial" w:eastAsia="Arial" w:hAnsi="Arial"/>
          <w:sz w:val="13"/>
          <w:szCs w:val="13"/>
          <w:color w:val="auto"/>
        </w:rPr>
        <w:t>We may encounter unforeseen difficulties, complications, delays, expenses and other known and unknown factors. We may never be successful in developing or commercializing any of our product candidates or other programs. There is a high rate of failure in pharmaceutical research and development. Even if we have promising preclinical or clinical candidates, their development could fail at any time. Our failure could be due to unexpected scientific, safety or efficacy issues with our product candidates and other programs, invalid hypotheses regarding the molecular targets and mechanisms of action we choose to pursue or unexpected delays in our research and development programs resulting from applying the wrong criteria or experimental systems and procedures to our programs or lack of experience or other factors, including disruptions resulting from the COVID-19 pandemic, with the possible result that none of our product candidates or other programs result in the development of marketable products. We have not yet demonstrated our ability to successfully complete the development of a pharmaceutical product, including completion of large-scale, pivotal clinical trials with safety and efficacy data sufficient to obtain marketing approval or activities necessary to apply for and obtain marketing approval, including the qualification of a commercial manufacturer through a pre-approval inspection with regulatory authorities. If successful in developing and obtaining marketing approval of one of our product candidates, we would need to transition from a company with a product development focus to a company capable of commercializing pharmaceutical products. We may not be successful in such a transition, as our company has never conducted the sales, marketing and distribution activities necessary for successful product commercialization.</w:t>
      </w:r>
    </w:p>
    <w:p>
      <w:pPr>
        <w:spacing w:after="0" w:line="142" w:lineRule="exact"/>
        <w:rPr>
          <w:sz w:val="20"/>
          <w:szCs w:val="20"/>
          <w:color w:val="auto"/>
        </w:rPr>
      </w:pPr>
    </w:p>
    <w:p>
      <w:pPr>
        <w:ind w:right="40" w:firstLine="509"/>
        <w:spacing w:after="0" w:line="284" w:lineRule="auto"/>
        <w:rPr>
          <w:sz w:val="20"/>
          <w:szCs w:val="20"/>
          <w:color w:val="auto"/>
        </w:rPr>
      </w:pPr>
      <w:r>
        <w:rPr>
          <w:rFonts w:ascii="Arial" w:cs="Arial" w:eastAsia="Arial" w:hAnsi="Arial"/>
          <w:sz w:val="13"/>
          <w:szCs w:val="13"/>
          <w:color w:val="auto"/>
        </w:rPr>
        <w:t>Because the value of our company is largely based on the prospects for our research and development programs and their potential to result in therapies capable of achieving marketing approval and generating future revenues, any failure, delay or setback for these programs will likely have a negative impact on the value of your investment. In addition, because a number of our product candidates are in an early, preclinical stage, even if we are successful in advancing the research and development of those product candidates, the value of our common stock may not rise in a meaningful way, which could affect our ability to raise additional finances. As we continue to invest in our research and development programs to generate data to support further development or applications to obtain marketing approval for commercialization, the amount of our available cash will continue to decline until we raise additional finances.</w:t>
      </w:r>
    </w:p>
    <w:p>
      <w:pPr>
        <w:spacing w:after="0" w:line="134"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b w:val="1"/>
          <w:bCs w:val="1"/>
          <w:i w:val="1"/>
          <w:iCs w:val="1"/>
          <w:color w:val="auto"/>
        </w:rPr>
        <w:t>We have a history of significant operating losses. We expect to continue to incur losses until such time, if ever, that we successfully commercialize our product candidates and may never achieve or maintain profitability.</w:t>
      </w:r>
    </w:p>
    <w:p>
      <w:pPr>
        <w:spacing w:after="0" w:line="132"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Since inception, we have experienced significant cash outflows in funding our operations. To date, we have not generated any revenues from commercial product sales and have financed our operations primarily through private placements of our common stock and preferred stock, venture debt borrowings, funds received under our prior Fovista royalty purchase and sale agreement with Novo Holdings A/S, our initial public offering, which we closed in September 2013, funds we received under our prior Fovista licensing and commercialization agreement with Novartis Pharma AG, funds we received in connection with our acquisition of Inception 4 in October 2018, and our follow-on public offerings, which we closed in February 2014, December 2019 and June 2020. As of June 30, 2020, we had an accumulated deficit of $514.2 million. Our net loss was $18.6</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million for the three months ended June 30, 2020 and we expect to continue to incur significant operating losses for the foreseeable future.</w:t>
      </w:r>
    </w:p>
    <w:p>
      <w:pPr>
        <w:spacing w:after="0" w:line="179" w:lineRule="exact"/>
        <w:rPr>
          <w:sz w:val="20"/>
          <w:szCs w:val="20"/>
          <w:color w:val="auto"/>
        </w:rPr>
      </w:pPr>
    </w:p>
    <w:p>
      <w:pPr>
        <w:ind w:firstLine="509"/>
        <w:spacing w:after="0" w:line="276" w:lineRule="auto"/>
        <w:rPr>
          <w:sz w:val="20"/>
          <w:szCs w:val="20"/>
          <w:color w:val="auto"/>
        </w:rPr>
      </w:pPr>
      <w:r>
        <w:rPr>
          <w:rFonts w:ascii="Arial" w:cs="Arial" w:eastAsia="Arial" w:hAnsi="Arial"/>
          <w:sz w:val="13"/>
          <w:szCs w:val="13"/>
          <w:color w:val="auto"/>
        </w:rPr>
        <w:t>Zimura is in clinical development, our gene therapy product candidates IC-100 and IC-200 and IC-500, the selected product candidate from our HtrA1 inhibitor program, are each in preclinical development, and we are funding multiple ongoing collaborative gene therapy sponsored research programs. We expect our research and development expenses to increase as we pursue these programs as currently planned. If we experience delays or disruptions to our research and development programs, including the manufacture and supply of products for such programs, whether due to the COVID-19 pandemic or otherwise, such delays or disruptions could increase our operating expenses or otherwise have a material adverse effect on our business and financial results. We could also incur additional research and development expenses as we evaluate and potentially in-license or acquire, and undertake development of, additional product candidates and technologies, including any promising product candidates that emerge from our collaborative gene therapy sponsored research programs. Furthermore, if we successfully develop and obtain marketing approval for any of our product candidates, we expect to incur significant commercialization expenses related to product sales, marketing, distribution and manufacturing. We are party to agreements with Archemix with respect to Zimura, the University of Florida Research Foundation, Incorporated, or UFRF, and Penn with respect to IC-100 and IC-200, UMass with respect to any potential product candidates from our miniCEP290 program, and the former equityholders of Inception 4 with respect to our HtrA1 inhibitor program, in each case, that impose significant milestone payment obligations on us if we achieve specified clinical, regulatory and commercial milestones with respect to these product candidates or programs, as well as certain royalties on net sales with respect to IC-100, IC-200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144" w:lineRule="exact"/>
        <w:rPr>
          <w:sz w:val="20"/>
          <w:szCs w:val="20"/>
          <w:color w:val="auto"/>
        </w:rPr>
      </w:pPr>
    </w:p>
    <w:p>
      <w:pPr>
        <w:ind w:left="1020" w:hanging="251"/>
        <w:spacing w:after="0"/>
        <w:tabs>
          <w:tab w:leader="none" w:pos="10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expect that we will continue to incur significant expenses as we:</w:t>
      </w:r>
    </w:p>
    <w:p>
      <w:pPr>
        <w:spacing w:after="0" w:line="199" w:lineRule="exact"/>
        <w:rPr>
          <w:rFonts w:ascii="Arial" w:cs="Arial" w:eastAsia="Arial" w:hAnsi="Arial"/>
          <w:sz w:val="14"/>
          <w:szCs w:val="14"/>
          <w:color w:val="auto"/>
        </w:rPr>
      </w:pPr>
    </w:p>
    <w:p>
      <w:pPr>
        <w:ind w:left="1020" w:hanging="251"/>
        <w:spacing w:after="0"/>
        <w:tabs>
          <w:tab w:leader="none" w:pos="10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continue the development of Zimura in GA and STGD1;</w:t>
      </w:r>
    </w:p>
    <w:p>
      <w:pPr>
        <w:spacing w:after="0" w:line="199" w:lineRule="exact"/>
        <w:rPr>
          <w:rFonts w:ascii="Arial" w:cs="Arial" w:eastAsia="Arial" w:hAnsi="Arial"/>
          <w:sz w:val="14"/>
          <w:szCs w:val="14"/>
          <w:color w:val="auto"/>
        </w:rPr>
      </w:pPr>
    </w:p>
    <w:p>
      <w:pPr>
        <w:ind w:left="1020" w:right="180" w:hanging="251"/>
        <w:spacing w:after="0" w:line="281" w:lineRule="auto"/>
        <w:tabs>
          <w:tab w:leader="none" w:pos="10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expand our outsourced manufacturing activities or establish commercial operations or sales, marketing and distribution capabilities, if we receive, or expect to receive, marketing approval for any of our product candidates;</w:t>
      </w:r>
    </w:p>
    <w:p>
      <w:pPr>
        <w:spacing w:after="0" w:line="153" w:lineRule="exact"/>
        <w:rPr>
          <w:rFonts w:ascii="Arial" w:cs="Arial" w:eastAsia="Arial" w:hAnsi="Arial"/>
          <w:sz w:val="14"/>
          <w:szCs w:val="14"/>
          <w:color w:val="auto"/>
        </w:rPr>
      </w:pPr>
    </w:p>
    <w:p>
      <w:pPr>
        <w:ind w:left="1020" w:hanging="251"/>
        <w:spacing w:after="0"/>
        <w:tabs>
          <w:tab w:leader="none" w:pos="10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continue the development of IC-100, IC-200 and IC-500 and pursue our collaborative gene therapy sponsored research programs;</w:t>
      </w:r>
    </w:p>
    <w:p>
      <w:pPr>
        <w:spacing w:after="0" w:line="199" w:lineRule="exact"/>
        <w:rPr>
          <w:rFonts w:ascii="Arial" w:cs="Arial" w:eastAsia="Arial" w:hAnsi="Arial"/>
          <w:sz w:val="14"/>
          <w:szCs w:val="14"/>
          <w:color w:val="auto"/>
        </w:rPr>
      </w:pPr>
    </w:p>
    <w:p>
      <w:pPr>
        <w:ind w:left="1020" w:hanging="251"/>
        <w:spacing w:after="0"/>
        <w:tabs>
          <w:tab w:leader="none" w:pos="10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in-license or acquire the rights to, and pursue the development of, other product candidates or technologies;</w:t>
      </w:r>
    </w:p>
    <w:p>
      <w:pPr>
        <w:spacing w:after="0" w:line="199" w:lineRule="exact"/>
        <w:rPr>
          <w:rFonts w:ascii="Arial" w:cs="Arial" w:eastAsia="Arial" w:hAnsi="Arial"/>
          <w:sz w:val="14"/>
          <w:szCs w:val="14"/>
          <w:color w:val="auto"/>
        </w:rPr>
      </w:pPr>
    </w:p>
    <w:p>
      <w:pPr>
        <w:ind w:left="1020" w:hanging="251"/>
        <w:spacing w:after="0"/>
        <w:tabs>
          <w:tab w:leader="none" w:pos="10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seek marketing approval for any product candidates that successfully complete clinical trials;</w:t>
      </w:r>
    </w:p>
    <w:p>
      <w:pPr>
        <w:spacing w:after="0" w:line="200" w:lineRule="exact"/>
        <w:rPr>
          <w:sz w:val="20"/>
          <w:szCs w:val="20"/>
          <w:color w:val="auto"/>
        </w:rPr>
      </w:pPr>
    </w:p>
    <w:p>
      <w:pPr>
        <w:ind w:left="1020" w:hanging="251"/>
        <w:spacing w:after="0"/>
        <w:tabs>
          <w:tab w:leader="none" w:pos="10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maintain, expand and protect our intellectual property portfolio;</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t>
      </w:r>
    </w:p>
    <w:p>
      <w:pPr>
        <w:spacing w:after="0" w:line="9" w:lineRule="exact"/>
        <w:rPr>
          <w:sz w:val="20"/>
          <w:szCs w:val="20"/>
          <w:color w:val="auto"/>
        </w:rPr>
      </w:pPr>
    </w:p>
    <w:p>
      <w:pPr>
        <w:ind w:left="1020" w:hanging="251"/>
        <w:spacing w:after="0"/>
        <w:tabs>
          <w:tab w:leader="none" w:pos="10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hire additional clinical, manufacturing, quality control, quality assurance and scientific personnel; and</w:t>
      </w:r>
    </w:p>
    <w:p>
      <w:pPr>
        <w:spacing w:after="0" w:line="189" w:lineRule="exact"/>
        <w:rPr>
          <w:rFonts w:ascii="Arial" w:cs="Arial" w:eastAsia="Arial" w:hAnsi="Arial"/>
          <w:sz w:val="14"/>
          <w:szCs w:val="14"/>
          <w:color w:val="auto"/>
        </w:rPr>
      </w:pPr>
    </w:p>
    <w:p>
      <w:pPr>
        <w:ind w:left="1020" w:hanging="251"/>
        <w:spacing w:after="0"/>
        <w:tabs>
          <w:tab w:leader="none" w:pos="10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expand our general and administrative functions to support our future growth.</w:t>
      </w:r>
    </w:p>
    <w:p>
      <w:pPr>
        <w:spacing w:after="0" w:line="179" w:lineRule="exact"/>
        <w:rPr>
          <w:sz w:val="20"/>
          <w:szCs w:val="20"/>
          <w:color w:val="auto"/>
        </w:rPr>
      </w:pPr>
    </w:p>
    <w:p>
      <w:pPr>
        <w:ind w:right="120" w:firstLine="509"/>
        <w:spacing w:after="0" w:line="260" w:lineRule="auto"/>
        <w:rPr>
          <w:sz w:val="20"/>
          <w:szCs w:val="20"/>
          <w:color w:val="auto"/>
        </w:rPr>
      </w:pPr>
      <w:r>
        <w:rPr>
          <w:rFonts w:ascii="Arial" w:cs="Arial" w:eastAsia="Arial" w:hAnsi="Arial"/>
          <w:sz w:val="14"/>
          <w:szCs w:val="14"/>
          <w:color w:val="auto"/>
        </w:rPr>
        <w:t>Our ability to become and remain profitable depends on our ability to generate revenue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 See “—Risks Related to Product Development and Commercialization” for a further discussion of the risks we face in successfully developing and commercializing our product candidates and achieving profitability.</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jc w:val="both"/>
        <w:ind w:right="140"/>
        <w:spacing w:after="0" w:line="267" w:lineRule="auto"/>
        <w:rPr>
          <w:sz w:val="20"/>
          <w:szCs w:val="20"/>
          <w:color w:val="auto"/>
        </w:rPr>
      </w:pPr>
      <w:r>
        <w:rPr>
          <w:rFonts w:ascii="Arial" w:cs="Arial" w:eastAsia="Arial" w:hAnsi="Arial"/>
          <w:sz w:val="14"/>
          <w:szCs w:val="14"/>
          <w:b w:val="1"/>
          <w:bCs w:val="1"/>
          <w:i w:val="1"/>
          <w:iCs w:val="1"/>
          <w:color w:val="auto"/>
        </w:rPr>
        <w:t>We expect we will require substantial, additional funding in order to complete the activities necessary to develop and commercialize one or more of our product candidates. If we are unable to raise capital when needed, we could be forced to delay, reduce or eliminate one or more of our product development programs or commercialization efforts. We may require additional funding beyond what we currently expect or sooner than we currently expect.</w:t>
      </w:r>
    </w:p>
    <w:p>
      <w:pPr>
        <w:spacing w:after="0" w:line="142" w:lineRule="exact"/>
        <w:rPr>
          <w:sz w:val="20"/>
          <w:szCs w:val="20"/>
          <w:color w:val="auto"/>
        </w:rPr>
      </w:pPr>
    </w:p>
    <w:p>
      <w:pPr>
        <w:ind w:right="20" w:firstLine="509"/>
        <w:spacing w:after="0" w:line="280" w:lineRule="auto"/>
        <w:rPr>
          <w:sz w:val="20"/>
          <w:szCs w:val="20"/>
          <w:color w:val="auto"/>
        </w:rPr>
      </w:pPr>
      <w:r>
        <w:rPr>
          <w:rFonts w:ascii="Arial" w:cs="Arial" w:eastAsia="Arial" w:hAnsi="Arial"/>
          <w:sz w:val="13"/>
          <w:szCs w:val="13"/>
          <w:color w:val="auto"/>
        </w:rPr>
        <w:t>As of June 30, 2020, we had cash and cash equivalents of $245.7 million. We estimate that our year-end 2020 cash and cash equivalents will range between $215 million and $220 million. We also estimate that our cash and cash equivalents will be sufficient to fund our currently planned capital expenditure requirements and operating expenses, excluding any potential approval or sales milestones payable to Archemix Corp., or Archemix, or any commercialization expenses for Zimura, through at least mid-2024. These estimates are based on our current business plan, which includes the continuation of our clinical development programs for Zimura, the progression of our IC-100 and IC-200 programs into the clinic, and the advancement of our IC-500 development program. These estimates assume that we will enroll approximately 400 patients in the GATHER2 trial. These estimates do not reflect any additional expenditures resulting from the potential in-licensing or acquisition of additional product candidates or technologies, commencement of any new sponsored research programs or any associated development we may pursue. We have based these estimates on assumptions that may prove to be wrong, and we could use our available capital resources sooner than we currently expect.</w:t>
      </w:r>
    </w:p>
    <w:p>
      <w:pPr>
        <w:spacing w:after="0" w:line="158" w:lineRule="exact"/>
        <w:rPr>
          <w:sz w:val="20"/>
          <w:szCs w:val="20"/>
          <w:color w:val="auto"/>
        </w:rPr>
      </w:pPr>
    </w:p>
    <w:p>
      <w:pPr>
        <w:ind w:right="220" w:firstLine="509"/>
        <w:spacing w:after="0" w:line="260" w:lineRule="auto"/>
        <w:rPr>
          <w:sz w:val="20"/>
          <w:szCs w:val="20"/>
          <w:color w:val="auto"/>
        </w:rPr>
      </w:pPr>
      <w:r>
        <w:rPr>
          <w:rFonts w:ascii="Arial" w:cs="Arial" w:eastAsia="Arial" w:hAnsi="Arial"/>
          <w:sz w:val="14"/>
          <w:szCs w:val="14"/>
          <w:color w:val="auto"/>
        </w:rPr>
        <w:t>We expect we will require substantial, additional funding in order to complete the activities necessary to develop and commercialize one or more of our product candidates. Although the future development of our product candidates is highly uncertain, we expect the development of our product candidates will continue for at least the next several years. At this time, except for our estimates regarding the costs for the future development of Zimura in GA and necessary manufacturing scale-up and validation activities, we cannot reasonably estimate the total remaining costs necessary to complete development, to complete process development and manufacturing scale-up and validation activities and to potentially seek marketing approval for any of our product candidates.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future capital requirements will depend on many factors, including:</w:t>
      </w:r>
    </w:p>
    <w:p>
      <w:pPr>
        <w:spacing w:after="0" w:line="200" w:lineRule="exact"/>
        <w:rPr>
          <w:sz w:val="20"/>
          <w:szCs w:val="20"/>
          <w:color w:val="auto"/>
        </w:rPr>
      </w:pPr>
    </w:p>
    <w:p>
      <w:pPr>
        <w:ind w:left="760" w:right="100" w:hanging="246"/>
        <w:spacing w:after="0" w:line="281" w:lineRule="auto"/>
        <w:tabs>
          <w:tab w:leader="none" w:pos="75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scope, progress, costs and results of our current and any future Zimura clinical programs and any further development we may undertake to enable us to file a new drug application, or NDA, for Zimura in one or more indications;</w:t>
      </w:r>
    </w:p>
    <w:p>
      <w:pPr>
        <w:spacing w:after="0" w:line="153" w:lineRule="exact"/>
        <w:rPr>
          <w:rFonts w:ascii="Arial" w:cs="Arial" w:eastAsia="Arial" w:hAnsi="Arial"/>
          <w:sz w:val="14"/>
          <w:szCs w:val="14"/>
          <w:color w:val="auto"/>
        </w:rPr>
      </w:pPr>
    </w:p>
    <w:p>
      <w:pPr>
        <w:ind w:left="760" w:right="60" w:hanging="246"/>
        <w:spacing w:after="0" w:line="281" w:lineRule="auto"/>
        <w:tabs>
          <w:tab w:leader="none" w:pos="75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costs, progress, timing and results of process development, manufacturing scale-up and validation activities, analytical development and stability studies associated with Zimura and our other product candidates;</w:t>
      </w:r>
    </w:p>
    <w:p>
      <w:pPr>
        <w:spacing w:after="0" w:line="153" w:lineRule="exact"/>
        <w:rPr>
          <w:rFonts w:ascii="Arial" w:cs="Arial" w:eastAsia="Arial" w:hAnsi="Arial"/>
          <w:sz w:val="14"/>
          <w:szCs w:val="14"/>
          <w:color w:val="auto"/>
        </w:rPr>
      </w:pPr>
    </w:p>
    <w:p>
      <w:pPr>
        <w:ind w:left="760" w:right="100" w:hanging="246"/>
        <w:spacing w:after="0" w:line="281" w:lineRule="auto"/>
        <w:tabs>
          <w:tab w:leader="none" w:pos="75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scope, progress, costs and results of our efforts to develop IC-100, IC-200 and IC-500, including activities to establish manufacturing capabilities and other preclinical development activities to enable us to file INDs for these product candidates;</w:t>
      </w:r>
    </w:p>
    <w:p>
      <w:pPr>
        <w:spacing w:after="0" w:line="153"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scope, progress, costs and results from our collaborative gene therapy sponsored research programs, including costs related to the in-license and future development of any promising product candidates and technologies that emerge from these programs;</w:t>
      </w:r>
    </w:p>
    <w:p>
      <w:pPr>
        <w:spacing w:after="0" w:line="153" w:lineRule="exact"/>
        <w:rPr>
          <w:rFonts w:ascii="Arial" w:cs="Arial" w:eastAsia="Arial" w:hAnsi="Arial"/>
          <w:sz w:val="14"/>
          <w:szCs w:val="14"/>
          <w:color w:val="auto"/>
        </w:rPr>
      </w:pPr>
    </w:p>
    <w:p>
      <w:pPr>
        <w:ind w:left="760" w:right="340" w:hanging="246"/>
        <w:spacing w:after="0" w:line="281" w:lineRule="auto"/>
        <w:tabs>
          <w:tab w:leader="none" w:pos="756"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ability to establish collaborations on favorable terms, if at all, if we choose to do so, including any collaboration for the further development and potential commercialization of Zimura;</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timing and extent of delays or disruptions to our research and development programs as a result of the COVID-19 pandemic;</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extent to which we in-license or acquire rights to, and undertake research or development of, additional product candidates or technologies;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costs, timing and outcome of regulatory filings and reviews of our product candidates;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costs of preparing, filing and prosecuting patent applications, maintaining and protecting our intellectual property rights and defending intellectual property-related claims;</w:t>
      </w:r>
    </w:p>
    <w:p>
      <w:pPr>
        <w:spacing w:after="0" w:line="211" w:lineRule="exact"/>
        <w:rPr>
          <w:rFonts w:ascii="Arial" w:cs="Arial" w:eastAsia="Arial" w:hAnsi="Arial"/>
          <w:sz w:val="13"/>
          <w:szCs w:val="13"/>
          <w:color w:val="auto"/>
        </w:rPr>
      </w:pPr>
    </w:p>
    <w:p>
      <w:pPr>
        <w:ind w:left="760" w:hanging="246"/>
        <w:spacing w:after="0"/>
        <w:tabs>
          <w:tab w:leader="none" w:pos="7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timing, scope and cost of commercialization activities for any of our product candidates if we receive, or expect to receive, marketing approval for a product candidate; and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left="760" w:right="40" w:hanging="246"/>
        <w:spacing w:after="0" w:line="281" w:lineRule="auto"/>
        <w:tabs>
          <w:tab w:leader="none" w:pos="756" w:val="left"/>
        </w:tabs>
        <w:numPr>
          <w:ilvl w:val="0"/>
          <w:numId w:val="33"/>
        </w:numPr>
        <w:rPr>
          <w:rFonts w:ascii="Arial" w:cs="Arial" w:eastAsia="Arial" w:hAnsi="Arial"/>
          <w:sz w:val="14"/>
          <w:szCs w:val="14"/>
          <w:color w:val="auto"/>
        </w:rPr>
      </w:pPr>
      <w:r>
        <w:rPr>
          <w:rFonts w:ascii="Arial" w:cs="Arial" w:eastAsia="Arial" w:hAnsi="Arial"/>
          <w:sz w:val="14"/>
          <w:szCs w:val="14"/>
          <w:color w:val="auto"/>
        </w:rPr>
        <w:t>subject to receipt of marketing approval, net revenue received from commercial sales of any of our product candidates, after milestone payments and royalty payments that we would be obligated to make.</w:t>
      </w:r>
    </w:p>
    <w:p>
      <w:pPr>
        <w:spacing w:after="0" w:line="132" w:lineRule="exact"/>
        <w:rPr>
          <w:sz w:val="20"/>
          <w:szCs w:val="20"/>
          <w:color w:val="auto"/>
        </w:rPr>
      </w:pPr>
    </w:p>
    <w:p>
      <w:pPr>
        <w:ind w:firstLine="509"/>
        <w:spacing w:after="0" w:line="276" w:lineRule="auto"/>
        <w:rPr>
          <w:sz w:val="20"/>
          <w:szCs w:val="20"/>
          <w:color w:val="auto"/>
        </w:rPr>
      </w:pPr>
      <w:r>
        <w:rPr>
          <w:rFonts w:ascii="Arial" w:cs="Arial" w:eastAsia="Arial" w:hAnsi="Arial"/>
          <w:sz w:val="13"/>
          <w:szCs w:val="13"/>
          <w:color w:val="auto"/>
        </w:rPr>
        <w:t>We do not have any committed external source of funds. 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For example, the COVID-19 pandemic has caused significant volatility and uncertainty in the financial markets as well as additional volatility in the price of our stock, which may result in prospective investors being less likely to invest new capital. These factors may make raising capital difficult, and may result in us accepting terms that are unfavorable to us, especially if we are in need of financing at the particular time. Although we were able to raise approximately $150 million in net proceeds through our June 2020 public offering and concurrent private placement, we may not be able to successfully raise additional capital. The size of our company and our status as a company listed on The Nasdaq Global Select Market, or Nasdaq, may also limit our ability to raise financing. For example, our ability to raise adequate 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limit, reduce or terminate the development of one or more of our product candidates, our collaborative gene therapy sponsored research programs, or our future commercialization efforts.</w:t>
      </w:r>
    </w:p>
    <w:p>
      <w:pPr>
        <w:spacing w:after="0" w:line="144" w:lineRule="exact"/>
        <w:rPr>
          <w:sz w:val="20"/>
          <w:szCs w:val="20"/>
          <w:color w:val="auto"/>
        </w:rPr>
      </w:pPr>
    </w:p>
    <w:p>
      <w:pPr>
        <w:ind w:right="20" w:firstLine="509"/>
        <w:spacing w:after="0" w:line="275" w:lineRule="auto"/>
        <w:rPr>
          <w:sz w:val="20"/>
          <w:szCs w:val="20"/>
          <w:color w:val="auto"/>
        </w:rPr>
      </w:pPr>
      <w:r>
        <w:rPr>
          <w:rFonts w:ascii="Arial" w:cs="Arial" w:eastAsia="Arial" w:hAnsi="Arial"/>
          <w:sz w:val="13"/>
          <w:szCs w:val="13"/>
          <w:color w:val="auto"/>
        </w:rPr>
        <w:t>We may require additional funding beyond what we currently expect due to unforeseen or other reasons. Our costs may exceed our expectations if we experience an issue in our clinical trials, such as issues with patient enrollment, the retention of enrolled patients, enrolled patients maintaining scheduled visits and receiving scheduled treatments, or the availability of drug supply, if we experience an issue in our preclinical development programs, such as unfavorable toxicology or other preclinical data, inability to develop formulations or other issues with manufacturing, or if we modify or further expand the scope of our clinical trials, preclinical development programs or collaborative gene therapy sponsored research programs. For example, we have decided to enroll approximately 25 additional patients in our ongoing OPH2005 trial, with the goal of enrolling a total of approximately 120 patients as was initially intended in the protocol for this trial, which will extend the duration of that trial and increase our costs of conducting that trial. Our costs may also exceed our expectations for other reasons, for example, if we are required by the FDA, the EMA, or regulatory authorities in other jurisdictions to perform clinical or nonclinical trials or other studies in addition to those we currently expect to conduct, if we experience issues with process development, establishing or scaling-up of manufacturing activities or activities to enable and qualify second source suppliers, or if we decide to increase preclinical and clinical research and development activities, build internal research capabilities or pursue internal research efforts. For example, we are conducting the GATHER2 trial with the expectation that data collected from such trial, if it is positive, together with data from our GATHER1 trial, will be sufficient to seek marketing approval in the United States and the European Union and we may subsequently decide to, or be required by regulatory authorities to, enroll additional patients in the GATHER2 trial beyond our current expectations, conduct additional clinical trials for Zimura in GA or conduct additional non-clinical studies of Zimura in order to seek or maintain regulatory approval or qualify for reimbursement approval. In addition, the COVID-19 pandemic may result in additional delays to the progress of the GATHER2 trial, including slowing down or stopping patient enrollment in certain geographic areas, our ability to recruit additional patients for our OPH2005 trial or to our other research and development programs, which could cause us to continue to expend our cash resources while not progressing our research and development programs as expeditiously as we would have had the pandemic not occurred or persisted. We may experience difficulty in enrolling or retaining patients or maintaining scheduled visits and treatments due to patients' fears of visiting clinical trial sites or ongoing restrictive measures requiring social distancing or limiting travel. For example, we are aware that, in the OPH2005 trial, a small number of patients missed consecutive visits during the COVID-19 pandemic and we do not know yet whether the number of missed visits will increase or decrease in the OPH2005 trial or occur in the GATHER2 trial. As a result of any of the above, we may need or may seek to obtain additional funding for our continuing operations sooner or in greater amounts than expected.</w:t>
      </w:r>
    </w:p>
    <w:p>
      <w:pPr>
        <w:spacing w:after="0" w:line="142" w:lineRule="exact"/>
        <w:rPr>
          <w:sz w:val="20"/>
          <w:szCs w:val="20"/>
          <w:color w:val="auto"/>
        </w:rPr>
      </w:pPr>
    </w:p>
    <w:p>
      <w:pPr>
        <w:ind w:right="80" w:firstLine="509"/>
        <w:spacing w:after="0" w:line="288" w:lineRule="auto"/>
        <w:rPr>
          <w:sz w:val="20"/>
          <w:szCs w:val="20"/>
          <w:color w:val="auto"/>
        </w:rPr>
      </w:pPr>
      <w:r>
        <w:rPr>
          <w:rFonts w:ascii="Arial" w:cs="Arial" w:eastAsia="Arial" w:hAnsi="Arial"/>
          <w:sz w:val="13"/>
          <w:szCs w:val="13"/>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Raising additional capital may cause dilution to our stockholders, restrict our operations or require us to relinquish rights to our technologies or product candidates.</w:t>
      </w:r>
    </w:p>
    <w:p>
      <w:pPr>
        <w:spacing w:after="0" w:line="179" w:lineRule="exact"/>
        <w:rPr>
          <w:sz w:val="20"/>
          <w:szCs w:val="20"/>
          <w:color w:val="auto"/>
        </w:rPr>
      </w:pPr>
    </w:p>
    <w:p>
      <w:pPr>
        <w:ind w:right="20" w:firstLine="509"/>
        <w:spacing w:after="0" w:line="280" w:lineRule="auto"/>
        <w:rPr>
          <w:sz w:val="20"/>
          <w:szCs w:val="20"/>
          <w:color w:val="auto"/>
        </w:rPr>
      </w:pPr>
      <w:r>
        <w:rPr>
          <w:rFonts w:ascii="Arial" w:cs="Arial" w:eastAsia="Arial" w:hAnsi="Arial"/>
          <w:sz w:val="13"/>
          <w:szCs w:val="13"/>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equity issuances may be substantial, depending on the price of our common stock at the time of such capital raise, with a lower stock price translating to greater dilution for existing stockholders.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37" w:lineRule="exact"/>
        <w:rPr>
          <w:sz w:val="20"/>
          <w:szCs w:val="20"/>
          <w:color w:val="auto"/>
        </w:rPr>
      </w:pPr>
    </w:p>
    <w:p>
      <w:pPr>
        <w:ind w:right="20" w:firstLine="509"/>
        <w:spacing w:after="0" w:line="278" w:lineRule="auto"/>
        <w:rPr>
          <w:sz w:val="20"/>
          <w:szCs w:val="20"/>
          <w:color w:val="auto"/>
        </w:rPr>
      </w:pPr>
      <w:r>
        <w:rPr>
          <w:rFonts w:ascii="Arial" w:cs="Arial" w:eastAsia="Arial" w:hAnsi="Arial"/>
          <w:sz w:val="13"/>
          <w:szCs w:val="13"/>
          <w:color w:val="auto"/>
        </w:rPr>
        <w:t>In addition, we have issued, and may in the future issue additional, equity securities as consideration for business development transactions, which may also dilute our existing stockholders' ownership interests. For example, under the agreement and plan of merger pursuant to which we acquired Inception 4 and our HtrA1 inhibitor program, or the Inception 4 Merger Agreement, we issued an aggregate of 5,174,727 shares of our common stock as up-front consideration to the former equityholders of Inception 4. The Inception 4 Merger Agreement also requires us to make payments to the former equityholders of Inception 4 upon the achievement of certain clinical and regulatory milestones, subject to the terms and conditions set forth in the Inception 4 Merger Agreement. Those milestone payments will be in the form of shares of our common stock, calculated based on the price of our common stock over a five-trading day period preceding the achievement of the relevant milestone, unless and until the issuance of such shares would, together with all other shares issued under the Inception 4 Merger Agreement, exceed an overall maximum limit of approximately 7.2 million shares, which is equal to 19.9% of the number of issued and outstanding shares of our common stock as of the close of business on the business day prior to the closing date of our acquisition of Inception 4, and will be payable in cash thereafter. In July 2019, we also issued 75,000 shares of our common stock to UMass as partial upfront consideration for the in-license of our miniCEP290 program, and are obligated to issue up to 75,000 additional shares to UMass upon the achievement of a development milestone.</w:t>
      </w:r>
    </w:p>
    <w:p>
      <w:pPr>
        <w:spacing w:after="0" w:line="139" w:lineRule="exact"/>
        <w:rPr>
          <w:sz w:val="20"/>
          <w:szCs w:val="20"/>
          <w:color w:val="auto"/>
        </w:rPr>
      </w:pPr>
    </w:p>
    <w:p>
      <w:pPr>
        <w:ind w:firstLine="509"/>
        <w:spacing w:after="0" w:line="288" w:lineRule="auto"/>
        <w:rPr>
          <w:sz w:val="20"/>
          <w:szCs w:val="20"/>
          <w:color w:val="auto"/>
        </w:rPr>
      </w:pPr>
      <w:r>
        <w:rPr>
          <w:rFonts w:ascii="Arial" w:cs="Arial" w:eastAsia="Arial" w:hAnsi="Arial"/>
          <w:sz w:val="13"/>
          <w:szCs w:val="13"/>
          <w:color w:val="auto"/>
        </w:rPr>
        <w:t>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For example, if we choose to pursue a collaboration for Zimura, we may be required to relinquish certain valuable rights depending on the terms of such a transaction. If we are unable to raise additional funds through equity or debt financings when needed, we may be required to grant rights to develop and market products or product candidates that we would otherwise prefer to develop and market ourselves.</w:t>
      </w:r>
    </w:p>
    <w:p>
      <w:pPr>
        <w:spacing w:after="0" w:line="131"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b w:val="1"/>
          <w:bCs w:val="1"/>
          <w:i w:val="1"/>
          <w:iCs w:val="1"/>
          <w:color w:val="auto"/>
        </w:rPr>
        <w:t>The COVID-19 pandemic, which is a fluid and evolving situation, is negatively affecting and may continue to negatively affect our business and operations in a number of ways, including delaying the originally planned initiation of patient enrollment for our GATHER2 trial in March 2020, and its long-term effects are uncertain. In addition, the pandemic has caused substantial disruption in the financial markets and economies, which could adversely affect our business and operations.</w:t>
      </w:r>
    </w:p>
    <w:p>
      <w:pPr>
        <w:spacing w:after="0" w:line="142" w:lineRule="exact"/>
        <w:rPr>
          <w:sz w:val="20"/>
          <w:szCs w:val="20"/>
          <w:color w:val="auto"/>
        </w:rPr>
      </w:pPr>
    </w:p>
    <w:p>
      <w:pPr>
        <w:ind w:right="80" w:firstLine="509"/>
        <w:spacing w:after="0" w:line="280" w:lineRule="auto"/>
        <w:rPr>
          <w:sz w:val="20"/>
          <w:szCs w:val="20"/>
          <w:color w:val="auto"/>
        </w:rPr>
      </w:pPr>
      <w:r>
        <w:rPr>
          <w:rFonts w:ascii="Arial" w:cs="Arial" w:eastAsia="Arial" w:hAnsi="Arial"/>
          <w:sz w:val="13"/>
          <w:szCs w:val="13"/>
          <w:color w:val="auto"/>
        </w:rPr>
        <w:t>In December 2019, an outbreak of respiratory illness caused by a novel coronavirus began in Wuhan, China. As of August 2020, that outbreak has led to at least eighteen million confirmed cases and at least 700,000 deaths worldwide, with most countries throughout the world confirming cases. The World Health Organization has declared the outbreak a global pandemic and the U.S. government and all 50 states have declared it to be a national or state emergency. In addition, a majority of the world's population has been affected by government efforts to slow the spread of the outbreak through stay-at-home and social distancing orders, shutdowns of businesses and public places, heightened border security, travel restrictions, quarantines and other measures. The outbreak and government measures taken in response have had a significant impact, both direct and indirect, on businesses and commerce, as a substantial number of people have been required to stay and work from home; worker shortages have occurred; supply chains have been disrupted; facilities and production have been suspended; and demand for certain goods and services, such as medical services and supplies, has spiked, while demand for other goods and services, such as travel and conferences, has fallen.</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COVID-19 pandemic and measures taken to contain it have affected our business and operations in a number of ways. These include, but are not limited to, the following:</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left="520" w:right="20" w:hanging="260"/>
        <w:spacing w:after="0" w:line="303" w:lineRule="auto"/>
        <w:tabs>
          <w:tab w:leader="none" w:pos="516" w:val="left"/>
        </w:tabs>
        <w:numPr>
          <w:ilvl w:val="0"/>
          <w:numId w:val="34"/>
        </w:numPr>
        <w:rPr>
          <w:rFonts w:ascii="Arial" w:cs="Arial" w:eastAsia="Arial" w:hAnsi="Arial"/>
          <w:sz w:val="12"/>
          <w:szCs w:val="12"/>
          <w:color w:val="auto"/>
        </w:rPr>
      </w:pPr>
      <w:r>
        <w:rPr>
          <w:rFonts w:ascii="Arial" w:cs="Arial" w:eastAsia="Arial" w:hAnsi="Arial"/>
          <w:sz w:val="12"/>
          <w:szCs w:val="12"/>
          <w:color w:val="auto"/>
        </w:rPr>
        <w:t>In March 2020, we decided to delay initiation of patient enrollment in our GATHER2 trial. Although we initiated patient enrollment in June 2020 and our clinical trial sites are continuing to enroll patients, we and our clinical trial sites are doing so cautiously in light of new health and safety practices put into place as a result of the COVID-19 pandemic. We are continuing to monitor the situation closely and may need to slow down or stop patient enrollment in certain geographies depending on the local situation. In addition, we are continuing with activating additional sites and, because of the ongoing and variable nature of the pandemic and its potential impact on patient recruitment and retention, we are planning to add more countries and sites to this trial. Health authorities and ethics committees in certain countries, and many of the clinical trial sites we are using or plan to use for this trial, have reduced their staff and operations due to the COVID-19 pandemic. This reduction in operations has resulted in delays to the approval of our trial in certain countries outside the United States and delays in the activation process for a number of our planned clinical trial sites. Although many clinical trial sites have started to reopen, many are doing so with reduced staff and operations and focusing on more urgent matters rather than clinical trials. We may face difficulties in recruiting or retaining patients to the extent patients are affected by the virus or are fearful of visiting or traveling to our clinical trial sites because of the pandemic. At this time, we do not know whether there will be further impacts on the timing and progress of patient enrollment or on patient retention in the GATHER2 trial as a result of the COVID-19 pandemic. We may face similar issues with patient recruitment and patient retention for the expansion of the OPH2005 trial.</w:t>
      </w:r>
    </w:p>
    <w:p>
      <w:pPr>
        <w:spacing w:after="0" w:line="146" w:lineRule="exact"/>
        <w:rPr>
          <w:rFonts w:ascii="Arial" w:cs="Arial" w:eastAsia="Arial" w:hAnsi="Arial"/>
          <w:sz w:val="12"/>
          <w:szCs w:val="12"/>
          <w:color w:val="auto"/>
        </w:rPr>
      </w:pPr>
    </w:p>
    <w:p>
      <w:pPr>
        <w:ind w:left="520" w:right="140" w:hanging="260"/>
        <w:spacing w:after="0" w:line="267" w:lineRule="auto"/>
        <w:tabs>
          <w:tab w:leader="none" w:pos="516"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 instituted company-wide remote working starting in the middle of March 2020 and expect to continue working remotely for the foreseeable future. Investor and scientific meetings and conferences have been canceled or are occurring virtually. We have been relying on remote means of working and communication both internally and externally. We are continuing to monitor and support the health and well-being of our employees and their productivity as remote working continues.</w:t>
      </w:r>
    </w:p>
    <w:p>
      <w:pPr>
        <w:spacing w:after="0" w:line="162" w:lineRule="exact"/>
        <w:rPr>
          <w:rFonts w:ascii="Arial" w:cs="Arial" w:eastAsia="Arial" w:hAnsi="Arial"/>
          <w:sz w:val="14"/>
          <w:szCs w:val="14"/>
          <w:color w:val="auto"/>
        </w:rPr>
      </w:pPr>
    </w:p>
    <w:p>
      <w:pPr>
        <w:ind w:left="520" w:right="60" w:hanging="260"/>
        <w:spacing w:after="0" w:line="258" w:lineRule="auto"/>
        <w:tabs>
          <w:tab w:leader="none" w:pos="516" w:val="left"/>
        </w:tabs>
        <w:numPr>
          <w:ilvl w:val="0"/>
          <w:numId w:val="34"/>
        </w:numPr>
        <w:rPr>
          <w:rFonts w:ascii="Arial" w:cs="Arial" w:eastAsia="Arial" w:hAnsi="Arial"/>
          <w:sz w:val="14"/>
          <w:szCs w:val="14"/>
          <w:color w:val="auto"/>
        </w:rPr>
      </w:pPr>
      <w:r>
        <w:rPr>
          <w:rFonts w:ascii="Arial" w:cs="Arial" w:eastAsia="Arial" w:hAnsi="Arial"/>
          <w:sz w:val="14"/>
          <w:szCs w:val="14"/>
          <w:color w:val="auto"/>
        </w:rPr>
        <w:t>Many of our clinical trial sites have been operating with reduced staff and other restrictions. We have increased our efforts to engage with our clinical trial sites with a focus on retaining patients and maintaining scheduled visits and treatments, and where possible, instituted practices such as flexible scheduling of visits for patients and remote monitoring. Based on the latest information we have available, we are aware that a small number of patients in the OPH2005 trial have missed consecutive trial visits during the pandemic; however, the number of missed visits has been decreasing recently. We continue to monitor the situation closely. We do not yet know whether the number of missed visits will increase or decrease in the OPH2005 trial or how many missed visits will occur in the GATHER2 trial, or what the impact of missed visits may be on trial results, especially because we are masked to the treatment condition of patients during the conduct of the trials.</w:t>
      </w:r>
    </w:p>
    <w:p>
      <w:pPr>
        <w:spacing w:after="0" w:line="171" w:lineRule="exact"/>
        <w:rPr>
          <w:rFonts w:ascii="Arial" w:cs="Arial" w:eastAsia="Arial" w:hAnsi="Arial"/>
          <w:sz w:val="14"/>
          <w:szCs w:val="14"/>
          <w:color w:val="auto"/>
        </w:rPr>
      </w:pPr>
    </w:p>
    <w:p>
      <w:pPr>
        <w:ind w:left="520" w:right="140" w:hanging="260"/>
        <w:spacing w:after="0" w:line="331" w:lineRule="auto"/>
        <w:tabs>
          <w:tab w:leader="none" w:pos="516" w:val="left"/>
        </w:tabs>
        <w:numPr>
          <w:ilvl w:val="0"/>
          <w:numId w:val="34"/>
        </w:numPr>
        <w:rPr>
          <w:rFonts w:ascii="Arial" w:cs="Arial" w:eastAsia="Arial" w:hAnsi="Arial"/>
          <w:sz w:val="12"/>
          <w:szCs w:val="12"/>
          <w:color w:val="auto"/>
        </w:rPr>
      </w:pPr>
      <w:r>
        <w:rPr>
          <w:rFonts w:ascii="Arial" w:cs="Arial" w:eastAsia="Arial" w:hAnsi="Arial"/>
          <w:sz w:val="12"/>
          <w:szCs w:val="12"/>
          <w:color w:val="auto"/>
        </w:rPr>
        <w:t>In some instances, our third-party contract manufacturers, academic research collaborators and contract research organizations have limited their operations and staff, which has resulted in delays to some of our manufacturing and research and development activities and limited our ability to be on site to oversee these activities. For example, the closure of animal research laboratories at the University of Massachusetts Medical School, or UMMS, has caused delays to the progress of our collaborative gene therapy sponsored research programs.</w:t>
      </w:r>
    </w:p>
    <w:p>
      <w:pPr>
        <w:spacing w:after="0" w:line="129" w:lineRule="exact"/>
        <w:rPr>
          <w:rFonts w:ascii="Arial" w:cs="Arial" w:eastAsia="Arial" w:hAnsi="Arial"/>
          <w:sz w:val="12"/>
          <w:szCs w:val="12"/>
          <w:color w:val="auto"/>
        </w:rPr>
      </w:pPr>
    </w:p>
    <w:p>
      <w:pPr>
        <w:ind w:left="520" w:right="40" w:hanging="260"/>
        <w:spacing w:after="0" w:line="313" w:lineRule="auto"/>
        <w:tabs>
          <w:tab w:leader="none" w:pos="516" w:val="left"/>
        </w:tabs>
        <w:numPr>
          <w:ilvl w:val="0"/>
          <w:numId w:val="34"/>
        </w:numPr>
        <w:rPr>
          <w:rFonts w:ascii="Arial" w:cs="Arial" w:eastAsia="Arial" w:hAnsi="Arial"/>
          <w:sz w:val="12"/>
          <w:szCs w:val="12"/>
          <w:color w:val="auto"/>
        </w:rPr>
      </w:pPr>
      <w:r>
        <w:rPr>
          <w:rFonts w:ascii="Arial" w:cs="Arial" w:eastAsia="Arial" w:hAnsi="Arial"/>
          <w:sz w:val="12"/>
          <w:szCs w:val="12"/>
          <w:color w:val="auto"/>
        </w:rPr>
        <w:t>Shortages and governmental restrictions arising from the COVID-19 pandemic have disrupted and may continue to disrupt the ability of our contract manufacturers to procure items, such as raw materials, that are essential for the manufacture of our product candidates. For example, our contract manufacturer for IC-500 experienced a shortage in obtaining one of the critical raw materials that was sourced from China, which was caused by the shutdown of local suppliers and the slowdown in trade due to the COVID-19 pandemic. This shortage delayed our API process development activities for IC-500 by a number of months. Additionally, there is increased demand for the vials we are considering using for the fill/finish of Zimura drug product, which governments and other companies intend to use for COVID-19 vaccines and medicines. This increased demand may limit our ability to obtain these vials for our own needs.</w:t>
      </w:r>
    </w:p>
    <w:p>
      <w:pPr>
        <w:spacing w:after="0" w:line="139" w:lineRule="exact"/>
        <w:rPr>
          <w:rFonts w:ascii="Arial" w:cs="Arial" w:eastAsia="Arial" w:hAnsi="Arial"/>
          <w:sz w:val="12"/>
          <w:szCs w:val="12"/>
          <w:color w:val="auto"/>
        </w:rPr>
      </w:pPr>
    </w:p>
    <w:p>
      <w:pPr>
        <w:ind w:left="520" w:right="480" w:hanging="260"/>
        <w:spacing w:after="0" w:line="281" w:lineRule="auto"/>
        <w:tabs>
          <w:tab w:leader="none" w:pos="516"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pandemic has caused significant disruption to the financial markets, and has caused increased volatility in the price of our stock and that of other companies in the biotechnology industry.</w:t>
      </w:r>
    </w:p>
    <w:p>
      <w:pPr>
        <w:spacing w:after="0" w:line="132"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212529"/>
        </w:rPr>
        <w:t xml:space="preserve">We do not believe that the COVID-19 pandemic, and our actions in response and the costs of those actions, have had a material impact on our financial position, results of operations, or cash flows for the three or six months ended June 30, 2020. The progression of the COVID-19 pandemic remains fluid and its impact on our business and operations remains uncertain. </w:t>
      </w:r>
      <w:r>
        <w:rPr>
          <w:rFonts w:ascii="Arial" w:cs="Arial" w:eastAsia="Arial" w:hAnsi="Arial"/>
          <w:sz w:val="14"/>
          <w:szCs w:val="14"/>
          <w:color w:val="000000"/>
        </w:rPr>
        <w:t>Even though the</w:t>
      </w:r>
      <w:r>
        <w:rPr>
          <w:rFonts w:ascii="Arial" w:cs="Arial" w:eastAsia="Arial" w:hAnsi="Arial"/>
          <w:sz w:val="14"/>
          <w:szCs w:val="14"/>
          <w:color w:val="212529"/>
        </w:rPr>
        <w:t xml:space="preserve"> </w:t>
      </w:r>
      <w:r>
        <w:rPr>
          <w:rFonts w:ascii="Arial" w:cs="Arial" w:eastAsia="Arial" w:hAnsi="Arial"/>
          <w:sz w:val="14"/>
          <w:szCs w:val="14"/>
          <w:color w:val="000000"/>
        </w:rPr>
        <w:t>pandemic may be under control in several countries, there may be a second or subsequent waves as stay-at-home and social distancing orders are lifted. For example, in a number of states in the southern and western United States, where the pandemic did not have as significant of an effect in March and April 2020 as it did in the northeastern United States and many of which reopened earlier than states in the northeastern United States, there has been over the past two months a</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 xml:space="preserve">significant increase in the number of cases, which has caused public health authorities in those states to reimpose restrictive measures. The prospects for finding an effective vaccine or treatment for this disease are uncertain, which may cause the measures to contain the pandemic to be in place for a prolonged period of time. </w:t>
      </w:r>
      <w:r>
        <w:rPr>
          <w:rFonts w:ascii="Arial" w:cs="Arial" w:eastAsia="Arial" w:hAnsi="Arial"/>
          <w:sz w:val="14"/>
          <w:szCs w:val="14"/>
          <w:color w:val="212529"/>
        </w:rPr>
        <w:t>The full extent to which the COVID-19 pandemic will directly or</w:t>
      </w:r>
      <w:r>
        <w:rPr>
          <w:rFonts w:ascii="Arial" w:cs="Arial" w:eastAsia="Arial" w:hAnsi="Arial"/>
          <w:sz w:val="14"/>
          <w:szCs w:val="14"/>
          <w:color w:val="auto"/>
        </w:rPr>
        <w:t xml:space="preserve"> </w:t>
      </w:r>
      <w:r>
        <w:rPr>
          <w:rFonts w:ascii="Arial" w:cs="Arial" w:eastAsia="Arial" w:hAnsi="Arial"/>
          <w:sz w:val="14"/>
          <w:szCs w:val="14"/>
          <w:color w:val="212529"/>
        </w:rPr>
        <w:t>indirectly impact our business, results of operations and financial condition will depend on developments that are highly uncertain and cannot be accurately predicted, including new information that may emerge concerning COVID-19, the actions taken to contain it or lessen its impact and the economic impact on local, regional, national and international markets. If the delays and other disruptions due to the pandemic become prolonged or more extensive, then we may experience further delays or disruptions to our research and development programs and our financial position, results of operations or cash flows for future periods may be materially affected.</w:t>
      </w:r>
    </w:p>
    <w:p>
      <w:pPr>
        <w:spacing w:after="0" w:line="171"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In addition, many companies have been using force majeure clauses in their contracts to excuse or delay performing under their contracts. Our contract manufacturers, academic research collaborators, contract research organizations and other third parties on whom we rely for goods or services may make similar claims. If any such force majeure claims were successful, then not only would our timelines be delayed but also our right to recover for any economic damages due to the delay would be limited. Because we rely on many single-source suppliers, any such claims from them are likely to result in a delay to our timelines or otherwise adversely affect our operations or financial position.</w:t>
      </w:r>
    </w:p>
    <w:p>
      <w:pPr>
        <w:spacing w:after="0" w:line="146" w:lineRule="exact"/>
        <w:rPr>
          <w:sz w:val="20"/>
          <w:szCs w:val="20"/>
          <w:color w:val="auto"/>
        </w:rPr>
      </w:pPr>
    </w:p>
    <w:p>
      <w:pPr>
        <w:ind w:right="20" w:firstLine="509"/>
        <w:spacing w:after="0" w:line="280" w:lineRule="auto"/>
        <w:rPr>
          <w:sz w:val="20"/>
          <w:szCs w:val="20"/>
          <w:color w:val="auto"/>
        </w:rPr>
      </w:pPr>
      <w:r>
        <w:rPr>
          <w:rFonts w:ascii="Arial" w:cs="Arial" w:eastAsia="Arial" w:hAnsi="Arial"/>
          <w:sz w:val="13"/>
          <w:szCs w:val="13"/>
          <w:color w:val="auto"/>
        </w:rPr>
        <w:t>We cannot foresee if and when the outbreak of COVID-19 will be effectively contained, nor can we predict the severity and duration of the impact of the pandemic on our financial condition or operations. Currently, most of the new cases are located in the United States and Latin America, whereas most of Europe and Asia have seen reduced numbers of new cases. Even if the pandemic is contained and the economy is largely reopened, the pandemic may recur and the existing measures may be re-imposed. If the COVID-19 pandemic is not effectively and timely controlled, we may experience prolonged disruptions to our clinical trials or supply chains, extended closures of facilities, such as clinical trial sites, academic research centers and suppliers, including single source suppliers, and delays in interactions with regulatory agencies or obtaining approvals for our product candidates. Many economists are predicting that the pandemic may have significant or long-lasting effects on economies worldwide. If the effects of COVID-19 on the financial markets and the global economy persist, they could hamper our ability to raise additional finances. Any of these events may materially and adversely affect our business operations and financial condition.</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strategy of obtaining additional rights to products, product candidates or technologies for the treatment of retinal diseases may not be successful.</w:t>
      </w:r>
    </w:p>
    <w:p>
      <w:pPr>
        <w:spacing w:after="0" w:line="104" w:lineRule="exact"/>
        <w:rPr>
          <w:sz w:val="20"/>
          <w:szCs w:val="20"/>
          <w:color w:val="auto"/>
        </w:rPr>
      </w:pPr>
    </w:p>
    <w:p>
      <w:pPr>
        <w:ind w:right="140" w:firstLine="509"/>
        <w:spacing w:after="0" w:line="282" w:lineRule="auto"/>
        <w:rPr>
          <w:sz w:val="20"/>
          <w:szCs w:val="20"/>
          <w:color w:val="auto"/>
        </w:rPr>
      </w:pPr>
      <w:r>
        <w:rPr>
          <w:rFonts w:ascii="Arial" w:cs="Arial" w:eastAsia="Arial" w:hAnsi="Arial"/>
          <w:sz w:val="13"/>
          <w:szCs w:val="13"/>
          <w:color w:val="auto"/>
        </w:rPr>
        <w:t>An element of our strategy has been to expand our pipeline through in-licensing or acquiring the rights to products, product candidates or technologies that would complement our strategic goals as well as other compelling ophthalmology opportunities. Since early 2018, we have completed multiple acquisition, in-license, exclusive option and sponsored research arrangements for product candidates and other technologies intended to treat retinal diseases. We plan to continue to evaluate additional opportunities to in-license or acquire products, product candidates and technologies on a selective and targeted basis. We may also continue to consider other alternatives, including mergers or other transactions involving our company as a whole or other collaboration transactions, including collaboration or out-license opportunities for further development and potential commercialization of Zimura. Our business development efforts may fail to result in our acquiring rights to additional products, product candidates or technologies, or may result in our consummating transactions with which you do not agree.</w:t>
      </w:r>
    </w:p>
    <w:p>
      <w:pPr>
        <w:spacing w:after="0" w:line="49" w:lineRule="exact"/>
        <w:rPr>
          <w:sz w:val="20"/>
          <w:szCs w:val="20"/>
          <w:color w:val="auto"/>
        </w:rPr>
      </w:pPr>
    </w:p>
    <w:p>
      <w:pPr>
        <w:ind w:right="20" w:firstLine="509"/>
        <w:spacing w:after="0" w:line="258" w:lineRule="auto"/>
        <w:rPr>
          <w:sz w:val="20"/>
          <w:szCs w:val="20"/>
          <w:color w:val="auto"/>
        </w:rPr>
      </w:pPr>
      <w:r>
        <w:rPr>
          <w:rFonts w:ascii="Arial" w:cs="Arial" w:eastAsia="Arial" w:hAnsi="Arial"/>
          <w:sz w:val="14"/>
          <w:szCs w:val="14"/>
          <w:color w:val="auto"/>
        </w:rPr>
        <w:t>We may be unable to in-license or acquire the rights to any such products, product candidates or technologies from third parties for several reasons. The success of this strategy depends partly upon our ability to identify, select and acquire or in-license promising product candidates and technologies. There are currently a limited number of available product candidates or technologies for the treatment of diseases affecting retina and the competition for those assets is intense. The process of proposing, negotiating and implementing a license or acquisition of a product candidate is lengthy and complex. With respect to potential product candidates or technologies for which we have entered into option agreements or sponsored research agreements for which we have option rights, our agreements generally do not have fixed economic or other key terms for definitive agreements, and we may not obtain favorable terms if and when we choose to exercise our options to acquire or in-license any product candidates or technologies.</w:t>
      </w:r>
    </w:p>
    <w:p>
      <w:pPr>
        <w:spacing w:after="0" w:line="65"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The in-licensing and acquisition of pharmaceutical products is an area characterized by intense competition, and a number of companies (both more established and early stage biotechnology companies) are also pursuing strategies to in-license or acquire product candidates or technologies that we may consider attractive. We believe that other companies may be particularly active in pursuing opportunities to in-license or acquire priming gene therapy opportunities. More established companies may have a competitive advantage over us due to their size, cash resources and greater research, preclinical or clinical development or commercialization capabilities, while earlier stage companies may be more aggressive or have a higher risk tolerance. In addition, companies that perceive us to be a competitor may be unwilling to assign or license rights to us. We also may be unable to in-license or acquire the rights to the relevant product candidate or technology on terms that would allow</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us to make an appropriate return on our investment. Moreover, we may devote resources to potential acquisitions or in-licensing opportunities that are never completed, or we may fail to realize the anticipated benefits of such efforts or we may incorrectly judge the value of an acquired or in-licensed product candidate or technology.</w:t>
      </w:r>
    </w:p>
    <w:p>
      <w:pPr>
        <w:spacing w:after="0" w:line="47" w:lineRule="exact"/>
        <w:rPr>
          <w:sz w:val="20"/>
          <w:szCs w:val="20"/>
          <w:color w:val="auto"/>
        </w:rPr>
      </w:pPr>
    </w:p>
    <w:p>
      <w:pPr>
        <w:ind w:right="40" w:firstLine="509"/>
        <w:spacing w:after="0" w:line="267" w:lineRule="auto"/>
        <w:rPr>
          <w:sz w:val="20"/>
          <w:szCs w:val="20"/>
          <w:color w:val="auto"/>
        </w:rPr>
      </w:pPr>
      <w:r>
        <w:rPr>
          <w:rFonts w:ascii="Arial" w:cs="Arial" w:eastAsia="Arial" w:hAnsi="Arial"/>
          <w:sz w:val="14"/>
          <w:szCs w:val="14"/>
          <w:color w:val="auto"/>
        </w:rPr>
        <w:t>Further, any product candidate that we acquire or in-license would most likely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would not be shown to be sufficiently safe and effective for approval by regulatory authorities.</w:t>
      </w:r>
    </w:p>
    <w:p>
      <w:pPr>
        <w:spacing w:after="0" w:line="57" w:lineRule="exact"/>
        <w:rPr>
          <w:sz w:val="20"/>
          <w:szCs w:val="20"/>
          <w:color w:val="auto"/>
        </w:rPr>
      </w:pPr>
    </w:p>
    <w:p>
      <w:pPr>
        <w:ind w:right="40" w:firstLine="509"/>
        <w:spacing w:after="0" w:line="284" w:lineRule="auto"/>
        <w:rPr>
          <w:sz w:val="20"/>
          <w:szCs w:val="20"/>
          <w:color w:val="auto"/>
        </w:rPr>
      </w:pPr>
      <w:r>
        <w:rPr>
          <w:rFonts w:ascii="Arial" w:cs="Arial" w:eastAsia="Arial" w:hAnsi="Arial"/>
          <w:sz w:val="13"/>
          <w:szCs w:val="13"/>
          <w:color w:val="auto"/>
        </w:rPr>
        <w:t>If we are unable to successfully obtain rights to suitable product candidates or technologies, our business, financial condition and prospects for growth could suffer. In addition, acquisitions and in-licensing arrangements for product candidates and technologies are inherently risky, and ultimately, if we do not complete an announced acquisition or license transaction or integrate an acquired or licensed product candidate or technology successfully and in a timely manner, we may not realize the benefits of the acquisition or license to the extent anticipated and the perception of the effectiveness of our management team and our company may suffer in the marketplace. In addition, even if we are able to successfully identify, negotiate and execute one or more transactions to acquire or in-license new product candidates or technologies, our expenses and short-term costs may increase materially and adversely affect our liquidity.</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addition, acquisitions and in-licenses may entail numerous operational, financial and legal risks, including:</w:t>
      </w:r>
    </w:p>
    <w:p>
      <w:pPr>
        <w:spacing w:after="0" w:line="200" w:lineRule="exact"/>
        <w:rPr>
          <w:sz w:val="20"/>
          <w:szCs w:val="20"/>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exposure to known and unknown liabilities, including possible intellectual property infringement claims, violations of laws, tax liabilities and commercial disputes;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incurrence of substantial debt, dilutive issuances of securities or depletion of cash to pay for acquisitions;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higher than expected acquisition and integration costs;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difficulty in combining the operations and personnel of any acquired businesses with our operations and personnel;</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inability to maintain uniform standards, controls, procedures and policies;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restructuring charges related to eliminating redundancies or disposing of assets as part of any such combination;</w:t>
      </w:r>
    </w:p>
    <w:p>
      <w:pPr>
        <w:spacing w:after="0" w:line="199"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35"/>
        </w:numPr>
        <w:rPr>
          <w:rFonts w:ascii="Arial" w:cs="Arial" w:eastAsia="Arial" w:hAnsi="Arial"/>
          <w:sz w:val="14"/>
          <w:szCs w:val="14"/>
          <w:color w:val="auto"/>
        </w:rPr>
      </w:pPr>
      <w:r>
        <w:rPr>
          <w:rFonts w:ascii="Arial" w:cs="Arial" w:eastAsia="Arial" w:hAnsi="Arial"/>
          <w:sz w:val="14"/>
          <w:szCs w:val="14"/>
          <w:color w:val="auto"/>
        </w:rPr>
        <w:t>large write-offs and difficulties in assessing the relative percentages of in-process research and development expense that can be immediately written off as compared to the amount that must be amortized over the appropriate life of the asset;</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increased amortization expenses or, in the event that we write-down the value of acquired assets, impairment losses;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impairment of relationships with key suppliers or customers of any acquired businesses due to changes in management and ownership;</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inability to retain personnel, key customers, distributors, vendors and other business collaborators integral to an in-licensed or acquired product candidate or technology;</w:t>
      </w:r>
    </w:p>
    <w:p>
      <w:pPr>
        <w:spacing w:after="0" w:line="199" w:lineRule="exact"/>
        <w:rPr>
          <w:rFonts w:ascii="Arial" w:cs="Arial" w:eastAsia="Arial" w:hAnsi="Arial"/>
          <w:sz w:val="14"/>
          <w:szCs w:val="14"/>
          <w:color w:val="auto"/>
        </w:rPr>
      </w:pPr>
    </w:p>
    <w:p>
      <w:pPr>
        <w:ind w:left="760" w:right="60" w:hanging="246"/>
        <w:spacing w:after="0" w:line="258" w:lineRule="auto"/>
        <w:tabs>
          <w:tab w:leader="none" w:pos="756" w:val="left"/>
        </w:tabs>
        <w:numPr>
          <w:ilvl w:val="0"/>
          <w:numId w:val="35"/>
        </w:numPr>
        <w:rPr>
          <w:rFonts w:ascii="Arial" w:cs="Arial" w:eastAsia="Arial" w:hAnsi="Arial"/>
          <w:sz w:val="14"/>
          <w:szCs w:val="14"/>
          <w:color w:val="auto"/>
        </w:rPr>
      </w:pPr>
      <w:r>
        <w:rPr>
          <w:rFonts w:ascii="Arial" w:cs="Arial" w:eastAsia="Arial" w:hAnsi="Arial"/>
          <w:sz w:val="14"/>
          <w:szCs w:val="14"/>
          <w:color w:val="auto"/>
        </w:rPr>
        <w:t>potential failure of the due diligence process to identify significant problems, liabilities or other shortcomings or challenges of an acquired or licensed product candidate or technology, including problems, liabilities or other shortcomings or challenges with respect to intellectual property, product quality, revenue recognition or other accounting practices, partner disputes or issues and other legal and financial contingencies and known and unknown liabilities; and</w:t>
      </w:r>
    </w:p>
    <w:p>
      <w:pPr>
        <w:ind w:left="760" w:hanging="246"/>
        <w:spacing w:after="0" w:line="266" w:lineRule="auto"/>
        <w:tabs>
          <w:tab w:leader="none" w:pos="756" w:val="left"/>
        </w:tabs>
        <w:numPr>
          <w:ilvl w:val="0"/>
          <w:numId w:val="35"/>
        </w:numPr>
        <w:rPr>
          <w:rFonts w:ascii="Arial" w:cs="Arial" w:eastAsia="Arial" w:hAnsi="Arial"/>
          <w:sz w:val="14"/>
          <w:szCs w:val="14"/>
          <w:color w:val="auto"/>
        </w:rPr>
      </w:pPr>
      <w:r>
        <w:rPr>
          <w:rFonts w:ascii="Arial" w:cs="Arial" w:eastAsia="Arial" w:hAnsi="Arial"/>
          <w:sz w:val="14"/>
          <w:szCs w:val="14"/>
          <w:color w:val="auto"/>
        </w:rPr>
        <w:t>entry into therapeutic modalities, indications or markets in which we have no or limited direct prior development or commercial experience and where competitors in such markets have stronger market positions.</w:t>
      </w: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440"/>
        <w:spacing w:after="0" w:line="281" w:lineRule="auto"/>
        <w:rPr>
          <w:sz w:val="20"/>
          <w:szCs w:val="20"/>
          <w:color w:val="auto"/>
        </w:rPr>
      </w:pPr>
      <w:r>
        <w:rPr>
          <w:rFonts w:ascii="Arial" w:cs="Arial" w:eastAsia="Arial" w:hAnsi="Arial"/>
          <w:sz w:val="14"/>
          <w:szCs w:val="14"/>
          <w:b w:val="1"/>
          <w:bCs w:val="1"/>
          <w:i w:val="1"/>
          <w:iCs w:val="1"/>
          <w:color w:val="auto"/>
        </w:rPr>
        <w:t>We and certain of our current and former board members and executive officers have been named as defendants in lawsuits that could result in substantial costs and divert management’s attention.</w:t>
      </w:r>
    </w:p>
    <w:p>
      <w:pPr>
        <w:spacing w:after="0" w:line="132" w:lineRule="exact"/>
        <w:rPr>
          <w:sz w:val="20"/>
          <w:szCs w:val="20"/>
          <w:color w:val="auto"/>
        </w:rPr>
      </w:pPr>
    </w:p>
    <w:p>
      <w:pPr>
        <w:ind w:firstLine="509"/>
        <w:spacing w:after="0" w:line="276" w:lineRule="auto"/>
        <w:rPr>
          <w:sz w:val="20"/>
          <w:szCs w:val="20"/>
          <w:color w:val="auto"/>
        </w:rPr>
      </w:pPr>
      <w:r>
        <w:rPr>
          <w:rFonts w:ascii="Arial" w:cs="Arial" w:eastAsia="Arial" w:hAnsi="Arial"/>
          <w:sz w:val="13"/>
          <w:szCs w:val="13"/>
          <w:color w:val="auto"/>
        </w:rPr>
        <w:t>We and certain of our current and former executive officers have been named as defendants in a purported consolidated putative class action lawsuit initiated in 2017 that generally alleges that we and certain of our officers violated Sections 10(b) and/or 20(a) of the Exchange Act and Rule 10b-5 promulgated thereunder by making allegedly false and/or misleading statements concerning the results of our Phase 2b trial and the prospects of our Phase 3 trials for Fovista in combination with anti-VEGF agents for the treatment of wet AMD. Certain current and former members of our board of directors and current and former officers have also been named as defendants in a shareholder derivative action initiated in August 2018, which generally alleges that the defendants breached their fiduciary duties to our company by failing to oversee our business during the period of the Phase 2b and Phase 3 clinical trials of Fovista. These complaints seek equitable and/or injunctive relief, unspecified damages, attorneys’ fees, and other costs. In September 2019, the court issued an order dismissing some, but not all, of the allegations in the class action lawsuit and denied our motion to dismiss the shareholder derivative action. The class action lawsuit is currently in the discovery phase. We and the defendants continue to deny any and all allegations of wrongdoing and intend to vigorously defend against these lawsuits.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including in responding to discovery requests, has caused our management and board of directors to divert time and attention to the litigation and could adversely impact our reputation and further divert management and our board of directors’ attention and resources from other priorities, including the execution of our business plan and strategies that are important to our ability to grow our business, any of which could have a material adverse effect on our business. Additional lawsuits may be filed.</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Product Development and Commercialization</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Companies in our industry face a wide range of challenging activities, each of which entails separate, and in many cases substantial, risk.</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long-term success of our company, and our ability to become profitable as a biopharmaceutical company, will require us to be successful in a range of challenging activities, including:</w:t>
      </w:r>
    </w:p>
    <w:p>
      <w:pPr>
        <w:spacing w:after="0" w:line="211" w:lineRule="exact"/>
        <w:rPr>
          <w:sz w:val="20"/>
          <w:szCs w:val="20"/>
          <w:color w:val="auto"/>
        </w:rPr>
      </w:pPr>
    </w:p>
    <w:p>
      <w:pPr>
        <w:ind w:left="760" w:right="20" w:hanging="246"/>
        <w:spacing w:after="0" w:line="321" w:lineRule="auto"/>
        <w:tabs>
          <w:tab w:leader="none" w:pos="756" w:val="left"/>
        </w:tabs>
        <w:numPr>
          <w:ilvl w:val="0"/>
          <w:numId w:val="36"/>
        </w:numPr>
        <w:rPr>
          <w:rFonts w:ascii="Arial" w:cs="Arial" w:eastAsia="Arial" w:hAnsi="Arial"/>
          <w:sz w:val="13"/>
          <w:szCs w:val="13"/>
          <w:color w:val="auto"/>
        </w:rPr>
      </w:pPr>
      <w:r>
        <w:rPr>
          <w:rFonts w:ascii="Arial" w:cs="Arial" w:eastAsia="Arial" w:hAnsi="Arial"/>
          <w:sz w:val="13"/>
          <w:szCs w:val="13"/>
          <w:color w:val="auto"/>
        </w:rPr>
        <w:t>designing, conducting and successfully completing preclinical research and development activities, including preclinical efficacy and IND-enabling studies, for our product candidates or product candidates we are interested in in-licensing or acquiring, including those we may evaluate as part of our collaborative gene therapy sponsored research programs;</w:t>
      </w:r>
    </w:p>
    <w:p>
      <w:pPr>
        <w:spacing w:after="0" w:line="130" w:lineRule="exact"/>
        <w:rPr>
          <w:rFonts w:ascii="Arial" w:cs="Arial" w:eastAsia="Arial" w:hAnsi="Arial"/>
          <w:sz w:val="13"/>
          <w:szCs w:val="13"/>
          <w:color w:val="auto"/>
        </w:rPr>
      </w:pPr>
    </w:p>
    <w:p>
      <w:pPr>
        <w:ind w:left="760" w:right="80" w:hanging="246"/>
        <w:spacing w:after="0" w:line="267" w:lineRule="auto"/>
        <w:tabs>
          <w:tab w:leader="none" w:pos="756" w:val="left"/>
        </w:tabs>
        <w:numPr>
          <w:ilvl w:val="0"/>
          <w:numId w:val="36"/>
        </w:numPr>
        <w:rPr>
          <w:rFonts w:ascii="Arial" w:cs="Arial" w:eastAsia="Arial" w:hAnsi="Arial"/>
          <w:sz w:val="14"/>
          <w:szCs w:val="14"/>
          <w:color w:val="auto"/>
        </w:rPr>
      </w:pPr>
      <w:r>
        <w:rPr>
          <w:rFonts w:ascii="Arial" w:cs="Arial" w:eastAsia="Arial" w:hAnsi="Arial"/>
          <w:sz w:val="14"/>
          <w:szCs w:val="14"/>
          <w:color w:val="auto"/>
        </w:rPr>
        <w:t>making arrangements with third-party manufacturers and providers of starting materials for our product candidates, and having those manufacturers successfully develop manufacturing processes for drug substance and drug product and provide adequate amounts of drug product for preclinical and clinical activities in accordance with our expectations and regulatory requirements;</w:t>
      </w:r>
    </w:p>
    <w:p>
      <w:pPr>
        <w:spacing w:after="0" w:line="162" w:lineRule="exact"/>
        <w:rPr>
          <w:rFonts w:ascii="Arial" w:cs="Arial" w:eastAsia="Arial" w:hAnsi="Arial"/>
          <w:sz w:val="14"/>
          <w:szCs w:val="14"/>
          <w:color w:val="auto"/>
        </w:rPr>
      </w:pPr>
    </w:p>
    <w:p>
      <w:pPr>
        <w:ind w:left="760" w:hanging="246"/>
        <w:spacing w:after="0"/>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designing, conducting and completing clinical trials for our product candidates;</w:t>
      </w:r>
    </w:p>
    <w:p>
      <w:pPr>
        <w:spacing w:after="0" w:line="199" w:lineRule="exact"/>
        <w:rPr>
          <w:rFonts w:ascii="Arial" w:cs="Arial" w:eastAsia="Arial" w:hAnsi="Arial"/>
          <w:sz w:val="14"/>
          <w:szCs w:val="14"/>
          <w:color w:val="auto"/>
        </w:rPr>
      </w:pPr>
    </w:p>
    <w:p>
      <w:pPr>
        <w:ind w:left="760" w:right="20" w:hanging="246"/>
        <w:spacing w:after="0" w:line="281" w:lineRule="auto"/>
        <w:tabs>
          <w:tab w:leader="none" w:pos="756" w:val="left"/>
        </w:tabs>
        <w:numPr>
          <w:ilvl w:val="0"/>
          <w:numId w:val="36"/>
        </w:numPr>
        <w:rPr>
          <w:rFonts w:ascii="Arial" w:cs="Arial" w:eastAsia="Arial" w:hAnsi="Arial"/>
          <w:sz w:val="14"/>
          <w:szCs w:val="14"/>
          <w:color w:val="auto"/>
        </w:rPr>
      </w:pPr>
      <w:r>
        <w:rPr>
          <w:rFonts w:ascii="Arial" w:cs="Arial" w:eastAsia="Arial" w:hAnsi="Arial"/>
          <w:sz w:val="14"/>
          <w:szCs w:val="14"/>
          <w:color w:val="auto"/>
        </w:rPr>
        <w:t>obtaining favorable results from required clinical trials, including for each ophthalmic product candidate, favorable results from two adequate and well-controlled pivotal clinical trials in the relevant indication;</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applying for and receiving marketing approvals from applicable regulatory authorities for the marketing and sale of our product candidates;</w:t>
      </w:r>
    </w:p>
    <w:p>
      <w:pPr>
        <w:spacing w:after="0" w:line="199" w:lineRule="exact"/>
        <w:rPr>
          <w:rFonts w:ascii="Arial" w:cs="Arial" w:eastAsia="Arial" w:hAnsi="Arial"/>
          <w:sz w:val="14"/>
          <w:szCs w:val="14"/>
          <w:color w:val="auto"/>
        </w:rPr>
      </w:pPr>
    </w:p>
    <w:p>
      <w:pPr>
        <w:ind w:left="760" w:right="160" w:hanging="246"/>
        <w:spacing w:after="0" w:line="267" w:lineRule="auto"/>
        <w:tabs>
          <w:tab w:leader="none" w:pos="756" w:val="left"/>
        </w:tabs>
        <w:numPr>
          <w:ilvl w:val="0"/>
          <w:numId w:val="36"/>
        </w:numPr>
        <w:rPr>
          <w:rFonts w:ascii="Arial" w:cs="Arial" w:eastAsia="Arial" w:hAnsi="Arial"/>
          <w:sz w:val="14"/>
          <w:szCs w:val="14"/>
          <w:color w:val="auto"/>
        </w:rPr>
      </w:pPr>
      <w:r>
        <w:rPr>
          <w:rFonts w:ascii="Arial" w:cs="Arial" w:eastAsia="Arial" w:hAnsi="Arial"/>
          <w:sz w:val="14"/>
          <w:szCs w:val="14"/>
          <w:color w:val="auto"/>
        </w:rPr>
        <w:t>making arrangements with third-party manufacturers for scale-up and commercial manufacturing, validating and receiving regulatory approval of our manufacturing processes and our third-party manufacturers’ facilities and ensuring adequate supply of drug substance and drug product and starting materials used for the manufacture of drug substance and drug product;</w:t>
      </w:r>
    </w:p>
    <w:p>
      <w:pPr>
        <w:spacing w:after="0" w:line="162" w:lineRule="exact"/>
        <w:rPr>
          <w:rFonts w:ascii="Arial" w:cs="Arial" w:eastAsia="Arial" w:hAnsi="Arial"/>
          <w:sz w:val="14"/>
          <w:szCs w:val="14"/>
          <w:color w:val="auto"/>
        </w:rPr>
      </w:pPr>
    </w:p>
    <w:p>
      <w:pPr>
        <w:ind w:left="760" w:right="140" w:hanging="246"/>
        <w:spacing w:after="0" w:line="281" w:lineRule="auto"/>
        <w:tabs>
          <w:tab w:leader="none" w:pos="756" w:val="left"/>
        </w:tabs>
        <w:numPr>
          <w:ilvl w:val="0"/>
          <w:numId w:val="36"/>
        </w:numPr>
        <w:rPr>
          <w:rFonts w:ascii="Arial" w:cs="Arial" w:eastAsia="Arial" w:hAnsi="Arial"/>
          <w:sz w:val="14"/>
          <w:szCs w:val="14"/>
          <w:color w:val="auto"/>
        </w:rPr>
      </w:pPr>
      <w:r>
        <w:rPr>
          <w:rFonts w:ascii="Arial" w:cs="Arial" w:eastAsia="Arial" w:hAnsi="Arial"/>
          <w:sz w:val="14"/>
          <w:szCs w:val="14"/>
          <w:color w:val="auto"/>
        </w:rPr>
        <w:t>establishing sales, marketing and distribution capabilities, either internally or through collaborations or other arrangements, to effectively market and sell our product candidates, if and when approved;</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achieving acceptance of the product candidate, if and when approved, by patients, the medical community and third-party payors;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 w:right="540" w:hanging="246"/>
        <w:spacing w:after="0" w:line="281" w:lineRule="auto"/>
        <w:tabs>
          <w:tab w:leader="none" w:pos="756" w:val="left"/>
        </w:tabs>
        <w:numPr>
          <w:ilvl w:val="0"/>
          <w:numId w:val="37"/>
        </w:numPr>
        <w:rPr>
          <w:rFonts w:ascii="Arial" w:cs="Arial" w:eastAsia="Arial" w:hAnsi="Arial"/>
          <w:sz w:val="14"/>
          <w:szCs w:val="14"/>
          <w:color w:val="auto"/>
        </w:rPr>
      </w:pPr>
      <w:r>
        <w:rPr>
          <w:rFonts w:ascii="Arial" w:cs="Arial" w:eastAsia="Arial" w:hAnsi="Arial"/>
          <w:sz w:val="14"/>
          <w:szCs w:val="14"/>
          <w:color w:val="auto"/>
        </w:rPr>
        <w:t>if our product candidates are approved, obtaining from governmental and third-party payors adequate coverage and reimbursement for our product candidates and, to the extent applicable, associated injection procedures conducted by treating physicians;</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effectively competing with other therapies, including the existing standard of care, and other forms of drug delivery;</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maintaining a continued acceptable safety profile of the product candidate during development and following approval;</w:t>
      </w:r>
    </w:p>
    <w:p>
      <w:pPr>
        <w:spacing w:after="0" w:line="199" w:lineRule="exact"/>
        <w:rPr>
          <w:rFonts w:ascii="Arial" w:cs="Arial" w:eastAsia="Arial" w:hAnsi="Arial"/>
          <w:sz w:val="14"/>
          <w:szCs w:val="14"/>
          <w:color w:val="auto"/>
        </w:rPr>
      </w:pPr>
    </w:p>
    <w:p>
      <w:pPr>
        <w:ind w:left="760" w:right="40" w:hanging="246"/>
        <w:spacing w:after="0" w:line="281" w:lineRule="auto"/>
        <w:tabs>
          <w:tab w:leader="none" w:pos="756" w:val="left"/>
        </w:tabs>
        <w:numPr>
          <w:ilvl w:val="0"/>
          <w:numId w:val="37"/>
        </w:numPr>
        <w:rPr>
          <w:rFonts w:ascii="Arial" w:cs="Arial" w:eastAsia="Arial" w:hAnsi="Arial"/>
          <w:sz w:val="14"/>
          <w:szCs w:val="14"/>
          <w:color w:val="auto"/>
        </w:rPr>
      </w:pPr>
      <w:r>
        <w:rPr>
          <w:rFonts w:ascii="Arial" w:cs="Arial" w:eastAsia="Arial" w:hAnsi="Arial"/>
          <w:sz w:val="14"/>
          <w:szCs w:val="14"/>
          <w:color w:val="auto"/>
        </w:rPr>
        <w:t>obtaining and maintaining patent and trade secret protection and regulatory exclusivity, including under the Orphan Drug Act and the Hatch-Waxman Amendments to the Federal Food, Drug and Cosmetic Act, or FDCA, if we choose to seek such protections for any of our product candidates;</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protecting and enforcing our rights in our intellectual property portfolio; and</w:t>
      </w:r>
    </w:p>
    <w:p>
      <w:pPr>
        <w:spacing w:after="0" w:line="199" w:lineRule="exact"/>
        <w:rPr>
          <w:rFonts w:ascii="Arial" w:cs="Arial" w:eastAsia="Arial" w:hAnsi="Arial"/>
          <w:sz w:val="14"/>
          <w:szCs w:val="14"/>
          <w:color w:val="auto"/>
        </w:rPr>
      </w:pPr>
    </w:p>
    <w:p>
      <w:pPr>
        <w:ind w:left="760" w:right="540" w:hanging="246"/>
        <w:spacing w:after="0" w:line="281" w:lineRule="auto"/>
        <w:tabs>
          <w:tab w:leader="none" w:pos="756"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complying with all applicable regulatory requirements, including FDA Good Laboratory Practices, or GLP, FDA Good Clinical Practices, or GCP, current Good Manufacturing Practices, or cGMP, and standards, rules and regulations governing promotional and other marketing activities.</w:t>
      </w:r>
    </w:p>
    <w:p>
      <w:pPr>
        <w:spacing w:after="0" w:line="132"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Each of these activities has associated risks, many of which are detailed below and throughout this “Risk Factors” section. We may never succeed in these activities and, even if we do, may never generate revenues from product sales that are significant enough to achieve commercial success and profitability. Our failure to be commercially successful and profitable would decrease the value of our company and could impair our ability to raise capital, expand our business, maintain our research and development efforts, diversify our product offerings or continue our operations. A decrease in the value of our company would also cause our stockholders to lose all or part of their investment.</w:t>
      </w:r>
    </w:p>
    <w:p>
      <w:pPr>
        <w:spacing w:after="0" w:line="146"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b w:val="1"/>
          <w:bCs w:val="1"/>
          <w:i w:val="1"/>
          <w:iCs w:val="1"/>
          <w:color w:val="auto"/>
        </w:rPr>
        <w:t>Drug development is a highly uncertain undertaking. Our research and development efforts may not be successful or may be delayed for any number of reasons, in which case potential clinical development, marketing approval or commercialization of our product candidates could be prevented or delayed.</w:t>
      </w:r>
    </w:p>
    <w:p>
      <w:pPr>
        <w:spacing w:after="0" w:line="132" w:lineRule="exact"/>
        <w:rPr>
          <w:sz w:val="20"/>
          <w:szCs w:val="20"/>
          <w:color w:val="auto"/>
        </w:rPr>
      </w:pPr>
    </w:p>
    <w:p>
      <w:pPr>
        <w:ind w:right="40" w:firstLine="509"/>
        <w:spacing w:after="0" w:line="258" w:lineRule="auto"/>
        <w:rPr>
          <w:sz w:val="20"/>
          <w:szCs w:val="20"/>
          <w:color w:val="auto"/>
        </w:rPr>
      </w:pPr>
      <w:r>
        <w:rPr>
          <w:rFonts w:ascii="Arial" w:cs="Arial" w:eastAsia="Arial" w:hAnsi="Arial"/>
          <w:sz w:val="14"/>
          <w:szCs w:val="14"/>
          <w:color w:val="auto"/>
        </w:rPr>
        <w:t>Before obtaining approval from regulatory authorities for the sale of any product candidate, we must conduct extensive clinical trials to demonstrate the safety and efficacy of our product candidates in humans. Prior to initiating clinical trials, a sponsor must complete extensive preclinical testing of a product candidate, including, in most cases, preclinical efficacy experiments as well as IND-enabling toxicology studies. Drug research, including the gene therapy research we are sponsoring with UMMS, may never yield a product candidate for preclinical or clinical development. Early stage and later stage research experiments and preclinical studies, including the IND-enabling toxicology studies we are conducting or planning to conduct for IC-100, IC-200 and IC-500, may fail at any point for any number of reasons, and even if completed, may be time-consuming and expensive. As a result of these risks, a potentially promising product candidate may never be tested in humans.</w:t>
      </w:r>
    </w:p>
    <w:p>
      <w:pPr>
        <w:spacing w:after="0" w:line="150" w:lineRule="exact"/>
        <w:rPr>
          <w:sz w:val="20"/>
          <w:szCs w:val="20"/>
          <w:color w:val="auto"/>
        </w:rPr>
      </w:pPr>
    </w:p>
    <w:p>
      <w:pPr>
        <w:ind w:firstLine="509"/>
        <w:spacing w:after="0" w:line="256" w:lineRule="auto"/>
        <w:rPr>
          <w:sz w:val="20"/>
          <w:szCs w:val="20"/>
          <w:color w:val="auto"/>
        </w:rPr>
      </w:pPr>
      <w:r>
        <w:rPr>
          <w:rFonts w:ascii="Arial" w:cs="Arial" w:eastAsia="Arial" w:hAnsi="Arial"/>
          <w:sz w:val="14"/>
          <w:szCs w:val="14"/>
          <w:color w:val="auto"/>
        </w:rPr>
        <w:t>Once it commences,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For example, our pivotal Phase 3 Fovista program for the treatment of wet AMD failed to produce positive safety and efficacy data that support the use of Fovista in wet AMD, despite the results from preclinical testing and earlier clinical trials of Fovista, including a large Phase 2b trial with statistically significant efficacy signal. Furthermore, our Phase 2a OPH2007 safety trial of Zimura in combination with the anti-VEGF agent Lucentis in wet AMD did not replicate the results of our Phase 1/2a OPH2000 trial. Additionally, although the 18-month results from our GATHER1 trial supported the 12-month results in this trial, at which time Zimura met the prespecified primary endpoint in reducing the mean rate of GA growth in patients with GA with statistical significance across both the Zimura 2 mg and Zimura 4 mg treatment groups when compared to the corresponding sham control groups with a favorable safety profile of Zimura, these results may not be replicated in the GATHER2 trial or any future trials we may conduct for Zimura in GA.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may experience numerous unforeseen events during drug development that could delay or prevent our ability to receive marketing approval or commercialize our product candidates.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These risks include, but are not limited to, the following:</w:t>
      </w:r>
    </w:p>
    <w:p>
      <w:pPr>
        <w:spacing w:after="0" w:line="189" w:lineRule="exact"/>
        <w:rPr>
          <w:sz w:val="20"/>
          <w:szCs w:val="20"/>
          <w:color w:val="auto"/>
        </w:rPr>
      </w:pPr>
    </w:p>
    <w:p>
      <w:pPr>
        <w:ind w:left="760" w:right="160" w:hanging="246"/>
        <w:spacing w:after="0" w:line="281" w:lineRule="auto"/>
        <w:tabs>
          <w:tab w:leader="none" w:pos="756"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we may not be able to generate sufficient preclinical, toxicology, or other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or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data to support the initiation of clinical trials for any preclinical product candidates that we are developing;</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or our contract manufacturers may be unable to develop a viable manufacturing process for any product candidates that we are developing;</w:t>
      </w:r>
    </w:p>
    <w:p>
      <w:pPr>
        <w:spacing w:after="0" w:line="199" w:lineRule="exact"/>
        <w:rPr>
          <w:rFonts w:ascii="Arial" w:cs="Arial" w:eastAsia="Arial" w:hAnsi="Arial"/>
          <w:sz w:val="14"/>
          <w:szCs w:val="14"/>
          <w:color w:val="auto"/>
        </w:rPr>
      </w:pPr>
    </w:p>
    <w:p>
      <w:pPr>
        <w:ind w:left="760" w:hanging="246"/>
        <w:spacing w:after="0" w:line="262" w:lineRule="auto"/>
        <w:tabs>
          <w:tab w:leader="none" w:pos="756"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supply or quality of our product candidates or other materials necessary to conduct preclinical development and clinical trials of our product candidates may be insufficient or we may face delays in the manufacture and supply of our product candidates for any number of reasons, including as a result of interruptions in our supply chain, including in relation to the procurement or quality of starting materials, such as plasmids used for the manufacture of our gene therapy product candidates and the polyethylene glycol used for the manufacture of Zimura, and the packaging, distribution, storage and import/export of materials and products;</w:t>
      </w:r>
    </w:p>
    <w:p>
      <w:pPr>
        <w:spacing w:after="0" w:line="166" w:lineRule="exact"/>
        <w:rPr>
          <w:rFonts w:ascii="Arial" w:cs="Arial" w:eastAsia="Arial" w:hAnsi="Arial"/>
          <w:sz w:val="14"/>
          <w:szCs w:val="14"/>
          <w:color w:val="auto"/>
        </w:rPr>
      </w:pPr>
    </w:p>
    <w:p>
      <w:pPr>
        <w:ind w:left="760" w:right="340" w:hanging="246"/>
        <w:spacing w:after="0" w:line="281" w:lineRule="auto"/>
        <w:tabs>
          <w:tab w:leader="none" w:pos="756"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or our contract research organizations may be unable to complete necessary analytical development for and testing of our product candidates, including assays for assessing the potency of our gene therapy product candidates;</w:t>
      </w:r>
    </w:p>
    <w:p>
      <w:pPr>
        <w:spacing w:after="0" w:line="153" w:lineRule="exact"/>
        <w:rPr>
          <w:rFonts w:ascii="Arial" w:cs="Arial" w:eastAsia="Arial" w:hAnsi="Arial"/>
          <w:sz w:val="14"/>
          <w:szCs w:val="14"/>
          <w:color w:val="auto"/>
        </w:rPr>
      </w:pPr>
    </w:p>
    <w:p>
      <w:pPr>
        <w:ind w:left="760" w:right="20" w:hanging="246"/>
        <w:spacing w:after="0" w:line="281" w:lineRule="auto"/>
        <w:tabs>
          <w:tab w:leader="none" w:pos="756"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may not be able to successfully scale up or validate a manufacturing process for one or more of our product candidates, and may need to rely on second source suppliers for adequate supply of drug substance and/or drug product in line with our needs and expectations;</w:t>
      </w:r>
    </w:p>
    <w:p>
      <w:pPr>
        <w:spacing w:after="0" w:line="153" w:lineRule="exact"/>
        <w:rPr>
          <w:rFonts w:ascii="Arial" w:cs="Arial" w:eastAsia="Arial" w:hAnsi="Arial"/>
          <w:sz w:val="14"/>
          <w:szCs w:val="14"/>
          <w:color w:val="auto"/>
        </w:rPr>
      </w:pPr>
    </w:p>
    <w:p>
      <w:pPr>
        <w:ind w:left="760" w:right="160" w:hanging="246"/>
        <w:spacing w:after="0" w:line="281" w:lineRule="auto"/>
        <w:tabs>
          <w:tab w:leader="none" w:pos="756"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regulators or institutional review boards may not agree with our clinical trial designs, including our selection of endpoints, or may not authorize us or our investigators to commence a clinical trial or conduct a clinical trial at a prospective trial site;</w:t>
      </w:r>
    </w:p>
    <w:p>
      <w:pPr>
        <w:spacing w:after="0" w:line="153" w:lineRule="exact"/>
        <w:rPr>
          <w:rFonts w:ascii="Arial" w:cs="Arial" w:eastAsia="Arial" w:hAnsi="Arial"/>
          <w:sz w:val="14"/>
          <w:szCs w:val="14"/>
          <w:color w:val="auto"/>
        </w:rPr>
      </w:pPr>
    </w:p>
    <w:p>
      <w:pPr>
        <w:ind w:left="760" w:right="340" w:hanging="246"/>
        <w:spacing w:after="0" w:line="321" w:lineRule="auto"/>
        <w:tabs>
          <w:tab w:leader="none" w:pos="756" w:val="left"/>
        </w:tabs>
        <w:numPr>
          <w:ilvl w:val="0"/>
          <w:numId w:val="38"/>
        </w:numPr>
        <w:rPr>
          <w:rFonts w:ascii="Arial" w:cs="Arial" w:eastAsia="Arial" w:hAnsi="Arial"/>
          <w:sz w:val="13"/>
          <w:szCs w:val="13"/>
          <w:color w:val="auto"/>
        </w:rPr>
      </w:pPr>
      <w:r>
        <w:rPr>
          <w:rFonts w:ascii="Arial" w:cs="Arial" w:eastAsia="Arial" w:hAnsi="Arial"/>
          <w:sz w:val="13"/>
          <w:szCs w:val="13"/>
          <w:color w:val="auto"/>
        </w:rPr>
        <w:t>we may experience delays in reaching, or fail to reach, agreement on acceptable clinical trial contracts or clinical trial protocols with prospective contract research organizations or clinical trial sites, especially in cases where we are working with contract research organizations or clinical trial sites we have not worked with previously;</w:t>
      </w:r>
    </w:p>
    <w:p>
      <w:pPr>
        <w:spacing w:after="0" w:line="130" w:lineRule="exact"/>
        <w:rPr>
          <w:rFonts w:ascii="Arial" w:cs="Arial" w:eastAsia="Arial" w:hAnsi="Arial"/>
          <w:sz w:val="13"/>
          <w:szCs w:val="13"/>
          <w:color w:val="auto"/>
        </w:rPr>
      </w:pPr>
    </w:p>
    <w:p>
      <w:pPr>
        <w:ind w:left="760" w:right="120" w:hanging="246"/>
        <w:spacing w:after="0" w:line="281" w:lineRule="auto"/>
        <w:tabs>
          <w:tab w:leader="none" w:pos="756"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contract research organizations, clinical trial sites, contract manufacturers, providers of starting materials and packagers and analytical testing service providers may fail to comply with regulatory requirements or meet their contractual obligations to us in a timely manner, or at all;</w:t>
      </w:r>
    </w:p>
    <w:p>
      <w:pPr>
        <w:spacing w:after="0" w:line="153" w:lineRule="exact"/>
        <w:rPr>
          <w:rFonts w:ascii="Arial" w:cs="Arial" w:eastAsia="Arial" w:hAnsi="Arial"/>
          <w:sz w:val="14"/>
          <w:szCs w:val="14"/>
          <w:color w:val="auto"/>
        </w:rPr>
      </w:pPr>
    </w:p>
    <w:p>
      <w:pPr>
        <w:ind w:left="760" w:right="400" w:hanging="246"/>
        <w:spacing w:after="0" w:line="281" w:lineRule="auto"/>
        <w:tabs>
          <w:tab w:leader="none" w:pos="756"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through our clinical trial sites, may not be able to locate and enroll a sufficient number of eligible patients to participate in our clinical trials as required by the FDA or similar regulatory authorities outside the United States, especially in our clinical trials for orphan or other rare diseases;</w:t>
      </w:r>
    </w:p>
    <w:p>
      <w:pPr>
        <w:spacing w:after="0" w:line="153" w:lineRule="exact"/>
        <w:rPr>
          <w:rFonts w:ascii="Arial" w:cs="Arial" w:eastAsia="Arial" w:hAnsi="Arial"/>
          <w:sz w:val="14"/>
          <w:szCs w:val="14"/>
          <w:color w:val="auto"/>
        </w:rPr>
      </w:pPr>
    </w:p>
    <w:p>
      <w:pPr>
        <w:ind w:left="760" w:right="80" w:hanging="246"/>
        <w:spacing w:after="0" w:line="267" w:lineRule="auto"/>
        <w:tabs>
          <w:tab w:leader="none" w:pos="756"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through our clinical trial sites, may not be able to maintain enrolled patients for scheduled visits and treatments, or to retain patients altogether, especially in light of the COVID-19 pandemic, which could result in missing data from our clinical trials, potentially leading to uninterpretable results or a clinical trial not being sufficiently powered to demonstrate an efficacy benefit;</w:t>
      </w:r>
    </w:p>
    <w:p>
      <w:pPr>
        <w:spacing w:after="0" w:line="162" w:lineRule="exact"/>
        <w:rPr>
          <w:rFonts w:ascii="Arial" w:cs="Arial" w:eastAsia="Arial" w:hAnsi="Arial"/>
          <w:sz w:val="14"/>
          <w:szCs w:val="14"/>
          <w:color w:val="auto"/>
        </w:rPr>
      </w:pPr>
    </w:p>
    <w:p>
      <w:pPr>
        <w:ind w:left="760" w:right="580" w:hanging="246"/>
        <w:spacing w:after="0" w:line="281" w:lineRule="auto"/>
        <w:tabs>
          <w:tab w:leader="none" w:pos="756"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may decide, or regulators or institutional review boards may require us, to suspend or terminate clinical trials for various reasons, including noncompliance with regulatory requirements, including GCPs, or a finding that the participants are being exposed to unacceptable health risks;</w:t>
      </w:r>
    </w:p>
    <w:p>
      <w:pPr>
        <w:spacing w:after="0" w:line="153" w:lineRule="exact"/>
        <w:rPr>
          <w:rFonts w:ascii="Arial" w:cs="Arial" w:eastAsia="Arial" w:hAnsi="Arial"/>
          <w:sz w:val="14"/>
          <w:szCs w:val="14"/>
          <w:color w:val="auto"/>
        </w:rPr>
      </w:pPr>
    </w:p>
    <w:p>
      <w:pPr>
        <w:ind w:left="760" w:right="300" w:hanging="246"/>
        <w:spacing w:after="0" w:line="281" w:lineRule="auto"/>
        <w:tabs>
          <w:tab w:leader="none" w:pos="756" w:val="left"/>
        </w:tabs>
        <w:numPr>
          <w:ilvl w:val="0"/>
          <w:numId w:val="38"/>
        </w:numPr>
        <w:rPr>
          <w:rFonts w:ascii="Arial" w:cs="Arial" w:eastAsia="Arial" w:hAnsi="Arial"/>
          <w:sz w:val="14"/>
          <w:szCs w:val="14"/>
          <w:color w:val="auto"/>
        </w:rPr>
      </w:pPr>
      <w:r>
        <w:rPr>
          <w:rFonts w:ascii="Arial" w:cs="Arial" w:eastAsia="Arial" w:hAnsi="Arial"/>
          <w:sz w:val="14"/>
          <w:szCs w:val="14"/>
          <w:color w:val="auto"/>
        </w:rPr>
        <w:t>as there are no therapies approved for GA, Stargardt disease, RHO-adRP or any BEST1-related IRDs, in either the United States or the European Union, the regulatory pathway for product candidates in those indications, including the selection of the primary efficacy endpoint for a pivotal clinical trial, is highly uncertain;</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there may be changes in regulatory requirements and guidance or we may have changes in trial design that require amending or submitting new clinical trial protocols;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there may be changes in the standard of care on which a clinical development plan was based, which may require new or additional trials;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left="760" w:right="360" w:hanging="246"/>
        <w:spacing w:after="0" w:line="281" w:lineRule="auto"/>
        <w:tabs>
          <w:tab w:leader="none" w:pos="756"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may decide, or regulators may require us, to conduct additional clinical trials or non-clinical studies beyond those we currently contemplate or to abandon product development programs;</w:t>
      </w:r>
    </w:p>
    <w:p>
      <w:pPr>
        <w:spacing w:after="0" w:line="153" w:lineRule="exact"/>
        <w:rPr>
          <w:rFonts w:ascii="Arial" w:cs="Arial" w:eastAsia="Arial" w:hAnsi="Arial"/>
          <w:sz w:val="14"/>
          <w:szCs w:val="14"/>
          <w:color w:val="auto"/>
        </w:rPr>
      </w:pPr>
    </w:p>
    <w:p>
      <w:pPr>
        <w:ind w:left="760" w:right="60" w:hanging="246"/>
        <w:spacing w:after="0" w:line="262" w:lineRule="auto"/>
        <w:tabs>
          <w:tab w:leader="none" w:pos="756"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number of patients required for clinical trials of our product candidates to demonstrate statistically significant results may be larger than we anticipate, enrollment in these clinical trials may be slower than we anticipate or participants may drop out of these clinical trials at a higher rate than we anticipate. These risks may be heightened for clinical trials in orphan diseases, for which the natural history of the disease is less understood, making it more difficult to predict the drug effect required to adequately demonstrate efficacy, and because there are fewer affected individuals available to participate in clinical trials; and</w:t>
      </w:r>
    </w:p>
    <w:p>
      <w:pPr>
        <w:spacing w:after="0" w:line="167" w:lineRule="exact"/>
        <w:rPr>
          <w:rFonts w:ascii="Arial" w:cs="Arial" w:eastAsia="Arial" w:hAnsi="Arial"/>
          <w:sz w:val="14"/>
          <w:szCs w:val="14"/>
          <w:color w:val="auto"/>
        </w:rPr>
      </w:pPr>
    </w:p>
    <w:p>
      <w:pPr>
        <w:ind w:left="760" w:hanging="246"/>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cost of clinical trials of our product candidates may be greater than we anticipate.</w:t>
      </w:r>
    </w:p>
    <w:p>
      <w:pPr>
        <w:spacing w:after="0" w:line="200" w:lineRule="exact"/>
        <w:rPr>
          <w:sz w:val="20"/>
          <w:szCs w:val="20"/>
          <w:color w:val="auto"/>
        </w:rPr>
      </w:pPr>
    </w:p>
    <w:p>
      <w:pPr>
        <w:ind w:right="80" w:firstLine="509"/>
        <w:spacing w:after="0" w:line="281" w:lineRule="auto"/>
        <w:rPr>
          <w:sz w:val="20"/>
          <w:szCs w:val="20"/>
          <w:color w:val="auto"/>
        </w:rPr>
      </w:pPr>
      <w:r>
        <w:rPr>
          <w:rFonts w:ascii="Arial" w:cs="Arial" w:eastAsia="Arial" w:hAnsi="Arial"/>
          <w:sz w:val="14"/>
          <w:szCs w:val="14"/>
          <w:color w:val="auto"/>
        </w:rPr>
        <w:t>If we are required to conduct additional clinical trials or other testing of our product candidates beyond those that we contemplate, if we are unable to successfully complete clinical trials of our product candidates or other testing, if the results of these trials or tests are not positive or are only modestly positive or if there are safety concerns, we may:</w:t>
      </w:r>
    </w:p>
    <w:p>
      <w:pPr>
        <w:spacing w:after="0" w:line="153" w:lineRule="exact"/>
        <w:rPr>
          <w:sz w:val="20"/>
          <w:szCs w:val="20"/>
          <w:color w:val="auto"/>
        </w:rPr>
      </w:pPr>
    </w:p>
    <w:p>
      <w:pPr>
        <w:ind w:left="760" w:hanging="246"/>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be delayed in obtaining marketing approval for our product candidates;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not obtain marketing approval at all;</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obtain approval for indications or patient populations that are not as broad as intended or desired;</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obtain approval with labeling that includes significant use limitations, distribution restrictions or safety warnings, including boxed warnings;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be subject to additional post-marketing testing requirements; or</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have the product removed from the market after obtaining marketing approval.</w:t>
      </w:r>
    </w:p>
    <w:p>
      <w:pPr>
        <w:spacing w:after="0" w:line="179" w:lineRule="exact"/>
        <w:rPr>
          <w:sz w:val="20"/>
          <w:szCs w:val="20"/>
          <w:color w:val="auto"/>
        </w:rPr>
      </w:pPr>
    </w:p>
    <w:p>
      <w:pPr>
        <w:ind w:firstLine="509"/>
        <w:spacing w:after="0" w:line="276" w:lineRule="auto"/>
        <w:rPr>
          <w:sz w:val="20"/>
          <w:szCs w:val="20"/>
          <w:color w:val="auto"/>
        </w:rPr>
      </w:pPr>
      <w:r>
        <w:rPr>
          <w:rFonts w:ascii="Arial" w:cs="Arial" w:eastAsia="Arial" w:hAnsi="Arial"/>
          <w:sz w:val="13"/>
          <w:szCs w:val="13"/>
          <w:color w:val="auto"/>
        </w:rPr>
        <w:t>Despite our ongoing efforts, we may not complete any of our ongoing or planned development activities for our product candidates. The timing of the completion of, and the availability of results from, development activities, especially clinical trials, is difficult to predict. For clinical trials in particular, we do not know whether they will begin as planned, will need to be restructured or will be completed on schedule, or at all. The progress of our clinical trials may be dependent on macro-economic events beyond our control, such as the COVID-19 pandemic. For example, although we have begun patient enrollment in the GATHER2 trial, we may later decide to or be required to slow down or pause patient recruitment due to the continued persistence of the pandemic or if a second or subsequent wave of cases occurs. Furthermore, our development plans may change based on feedback we may receive from regulatory authorities throughout the development process. For example, our expectations regarding the remaining clinical requirements to demonstrate the safety and efficacy of Zimura for the treatment of GA secondary to AMD in a manner sufficient to support an application for marketing approval to the FDA and EMA are based on our review of the 12-month data from the GATHER1 trial as well as informal discussions with the FDA. Our expectations regarding the minimum clinical requirements to demonstrate the safety and efficacy of Zimura for GA could be incorrect or may change as we continue to have interactions with the FDA, as we continue to review and analyze data from our GATHER1 trial, including the 18-month data, as we conduct our GATHER2 trial, and as new regulatory or third party information, including third-party clinical data or information from prospective collaborators or licensees, becomes available. If we experience delays in manufacturing, testing or marketing approvals, our product development costs would increase. Significant product development delays also could allow our competitors to bring products to market before we do, could impair our ability to successfully commercialize our product candidates, including by shortening any periods during which we may have the exclusive right to commercialize our product candidates, and may otherwise harm our business and results of operations.</w:t>
      </w:r>
    </w:p>
    <w:p>
      <w:pPr>
        <w:spacing w:after="0" w:line="142" w:lineRule="exact"/>
        <w:rPr>
          <w:sz w:val="20"/>
          <w:szCs w:val="20"/>
          <w:color w:val="auto"/>
        </w:rPr>
      </w:pPr>
    </w:p>
    <w:p>
      <w:pPr>
        <w:ind w:right="360"/>
        <w:spacing w:after="0" w:line="281" w:lineRule="auto"/>
        <w:rPr>
          <w:sz w:val="20"/>
          <w:szCs w:val="20"/>
          <w:color w:val="auto"/>
        </w:rPr>
      </w:pPr>
      <w:r>
        <w:rPr>
          <w:rFonts w:ascii="Arial" w:cs="Arial" w:eastAsia="Arial" w:hAnsi="Arial"/>
          <w:sz w:val="14"/>
          <w:szCs w:val="14"/>
          <w:b w:val="1"/>
          <w:bCs w:val="1"/>
          <w:i w:val="1"/>
          <w:iCs w:val="1"/>
          <w:color w:val="auto"/>
        </w:rPr>
        <w:t>Our development of Zimura is based on a novel mechanism of action that is unproven in GA and STGD1 and poses a number of scientific and other risks, and we may not be successful in developing Zimura in the indications we are pursuing.</w:t>
      </w:r>
    </w:p>
    <w:p>
      <w:pPr>
        <w:spacing w:after="0" w:line="132" w:lineRule="exact"/>
        <w:rPr>
          <w:sz w:val="20"/>
          <w:szCs w:val="20"/>
          <w:color w:val="auto"/>
        </w:rPr>
      </w:pPr>
    </w:p>
    <w:p>
      <w:pPr>
        <w:ind w:right="60" w:firstLine="509"/>
        <w:spacing w:after="0" w:line="288" w:lineRule="auto"/>
        <w:rPr>
          <w:sz w:val="20"/>
          <w:szCs w:val="20"/>
          <w:color w:val="auto"/>
        </w:rPr>
      </w:pPr>
      <w:r>
        <w:rPr>
          <w:rFonts w:ascii="Arial" w:cs="Arial" w:eastAsia="Arial" w:hAnsi="Arial"/>
          <w:sz w:val="13"/>
          <w:szCs w:val="13"/>
          <w:color w:val="auto"/>
        </w:rPr>
        <w:t>We are targeting GA, an advanced form of AMD, and STGD1 with Zimura. The causes of AMD are not completely understood. In addition to advanced age, there are environmental and genetic risk factors that contribute to the development of AMD including ocular pigmentation, dietary factors, a positive family history for AMD, high blood pressure and smoking. Although we believe there is a scientific rationale for pursuing the development of inhibitors for selective molecular targets, including complement C5, as potential pharmaceutical treatments for GA secondary to AMD, and that the results from our GATHER1 trial of Zimura in GA support our view, this approach may not prove successful for treating GA secondary to AMD</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220"/>
        <w:spacing w:after="0" w:line="281" w:lineRule="auto"/>
        <w:rPr>
          <w:sz w:val="20"/>
          <w:szCs w:val="20"/>
          <w:color w:val="auto"/>
        </w:rPr>
      </w:pPr>
      <w:r>
        <w:rPr>
          <w:rFonts w:ascii="Arial" w:cs="Arial" w:eastAsia="Arial" w:hAnsi="Arial"/>
          <w:sz w:val="14"/>
          <w:szCs w:val="14"/>
          <w:color w:val="auto"/>
        </w:rPr>
        <w:t>in a clinically meaningful way. Similarly, although there is non-clinical scientific literature supporting the potential use of complement system inhibitors for the treatment of STGD1, this approach may not prove clinically successful as well.</w:t>
      </w:r>
    </w:p>
    <w:p>
      <w:pPr>
        <w:spacing w:after="0" w:line="132"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Zimura is designed to inhibit complement C5. There are no FDA or EMA approved products that utilize C5 inhibition as a mechanism of action to treat GA or STGD1. There have been other investigational products using complement inhibition as a mechanism of action for the treatment of GA, including inhibition of C5, that proved to be unsuccessful, even in later stage clinical trials. Even though our GATHER1 trial of Zimura in GA met its prespecified primary endpoint at month 12 and continued to show positive treatment effect at month 18, this mechanism of action may not prove safe and effective for the treatment of GA, STGD1 or any other indication for which we may develop Zimura.</w:t>
      </w:r>
    </w:p>
    <w:p>
      <w:pPr>
        <w:spacing w:after="0" w:line="146" w:lineRule="exact"/>
        <w:rPr>
          <w:sz w:val="20"/>
          <w:szCs w:val="20"/>
          <w:color w:val="auto"/>
        </w:rPr>
      </w:pPr>
    </w:p>
    <w:p>
      <w:pPr>
        <w:ind w:right="360"/>
        <w:spacing w:after="0" w:line="321" w:lineRule="auto"/>
        <w:rPr>
          <w:sz w:val="20"/>
          <w:szCs w:val="20"/>
          <w:color w:val="auto"/>
        </w:rPr>
      </w:pPr>
      <w:r>
        <w:rPr>
          <w:rFonts w:ascii="Arial" w:cs="Arial" w:eastAsia="Arial" w:hAnsi="Arial"/>
          <w:sz w:val="13"/>
          <w:szCs w:val="13"/>
          <w:b w:val="1"/>
          <w:bCs w:val="1"/>
          <w:i w:val="1"/>
          <w:iCs w:val="1"/>
          <w:color w:val="auto"/>
        </w:rPr>
        <w:t>We are continuing to review and analyze the 18-month results and individual patient level data from the GATHER1 trial, which may affect the soundness of the conclusions we have drawn based on the results from this trial. The GATHER2 trial may yield results that are different from the results observed in the GATHER1 trial.</w:t>
      </w:r>
    </w:p>
    <w:p>
      <w:pPr>
        <w:spacing w:after="0" w:line="109" w:lineRule="exact"/>
        <w:rPr>
          <w:sz w:val="20"/>
          <w:szCs w:val="20"/>
          <w:color w:val="auto"/>
        </w:rPr>
      </w:pPr>
    </w:p>
    <w:p>
      <w:pPr>
        <w:ind w:right="120" w:firstLine="509"/>
        <w:spacing w:after="0" w:line="282" w:lineRule="auto"/>
        <w:rPr>
          <w:sz w:val="20"/>
          <w:szCs w:val="20"/>
          <w:color w:val="auto"/>
        </w:rPr>
      </w:pPr>
      <w:r>
        <w:rPr>
          <w:rFonts w:ascii="Arial" w:cs="Arial" w:eastAsia="Arial" w:hAnsi="Arial"/>
          <w:sz w:val="13"/>
          <w:szCs w:val="13"/>
          <w:color w:val="auto"/>
        </w:rPr>
        <w:t>Although the 18-month data from the GATHER1 trial supported the results we observed at 12 months, these data may be subject to several limitations. In accordance with the prespecified statistical analysis plan for the trial, we only performed descriptive analysis of the 18-month efficacy data. Although the favorable safety profile for Zimura was maintained at month 18, individual, unmasked patient data may indicate that our conclusions were not well founded due to inconsistencies, data entry errors or because of unknown variables or patient sub-groups that could potentially be driving the results in one or more treatment groups. Additionally, we learned from our independent masked reading center that the retinal images of one of the patients in the Zimura 4 mg group showed evidence of CNV in the study eye that was not reported by the investigator. As we continue to evaluate the individual, unmasked patient data from the GATHER1 trial, we may learn of additional cases of non-investigator reported safety issues, which may affect the safety profile of Zimura.</w:t>
      </w:r>
    </w:p>
    <w:p>
      <w:pPr>
        <w:spacing w:after="0" w:line="134" w:lineRule="exact"/>
        <w:rPr>
          <w:sz w:val="20"/>
          <w:szCs w:val="20"/>
          <w:color w:val="auto"/>
        </w:rPr>
      </w:pPr>
    </w:p>
    <w:p>
      <w:pPr>
        <w:ind w:firstLine="509"/>
        <w:spacing w:after="0" w:line="276" w:lineRule="auto"/>
        <w:rPr>
          <w:sz w:val="20"/>
          <w:szCs w:val="20"/>
          <w:color w:val="auto"/>
        </w:rPr>
      </w:pPr>
      <w:r>
        <w:rPr>
          <w:rFonts w:ascii="Arial" w:cs="Arial" w:eastAsia="Arial" w:hAnsi="Arial"/>
          <w:sz w:val="13"/>
          <w:szCs w:val="13"/>
          <w:color w:val="auto"/>
        </w:rPr>
        <w:t>Unlike the GATHER1 trial, the GATHER2 trial will include only one treatment arm, Zimura 2 mg, in addition to a control arm. Several Phase 3 clinical trials for ophthalmic product candidates that have been, or are currently being, conducted by other sponsors include multiple treatment arms, either different doses or treatment regimens, in addition to a control arm. The FDA has expressed that including multiple study doses or treatment regimens within a single trial helps mitigate the risk of bias in the trial and is therefore recommended, although not required. We believe that the anatomical measure used as the primary efficacy endpoint in our GATHER1 trial, the mean rate of change in GA growth, as evaluated by an independent, masked reading center, is not subject to bias. We have decided to proceed with only one treatment arm in the GATHER2 trial consisting of a single monthly administration of Zimura 2 mg, because the 12-month data from the GATHER1 trial suggested that monthly administration of Zimura 2 mg provides a similar benefit (approximately 27%) in reducing the mean rate of GA growth over 12 months as compared to the corresponding sham control group, as measured by our primary endpoint, as Zimura 4 mg, and these results are supported by the results of the 18-month data, and because we want to avoid the treatment burden associated with the Zimura 4 mg dose evaluated in our GATHER1 trial. Additionally, for our GATHER2 trial, because we want to begin to evaluate the efficacy of a less frequent dosing regimen, we plan to re-randomize the patients in the monthly Zimura 2 mg treatment arm at 12 months and evaluate dosing Zimura 2 mg every other month, a dosing regimen which we have not previously studied, in half of those patients during the second 12 months of the trial. The GATHER2 trial, however, is not designed to reliably assess any differences we observe between these treatment groups at 24 months with statistical significance and the label we would seek for Zimura in GA, if the results from the GATHER2 trial are positive, would in all likelihood provide for monthly administration of Zimura.</w:t>
      </w:r>
    </w:p>
    <w:p>
      <w:pPr>
        <w:spacing w:after="0" w:line="144" w:lineRule="exact"/>
        <w:rPr>
          <w:sz w:val="20"/>
          <w:szCs w:val="20"/>
          <w:color w:val="auto"/>
        </w:rPr>
      </w:pPr>
    </w:p>
    <w:p>
      <w:pPr>
        <w:ind w:right="140" w:firstLine="509"/>
        <w:spacing w:after="0" w:line="262" w:lineRule="auto"/>
        <w:rPr>
          <w:sz w:val="20"/>
          <w:szCs w:val="20"/>
          <w:color w:val="auto"/>
        </w:rPr>
      </w:pPr>
      <w:r>
        <w:rPr>
          <w:rFonts w:ascii="Arial" w:cs="Arial" w:eastAsia="Arial" w:hAnsi="Arial"/>
          <w:sz w:val="14"/>
          <w:szCs w:val="14"/>
          <w:color w:val="auto"/>
        </w:rPr>
        <w:t>We plan to conduct the GATHER2 trial at many clinical trial sites and in many countries that were not included in the GATHER1 trial. The introduction of new sites, and the resulting involvement of new treating physicians, as well as potentially different patient demographics, can introduce additional variability into the conduct of the trials in accordance with their protocols and may result in greater variability of patient outcomes, which could adversely affect our ability to detect statistically significant differences between patients treated with Zimura 2 mg and patients receiving sham control.</w:t>
      </w:r>
    </w:p>
    <w:p>
      <w:pPr>
        <w:spacing w:after="0" w:line="146"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In addition, the 12-month and 18-month data from the GATHER1 trial suggested there is an overall dose response relationship in which higher doses of Zimura (for example, the 4 mg and the 2 mg doses) corresponded to a greater reduction in the mean rate of GA growth as compared to the corresponding sham group as compared to lower doses of Zimura (for example, the 1 mg dose). For our GATHER2 trial, for the reasons stated above, we have decided to proceed with only a 2 mg dose treatment arm and not include a 4 mg dose treatment arm. The 2 mg dose may prove not to be efficacious in treating GA. Additionally, unlike the protocol for the GATHER1 trial, the protocol of the GATHER2 trial will provide that patients who develop CNV in the study eye in the trial may remain in the trial and receive standard of care anti-VEGF therapy, at the investigator's discretion, and that measurements of these patients' GA will be included in the primary efficacy analysis if their fundus autofluorescence, or FAF, images can be reliably assessed by the masked reading center. The retention of these patients in the GATHER2 trial may introduce additional variability not present in the GATHER1 trial. Moreover, if a significant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number of patients develop CNV in the study eye and these patients' FAF images are not reliably assessable, or if more patients than we anticipate drop out or their data is otherwise missing, it would reduce the number of patients from whom data is available for analyzing the primary endpoint for this trial and the GATHER2 trial could be underpowered to demonstrate a potential clinical benefit for Zimura in GA with statistical significance.</w:t>
      </w:r>
    </w:p>
    <w:p>
      <w:pPr>
        <w:spacing w:after="0" w:line="142"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b w:val="1"/>
          <w:bCs w:val="1"/>
          <w:i w:val="1"/>
          <w:iCs w:val="1"/>
          <w:color w:val="auto"/>
        </w:rPr>
        <w:t>Our intended regulatory pathway for generating sufficient safety and efficacy data to submit an NDA and potentially obtain marketing approval for Zimura for GA is subject to a number of assumptions, including that we may be able to rely on the results from our GATHER1 trial as one of two well-controlled, Phase 3 trials typically required by the FDA. The FDA, EMA and other regulatory authorities may not accept the results of the GATHER1 trial as a Phase 3 clinical trial, or may not agree with our selection of the primary endpoint for the GATHER1 and GATHER2 trials or the statistical analysis we performed. We may decide to or may be required to enroll additional patients, collect additional safety data or conduct additional clinical trials or non-clinical studies to seek or obtain approval for Zimura in GA.</w:t>
      </w:r>
    </w:p>
    <w:p>
      <w:pPr>
        <w:spacing w:after="0" w:line="146" w:lineRule="exact"/>
        <w:rPr>
          <w:sz w:val="20"/>
          <w:szCs w:val="20"/>
          <w:color w:val="auto"/>
        </w:rPr>
      </w:pPr>
    </w:p>
    <w:p>
      <w:pPr>
        <w:ind w:firstLine="509"/>
        <w:spacing w:after="0" w:line="277" w:lineRule="auto"/>
        <w:rPr>
          <w:sz w:val="20"/>
          <w:szCs w:val="20"/>
          <w:color w:val="auto"/>
        </w:rPr>
      </w:pPr>
      <w:r>
        <w:rPr>
          <w:rFonts w:ascii="Arial" w:cs="Arial" w:eastAsia="Arial" w:hAnsi="Arial"/>
          <w:sz w:val="13"/>
          <w:szCs w:val="13"/>
          <w:color w:val="auto"/>
        </w:rPr>
        <w:t>Based on the results we have received from our GATHER1 trial, additional statistical analysis we have performed and informal discussions we have had with the FDA, we believe that the efficacy results from this trial could potentially satisfy the FDA’s requirements as one of the two pivotal clinical trials typically required for marketing approval. This belief is based on many assumptions, including that a reduction in mean rate of GA growth over 12 months is a primary endpoint of clinical relevance, in the absence of a demonstrated reduction in the loss of vision, and that data from the GATHER1 trial is robust. The FDA, the EMA or other regulatory authorities may not agree with our view that the observed reduction in the rate of GA growth is clinically relevant or meaningful, or may require us to correlate this reduction in rate of GA growth with another outcome more directly associated with visual function. We are not currently planning to include visual function measures as primary or secondary efficacy endpoints in the GATHER2 trial, and vision will be assessed as a safety endpoint. The FDA, the EMA or other regulatory authorities may disagree with our conclusion regarding the robustness of the data from the GATHER1 trial based on our sensitivity analyses or may conduct their own sensitivity analyses yielding different results. Even if we meet with the FDA, EMA or other regulatory authorities, we likely will not have an opportunity to obtain definitive confirmation from the FDA, EMA or other regulatory authorities regarding the robustness of the data from our clinical trials, including the GATHER1 trial, until such time as we submit an application for marketing approval and receive a response from the applicable authority. If the GATHER1 trial results are not considered robust, in order to seek marketing approval we may need to conduct, in addition to the GATHER2 trial, one or more additional, well-controlled clinical trials that meets the applicable regulatory requirements in order to obtain sufficiently robust data to support marketing approval.</w:t>
      </w:r>
    </w:p>
    <w:p>
      <w:pPr>
        <w:spacing w:after="0" w:line="54" w:lineRule="exact"/>
        <w:rPr>
          <w:sz w:val="20"/>
          <w:szCs w:val="20"/>
          <w:color w:val="auto"/>
        </w:rPr>
      </w:pPr>
    </w:p>
    <w:p>
      <w:pPr>
        <w:ind w:right="20" w:firstLine="509"/>
        <w:spacing w:after="0" w:line="309" w:lineRule="auto"/>
        <w:rPr>
          <w:sz w:val="20"/>
          <w:szCs w:val="20"/>
          <w:color w:val="auto"/>
        </w:rPr>
      </w:pPr>
      <w:r>
        <w:rPr>
          <w:rFonts w:ascii="Arial" w:cs="Arial" w:eastAsia="Arial" w:hAnsi="Arial"/>
          <w:sz w:val="12"/>
          <w:szCs w:val="12"/>
          <w:color w:val="auto"/>
        </w:rPr>
        <w:t>The FDA, EMA or other regulatory authorities may not agree with the methodologies we used to perform the statistical analysis of the GATHER1 trial results. In particular, they may not agree with how we performed the comparisons of patients receiving Zimura 2 mg with patients in the sham groups, as the comparisons draw upon patients that were enrolled into two different parts of the trial, using different randomization ratios and different vision criteria. In addition, they may not agree with the validity of our MRM analysis, which imputes the values of missing data based on observed data. We plan to use the same MRM analysis in the GATHER2 trial. Moreover, the FDA, EMA or other regulatory authorities may disagree with our inclusion in our efficacy analysis of patients who do not strictly meet all eligibility criteria, or whose treatment or assessments in the clinical trial deviated from the clinical trial protocol on one or more occasions. The FDA, EMA or other regulatory authorities may take issue with the degree of data that are missing from the clinical data set from our GATHER1 trial, or with the rate at which patients withdrew from the trial.</w:t>
      </w:r>
    </w:p>
    <w:p>
      <w:pPr>
        <w:spacing w:after="0" w:line="37" w:lineRule="exact"/>
        <w:rPr>
          <w:sz w:val="20"/>
          <w:szCs w:val="20"/>
          <w:color w:val="auto"/>
        </w:rPr>
      </w:pPr>
    </w:p>
    <w:p>
      <w:pPr>
        <w:ind w:right="180" w:firstLine="509"/>
        <w:spacing w:after="0" w:line="257" w:lineRule="auto"/>
        <w:rPr>
          <w:sz w:val="20"/>
          <w:szCs w:val="20"/>
          <w:color w:val="auto"/>
        </w:rPr>
      </w:pPr>
      <w:r>
        <w:rPr>
          <w:rFonts w:ascii="Arial" w:cs="Arial" w:eastAsia="Arial" w:hAnsi="Arial"/>
          <w:sz w:val="14"/>
          <w:szCs w:val="14"/>
          <w:color w:val="auto"/>
        </w:rPr>
        <w:t>Although we believe that our GATHER1 trial was well-controlled, with appropriate eligibility criteria and appropriate stratification for baseline characteristics, the FDA, EMA or other regulatory authorities may not agree with the methodologies we used to determine patient eligibility and randomize patients to the various treatment groups and therefore may not agree that the comparisons we have made for mean rate of GA growth are statistically valid. The FDA, EMA or other regulatory authorities may take issue with the number of modifications we introduced to the GATHER1 trial following its commencement, which they may view as introducing additional uncontrolled variables, invalidating the comparisons across groups. In particular, the FDA, EMA or other regulatory authorities may view the change in enrollment criteria applied in the various modifications as changing the nature of the patients enrolled, thus rendering the results of the trial as uninterpretable, or may disagree with our decision to remove patients who develop CNV in their study eye from future treatments and assessments as inappropriate, concluding that it may have resulted in unmitigated or uncontrolled bias in the efficacy results from the trial.</w:t>
      </w:r>
    </w:p>
    <w:p>
      <w:pPr>
        <w:spacing w:after="0" w:line="66"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Based on informal discussions with the FDA, we believe we need to conduct one additional clinical trial with enough patients such that we will have safety data for a minimum of 300 patients having received the dose of Zimura for which we are seeking approval, or a higher Zimura dose, independent of indication, for a minimum of 12 months, with 24-month safety data available for some portion, but not all, of these 300 patients. This additional clinical trial would need to be well-controlled, with a primary efficacy analysis at the 12 month time point or later. We believe that if we were to file an application for marketing approval for Zimura for GA, we would be able to rely on safety data from our GATHER1 and GATHER2 trials in GA, as well as our OPH2005 trial evaluating Zimura for STGD1. We also believe that, if the data from the GATHER2 trial are positive, we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20"/>
        <w:spacing w:after="0" w:line="277" w:lineRule="auto"/>
        <w:rPr>
          <w:sz w:val="20"/>
          <w:szCs w:val="20"/>
          <w:color w:val="auto"/>
        </w:rPr>
      </w:pPr>
      <w:r>
        <w:rPr>
          <w:rFonts w:ascii="Arial" w:cs="Arial" w:eastAsia="Arial" w:hAnsi="Arial"/>
          <w:sz w:val="13"/>
          <w:szCs w:val="13"/>
          <w:color w:val="auto"/>
        </w:rPr>
        <w:t>would be able to submit our application following the primary efficacy analysis for the GATHER2 study at the 12-month time point, without waiting for the full 24-month data package, that we could continue collecting data after submitting for marketing approval and that we could supplement our applications for marketing approval while they are pending. We have designed our GATHER2 trial to meet these requirements, which, as we understand them, and if data from the GATHER2 trial are positive, will permit us to seek marketing approval for Zimura in GA in the United States and potentially the European Union. Since receiving the 12-month results from the GATHER1 trial, we have not had an end of phase 2 or other formal meeting with either the FDA or the EMA and we may not do so before receiving results from the GATHER2 trial and submitting our applications for marketing approval. In addition, we expect to continue to engage with regulatory authorities, including with the FDA as part of the fast track program or otherwise with competent national authorities in Europe, during the GATHER2 trial and may receive feedback that is not consistent with our expectations, including potential disagreements by the EMA and other regulatory authorities with what we are understand are the requirements of the FDA. Regulatory authorities may require us to enroll additional patients, collect additional safety data, conduct additional trials or take other actions, which would require us to revise our development plans for Zimura, including potentially changing the design of the GATHER2 trial, increase the costs of our Zimura clinical programs and delay our expected timelines. In addition, because of the COVID-19 pandemic or other reasons, we may experience a higher than anticipated rate of dropouts and missed visits and treatments in our GATHER2 trial, which could result in our not having adequate safety data for a sufficient number of patients to obtain marketing approval in GA, even if the primary endpoint is met and the results from the GATHER2 trial are otherwise positive.</w:t>
      </w:r>
    </w:p>
    <w:p>
      <w:pPr>
        <w:spacing w:after="0" w:line="139" w:lineRule="exact"/>
        <w:rPr>
          <w:sz w:val="20"/>
          <w:szCs w:val="20"/>
          <w:color w:val="auto"/>
        </w:rPr>
      </w:pPr>
    </w:p>
    <w:p>
      <w:pPr>
        <w:ind w:firstLine="509"/>
        <w:spacing w:after="0" w:line="280" w:lineRule="auto"/>
        <w:rPr>
          <w:sz w:val="20"/>
          <w:szCs w:val="20"/>
          <w:color w:val="auto"/>
        </w:rPr>
      </w:pPr>
      <w:r>
        <w:rPr>
          <w:rFonts w:ascii="Arial" w:cs="Arial" w:eastAsia="Arial" w:hAnsi="Arial"/>
          <w:sz w:val="13"/>
          <w:szCs w:val="13"/>
          <w:color w:val="auto"/>
        </w:rPr>
        <w:t>Furthermore, our previous and ongoing Zimura clinical trials have evaluated Zimura dosing levels and regimens that we have studied only in cohorts consisting of a small number of patients. This approach may increase the risk that patients in our ongoing trials experience adverse events and/or serious adverse events (either ocular, systemic or both) that we have not observed or at rates that we have not observed in prior trials. Although we have not observed any adverse events or serious adverse events attributable by the investigators to the drug product in our GATHER1 trial, we may become aware of safety concerns as we analyze individual patient level data in our GATHER1 trial, and they may manifest in our OPH2005 trial, in our GATHER2 trial or in any other subsequent clinical trials we or a potential licensee or collaborator may undertake for Zimura. When we follow patients for a longer period of time or collect safety data from a greater number of patients, we may observe safety events that we have not previously observed. For a further discussion of the safety risks in our trials, see the risk factor herein entitled "</w:t>
      </w:r>
      <w:r>
        <w:rPr>
          <w:rFonts w:ascii="Arial" w:cs="Arial" w:eastAsia="Arial" w:hAnsi="Arial"/>
          <w:sz w:val="13"/>
          <w:szCs w:val="13"/>
          <w:i w:val="1"/>
          <w:iCs w:val="1"/>
          <w:color w:val="auto"/>
        </w:rPr>
        <w:t>If serious adverse or</w:t>
      </w:r>
      <w:r>
        <w:rPr>
          <w:rFonts w:ascii="Arial" w:cs="Arial" w:eastAsia="Arial" w:hAnsi="Arial"/>
          <w:sz w:val="13"/>
          <w:szCs w:val="13"/>
          <w:color w:val="auto"/>
        </w:rPr>
        <w:t xml:space="preserve"> </w:t>
      </w:r>
      <w:r>
        <w:rPr>
          <w:rFonts w:ascii="Arial" w:cs="Arial" w:eastAsia="Arial" w:hAnsi="Arial"/>
          <w:sz w:val="13"/>
          <w:szCs w:val="13"/>
          <w:i w:val="1"/>
          <w:iCs w:val="1"/>
          <w:color w:val="auto"/>
        </w:rPr>
        <w:t>unacceptable side effects are identified during the development of our product candidates, we may need to abandon or limit our development of such product candidates.</w:t>
      </w:r>
      <w:r>
        <w:rPr>
          <w:rFonts w:ascii="Arial" w:cs="Arial" w:eastAsia="Arial" w:hAnsi="Arial"/>
          <w:sz w:val="13"/>
          <w:szCs w:val="13"/>
          <w:color w:val="auto"/>
        </w:rPr>
        <w:t>"</w:t>
      </w:r>
    </w:p>
    <w:p>
      <w:pPr>
        <w:spacing w:after="0" w:line="137" w:lineRule="exact"/>
        <w:rPr>
          <w:sz w:val="20"/>
          <w:szCs w:val="20"/>
          <w:color w:val="auto"/>
        </w:rPr>
      </w:pPr>
    </w:p>
    <w:p>
      <w:pPr>
        <w:ind w:right="20" w:firstLine="509"/>
        <w:spacing w:after="0" w:line="288" w:lineRule="auto"/>
        <w:rPr>
          <w:sz w:val="20"/>
          <w:szCs w:val="20"/>
          <w:color w:val="auto"/>
        </w:rPr>
      </w:pPr>
      <w:r>
        <w:rPr>
          <w:rFonts w:ascii="Arial" w:cs="Arial" w:eastAsia="Arial" w:hAnsi="Arial"/>
          <w:sz w:val="13"/>
          <w:szCs w:val="13"/>
          <w:color w:val="auto"/>
        </w:rPr>
        <w:t>Because the primary efficacy endpoint and the statistical analysis plan we would expect to use to analyze data for the primary efficacy endpoint for our GATHER2 trial are similar to those of the GATHER1 trial, any disagreements by the FDA, EMA or other regulatory authorities with GATHER1 will likely affect GATHER2 as well. Our ongoing clinical trials and any future clinical trials for Zimura that we or a potential future licensee or collaborator may undertake may fail to demonstrate sufficient safety or efficacy to justify further development or to ultimately seek or obtain marketing approval. Any negative results from our ongoing or any other future clinical trials for Zimura could adversely affect our business and the value of your investment in our company.</w:t>
      </w:r>
    </w:p>
    <w:p>
      <w:pPr>
        <w:spacing w:after="0" w:line="131" w:lineRule="exact"/>
        <w:rPr>
          <w:sz w:val="20"/>
          <w:szCs w:val="20"/>
          <w:color w:val="auto"/>
        </w:rPr>
      </w:pPr>
    </w:p>
    <w:p>
      <w:pPr>
        <w:ind w:right="240"/>
        <w:spacing w:after="0" w:line="281" w:lineRule="auto"/>
        <w:rPr>
          <w:sz w:val="20"/>
          <w:szCs w:val="20"/>
          <w:color w:val="auto"/>
        </w:rPr>
      </w:pPr>
      <w:r>
        <w:rPr>
          <w:rFonts w:ascii="Arial" w:cs="Arial" w:eastAsia="Arial" w:hAnsi="Arial"/>
          <w:sz w:val="14"/>
          <w:szCs w:val="14"/>
          <w:b w:val="1"/>
          <w:bCs w:val="1"/>
          <w:i w:val="1"/>
          <w:iCs w:val="1"/>
          <w:color w:val="auto"/>
        </w:rPr>
        <w:t>We have no unmasked clinical data regarding the safety and efficacy of Zimura as a treatment of STGD1. The dropout rate may reduce the number of patients from whom we can collect and analyze data from our OPH2005 trial. We may not be able to recruit additional patients for this trial in line with our expectations.</w:t>
      </w:r>
    </w:p>
    <w:p>
      <w:pPr>
        <w:spacing w:after="0" w:line="132" w:lineRule="exact"/>
        <w:rPr>
          <w:sz w:val="20"/>
          <w:szCs w:val="20"/>
          <w:color w:val="auto"/>
        </w:rPr>
      </w:pPr>
    </w:p>
    <w:p>
      <w:pPr>
        <w:ind w:firstLine="509"/>
        <w:spacing w:after="0" w:line="278" w:lineRule="auto"/>
        <w:rPr>
          <w:sz w:val="20"/>
          <w:szCs w:val="20"/>
          <w:color w:val="auto"/>
        </w:rPr>
      </w:pPr>
      <w:r>
        <w:rPr>
          <w:rFonts w:ascii="Arial" w:cs="Arial" w:eastAsia="Arial" w:hAnsi="Arial"/>
          <w:sz w:val="13"/>
          <w:szCs w:val="13"/>
          <w:color w:val="auto"/>
        </w:rPr>
        <w:t>We have no unmasked clinical data regarding the safety and efficacy of Zimura as a treatment for STGD1. As STGD1 is an orphan indication, to our knowledge there is only very limited natural history data currently available regarding the variability for our planned primary efficacy endpoint in the STGD1 patient population we enrolled in this trial. Moreover, because Stargardt disease, like GA, is a degenerative disease, and in many cases, the rate of degeneration is slow, and because we are seeking to slow the progression of degeneration with Zimura, and not necessarily to reverse prior degeneration or restore visual function, patients participating in our OPH2005 trial, who may be younger and may experience vision loss that is more subtle than patients with GA or other forms of AMD, may not perceive a benefit from continuing to participate and therefore may drop out of this trial or miss scheduled visits and treatments. This risk is particularly magnified during the COVID-19 pandemic, which may cause our patients to voluntarily or involuntarily drop out of the trial or miss scheduled visits and treatments in greater numbers than before. Although we and the investigators and their staff take efforts to encourage continued patient participation, the dropout rate may exceed our expectations. A higher than expected dropout rate would reduce the number of patients from whom data is available for analyzing the primary endpoint for this trial. Given the information above, our OPH2005 trial could be underpowered to demonstrate a potential clinical benefit for Zimura in STGD1 with statistical significance.</w:t>
      </w:r>
    </w:p>
    <w:p>
      <w:pPr>
        <w:spacing w:after="0" w:line="139" w:lineRule="exact"/>
        <w:rPr>
          <w:sz w:val="20"/>
          <w:szCs w:val="20"/>
          <w:color w:val="auto"/>
        </w:rPr>
      </w:pPr>
    </w:p>
    <w:p>
      <w:pPr>
        <w:ind w:right="220" w:firstLine="509"/>
        <w:spacing w:after="0" w:line="281" w:lineRule="auto"/>
        <w:rPr>
          <w:sz w:val="20"/>
          <w:szCs w:val="20"/>
          <w:color w:val="auto"/>
        </w:rPr>
      </w:pPr>
      <w:r>
        <w:rPr>
          <w:rFonts w:ascii="Arial" w:cs="Arial" w:eastAsia="Arial" w:hAnsi="Arial"/>
          <w:sz w:val="14"/>
          <w:szCs w:val="14"/>
          <w:color w:val="auto"/>
        </w:rPr>
        <w:t>We have decided to enroll approximately 25 additional patients in this trial, with the goal of enrolling a total of approximately 120 patients as was initially intended in the protocol for this trial. This change to the trial will increase the costs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associated with this trial and delay the timelines for receipt of data from this trial. We believe an expanded trial could allow us to collect additional data regarding the effect of Zimura on STGD1 patients and help us mitigate the risks from additional patient dropouts and missed visits; however, these expectations may prove to be incorrect. Patient recruitment may take longer or cost more than we would expect.</w:t>
      </w:r>
    </w:p>
    <w:p>
      <w:pPr>
        <w:spacing w:after="0" w:line="142" w:lineRule="exact"/>
        <w:rPr>
          <w:sz w:val="20"/>
          <w:szCs w:val="20"/>
          <w:color w:val="auto"/>
        </w:rPr>
      </w:pPr>
    </w:p>
    <w:p>
      <w:pPr>
        <w:ind w:right="300"/>
        <w:spacing w:after="0" w:line="368" w:lineRule="auto"/>
        <w:rPr>
          <w:sz w:val="20"/>
          <w:szCs w:val="20"/>
          <w:color w:val="auto"/>
        </w:rPr>
      </w:pPr>
      <w:r>
        <w:rPr>
          <w:rFonts w:ascii="Arial" w:cs="Arial" w:eastAsia="Arial" w:hAnsi="Arial"/>
          <w:sz w:val="12"/>
          <w:szCs w:val="12"/>
          <w:b w:val="1"/>
          <w:bCs w:val="1"/>
          <w:i w:val="1"/>
          <w:iCs w:val="1"/>
          <w:color w:val="auto"/>
        </w:rPr>
        <w:t>The COVID-19 pandemic has affected and may continue to affect the initiation and conduct of our clinical trials, including the recruitment and retention of patients for our GATHER2 and OPH2005 clinical trials. It may have long-lasting effects on the conduct of clinical trials, which can make our ongoing and any future trials more difficult or time consuming.</w:t>
      </w:r>
    </w:p>
    <w:p>
      <w:pPr>
        <w:spacing w:after="0" w:line="86" w:lineRule="exact"/>
        <w:rPr>
          <w:sz w:val="20"/>
          <w:szCs w:val="20"/>
          <w:color w:val="auto"/>
        </w:rPr>
      </w:pPr>
    </w:p>
    <w:p>
      <w:pPr>
        <w:ind w:right="40" w:firstLine="509"/>
        <w:spacing w:after="0" w:line="267" w:lineRule="auto"/>
        <w:rPr>
          <w:sz w:val="20"/>
          <w:szCs w:val="20"/>
          <w:color w:val="auto"/>
        </w:rPr>
      </w:pPr>
      <w:r>
        <w:rPr>
          <w:rFonts w:ascii="Arial" w:cs="Arial" w:eastAsia="Arial" w:hAnsi="Arial"/>
          <w:sz w:val="14"/>
          <w:szCs w:val="14"/>
          <w:color w:val="auto"/>
        </w:rPr>
        <w:t>Our GATHER1, OPH2005 and GATHER2 trials involve sites located across the United States and in many countries outside the United States. We have made a number of changes to the clinical operations of our clinical trials as a result of the COVID-19 pandemic, its effects on current and prospective participating patients, and various governmental and other measures to control the outbreak. Our plans for our clinical trials may change further as the COVID-19 situation evolves.</w:t>
      </w:r>
    </w:p>
    <w:p>
      <w:pPr>
        <w:spacing w:after="0" w:line="142" w:lineRule="exact"/>
        <w:rPr>
          <w:sz w:val="20"/>
          <w:szCs w:val="20"/>
          <w:color w:val="auto"/>
        </w:rPr>
      </w:pPr>
    </w:p>
    <w:p>
      <w:pPr>
        <w:ind w:right="140" w:firstLine="509"/>
        <w:spacing w:after="0" w:line="262" w:lineRule="auto"/>
        <w:rPr>
          <w:sz w:val="20"/>
          <w:szCs w:val="20"/>
          <w:color w:val="auto"/>
        </w:rPr>
      </w:pPr>
      <w:r>
        <w:rPr>
          <w:rFonts w:ascii="Arial" w:cs="Arial" w:eastAsia="Arial" w:hAnsi="Arial"/>
          <w:sz w:val="14"/>
          <w:szCs w:val="14"/>
          <w:color w:val="auto"/>
        </w:rPr>
        <w:t>For our GATHER1 trial, the outbreak proliferated around the world as we were finishing the final visits for patients in this trial. In addition to the disruptions to the operations of many clinical trial sites, the COVID-19 pandemic has affected our monitoring operations, for example, by requiring remote monitoring and remote source document verification in many instances, which may affect the robustness of the data verification process, which we may find out as we continue to evaluate the individual, unmasked patient level data from the GATHER1 trial. This risk may also affect our data verification processes for the OPH2005 and GATHER2 trials.</w:t>
      </w:r>
    </w:p>
    <w:p>
      <w:pPr>
        <w:spacing w:after="0" w:line="146" w:lineRule="exact"/>
        <w:rPr>
          <w:sz w:val="20"/>
          <w:szCs w:val="20"/>
          <w:color w:val="auto"/>
        </w:rPr>
      </w:pPr>
    </w:p>
    <w:p>
      <w:pPr>
        <w:ind w:right="20" w:firstLine="509"/>
        <w:spacing w:after="0" w:line="313" w:lineRule="auto"/>
        <w:rPr>
          <w:sz w:val="20"/>
          <w:szCs w:val="20"/>
          <w:color w:val="auto"/>
        </w:rPr>
      </w:pPr>
      <w:r>
        <w:rPr>
          <w:rFonts w:ascii="Arial" w:cs="Arial" w:eastAsia="Arial" w:hAnsi="Arial"/>
          <w:sz w:val="12"/>
          <w:szCs w:val="12"/>
          <w:color w:val="auto"/>
        </w:rPr>
        <w:t>For our OPH2005 trial, we have focused our efforts on maintaining scheduled visits and treatments and overall patient retention. As compared to the patients in the GATHER1 and GATHER2 trials, the patients in the OPH2005 trial are generally younger and have work and family commitments, which may cause them to miss more visits or drop out in greater numbers as a result of the COVID-19 pandemic. In addition to the risks posed by increased patient dropouts, if patients miss scheduled visits in greater numbers as a result of the pandemic, it may affect our ability to draw meaningful conclusions from the clinical data. Where possible, we have provided additional flexibility for patients to modify the scheduling of their visits. However, especially if the COVID-19 pandemic persists, additional patient visits may be missed or rescheduled, which may affect the interpretability of the data that we collect and the conclusions we are able to draw from these data.</w:t>
      </w:r>
    </w:p>
    <w:p>
      <w:pPr>
        <w:spacing w:after="0" w:line="119" w:lineRule="exact"/>
        <w:rPr>
          <w:sz w:val="20"/>
          <w:szCs w:val="20"/>
          <w:color w:val="auto"/>
        </w:rPr>
      </w:pPr>
    </w:p>
    <w:p>
      <w:pPr>
        <w:ind w:right="180" w:firstLine="509"/>
        <w:spacing w:after="0" w:line="262" w:lineRule="auto"/>
        <w:rPr>
          <w:sz w:val="20"/>
          <w:szCs w:val="20"/>
          <w:color w:val="auto"/>
        </w:rPr>
      </w:pPr>
      <w:r>
        <w:rPr>
          <w:rFonts w:ascii="Arial" w:cs="Arial" w:eastAsia="Arial" w:hAnsi="Arial"/>
          <w:sz w:val="14"/>
          <w:szCs w:val="14"/>
          <w:color w:val="auto"/>
        </w:rPr>
        <w:t>For our GATHER2 trial, in addition to the initial delay of patient enrollment from March 2020 to June 2020, competent health authorities and ethics committees in certain countries and many clinical trial sites have reduced their staff and operations due to COVID-19. The reduction in operations has resulted in delays to the approval of our trial and the site activation process in certain geographies. We continue to activate additional clinical sites and plan to add more countries and sites to the trial, and the progress of site activation will depend on the local situation in each specific geography.</w:t>
      </w:r>
    </w:p>
    <w:p>
      <w:pPr>
        <w:spacing w:after="0" w:line="146" w:lineRule="exact"/>
        <w:rPr>
          <w:sz w:val="20"/>
          <w:szCs w:val="20"/>
          <w:color w:val="auto"/>
        </w:rPr>
      </w:pPr>
    </w:p>
    <w:p>
      <w:pPr>
        <w:ind w:firstLine="509"/>
        <w:spacing w:after="0" w:line="276" w:lineRule="auto"/>
        <w:rPr>
          <w:sz w:val="20"/>
          <w:szCs w:val="20"/>
          <w:color w:val="auto"/>
        </w:rPr>
      </w:pPr>
      <w:r>
        <w:rPr>
          <w:rFonts w:ascii="Arial" w:cs="Arial" w:eastAsia="Arial" w:hAnsi="Arial"/>
          <w:sz w:val="13"/>
          <w:szCs w:val="13"/>
          <w:color w:val="auto"/>
        </w:rPr>
        <w:t>We believe the COVID-19 pandemic and its effects will continue to affect patient recruitment, maintenance of scheduled visits and treatments and overall retention of patients in clinical trials, especially GA trials. As a result of the pandemic, many clinical trial sites may have limited capability to recruit patients, especially in a short period of time. Patients, in turn, may be reluctant to enroll in clinical trials or to maintain their scheduled visits and treatments once enrolled due to their fears of visiting clinical trial sites or ongoing restrictive measures requiring social distancing or limiting travel. These concerns may particularly apply to GA patients, many of whom are elderly and therefore at a higher risk for COVID-19 and other diseases than the general population. In addition, many of the tests involved in GA trials, such as the retina imaging tests, are time consuming and may be onerous for patients. Shortages of personal protective equipment and other supplies for the prevention of COVID-19 may cause our clinical trial sites to further scale back the number of staff on site and other operations, and may cause prospective or enrolled patients to avoid clinical trial visits. These factors may make patient recruitment and maintenance of scheduled visits for future clinical trials, especially GA trials, more difficult. Even if a site successfully enrolls patients in line with expectations, there may be additional patient dropouts or missed visits due to the COVID-19 pandemic or similar events, and if those events occur during the course of the GATHER2 trial or the expanded OPH2005 trial, they will likely affect our ability to complete these trials and obtain data in accordance with our expectations. Furthermore, because we expect the GATHER2 trial to be ongoing for at least 24 months, which is the length of the trial, plus any additional time for patient recruitment, it is likely to be affected to the extent a second wave or subsequent outbreaks of the COVID-19 pandemic cause disruptions. Many clinical trial sites have changed their practices in preparation for a possible second wave or future outbreaks, and these changes may affect how we conduct the GATHER2 trial, the expanded OPH2005 trial and any future clinical trials we may conduct.</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140"/>
        <w:spacing w:after="0" w:line="267" w:lineRule="auto"/>
        <w:rPr>
          <w:sz w:val="20"/>
          <w:szCs w:val="20"/>
          <w:color w:val="auto"/>
        </w:rPr>
      </w:pPr>
      <w:r>
        <w:rPr>
          <w:rFonts w:ascii="Arial" w:cs="Arial" w:eastAsia="Arial" w:hAnsi="Arial"/>
          <w:sz w:val="14"/>
          <w:szCs w:val="14"/>
          <w:b w:val="1"/>
          <w:bCs w:val="1"/>
          <w:i w:val="1"/>
          <w:iCs w:val="1"/>
          <w:color w:val="auto"/>
        </w:rPr>
        <w:t>Gene therapy is an emerging field of drug development that poses many scientific and other risks. As a company, we have only limited prior experience in gene therapy research and manufacturing and no prior experience in gene therapy clinical development. Our lack of experience and the limited patient populations for our gene therapy programs may limit our ability to be successful or may delay our development efforts.</w:t>
      </w:r>
    </w:p>
    <w:p>
      <w:pPr>
        <w:spacing w:after="0" w:line="142" w:lineRule="exact"/>
        <w:rPr>
          <w:sz w:val="20"/>
          <w:szCs w:val="20"/>
          <w:color w:val="auto"/>
        </w:rPr>
      </w:pPr>
    </w:p>
    <w:p>
      <w:pPr>
        <w:ind w:right="40" w:firstLine="509"/>
        <w:spacing w:after="0" w:line="171" w:lineRule="exact"/>
        <w:rPr>
          <w:sz w:val="20"/>
          <w:szCs w:val="20"/>
          <w:color w:val="auto"/>
        </w:rPr>
      </w:pPr>
      <w:r>
        <w:rPr>
          <w:rFonts w:ascii="Arial" w:cs="Arial" w:eastAsia="Arial" w:hAnsi="Arial"/>
          <w:sz w:val="13"/>
          <w:szCs w:val="13"/>
          <w:color w:val="auto"/>
        </w:rPr>
        <w:t>Gene therapy is an emerging field of drug development with only two gene replacement therapies having received FDA approval to date. Our gene therapy research and development programs, which we decided to undertake based on a review of a limited set of preclinical data, are still at an early stage. Even with promising preclinical data, there remains several areas of drug development risk, including translational science, manufacturing materials and processes, safety concerns, regulatory pathway and clinical trial design and execution, which pose particular uncertainty for our programs given the relatively limited development history of, and our limited prior experience with, gene therapies. Furthermore, the medical community's understanding of the genetic causes of many diseases continues to evolve and further research may change the medical community's views on what therapies and approaches are most effective for addressing certain diseases.</w:t>
      </w:r>
      <w:r>
        <w:rPr>
          <w:rFonts w:ascii="MS PGothic" w:cs="MS PGothic" w:eastAsia="MS PGothic" w:hAnsi="MS PGothic"/>
          <w:sz w:val="13"/>
          <w:szCs w:val="13"/>
          <w:color w:val="auto"/>
        </w:rPr>
        <w:t>  </w:t>
      </w:r>
      <w:r>
        <w:rPr>
          <w:rFonts w:ascii="Arial" w:cs="Arial" w:eastAsia="Arial" w:hAnsi="Arial"/>
          <w:sz w:val="13"/>
          <w:szCs w:val="13"/>
          <w:color w:val="auto"/>
        </w:rPr>
        <w:t>For example, our IC-100 product candidate, which we are developing for RHO-adRP, has a mechanism of action that suppresses the expression of endogenous rhodopsin and seeks to replace it with a healthy version of rhodopsin. Patients with autosomal dominant conditions, such as RHO-adRP, have one healthy allele and one mutant disease-causing allele. For patients with RHO-adRP, although the rhodopsin produced by the mutant allele may be toxic, leading to retinal degeneration, the rhodopsin produced by the healthy allele supports, and may be necessary for, the patient's existing vision. IC-100 may suppress the expression of all endogenous rhodopsin, whether expressed from the healthy or the mutant allele. Although we believe, based on preclinical experiments in a canine model of RHO-adRP, that IC-100 will restore rhodopsin production to a level sufficient to maintain vision, we will not know this to be the case until we obtain human clinical data regarding IC-100's effect in this patient population.</w:t>
      </w:r>
    </w:p>
    <w:p>
      <w:pPr>
        <w:spacing w:after="0" w:line="160" w:lineRule="exact"/>
        <w:rPr>
          <w:sz w:val="20"/>
          <w:szCs w:val="20"/>
          <w:color w:val="auto"/>
        </w:rPr>
      </w:pPr>
    </w:p>
    <w:p>
      <w:pPr>
        <w:ind w:firstLine="509"/>
        <w:spacing w:after="0" w:line="284" w:lineRule="auto"/>
        <w:rPr>
          <w:sz w:val="20"/>
          <w:szCs w:val="20"/>
          <w:color w:val="auto"/>
        </w:rPr>
      </w:pPr>
      <w:r>
        <w:rPr>
          <w:rFonts w:ascii="Arial" w:cs="Arial" w:eastAsia="Arial" w:hAnsi="Arial"/>
          <w:sz w:val="13"/>
          <w:szCs w:val="13"/>
          <w:color w:val="auto"/>
        </w:rPr>
        <w:t xml:space="preserve">Moreover, while there are more than 200 known mutations to the </w:t>
      </w:r>
      <w:r>
        <w:rPr>
          <w:rFonts w:ascii="Arial" w:cs="Arial" w:eastAsia="Arial" w:hAnsi="Arial"/>
          <w:sz w:val="13"/>
          <w:szCs w:val="13"/>
          <w:i w:val="1"/>
          <w:iCs w:val="1"/>
          <w:color w:val="auto"/>
        </w:rPr>
        <w:t>BEST1</w:t>
      </w:r>
      <w:r>
        <w:rPr>
          <w:rFonts w:ascii="Arial" w:cs="Arial" w:eastAsia="Arial" w:hAnsi="Arial"/>
          <w:sz w:val="13"/>
          <w:szCs w:val="13"/>
          <w:color w:val="auto"/>
        </w:rPr>
        <w:t xml:space="preserve"> gene, the different types of mutations and their association with various </w:t>
      </w:r>
      <w:r>
        <w:rPr>
          <w:rFonts w:ascii="Arial" w:cs="Arial" w:eastAsia="Arial" w:hAnsi="Arial"/>
          <w:sz w:val="13"/>
          <w:szCs w:val="13"/>
          <w:i w:val="1"/>
          <w:iCs w:val="1"/>
          <w:color w:val="auto"/>
        </w:rPr>
        <w:t>BEST1-</w:t>
      </w:r>
      <w:r>
        <w:rPr>
          <w:rFonts w:ascii="Arial" w:cs="Arial" w:eastAsia="Arial" w:hAnsi="Arial"/>
          <w:sz w:val="13"/>
          <w:szCs w:val="13"/>
          <w:color w:val="auto"/>
        </w:rPr>
        <w:t xml:space="preserve">related IRDs are still not well-understood. Our product candidate for these diseases, IC-200, may only be effective in treating retinal diseases associated with certain mutations in the </w:t>
      </w:r>
      <w:r>
        <w:rPr>
          <w:rFonts w:ascii="Arial" w:cs="Arial" w:eastAsia="Arial" w:hAnsi="Arial"/>
          <w:sz w:val="13"/>
          <w:szCs w:val="13"/>
          <w:i w:val="1"/>
          <w:iCs w:val="1"/>
          <w:color w:val="auto"/>
        </w:rPr>
        <w:t>BEST1</w:t>
      </w:r>
      <w:r>
        <w:rPr>
          <w:rFonts w:ascii="Arial" w:cs="Arial" w:eastAsia="Arial" w:hAnsi="Arial"/>
          <w:sz w:val="13"/>
          <w:szCs w:val="13"/>
          <w:color w:val="auto"/>
        </w:rPr>
        <w:t xml:space="preserve"> gene and not other mutations, especially if the mutation is associated with the production of a toxic protein. Additionally, we decided to in-license and pursue the development of IC-200 based on results observed in an autosomal recessive canine disease model. A majority of humans with </w:t>
      </w:r>
      <w:r>
        <w:rPr>
          <w:rFonts w:ascii="Arial" w:cs="Arial" w:eastAsia="Arial" w:hAnsi="Arial"/>
          <w:sz w:val="13"/>
          <w:szCs w:val="13"/>
          <w:i w:val="1"/>
          <w:iCs w:val="1"/>
          <w:color w:val="auto"/>
        </w:rPr>
        <w:t>BEST1-</w:t>
      </w:r>
      <w:r>
        <w:rPr>
          <w:rFonts w:ascii="Arial" w:cs="Arial" w:eastAsia="Arial" w:hAnsi="Arial"/>
          <w:sz w:val="13"/>
          <w:szCs w:val="13"/>
          <w:color w:val="auto"/>
        </w:rPr>
        <w:t>related IRDs, however, have the autosomal dominant form of the disease, commonly referred to as Best disease. If we choose to develop IC-200 for this patient population, using a construct previously studied in an autosomal recessive canine disease model, this approach may ultimately prove ineffective.</w:t>
      </w:r>
    </w:p>
    <w:p>
      <w:pPr>
        <w:spacing w:after="0" w:line="134" w:lineRule="exact"/>
        <w:rPr>
          <w:sz w:val="20"/>
          <w:szCs w:val="20"/>
          <w:color w:val="auto"/>
        </w:rPr>
      </w:pPr>
    </w:p>
    <w:p>
      <w:pPr>
        <w:ind w:right="120" w:firstLine="509"/>
        <w:spacing w:after="0" w:line="282" w:lineRule="auto"/>
        <w:rPr>
          <w:sz w:val="20"/>
          <w:szCs w:val="20"/>
          <w:color w:val="auto"/>
        </w:rPr>
      </w:pPr>
      <w:r>
        <w:rPr>
          <w:rFonts w:ascii="Arial" w:cs="Arial" w:eastAsia="Arial" w:hAnsi="Arial"/>
          <w:sz w:val="13"/>
          <w:szCs w:val="13"/>
          <w:color w:val="auto"/>
        </w:rPr>
        <w:t>For our miniCEP290 program and other minigene programs, we are sponsoring research using a novel approach that is largely untested and presents various scientific and regulatory risks. To date, all the data generated for our miniCEP290 program are in a newborn mouse model for LCA10, and we do not know whether the effect we observed with these minigenes in mice will be replicated in other animals or humans. Furthermore, minigenes result in the expression of a protein that differs from the naturally occurring protein. The protein expressed by the minigene may have physiological effects, including toxic effects, that are not yet known. Because of the novelty of minigenes, the medical community's and regulators' receptiveness to this approach remains unknown. Our sponsored research may not fully elucidate all of the physiological risks associated with a particular minigene and the associated expressed protein. For these and other reasons, promising minigene candidates that emerge from our sponsored research programs with UMMS may not succeed in later stage preclinical and clinical development.</w:t>
      </w:r>
    </w:p>
    <w:p>
      <w:pPr>
        <w:spacing w:after="0" w:line="134"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We have particularly focused on AAV gene therapy, as AAV vectors are relatively specific to retinal cells and their safety profile in humans is relatively well-documented as compared to other delivery vehicles and gene therapy technologies currently in development. However, AAV has a number of drawbacks, including its small packaging capacity: an AAV vector can hold only up to approximately 4,700 base pairs of DNA, whereas the genes that are associated with a number of diseases, such as LCA10, Stargardt disease and Usher 2A, exceed that size. Although AAV is the most commonly used vector in ocular gene therapy today, it may prove to pose safety risks that we are not aware of and other vector forms, such as retroviral or lentiviral and non-viral based vectors, or gene editing approaches, may prove to be safer and more effective.</w:t>
      </w:r>
    </w:p>
    <w:p>
      <w:pPr>
        <w:spacing w:after="0" w:line="146" w:lineRule="exact"/>
        <w:rPr>
          <w:sz w:val="20"/>
          <w:szCs w:val="20"/>
          <w:color w:val="auto"/>
        </w:rPr>
      </w:pPr>
    </w:p>
    <w:p>
      <w:pPr>
        <w:ind w:right="120" w:firstLine="509"/>
        <w:spacing w:after="0" w:line="258" w:lineRule="auto"/>
        <w:rPr>
          <w:sz w:val="20"/>
          <w:szCs w:val="20"/>
          <w:color w:val="auto"/>
        </w:rPr>
      </w:pPr>
      <w:r>
        <w:rPr>
          <w:rFonts w:ascii="Arial" w:cs="Arial" w:eastAsia="Arial" w:hAnsi="Arial"/>
          <w:sz w:val="14"/>
          <w:szCs w:val="14"/>
          <w:color w:val="auto"/>
        </w:rPr>
        <w:t>Although we believe gene therapy is a promising area for retinal drug development, our gene therapy research and development experience is limited to only a few personnel hired to supervise our outside service providers. In pursuing this new technology, we have begun to establish our own gene therapy technical capabilities, but we will need to continue to build those capabilities by either hiring internally or seeking assistance from outside service providers. We believe that gene therapy is an area of significant investment by biotechnology and pharmaceutical companies and that there may be a scarcity of talent available to us in these areas. If we are not able to expand our gene therapy capabilities, we may not be able to develop in the way we intend or desire, IC-100, IC-200 or any promising product candidates that emerge from our miniCEP290 program or our other collaborative gene therapy sponsored research programs, which would limit our prospects for future growth.</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We have not previously conducted any clinical development involving gene therapies. As we prepare for the potential initiation of our first gene therapy clinical trial, we will need to build our internal and external capabilities in designing and executing a gene therapy clinical trial. There are many known and unknown risks involved in translating preclinical development of gene therapies to clinical development, including selecting appropriate endpoints and dosage levels for dosing humans based on preclinical data. In particular, many of the indications for which we are pursuing our gene therapy programs have limited number of therapies in clinical development, which may make selecting an appropriate endpoint difficult. Furthermore, our gene therapy programs are targeting orphan diseases with relatively small populations, which limits the pool of potential subjects for our gene therapy clinical trials. Because gene therapy trials generally require subjects who have not previously received any other therapy for the same indication, we will also need to compete with our competitors who are also developing therapies for these same indications for the same group of potential clinical trial subjects. If we are unable to initiate and conduct our gene therapy clinical trials in a manner that satisfies our expectations or regulatory requirements, the value of our gene therapy programs may be diminished.</w:t>
      </w:r>
    </w:p>
    <w:p>
      <w:pPr>
        <w:spacing w:after="0" w:line="149" w:lineRule="exact"/>
        <w:rPr>
          <w:sz w:val="20"/>
          <w:szCs w:val="20"/>
          <w:color w:val="auto"/>
        </w:rPr>
      </w:pPr>
    </w:p>
    <w:p>
      <w:pPr>
        <w:ind w:right="20" w:firstLine="509"/>
        <w:spacing w:after="0" w:line="267" w:lineRule="auto"/>
        <w:rPr>
          <w:sz w:val="20"/>
          <w:szCs w:val="20"/>
          <w:color w:val="auto"/>
        </w:rPr>
      </w:pPr>
      <w:r>
        <w:rPr>
          <w:rFonts w:ascii="Arial" w:cs="Arial" w:eastAsia="Arial" w:hAnsi="Arial"/>
          <w:sz w:val="14"/>
          <w:szCs w:val="14"/>
          <w:color w:val="auto"/>
        </w:rPr>
        <w:t>For a further discussion of the risks associated with the manufacturing of gene therapy products, see the risk factor herein entitled "</w:t>
      </w:r>
      <w:r>
        <w:rPr>
          <w:rFonts w:ascii="Arial" w:cs="Arial" w:eastAsia="Arial" w:hAnsi="Arial"/>
          <w:sz w:val="14"/>
          <w:szCs w:val="14"/>
          <w:i w:val="1"/>
          <w:iCs w:val="1"/>
          <w:color w:val="auto"/>
        </w:rPr>
        <w:t>The manufacture of gene therapy products is complex with</w:t>
      </w:r>
      <w:r>
        <w:rPr>
          <w:rFonts w:ascii="Arial" w:cs="Arial" w:eastAsia="Arial" w:hAnsi="Arial"/>
          <w:sz w:val="14"/>
          <w:szCs w:val="14"/>
          <w:color w:val="auto"/>
        </w:rPr>
        <w:t xml:space="preserve"> </w:t>
      </w:r>
      <w:r>
        <w:rPr>
          <w:rFonts w:ascii="Arial" w:cs="Arial" w:eastAsia="Arial" w:hAnsi="Arial"/>
          <w:sz w:val="14"/>
          <w:szCs w:val="14"/>
          <w:i w:val="1"/>
          <w:iCs w:val="1"/>
          <w:color w:val="auto"/>
        </w:rPr>
        <w:t>a number of scientific and technical risks, some of which are common to the manufacture of drugs and biologics and others are unique to the manufacture of gene therapies. We have limited experience with gene therapy manufacturing and are dependent on our third-party contract manufacturers and sole source suppliers</w:t>
      </w:r>
      <w:r>
        <w:rPr>
          <w:rFonts w:ascii="Arial" w:cs="Arial" w:eastAsia="Arial" w:hAnsi="Arial"/>
          <w:sz w:val="14"/>
          <w:szCs w:val="14"/>
          <w:color w:val="auto"/>
        </w:rPr>
        <w:t>".</w:t>
      </w:r>
    </w:p>
    <w:p>
      <w:pPr>
        <w:spacing w:after="0" w:line="142" w:lineRule="exact"/>
        <w:rPr>
          <w:sz w:val="20"/>
          <w:szCs w:val="20"/>
          <w:color w:val="auto"/>
        </w:rPr>
      </w:pPr>
    </w:p>
    <w:p>
      <w:pPr>
        <w:ind w:right="420"/>
        <w:spacing w:after="0" w:line="321" w:lineRule="auto"/>
        <w:rPr>
          <w:sz w:val="20"/>
          <w:szCs w:val="20"/>
          <w:color w:val="auto"/>
        </w:rPr>
      </w:pPr>
      <w:r>
        <w:rPr>
          <w:rFonts w:ascii="Arial" w:cs="Arial" w:eastAsia="Arial" w:hAnsi="Arial"/>
          <w:sz w:val="13"/>
          <w:szCs w:val="13"/>
          <w:b w:val="1"/>
          <w:bCs w:val="1"/>
          <w:i w:val="1"/>
          <w:iCs w:val="1"/>
          <w:color w:val="auto"/>
        </w:rPr>
        <w:t>Our development of IC-500 is also based on a novel mechanism of action that is unproven and poses a number of scientific and other risks. Even though we have identified a lead product candidate from our HtrA1 inhibitor program, we may not be able to successfully develop a viable manufacturing process for or formulate this product candidate.</w:t>
      </w:r>
    </w:p>
    <w:p>
      <w:pPr>
        <w:spacing w:after="0" w:line="109" w:lineRule="exact"/>
        <w:rPr>
          <w:sz w:val="20"/>
          <w:szCs w:val="20"/>
          <w:color w:val="auto"/>
        </w:rPr>
      </w:pPr>
    </w:p>
    <w:p>
      <w:pPr>
        <w:ind w:firstLine="509"/>
        <w:spacing w:after="0" w:line="279" w:lineRule="auto"/>
        <w:rPr>
          <w:sz w:val="20"/>
          <w:szCs w:val="20"/>
          <w:color w:val="auto"/>
        </w:rPr>
      </w:pPr>
      <w:r>
        <w:rPr>
          <w:rFonts w:ascii="Arial" w:cs="Arial" w:eastAsia="Arial" w:hAnsi="Arial"/>
          <w:sz w:val="13"/>
          <w:szCs w:val="13"/>
          <w:color w:val="auto"/>
        </w:rPr>
        <w:t xml:space="preserve">IC-500, our selected product candidate from our HtrA1 inhibitor program, is in preclinical development. There are no FDA or EMA approved products that utilize HtrA1 inhibition as a mechanism of action for treating ophthalmic diseases, including GA and other age-related retinal diseases for which we may develop IC-500, and this mechanism of action may not prove safe and effective for these diseases. We made the decision to acquire this program based on our interpretation of the scientific literature and rationale for this potential target that suggest an association between HtrA1 and the risk for AMD, as well as a limited set of preclinical data generated by Inception 4 prior to the acquisition. We note, however, the </w:t>
      </w:r>
      <w:r>
        <w:rPr>
          <w:rFonts w:ascii="Arial" w:cs="Arial" w:eastAsia="Arial" w:hAnsi="Arial"/>
          <w:sz w:val="13"/>
          <w:szCs w:val="13"/>
          <w:i w:val="1"/>
          <w:iCs w:val="1"/>
          <w:color w:val="auto"/>
        </w:rPr>
        <w:t>HtrA1</w:t>
      </w:r>
      <w:r>
        <w:rPr>
          <w:rFonts w:ascii="Arial" w:cs="Arial" w:eastAsia="Arial" w:hAnsi="Arial"/>
          <w:sz w:val="13"/>
          <w:szCs w:val="13"/>
          <w:color w:val="auto"/>
        </w:rPr>
        <w:t xml:space="preserve"> gene is in the same region of the 10q26 chromosome as the </w:t>
      </w:r>
      <w:r>
        <w:rPr>
          <w:rFonts w:ascii="Arial" w:cs="Arial" w:eastAsia="Arial" w:hAnsi="Arial"/>
          <w:sz w:val="13"/>
          <w:szCs w:val="13"/>
          <w:i w:val="1"/>
          <w:iCs w:val="1"/>
          <w:color w:val="auto"/>
        </w:rPr>
        <w:t>age-related maculopathy susceptibility 2</w:t>
      </w:r>
      <w:r>
        <w:rPr>
          <w:rFonts w:ascii="Arial" w:cs="Arial" w:eastAsia="Arial" w:hAnsi="Arial"/>
          <w:sz w:val="13"/>
          <w:szCs w:val="13"/>
          <w:color w:val="auto"/>
        </w:rPr>
        <w:t xml:space="preserve">, or </w:t>
      </w:r>
      <w:r>
        <w:rPr>
          <w:rFonts w:ascii="Arial" w:cs="Arial" w:eastAsia="Arial" w:hAnsi="Arial"/>
          <w:sz w:val="13"/>
          <w:szCs w:val="13"/>
          <w:i w:val="1"/>
          <w:iCs w:val="1"/>
          <w:color w:val="auto"/>
        </w:rPr>
        <w:t>ARMS2</w:t>
      </w:r>
      <w:r>
        <w:rPr>
          <w:rFonts w:ascii="Arial" w:cs="Arial" w:eastAsia="Arial" w:hAnsi="Arial"/>
          <w:sz w:val="13"/>
          <w:szCs w:val="13"/>
          <w:color w:val="auto"/>
        </w:rPr>
        <w:t xml:space="preserve">, gene. The </w:t>
      </w:r>
      <w:r>
        <w:rPr>
          <w:rFonts w:ascii="Arial" w:cs="Arial" w:eastAsia="Arial" w:hAnsi="Arial"/>
          <w:sz w:val="13"/>
          <w:szCs w:val="13"/>
          <w:i w:val="1"/>
          <w:iCs w:val="1"/>
          <w:color w:val="auto"/>
        </w:rPr>
        <w:t>ARMS2</w:t>
      </w:r>
      <w:r>
        <w:rPr>
          <w:rFonts w:ascii="Arial" w:cs="Arial" w:eastAsia="Arial" w:hAnsi="Arial"/>
          <w:sz w:val="13"/>
          <w:szCs w:val="13"/>
          <w:color w:val="auto"/>
        </w:rPr>
        <w:t xml:space="preserve"> and </w:t>
      </w:r>
      <w:r>
        <w:rPr>
          <w:rFonts w:ascii="Arial" w:cs="Arial" w:eastAsia="Arial" w:hAnsi="Arial"/>
          <w:sz w:val="13"/>
          <w:szCs w:val="13"/>
          <w:i w:val="1"/>
          <w:iCs w:val="1"/>
          <w:color w:val="auto"/>
        </w:rPr>
        <w:t>HtrA1</w:t>
      </w:r>
      <w:r>
        <w:rPr>
          <w:rFonts w:ascii="Arial" w:cs="Arial" w:eastAsia="Arial" w:hAnsi="Arial"/>
          <w:sz w:val="13"/>
          <w:szCs w:val="13"/>
          <w:color w:val="auto"/>
        </w:rPr>
        <w:t xml:space="preserve"> genes are linked, and variants in, or expression of, the </w:t>
      </w:r>
      <w:r>
        <w:rPr>
          <w:rFonts w:ascii="Arial" w:cs="Arial" w:eastAsia="Arial" w:hAnsi="Arial"/>
          <w:sz w:val="13"/>
          <w:szCs w:val="13"/>
          <w:i w:val="1"/>
          <w:iCs w:val="1"/>
          <w:color w:val="auto"/>
        </w:rPr>
        <w:t>ARMS2</w:t>
      </w:r>
      <w:r>
        <w:rPr>
          <w:rFonts w:ascii="Arial" w:cs="Arial" w:eastAsia="Arial" w:hAnsi="Arial"/>
          <w:sz w:val="13"/>
          <w:szCs w:val="13"/>
          <w:color w:val="auto"/>
        </w:rPr>
        <w:t xml:space="preserve"> gene may also be associated with the risk for AMD. The risk for AMD associated with </w:t>
      </w:r>
      <w:r>
        <w:rPr>
          <w:rFonts w:ascii="Arial" w:cs="Arial" w:eastAsia="Arial" w:hAnsi="Arial"/>
          <w:sz w:val="13"/>
          <w:szCs w:val="13"/>
          <w:i w:val="1"/>
          <w:iCs w:val="1"/>
          <w:color w:val="auto"/>
        </w:rPr>
        <w:t>ARMS2</w:t>
      </w:r>
      <w:r>
        <w:rPr>
          <w:rFonts w:ascii="Arial" w:cs="Arial" w:eastAsia="Arial" w:hAnsi="Arial"/>
          <w:sz w:val="13"/>
          <w:szCs w:val="13"/>
          <w:color w:val="auto"/>
        </w:rPr>
        <w:t xml:space="preserve"> may ultimately prove to be greater than the risk associated with </w:t>
      </w:r>
      <w:r>
        <w:rPr>
          <w:rFonts w:ascii="Arial" w:cs="Arial" w:eastAsia="Arial" w:hAnsi="Arial"/>
          <w:sz w:val="13"/>
          <w:szCs w:val="13"/>
          <w:i w:val="1"/>
          <w:iCs w:val="1"/>
          <w:color w:val="auto"/>
        </w:rPr>
        <w:t>HtrA1</w:t>
      </w:r>
      <w:r>
        <w:rPr>
          <w:rFonts w:ascii="Arial" w:cs="Arial" w:eastAsia="Arial" w:hAnsi="Arial"/>
          <w:sz w:val="13"/>
          <w:szCs w:val="13"/>
          <w:color w:val="auto"/>
        </w:rPr>
        <w:t>. In addition, even though genetic and histologic findings correlate HtrA1 with AMD, the development and progression of AMD may not be affected by HtrA1. Our assumption that targeting inhibition of HtrA1 as a method of treating AMD may be incorrect, which would likely adversely affect the value of IC-500 and its continued development.</w:t>
      </w:r>
    </w:p>
    <w:p>
      <w:pPr>
        <w:spacing w:after="0" w:line="138" w:lineRule="exact"/>
        <w:rPr>
          <w:sz w:val="20"/>
          <w:szCs w:val="20"/>
          <w:color w:val="auto"/>
        </w:rPr>
      </w:pPr>
    </w:p>
    <w:p>
      <w:pPr>
        <w:ind w:right="80" w:firstLine="509"/>
        <w:spacing w:after="0" w:line="278" w:lineRule="auto"/>
        <w:rPr>
          <w:sz w:val="20"/>
          <w:szCs w:val="20"/>
          <w:color w:val="auto"/>
        </w:rPr>
      </w:pPr>
      <w:r>
        <w:rPr>
          <w:rFonts w:ascii="Arial" w:cs="Arial" w:eastAsia="Arial" w:hAnsi="Arial"/>
          <w:sz w:val="13"/>
          <w:szCs w:val="13"/>
          <w:color w:val="auto"/>
        </w:rPr>
        <w:t>Before we can commence IND-enabling studies for IC-500, we need to conduct process development and formulation development to determine whether we can identify a viable manufacturing process for and formulate IC-500 for intravitreal administration that is safe to advance into preclinical studies and, depending on the outcome of such studies, into clinical trials. For example, as part of formulation development, we need to determine which inactive formulation components should be used in the preparation of IC-500, and derive a preparation that includes an adequate amount of drug substance with the necessary inactive ingredients to achieve the desired safety profile for intravitreal injection into the eye while providing for sufficient pharmacological activity. Process development and formulation development are inherently uncertain, and although our manufacturer has developed a manufacturing process for IC-500, we do not know whether this manufacturing process will be viable or whether we can successfully formulate the produced API into a drug product that is safe to advance into preclinical studies or clinical trials in the eye or that provides sufficient pharmacological activity, which would hinder our ability to pursue development of IC-500. Manufacturing, including process development, and formulation development can be costly and time-consuming and our anticipated timelines for the development of IC-500 may be delayed. If we are unable to successfully manufacture and formulate IC-500, we may switch to a backup HtrA1 inhibitor or cease developing this program altogether.</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serious adverse or unacceptable side effects are identified during the development of our product candidates, we may need to abandon or limit our development of such product candidates.</w:t>
      </w:r>
    </w:p>
    <w:p>
      <w:pPr>
        <w:spacing w:after="0" w:line="127" w:lineRule="exact"/>
        <w:rPr>
          <w:sz w:val="20"/>
          <w:szCs w:val="20"/>
          <w:color w:val="auto"/>
        </w:rPr>
      </w:pPr>
    </w:p>
    <w:p>
      <w:pPr>
        <w:ind w:right="240" w:firstLine="509"/>
        <w:spacing w:after="0" w:line="262" w:lineRule="auto"/>
        <w:rPr>
          <w:sz w:val="20"/>
          <w:szCs w:val="20"/>
          <w:color w:val="auto"/>
        </w:rPr>
      </w:pPr>
      <w:r>
        <w:rPr>
          <w:rFonts w:ascii="Arial" w:cs="Arial" w:eastAsia="Arial" w:hAnsi="Arial"/>
          <w:sz w:val="14"/>
          <w:szCs w:val="14"/>
          <w:color w:val="auto"/>
        </w:rPr>
        <w:t>If any of our product candidates are associated with serious adverse events or undesirable side effects in preclinical studies or clinical trials or have characteristics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side effects that prevented further development of the compound.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right="200" w:firstLine="509"/>
        <w:spacing w:after="0" w:line="267" w:lineRule="auto"/>
        <w:rPr>
          <w:sz w:val="20"/>
          <w:szCs w:val="20"/>
          <w:color w:val="auto"/>
        </w:rPr>
      </w:pPr>
      <w:r>
        <w:rPr>
          <w:rFonts w:ascii="Arial" w:cs="Arial" w:eastAsia="Arial" w:hAnsi="Arial"/>
          <w:sz w:val="14"/>
          <w:szCs w:val="14"/>
          <w:color w:val="auto"/>
        </w:rPr>
        <w:t>In our completed clinical trials for Zimura, we have observed only a single adverse event, mild subcapsular cataract, from our OPH2000 trial, assessed to be drug-related by participating investigators. We have no unmasked data regarding the safety, tolerability or efficacy of Zimura administered for the treatment of STGD1. We have no human data regarding IC-100, IC-200 or IC-500.</w:t>
      </w:r>
    </w:p>
    <w:p>
      <w:pPr>
        <w:spacing w:after="0" w:line="67" w:lineRule="exact"/>
        <w:rPr>
          <w:sz w:val="20"/>
          <w:szCs w:val="20"/>
          <w:color w:val="auto"/>
        </w:rPr>
      </w:pPr>
    </w:p>
    <w:p>
      <w:pPr>
        <w:ind w:firstLine="509"/>
        <w:spacing w:after="0" w:line="255" w:lineRule="auto"/>
        <w:rPr>
          <w:sz w:val="20"/>
          <w:szCs w:val="20"/>
          <w:color w:val="auto"/>
        </w:rPr>
      </w:pPr>
      <w:r>
        <w:rPr>
          <w:rFonts w:ascii="Arial" w:cs="Arial" w:eastAsia="Arial" w:hAnsi="Arial"/>
          <w:sz w:val="14"/>
          <w:szCs w:val="14"/>
          <w:color w:val="auto"/>
        </w:rPr>
        <w:t>Our clinical trials for Zimura involve dosing regimens that we have not studied extensively, which may increase the risk that patients in these trials experience adverse events and/or serious adverse events (either ocular, systemic or both) that we have not observed or at rates that we have not observed in prior trials. For example, although we view the rate of CNV incidence in the Zimura treatment groups, as compared to the corresponding sham control groups, as acceptable and within the range observed in other clinical trials of complement inhibitors in development for GA, the FDA, EMA, other regulatory authorities, treating physicians or patients may not agree, concluding that Zimura may increase the risk of patients developing CNV to an unacceptable degree. Moreover, our clinical trials for Zimura involve multiple intravitreal injections over an extended period of time and, as such, may involve risks regarding multiple and chronic intravitreal injections. For these reasons, there may be, among others, an increase in the rates of intraocular infections, or endophthalmitis, intraocular pressure, glaucoma, retinal tears, cataracts, retinal detachment, intraocular inflammation, retinal and/or choroidal circulation compromise, or hospitalizations in patients who receive Zimura. Although the safety profile of Zimura remained favorable at month 18 in our GATHER1 trial, we may encounter unknown safety issues as we analyze the unmasked individual patient level data. An unforeseen or unexpected safety event, or any safety finding that is inconsistent with our prior experience with Zimura, from any of our clinical trials for Zimura, including from the GATHER2 trial during which we will follow patients and collect safety data over 24 months, may impact our ability to continue to develop Zimura or the long-term viability of Zimura as a potential treatment for GA, STGD1 or any other indication for which we may seek to develop Zimura.</w:t>
      </w:r>
    </w:p>
    <w:p>
      <w:pPr>
        <w:spacing w:after="0" w:line="155"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As HtrA1 inhibition is a novel treatment approach for treating ocular disease, this treatment modality may present potentially unknown safety risks when tested in clinical trials that could not have been anticipated based on preclinical toxicology studies. In addition, if we are successful in formulating IC-500, we intend to administer IC-500 by intravitreal injection, which poses the same safety risks outlined above with respect to intravitreal injections of Zimura.</w:t>
      </w:r>
    </w:p>
    <w:p>
      <w:pPr>
        <w:spacing w:after="0" w:line="142" w:lineRule="exact"/>
        <w:rPr>
          <w:sz w:val="20"/>
          <w:szCs w:val="20"/>
          <w:color w:val="auto"/>
        </w:rPr>
      </w:pPr>
    </w:p>
    <w:p>
      <w:pPr>
        <w:ind w:firstLine="509"/>
        <w:spacing w:after="0" w:line="277" w:lineRule="auto"/>
        <w:rPr>
          <w:sz w:val="20"/>
          <w:szCs w:val="20"/>
          <w:color w:val="auto"/>
        </w:rPr>
      </w:pPr>
      <w:r>
        <w:rPr>
          <w:rFonts w:ascii="Arial" w:cs="Arial" w:eastAsia="Arial" w:hAnsi="Arial"/>
          <w:sz w:val="13"/>
          <w:szCs w:val="13"/>
          <w:color w:val="auto"/>
        </w:rPr>
        <w:t>In addition, there are several known safety risks specific to gene therapy, including inflammation resulting from a patient's immune response to the administration of viral vectors and the potential for toxicity as a result of chronic exposure to the expressed protein. Managing a host body's immune response to introduced viral vectors has been and remains a challenge for gene therapies. For AAV gene therapy, "vector shedding," or the dispersal of AAV vectors away from the target tissue to other parts of the body, which can trigger a more serious and extensive immune response, is a known safety issue. Although subretinal injection, which is the method often used to administer retinal gene therapies, helps to control vector shedding beyond the eye, subretinal injection is a surgical procedure that requires significant skill and training for the administering surgeon and involves its own risks separate from the gene therapy vectors, including the risk of retinal detachment. The margin for error with subretinal injections is extremely low and there are a limited number of retinal surgeons with experience in performing subretinal injections in the eye. In order to generate useful clinical data for gene therapy clinical trials, one or more retinal surgeons must repeat the same subretinal injection process in multiple patients with consistency across patients and surgeons. In addition, in order to avoid accelerating damage to a subject's retina, subretinal injection for RHO-adRP patients in particular must be conducted under extremely low light levels using infrared technology, further complicating the surgical procedure. In the event that we progress into clinical development with IC-100, IC-200 or any other gene therapy product candidate we may in-license or acquire, we may experience delays or other challenges for our gene therapy development programs as a result of safety issues.</w:t>
      </w:r>
    </w:p>
    <w:p>
      <w:pPr>
        <w:spacing w:after="0" w:line="142"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In addition to the currently known safety risks, there may be unknown risks to human health from gene therapies. Because gene therapy involves the introduction of concentrated quantities of AAV, as well as the introduction of persistent foreign genetic material into the human body, any safety risks may not manifest until much later, if at all. Gene therapies have only recently been used in the treatment of human diseases and the scientific and medical understandings of safety or other risks to humans continue to evolve. The safety profile of minigenes and their associated proteins in humans remains largely unknown. If gene therapies prove to be unsafe for humans, we likely will need to curtail or eliminate our gene therapy development programs or gene therapy products in development or commercialization, if 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line="262" w:lineRule="auto"/>
        <w:rPr>
          <w:sz w:val="20"/>
          <w:szCs w:val="20"/>
          <w:color w:val="auto"/>
        </w:rPr>
      </w:pPr>
      <w:r>
        <w:rPr>
          <w:rFonts w:ascii="Arial" w:cs="Arial" w:eastAsia="Arial" w:hAnsi="Arial"/>
          <w:sz w:val="14"/>
          <w:szCs w:val="14"/>
          <w:b w:val="1"/>
          <w:bCs w:val="1"/>
          <w:i w:val="1"/>
          <w:iCs w:val="1"/>
          <w:color w:val="auto"/>
        </w:rPr>
        <w:t>We do not have any internal manufacturing capabilities and use third parties to manufacture our product candidates on a contract or purchase order basis. We may encounter manufacturing issues that could cause delays in our development programs or increase costs. We may experience delays in regulatory approval of our product candidates if we or our contract manufacturers do not satisfy applicable regulatory requirements. If any of our product candidates is approved, a manufacturing issue could result in product shortages, which could impair our ability to commercialize our products and generate revenue.</w:t>
      </w:r>
    </w:p>
    <w:p>
      <w:pPr>
        <w:spacing w:after="0" w:line="146" w:lineRule="exact"/>
        <w:rPr>
          <w:sz w:val="20"/>
          <w:szCs w:val="20"/>
          <w:color w:val="auto"/>
        </w:rPr>
      </w:pPr>
    </w:p>
    <w:p>
      <w:pPr>
        <w:ind w:right="40" w:firstLine="509"/>
        <w:spacing w:after="0" w:line="284" w:lineRule="auto"/>
        <w:rPr>
          <w:sz w:val="20"/>
          <w:szCs w:val="20"/>
          <w:color w:val="auto"/>
        </w:rPr>
      </w:pPr>
      <w:r>
        <w:rPr>
          <w:rFonts w:ascii="Arial" w:cs="Arial" w:eastAsia="Arial" w:hAnsi="Arial"/>
          <w:sz w:val="13"/>
          <w:szCs w:val="13"/>
          <w:color w:val="auto"/>
        </w:rPr>
        <w:t>We do not have internal manufacturing facilities and use or plan to use outside contract manufacturers to manufacture Zimura, IC-100, IC-200, IC-500 and any other product candidates that we may acquire or in-license. We have a limited number of personnel hired to supervise these outside vendors. The manufacturing processes for our product candidates are technically complex. Problems with developing, executing or scaling up the manufacturing process, even minor deviations from the established process, could result in product defects or manufacturing failures that result in, lot failures, product recalls, product liability claims, insufficient inventory or delays to our programs. We may encounter problems achieving adequate quantities and quality of clinical-grade materials that meet FDA, EMA or other applicable standards or specifications with consistent and acceptable production yields and costs.</w:t>
      </w:r>
    </w:p>
    <w:p>
      <w:pPr>
        <w:spacing w:after="0" w:line="134" w:lineRule="exact"/>
        <w:rPr>
          <w:sz w:val="20"/>
          <w:szCs w:val="20"/>
          <w:color w:val="auto"/>
        </w:rPr>
      </w:pPr>
    </w:p>
    <w:p>
      <w:pPr>
        <w:ind w:right="80" w:firstLine="509"/>
        <w:spacing w:after="0" w:line="279" w:lineRule="auto"/>
        <w:rPr>
          <w:sz w:val="20"/>
          <w:szCs w:val="20"/>
          <w:color w:val="auto"/>
        </w:rPr>
      </w:pPr>
      <w:r>
        <w:rPr>
          <w:rFonts w:ascii="Arial" w:cs="Arial" w:eastAsia="Arial" w:hAnsi="Arial"/>
          <w:sz w:val="13"/>
          <w:szCs w:val="13"/>
          <w:color w:val="auto"/>
        </w:rPr>
        <w:t>In addition, in order to manufacture and supply any of our product candidates for later-stage clinical trials or on a commercial scale in the future, we will need to increase our manufacturing personnel and bolster our quality control and quality assurance capabilities. We may encounter problems hiring and retaining scientific, manufacturing and quality assurance and control personnel needed to oversee our contract manufacturers, which could result in delays in our production or difficulties in maintaining compliance with applicable regulatory requirements. As our contract manufacturer scales up manufacturing of any product candidate, we may encounter unexpected issues relating to the manufacturing processes or the quality, purity or stability of the product, and we may be required to refine or alter our manufacturing processes to address these issues. Resolving these issues could result in significant delays and may result in significantly increased costs. If we underestimate the demand for an approved product, given the long lead times required to manufacture or obtain regulatory approvals for our products, we could potentially face commercial drug product supply shortages. If we experience significant delays or other obstacles in producing any approved product at commercial scale, our ability to market and sell any approved products may be adversely affected and our business could suffer.</w:t>
      </w:r>
    </w:p>
    <w:p>
      <w:pPr>
        <w:spacing w:after="0" w:line="138" w:lineRule="exact"/>
        <w:rPr>
          <w:sz w:val="20"/>
          <w:szCs w:val="20"/>
          <w:color w:val="auto"/>
        </w:rPr>
      </w:pPr>
    </w:p>
    <w:p>
      <w:pPr>
        <w:ind w:right="120" w:firstLine="509"/>
        <w:spacing w:after="0" w:line="257" w:lineRule="auto"/>
        <w:rPr>
          <w:sz w:val="20"/>
          <w:szCs w:val="20"/>
          <w:color w:val="auto"/>
        </w:rPr>
      </w:pPr>
      <w:r>
        <w:rPr>
          <w:rFonts w:ascii="Arial" w:cs="Arial" w:eastAsia="Arial" w:hAnsi="Arial"/>
          <w:sz w:val="14"/>
          <w:szCs w:val="14"/>
          <w:color w:val="auto"/>
        </w:rPr>
        <w:t>The manufacturing processes and the facilities of our third-party manufacturers are subject to inspection and approval by the FDA, referred to as a pre-approval inspection, before we can commence the commercial sale of any approved product candidate, and thereafter on an ongoing basis. None of our third-party manufacturers have undergone a pre-approval inspection by the FDA for Zimura or any of our other product candidates. Failure by our third-party manufacturers to pass such inspections and otherwise satisfactorily complete the FDA approval regimen with respect to our product candidates may result in delays in the approval of our applications for marketing approval, as well as regulatory actions such as the issuance of FDA Form 483 notices of observations, warning letters or injunctions or the loss of operating licenses. If any of our third-party manufacturers are found to have delayed, denied, limited or refused a drug inspection, our drug substance or drug product could be deemed adulterated. Based on the severity of the regulatory action, our clinical or commercial supply of drug substance or drug product could be interrupted or limited, which could have a material adverse effect on our business.</w:t>
      </w:r>
    </w:p>
    <w:p>
      <w:pPr>
        <w:spacing w:after="0" w:line="151" w:lineRule="exact"/>
        <w:rPr>
          <w:sz w:val="20"/>
          <w:szCs w:val="20"/>
          <w:color w:val="auto"/>
        </w:rPr>
      </w:pPr>
    </w:p>
    <w:p>
      <w:pPr>
        <w:ind w:right="320" w:firstLine="509"/>
        <w:spacing w:after="0" w:line="368" w:lineRule="auto"/>
        <w:rPr>
          <w:sz w:val="20"/>
          <w:szCs w:val="20"/>
          <w:color w:val="auto"/>
        </w:rPr>
      </w:pPr>
      <w:r>
        <w:rPr>
          <w:rFonts w:ascii="Arial" w:cs="Arial" w:eastAsia="Arial" w:hAnsi="Arial"/>
          <w:sz w:val="12"/>
          <w:szCs w:val="12"/>
          <w:color w:val="auto"/>
        </w:rPr>
        <w:t>Any problems in our manufacturing process or our third-party contract manufacturers’ facilities could make us a less attractive collaborator for potential collaborations, including larger pharmaceutical companies and academic research institutions. Problems in our manufacturing process or facilities also could restrict our ability to meet market demand for our products.</w:t>
      </w:r>
    </w:p>
    <w:p>
      <w:pPr>
        <w:spacing w:after="0" w:line="86"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color w:val="auto"/>
        </w:rPr>
        <w:t>For a further discussion of the risks associated with our reliance on third-party manufacturers, including the effects of the COVID-19 pandemic on our third-party manufacturers, see the risk factor herein entitled, "</w:t>
      </w:r>
      <w:r>
        <w:rPr>
          <w:rFonts w:ascii="Arial" w:cs="Arial" w:eastAsia="Arial" w:hAnsi="Arial"/>
          <w:sz w:val="14"/>
          <w:szCs w:val="14"/>
          <w:i w:val="1"/>
          <w:iCs w:val="1"/>
          <w:color w:val="auto"/>
        </w:rPr>
        <w:t>We contract with third parties for the manufacture of and for providing starting materials for our product candidates for preclinical development activities and clinical trials</w:t>
      </w:r>
      <w:r>
        <w:rPr>
          <w:rFonts w:ascii="Arial" w:cs="Arial" w:eastAsia="Arial" w:hAnsi="Arial"/>
          <w:sz w:val="14"/>
          <w:szCs w:val="14"/>
          <w:color w:val="auto"/>
        </w:rPr>
        <w:t xml:space="preserve"> </w:t>
      </w:r>
      <w:r>
        <w:rPr>
          <w:rFonts w:ascii="Arial" w:cs="Arial" w:eastAsia="Arial" w:hAnsi="Arial"/>
          <w:sz w:val="14"/>
          <w:szCs w:val="14"/>
          <w:i w:val="1"/>
          <w:iCs w:val="1"/>
          <w:color w:val="auto"/>
        </w:rPr>
        <w:t>and expect to continue to do so in the future. This reliance on third parties increases the risk that we will not have sufficient quantities of our product candidates or products, which could delay, prevent or impair our development or commercialization efforts."</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b w:val="1"/>
          <w:bCs w:val="1"/>
          <w:i w:val="1"/>
          <w:iCs w:val="1"/>
          <w:color w:val="auto"/>
        </w:rPr>
        <w:t>Our experience manufacturing Zimura is limited. As we conduct our GATHER2 trial and our expanded OPH2005 trial and plan for potential commercialization of Zimura, we and our third-party manufacturers will need to complete several activities to ensure the continued supply of drug product for these trials and adequate preparations to support potential future commercial supply of Zimura. Any delay or failure in completing these activities could cause delays in the development of Zimura or its potential approval or could result in inadequate clinical or commercial product supply.</w:t>
      </w:r>
    </w:p>
    <w:p>
      <w:pPr>
        <w:spacing w:after="0" w:line="146" w:lineRule="exact"/>
        <w:rPr>
          <w:sz w:val="20"/>
          <w:szCs w:val="20"/>
          <w:color w:val="auto"/>
        </w:rPr>
      </w:pPr>
    </w:p>
    <w:p>
      <w:pPr>
        <w:ind w:right="200" w:firstLine="509"/>
        <w:spacing w:after="0" w:line="288" w:lineRule="auto"/>
        <w:rPr>
          <w:sz w:val="20"/>
          <w:szCs w:val="20"/>
          <w:color w:val="auto"/>
        </w:rPr>
      </w:pPr>
      <w:r>
        <w:rPr>
          <w:rFonts w:ascii="Arial" w:cs="Arial" w:eastAsia="Arial" w:hAnsi="Arial"/>
          <w:sz w:val="13"/>
          <w:szCs w:val="13"/>
          <w:color w:val="auto"/>
        </w:rPr>
        <w:t>In order to obtain and maintain regulatory approval for Zimura, our third-party manufacturers will be required to produce the Zimura API with consistent quality and to execute fill/finish services on a repeated basis and document their ability to do so. In order for us to successfully commercialize Zimura, if approved, our manufacturers also need to be able to produce quantities at a commercial scale. If our third-party manufacturers are unable to satisfy these requirements, our business would be materially and adversely affected. To date, we have not yet scaled up the manufacturing process for Zimura beyond the scale used for developmental clinical batches, nor have we validated the manufacturing process.</w:t>
      </w:r>
    </w:p>
    <w:p>
      <w:pPr>
        <w:spacing w:after="0" w:line="131" w:lineRule="exact"/>
        <w:rPr>
          <w:sz w:val="20"/>
          <w:szCs w:val="20"/>
          <w:color w:val="auto"/>
        </w:rPr>
      </w:pPr>
    </w:p>
    <w:p>
      <w:pPr>
        <w:ind w:right="40" w:firstLine="509"/>
        <w:spacing w:after="0" w:line="257" w:lineRule="auto"/>
        <w:rPr>
          <w:sz w:val="20"/>
          <w:szCs w:val="20"/>
          <w:color w:val="auto"/>
        </w:rPr>
      </w:pPr>
      <w:r>
        <w:rPr>
          <w:rFonts w:ascii="Arial" w:cs="Arial" w:eastAsia="Arial" w:hAnsi="Arial"/>
          <w:sz w:val="14"/>
          <w:szCs w:val="14"/>
          <w:color w:val="auto"/>
        </w:rPr>
        <w:t>In early 2017, we completed the small scale manufacture of multiple batches of Zimura API that we plan to use to support clinical drug supply for the GATHER2 trial and the expanded OPH2005 trial. Although we believe we have adequate Zimura API for the GATHER2 trial and the expanded OPH2005 trial, this supply may not be sufficient for our needs over the duration of the trials. We have been in discussions with Agilent, our existing contract manufacturer, about scaling up and validating the manufacturing process and other activities to support the potential commercialization of Zimura. At this time, we are not certain whether Agilent has the capacity to support our expected needs. We have also engaged a different manufacturer for the Zimura API. There are risks with transferring the existing manufacturing process to the new manufacturer and this second manufacturer may not be able to scale up the manufacturing process and produce Zimura API in line with our expectations. Depending on the success of these activities, we may need to use any one or both of these manufacturers for future supply of Zimura API, which may increase our costs and delay our timelines. Regardless of which manufacturer we use, we will need to demonstrate that Zimura API produced through the scaled-up process is analytically comparable to the Zimura we are currently using.</w:t>
      </w:r>
    </w:p>
    <w:p>
      <w:pPr>
        <w:spacing w:after="0" w:line="170"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In addition, we are in the process of securing additional Zimura drug product to support our needs for the GATHER2 trial and the expanded OPH2005 trial. We are exploring a potential change to the vial used for Zimura drug product to support a more robust fill/finish operation at commercial scale. We have also engaged a second source supplier to support us with additional clinical supply of Zimura drug product using the existing vial. If we are unable to secure sufficient additional drug product, our ability to conduct our GATHER2 and OPH2005 trials as planned could be adversely affected. Depending on the success of these activities, the availability of vials and other factors, we may use Ajinomoto, our existing manufacturer, the second manufacturer or both for future supply of Zimura drug product for potential commercial use, which may increase our costs and delay our timelines.</w:t>
      </w:r>
    </w:p>
    <w:p>
      <w:pPr>
        <w:spacing w:after="0" w:line="168" w:lineRule="exact"/>
        <w:rPr>
          <w:sz w:val="20"/>
          <w:szCs w:val="20"/>
          <w:color w:val="auto"/>
        </w:rPr>
      </w:pPr>
    </w:p>
    <w:p>
      <w:pPr>
        <w:ind w:right="280" w:firstLine="509"/>
        <w:spacing w:after="0" w:line="262" w:lineRule="auto"/>
        <w:rPr>
          <w:sz w:val="20"/>
          <w:szCs w:val="20"/>
          <w:color w:val="auto"/>
        </w:rPr>
      </w:pPr>
      <w:r>
        <w:rPr>
          <w:rFonts w:ascii="Arial" w:cs="Arial" w:eastAsia="Arial" w:hAnsi="Arial"/>
          <w:sz w:val="14"/>
          <w:szCs w:val="14"/>
          <w:color w:val="auto"/>
        </w:rPr>
        <w:t>We are also securing additional quantities of the PEG starting material used to manufacture Zimura from our sole source supplier. We are in discussions with this supplier for a long-term supply agreement for the PEG starting material, and we may not be able to agree to terms or may need to agree to unfavorable terms. This supplier may need to scale up its purification process in order to support supply of PEG at a commercial scale. We believe there are a limited number of alternative suppliers for this critical raw material, and if we need to use those suppliers, it could increase our costs and delay our manufacturing plans for Zimura.</w:t>
      </w:r>
    </w:p>
    <w:p>
      <w:pPr>
        <w:spacing w:after="0" w:line="167" w:lineRule="exact"/>
        <w:rPr>
          <w:sz w:val="20"/>
          <w:szCs w:val="20"/>
          <w:color w:val="auto"/>
        </w:rPr>
      </w:pPr>
    </w:p>
    <w:p>
      <w:pPr>
        <w:ind w:firstLine="509"/>
        <w:spacing w:after="0" w:line="282" w:lineRule="auto"/>
        <w:rPr>
          <w:sz w:val="20"/>
          <w:szCs w:val="20"/>
          <w:color w:val="auto"/>
        </w:rPr>
      </w:pPr>
      <w:r>
        <w:rPr>
          <w:rFonts w:ascii="Arial" w:cs="Arial" w:eastAsia="Arial" w:hAnsi="Arial"/>
          <w:sz w:val="13"/>
          <w:szCs w:val="13"/>
          <w:color w:val="auto"/>
        </w:rPr>
        <w:t>Each of these activities is costly, time-consuming and uncertain in outcome. We may not be able to successfully scale up or validate our manufacturing process for Zimura, demonstrate analytical comparability of the Zimura API manufactured through the scaled up process with the previously manufactured Zimura API, or establish the long-term stability of the Zimura drug product stored in the new vial container. The new manufacturers we have engaged or may engage in the future have not had previous experience with Zimura and there may be issues with technology transfer. We may need to perform additional work beyond what we currently plan to establish manufacturing and analytical capabilities sufficient to obtain regulatory approval of our manufacturing process for Zimura and to support potential commercial operations. If any of the foregoing events occur, it could result in delays or increased costs to support our future development and commercialization of Zimura, even if we successfully complete any required clinical trials for Zimura and obtain sufficient and favorable safety and efficacy data.</w:t>
      </w:r>
    </w:p>
    <w:p>
      <w:pPr>
        <w:spacing w:after="0" w:line="134" w:lineRule="exact"/>
        <w:rPr>
          <w:sz w:val="20"/>
          <w:szCs w:val="20"/>
          <w:color w:val="auto"/>
        </w:rPr>
      </w:pPr>
    </w:p>
    <w:p>
      <w:pPr>
        <w:ind w:right="140" w:firstLine="509"/>
        <w:spacing w:after="0" w:line="262" w:lineRule="auto"/>
        <w:rPr>
          <w:sz w:val="20"/>
          <w:szCs w:val="20"/>
          <w:color w:val="auto"/>
        </w:rPr>
      </w:pPr>
      <w:r>
        <w:rPr>
          <w:rFonts w:ascii="Arial" w:cs="Arial" w:eastAsia="Arial" w:hAnsi="Arial"/>
          <w:sz w:val="14"/>
          <w:szCs w:val="14"/>
          <w:color w:val="auto"/>
        </w:rPr>
        <w:t>Some of the standards of the International Conference on Harmonization of Technical Requirements for Registration of Pharmaceuticals for Human Use, which establishes basic guidelines and standards for drug development in the United States, the European Union, Japan and certain other countries, do not apply to oligonucleotides, including aptamers. As a result, there are limited established generally accepted manufacturing or quality standards for the production of Zimura. The lack of uniform manufacturing and quality standards among regulatory agencies may delay regulatory approval of Zimura.</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40"/>
        <w:spacing w:after="0" w:line="331" w:lineRule="auto"/>
        <w:rPr>
          <w:sz w:val="20"/>
          <w:szCs w:val="20"/>
          <w:color w:val="auto"/>
        </w:rPr>
      </w:pPr>
      <w:r>
        <w:rPr>
          <w:rFonts w:ascii="Arial" w:cs="Arial" w:eastAsia="Arial" w:hAnsi="Arial"/>
          <w:sz w:val="12"/>
          <w:szCs w:val="12"/>
          <w:b w:val="1"/>
          <w:bCs w:val="1"/>
          <w:i w:val="1"/>
          <w:iCs w:val="1"/>
          <w:color w:val="auto"/>
        </w:rPr>
        <w:t>The manufacture of gene therapy products is complex with a number of scientific and technical risks, some of which are common to the manufacture of drugs and biologics and others of which are unique to the manufacture of gene therapies. As previously disclosed, we identified an issue with one of the starting materials used to manufacture our IC-100 product candidate, which delayed our timelines for that program. We have limited experience with gene therapy manufacturing and are dependent on our third-party contract manufacturers and sole source suppliers.</w:t>
      </w:r>
    </w:p>
    <w:p>
      <w:pPr>
        <w:spacing w:after="0" w:line="108" w:lineRule="exact"/>
        <w:rPr>
          <w:sz w:val="20"/>
          <w:szCs w:val="20"/>
          <w:color w:val="auto"/>
        </w:rPr>
      </w:pPr>
    </w:p>
    <w:p>
      <w:pPr>
        <w:ind w:right="140" w:firstLine="509"/>
        <w:spacing w:after="0" w:line="280" w:lineRule="auto"/>
        <w:rPr>
          <w:sz w:val="20"/>
          <w:szCs w:val="20"/>
          <w:color w:val="auto"/>
        </w:rPr>
      </w:pPr>
      <w:r>
        <w:rPr>
          <w:rFonts w:ascii="Arial" w:cs="Arial" w:eastAsia="Arial" w:hAnsi="Arial"/>
          <w:sz w:val="13"/>
          <w:szCs w:val="13"/>
          <w:color w:val="auto"/>
        </w:rPr>
        <w:t>Gene therapy drug products are complex and difficult to manufacture. We believe that the high demand for clinical gene therapy material and a scarcity of potential contract manufacturers may cause long lead times for establishing manufacturing capabilities for gene therapy drug development activities. Even after a manufacturer is engaged, any problems that arise during manufacturing, including during process development and cGMP manufacturing, may result in unanticipated delays to our timelines, including delays attributable to securing additional manufacturing time slots. There may also be long lead times to manufacture or procure starting materials such as plasmids and cell lines, especially for high-quality starting materials that are cGMP compliant. In particular, plasmids, cell lines and other starting materials for gene therapy manufacture are usually sole sourced, as there are a limited number of qualified suppliers. The progress of our gene therapy programs is highly dependent on these suppliers providing us or our contract manufacturers with the necessary starting materials that meet our requirements in a timely manner. A failure to procure or a shortage of necessary starting materials likely would delay our manufacturing and development timelines.</w:t>
      </w:r>
    </w:p>
    <w:p>
      <w:pPr>
        <w:spacing w:after="0" w:line="137" w:lineRule="exact"/>
        <w:rPr>
          <w:sz w:val="20"/>
          <w:szCs w:val="20"/>
          <w:color w:val="auto"/>
        </w:rPr>
      </w:pPr>
    </w:p>
    <w:p>
      <w:pPr>
        <w:ind w:right="120" w:firstLine="509"/>
        <w:spacing w:after="0" w:line="331" w:lineRule="auto"/>
        <w:rPr>
          <w:sz w:val="20"/>
          <w:szCs w:val="20"/>
          <w:color w:val="auto"/>
        </w:rPr>
      </w:pPr>
      <w:r>
        <w:rPr>
          <w:rFonts w:ascii="Arial" w:cs="Arial" w:eastAsia="Arial" w:hAnsi="Arial"/>
          <w:sz w:val="12"/>
          <w:szCs w:val="12"/>
          <w:color w:val="auto"/>
        </w:rPr>
        <w:t>As previously disclosed, we identified an issue with one of the starting materials used for our manufacturing process for IC-100. That issue caused us to delay our cGMP manufacturing run at our CDMO, and we had to reschedule the run for a later date based on the CDMO's availability. The supplier has since provided new starting materials for our rescheduled cGMP manufacturing run. If there are issues with the new starting materials, the success of the manufacturing campaign and our timelines and the future development of IC-100 could be adversely affected.</w:t>
      </w:r>
    </w:p>
    <w:p>
      <w:pPr>
        <w:spacing w:after="0" w:line="108" w:lineRule="exact"/>
        <w:rPr>
          <w:sz w:val="20"/>
          <w:szCs w:val="20"/>
          <w:color w:val="auto"/>
        </w:rPr>
      </w:pPr>
    </w:p>
    <w:p>
      <w:pPr>
        <w:ind w:firstLine="509"/>
        <w:spacing w:after="0" w:line="278" w:lineRule="auto"/>
        <w:rPr>
          <w:sz w:val="20"/>
          <w:szCs w:val="20"/>
          <w:color w:val="auto"/>
        </w:rPr>
      </w:pPr>
      <w:r>
        <w:rPr>
          <w:rFonts w:ascii="Arial" w:cs="Arial" w:eastAsia="Arial" w:hAnsi="Arial"/>
          <w:sz w:val="13"/>
          <w:szCs w:val="13"/>
          <w:color w:val="auto"/>
        </w:rPr>
        <w:t>A number of factors common to the manufacturing of biologics and drugs could also cause production or quality issues for gene therapies, including raw material or starting material variability in terms of quality, cell line viability, productivity or stability issues, product and process impurities, shortages of any kind, shipping, distribution, storage and supply chain failures, growth media contamination, equipment malfunctions, operator errors, facility contamination, labor problems, natural disasters, disruption in utility services, terrorist activities, epidemics and pandemics, or acts of god that are beyond our or our contract manufacturer's control. It is often the case that early stage process development is conducted with materials that are not manufactured using cGMP starting materials, techniques or processes and which are not subject to the same level of analysis that would be required for clinical grade material. We may encounter difficulties in translating the manufacturing processes used to produce research grade materials to cGMP compliant processes, and any changes in the manufacturing process may affect the safety and efficacy profile of our product candidates. In particular, for IC-100 and IC-200 we and our contract manufacturers are developing our own manufacturing processes, which differ from those originally used by our university collaborators, for example, by using different starting materials and analytical methods. We may not be able to successfully translate the manufacturing process and our manufactured materials may not match the safety and efficacy profile of those used by the universities.</w:t>
      </w:r>
    </w:p>
    <w:p>
      <w:pPr>
        <w:spacing w:after="0" w:line="139" w:lineRule="exact"/>
        <w:rPr>
          <w:sz w:val="20"/>
          <w:szCs w:val="20"/>
          <w:color w:val="auto"/>
        </w:rPr>
      </w:pPr>
    </w:p>
    <w:p>
      <w:pPr>
        <w:ind w:right="40" w:firstLine="509"/>
        <w:spacing w:after="0" w:line="280" w:lineRule="auto"/>
        <w:rPr>
          <w:sz w:val="20"/>
          <w:szCs w:val="20"/>
          <w:color w:val="auto"/>
        </w:rPr>
      </w:pPr>
      <w:r>
        <w:rPr>
          <w:rFonts w:ascii="Arial" w:cs="Arial" w:eastAsia="Arial" w:hAnsi="Arial"/>
          <w:sz w:val="13"/>
          <w:szCs w:val="13"/>
          <w:color w:val="auto"/>
        </w:rPr>
        <w:t>Because manufacturing for early stage research is often done under different conditions, using different starting materials and on a smaller scale than what is required for manufacturing for clinical supplies, we may face challenges in adapting the manufacturing processes that were used by our licensors and other academic collaborators and scaling up these processes as necessary to support supply for clinical trials. In order to progress the development of IC-100, IC-200 or any other gene therapy product candidate we may in-license or acquire, we have devoted and will need to continue to devote significant time and financial resources to establishing manufacturing processes that are sufficient for IND-enabling preclinical toxicology studies as well as clinical supplies. If we are not able to establish gene therapy manufacturing or related processes in a manner required for further development of our gene therapy product candidates, our development plans may be delayed or stalled and our business may be materially harmed. In particular, we are planning for and conducting cGMP manufacturing activities of IC-100 and IC-200 for clinical use. If we encounter issues during cGMP manufacturing activities, it may hamper us from filing an IND and initiating a human clinical trial for that product candidate.</w:t>
      </w:r>
    </w:p>
    <w:p>
      <w:pPr>
        <w:spacing w:after="0" w:line="137"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An important part of manufacturing drug products is performing analytical testing. Analytical testing of gene therapies involves tests that are more complex in scope and take a longer time to develop and to conduct as compared to those used for traditional drugs. We and our contract manufacturers need to expend considerable time and resources to develop assays and other analytical tests for our gene therapy product candidates, including assays to assess the potency of our gene therapy product candidates. Some assays need to be outsourced to specialized testing laboratories. Even when assays are developed, they need to be further tested, qualified and validated, which may take substantial time and resources. Because of the lagging nature of analytical testing, we may proceed with additional manufacturing and other development activities without having</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700"/>
        <w:spacing w:after="0" w:line="281" w:lineRule="auto"/>
        <w:rPr>
          <w:sz w:val="20"/>
          <w:szCs w:val="20"/>
          <w:color w:val="auto"/>
        </w:rPr>
      </w:pPr>
      <w:r>
        <w:rPr>
          <w:rFonts w:ascii="Arial" w:cs="Arial" w:eastAsia="Arial" w:hAnsi="Arial"/>
          <w:sz w:val="14"/>
          <w:szCs w:val="14"/>
          <w:color w:val="auto"/>
        </w:rPr>
        <w:t>first fully characterized or released our manufactured materials. If the results of the testing fail to meet our expectations or applicable requirements, we may need to delay or repeat certain manufacturing and development activities.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in the early stages of establishing manufacturing capabilities for IC-500.</w:t>
      </w:r>
    </w:p>
    <w:p>
      <w:pPr>
        <w:spacing w:after="0" w:line="179" w:lineRule="exact"/>
        <w:rPr>
          <w:sz w:val="20"/>
          <w:szCs w:val="20"/>
          <w:color w:val="auto"/>
        </w:rPr>
      </w:pPr>
    </w:p>
    <w:p>
      <w:pPr>
        <w:ind w:right="20" w:firstLine="509"/>
        <w:spacing w:after="0" w:line="288" w:lineRule="auto"/>
        <w:rPr>
          <w:sz w:val="20"/>
          <w:szCs w:val="20"/>
          <w:color w:val="auto"/>
        </w:rPr>
      </w:pPr>
      <w:r>
        <w:rPr>
          <w:rFonts w:ascii="Arial" w:cs="Arial" w:eastAsia="Arial" w:hAnsi="Arial"/>
          <w:sz w:val="13"/>
          <w:szCs w:val="13"/>
          <w:color w:val="auto"/>
        </w:rPr>
        <w:t>We have engaged a CDMO to conduct process development, scale-up and cGMP manufacture of the API for IC-500 for preclinical pharmacokinetic and toxicology studies and for clinical trials. Although our CDMO has developed a manufacturing process for the API, this manufacturing process may need to be refined or changed following additional testing. We are continuing formulation development activities, which is uncertain in cost and outcome. The time and efforts required for us to fully establish manufacturing capabilities for IC-500, including developing a viable manufacturing process and a viable formulation, if any, may delay or impair our ability to develop IC-500 in accordance with our expected timelines.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substantial competition, which may result in others developing or commercializing products before or more successfully than we do.</w:t>
      </w:r>
    </w:p>
    <w:p>
      <w:pPr>
        <w:spacing w:after="0" w:line="179" w:lineRule="exact"/>
        <w:rPr>
          <w:sz w:val="20"/>
          <w:szCs w:val="20"/>
          <w:color w:val="auto"/>
        </w:rPr>
      </w:pPr>
    </w:p>
    <w:p>
      <w:pPr>
        <w:ind w:firstLine="509"/>
        <w:spacing w:after="0" w:line="313" w:lineRule="auto"/>
        <w:rPr>
          <w:sz w:val="20"/>
          <w:szCs w:val="20"/>
          <w:color w:val="auto"/>
        </w:rPr>
      </w:pPr>
      <w:r>
        <w:rPr>
          <w:rFonts w:ascii="Arial" w:cs="Arial" w:eastAsia="Arial" w:hAnsi="Arial"/>
          <w:sz w:val="12"/>
          <w:szCs w:val="12"/>
          <w:color w:val="auto"/>
        </w:rPr>
        <w:t>The development and commercialization of new drug products is highly competitive. We face competition with respect to our product candidates and other programs from major pharmaceutical companies, specialty pharmaceutical companies and biotechnology companies, as well as generic and biosimilar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 and others are based on entirely different approaches. We also will face similar competition with respect to any product candidates that we may seek to develop or commercialize in the future.</w:t>
      </w:r>
    </w:p>
    <w:p>
      <w:pPr>
        <w:spacing w:after="0" w:line="119"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We have transitioned to a business strategy that includes a focus on the development of gene therapies for orphan inherited retinal diseases. There are many companies pursuing gene therapy approaches for orphan and age-related retinal diseases. Some of them have better name recognition, more resources and a longer history of developing gene therapies than we do. Competition in this field is intense and for many inherited retinal diseases, there is a limited number of potential patients. If any of our competitors obtains FDA, EMA or other regulatory approval for their products more rapidly than we may obtain approval for ours, our competitors could establish a strong market position before we are able to enter the relevant market, which may significantly limit the commercial opportunity for our product candidates.</w:t>
      </w:r>
    </w:p>
    <w:p>
      <w:pPr>
        <w:spacing w:after="0" w:line="146"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Our commercial opportunity could also be reduced or eliminated if one or more of our competitors develop and commercialize products that are more effective, safer, have fewer or less severe side effects, are more convenient to use or are less expensive than our product candidates. For example, the method of administration of Zimura, intravitreal injection, is commonly used to administer ophthalmic drugs for the treatment of severe diseases and is generally accepted by patients facing the prospect of severe visual loss or blindness. A therapy that offers a less invasive or less frequent method of administration, however, might have a competitive advantage over one administered by monthly intravitreal injections, depending on the relative safety of the other method of administration. Furthermore, our ability to compete may be affected in many cases by insurers or other third-party payors, particularly Medicare, seeking to encourage the use of less expensive or more convenient products.</w:t>
      </w:r>
    </w:p>
    <w:p>
      <w:pPr>
        <w:spacing w:after="0" w:line="150" w:lineRule="exact"/>
        <w:rPr>
          <w:sz w:val="20"/>
          <w:szCs w:val="20"/>
          <w:color w:val="auto"/>
        </w:rPr>
      </w:pPr>
    </w:p>
    <w:p>
      <w:pPr>
        <w:ind w:right="100" w:firstLine="509"/>
        <w:spacing w:after="0" w:line="260" w:lineRule="auto"/>
        <w:rPr>
          <w:sz w:val="20"/>
          <w:szCs w:val="20"/>
          <w:color w:val="auto"/>
        </w:rPr>
      </w:pPr>
      <w:r>
        <w:rPr>
          <w:rFonts w:ascii="Arial" w:cs="Arial" w:eastAsia="Arial" w:hAnsi="Arial"/>
          <w:sz w:val="14"/>
          <w:szCs w:val="14"/>
          <w:color w:val="auto"/>
        </w:rPr>
        <w:t>In the case of orphan diseases such as the IRDs for which we are researching and developing potential treatments, should we be successful in development, our commercialization efforts may rely on non-patent market exclusivity periods under the Orphan Drug Act and the Hatch-Waxman Act. The Orphan Drug Act only provides exclusivity periods for the specific drug granted orphan drug designation for a specific indication. In addition, there are limited circumstances under each of the Orphan Drug Act and the Hatch-Waxman Act that could result in our loss of data and marketing exclusivity, which could allow a competitor to enter the market. Failure to maintain either data or market exclusivity would have a material adverse effect on our ability to commercialize our product candidates.</w:t>
      </w:r>
    </w:p>
    <w:p>
      <w:pPr>
        <w:spacing w:after="0" w:line="146" w:lineRule="exact"/>
        <w:rPr>
          <w:sz w:val="20"/>
          <w:szCs w:val="20"/>
          <w:color w:val="auto"/>
        </w:rPr>
      </w:pPr>
    </w:p>
    <w:p>
      <w:pPr>
        <w:ind w:right="60" w:firstLine="509"/>
        <w:spacing w:after="0" w:line="284" w:lineRule="auto"/>
        <w:rPr>
          <w:sz w:val="20"/>
          <w:szCs w:val="20"/>
          <w:color w:val="auto"/>
        </w:rPr>
      </w:pPr>
      <w:r>
        <w:rPr>
          <w:rFonts w:ascii="Arial" w:cs="Arial" w:eastAsia="Arial" w:hAnsi="Arial"/>
          <w:sz w:val="13"/>
          <w:szCs w:val="13"/>
          <w:color w:val="auto"/>
        </w:rPr>
        <w:t>Many of our competitors have significantly greater financial and human resources and expertise in research and development, manufacturing, preclinical testing, conducting clinical trials, obtaining regulatory approvals and marketing approved products than we do.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enrollment for clinical trials, as well as in acquiring technologies complementary to, or necessary for, our development programs. Our timelines may be delayed to the extent clinical trials conducted by our competitors are enrolling patients that would otherwise be eligible to participate in our trials at the same time we are seeking to enroll these patients.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340" w:firstLine="509"/>
        <w:spacing w:after="0" w:line="281" w:lineRule="auto"/>
        <w:rPr>
          <w:sz w:val="20"/>
          <w:szCs w:val="20"/>
          <w:color w:val="auto"/>
        </w:rPr>
      </w:pPr>
      <w:r>
        <w:rPr>
          <w:rFonts w:ascii="Arial" w:cs="Arial" w:eastAsia="Arial" w:hAnsi="Arial"/>
          <w:sz w:val="14"/>
          <w:szCs w:val="14"/>
          <w:color w:val="auto"/>
        </w:rPr>
        <w:t>Based on publicly available information, we are aware of the following research and development programs that may be competitive with programs we are pursuing. Other competitive programs may exist of which we are not aware.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Competitive considerations for GA or dry AMD:</w:t>
      </w:r>
    </w:p>
    <w:p>
      <w:pPr>
        <w:spacing w:after="0" w:line="200" w:lineRule="exact"/>
        <w:rPr>
          <w:sz w:val="20"/>
          <w:szCs w:val="20"/>
          <w:color w:val="auto"/>
        </w:rPr>
      </w:pPr>
    </w:p>
    <w:p>
      <w:pPr>
        <w:ind w:left="520" w:hanging="260"/>
        <w:spacing w:after="0" w:line="277" w:lineRule="auto"/>
        <w:tabs>
          <w:tab w:leader="none" w:pos="516"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There are a number of products in preclinical and clinical development by third parties to treat GA or dry AMD. In general, these product candidates can be categorized based on their proposed mechanisms of action. The mechanisms of action for these product candidates include complement system and inflammation suppression, visual cycle modulators, antioxidants and neuroprotectants, cell and gene therapies and vascular perfusion enhancers. We are aware that Apellis Pharmaceuticals, Inc., or Apellis, Roche AG, Novartis AG and MorphoSys AG, Hemera Biosciences, Inc., Gemini Therapeutics, Inc., NGM Biopharmaceuticals Inc., Gyroscope Therapeutics, Achillion Pharmaceuticals, Inc., Annexon Inc. and Biogen Inc. each have complement inhibitors in development for GA or dry AMD, including, in the cases of Hemera Biosciences and Gyroscope Therapeutics, complement inhibitor gene therapies. We believe that the most advanced of these programs is Apellis's pegylated, synthetic peptide targeting complement protein C3. In July 2020, Apellis announced that it had completed patient enrollment in its Phase 3 program with a total of 1,259 patients, and it expects to announce top-line data from the trials in the third quarter of 2021. If Apellis's Phase 3 program for its C3 complement inhibitor product candidate is successful, it is likely that Apellis would obtain marketing approval for its product candidate in advance of when we could reasonably expect to obtain marketing approval for Zimura in GA or IC-500 in GA, if at all. Moreover, we are aware that several other companies, including Allergan Inc., Allegro Ophthalmics, LLC, Alkeus Pharmaceuticals Inc., Astellas Pharma Inc., EyePoint Pharmaceuticals, Inc., Lineage Cell Therapeutics, Inc., Roche AG and Stealth BioTherapeutics Corp. (working in collaboration with Alexion Pharmaceuticals, Inc.), are pursuing development programs for the treatment GA or dry AMD using different mechanisms of action outside of the complement system.</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Competitive considerations for Stargardt disease:</w:t>
      </w:r>
    </w:p>
    <w:p>
      <w:pPr>
        <w:spacing w:after="0" w:line="200" w:lineRule="exact"/>
        <w:rPr>
          <w:sz w:val="20"/>
          <w:szCs w:val="20"/>
          <w:color w:val="auto"/>
        </w:rPr>
      </w:pPr>
    </w:p>
    <w:p>
      <w:pPr>
        <w:ind w:left="520" w:hanging="260"/>
        <w:spacing w:after="0" w:line="258" w:lineRule="auto"/>
        <w:tabs>
          <w:tab w:leader="none" w:pos="516"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There are a number of products in preclinical research and clinical development by third parties to treat Stargardt disease. We are aware that Acucela Inc., Applied Genetic Technologies Corporation, or AGTC, Alkeus Pharmaceuticals, Inc., Lin BioScience, Inc., Nightstar Therapeutics plc (prior to its acquisition by Biogen Inc.), ProQR Therapeutics N.V., Spark Therapeutics and Generation Bio Co. each have research or development programs in Stargardt disease. Three of these programs, Acucela, Alkeus and Lin BioScience, are exploring the use of oral therapeutics, while AGTC, Nightstar and Spark are each using a gene therapy approach and ProQR is using an RNA based approach. Acucela’s product candidate is in Phase 3 development while Alkeus’s product candidate is in Phase 2 development. Spark's program is in the research phase. In addition, several academic organizations have early stage programs in Stargardt disease.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Competitive considerations for RHO-adRP:</w:t>
      </w:r>
    </w:p>
    <w:p>
      <w:pPr>
        <w:spacing w:after="0" w:line="200" w:lineRule="exact"/>
        <w:rPr>
          <w:sz w:val="20"/>
          <w:szCs w:val="20"/>
          <w:color w:val="auto"/>
        </w:rPr>
      </w:pPr>
    </w:p>
    <w:p>
      <w:pPr>
        <w:ind w:left="520" w:hanging="260"/>
        <w:spacing w:after="0" w:line="262" w:lineRule="auto"/>
        <w:tabs>
          <w:tab w:leader="none" w:pos="516" w:val="left"/>
        </w:tabs>
        <w:numPr>
          <w:ilvl w:val="0"/>
          <w:numId w:val="43"/>
        </w:numPr>
        <w:rPr>
          <w:rFonts w:ascii="Arial" w:cs="Arial" w:eastAsia="Arial" w:hAnsi="Arial"/>
          <w:sz w:val="14"/>
          <w:szCs w:val="14"/>
          <w:color w:val="auto"/>
        </w:rPr>
      </w:pPr>
      <w:r>
        <w:rPr>
          <w:rFonts w:ascii="Arial" w:cs="Arial" w:eastAsia="Arial" w:hAnsi="Arial"/>
          <w:sz w:val="14"/>
          <w:szCs w:val="14"/>
          <w:color w:val="auto"/>
        </w:rPr>
        <w:t>We are aware that ProQR Therapeutics N.V. is developing an RNA-based therapeutic for RHO-adRP, for which it is currently conducting a Phase 1/2 clinical trial. Ocugen, Inc. is developing a gene therapy for RHO-adRP, for which the FDA granted orphan designation on July 27, 2020. We are also aware that multiple academic institutions have early stage gene therapy development programs in RHO-adRP. In addition, prior to its acquisition by Biogen Inc., Nightstar Therapeutics plc had a preclinical AAV gene therapy program in RHO-adRP. Sanofi is also exploring a potential research program in this disease.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Competitive considerations for BEST1-related IRDs:</w:t>
      </w:r>
    </w:p>
    <w:p>
      <w:pPr>
        <w:spacing w:after="0" w:line="200" w:lineRule="exact"/>
        <w:rPr>
          <w:sz w:val="20"/>
          <w:szCs w:val="20"/>
          <w:color w:val="auto"/>
        </w:rPr>
      </w:pPr>
    </w:p>
    <w:p>
      <w:pPr>
        <w:ind w:left="520" w:hanging="260"/>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We are aware that, prior to its acquisition by Biogen Inc., Nightstar Therapeutics plc had a preclinical AAV gene therapy program for one or more </w:t>
      </w:r>
      <w:r>
        <w:rPr>
          <w:rFonts w:ascii="Arial" w:cs="Arial" w:eastAsia="Arial" w:hAnsi="Arial"/>
          <w:sz w:val="14"/>
          <w:szCs w:val="14"/>
          <w:i w:val="1"/>
          <w:iCs w:val="1"/>
          <w:color w:val="auto"/>
        </w:rPr>
        <w:t>BEST1</w:t>
      </w:r>
      <w:r>
        <w:rPr>
          <w:rFonts w:ascii="Arial" w:cs="Arial" w:eastAsia="Arial" w:hAnsi="Arial"/>
          <w:sz w:val="14"/>
          <w:szCs w:val="14"/>
          <w:color w:val="auto"/>
        </w:rPr>
        <w:t>-related IRDs.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Competitive considerations for LCA10:</w:t>
      </w:r>
    </w:p>
    <w:p>
      <w:pPr>
        <w:spacing w:after="0" w:line="200" w:lineRule="exact"/>
        <w:rPr>
          <w:sz w:val="20"/>
          <w:szCs w:val="20"/>
          <w:color w:val="auto"/>
        </w:rPr>
      </w:pPr>
    </w:p>
    <w:p>
      <w:pPr>
        <w:ind w:left="520" w:right="40" w:hanging="260"/>
        <w:spacing w:after="0" w:line="262" w:lineRule="auto"/>
        <w:tabs>
          <w:tab w:leader="none" w:pos="516" w:val="left"/>
        </w:tabs>
        <w:numPr>
          <w:ilvl w:val="0"/>
          <w:numId w:val="45"/>
        </w:numPr>
        <w:rPr>
          <w:rFonts w:ascii="Arial" w:cs="Arial" w:eastAsia="Arial" w:hAnsi="Arial"/>
          <w:sz w:val="14"/>
          <w:szCs w:val="14"/>
          <w:color w:val="auto"/>
        </w:rPr>
      </w:pPr>
      <w:r>
        <w:rPr>
          <w:rFonts w:ascii="Arial" w:cs="Arial" w:eastAsia="Arial" w:hAnsi="Arial"/>
          <w:sz w:val="14"/>
          <w:szCs w:val="14"/>
          <w:color w:val="auto"/>
        </w:rPr>
        <w:t>We are aware that Editas Medicine, Inc. (in partnership with Allergan plc) has a gene editing program for LCA10, for which a Phase 1/2 clinical trial is ongoing, ProQR Therapeutics N.V. is developing an RNA-based therapeutic for LCA10 that is currently in late-stage clinical development, Generation Bio Co. has a preclinical program that utilizes ceDNA technology to target LCA10 and Oxford Biomedica plc is developing a lentiviral gene therapy program for LCA10 that is in preclinical development. In addition, several academic institutions have preclinical programs in LCA10.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Competitive considerations for USH2A-related IRDs:</w:t>
      </w:r>
    </w:p>
    <w:p>
      <w:pPr>
        <w:spacing w:after="0" w:line="200" w:lineRule="exact"/>
        <w:rPr>
          <w:sz w:val="20"/>
          <w:szCs w:val="20"/>
          <w:color w:val="auto"/>
        </w:rPr>
      </w:pPr>
    </w:p>
    <w:p>
      <w:pPr>
        <w:jc w:val="both"/>
        <w:ind w:left="520" w:right="180" w:hanging="260"/>
        <w:spacing w:after="0" w:line="267" w:lineRule="auto"/>
        <w:tabs>
          <w:tab w:leader="none" w:pos="516"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There are a number of products in preclinical research and clinical development by third parties to treat </w:t>
      </w:r>
      <w:r>
        <w:rPr>
          <w:rFonts w:ascii="Arial" w:cs="Arial" w:eastAsia="Arial" w:hAnsi="Arial"/>
          <w:sz w:val="14"/>
          <w:szCs w:val="14"/>
          <w:i w:val="1"/>
          <w:iCs w:val="1"/>
          <w:color w:val="auto"/>
        </w:rPr>
        <w:t>USH2A</w:t>
      </w:r>
      <w:r>
        <w:rPr>
          <w:rFonts w:ascii="Arial" w:cs="Arial" w:eastAsia="Arial" w:hAnsi="Arial"/>
          <w:sz w:val="14"/>
          <w:szCs w:val="14"/>
          <w:color w:val="auto"/>
        </w:rPr>
        <w:t xml:space="preserve">-related IRDs. We are aware that ProQR Therapeutics N.V. is pursuing two RNA based approaches for different mutations causing Usher 2A, one of which is currently in Phase 1/2 clinical development and the other of which is in preclinical development. We are also aware that Editas Medicine, Inc. and Odylia Therapeutics are exploring potential programs in </w:t>
      </w:r>
      <w:r>
        <w:rPr>
          <w:rFonts w:ascii="Arial" w:cs="Arial" w:eastAsia="Arial" w:hAnsi="Arial"/>
          <w:sz w:val="14"/>
          <w:szCs w:val="14"/>
          <w:i w:val="1"/>
          <w:iCs w:val="1"/>
          <w:color w:val="auto"/>
        </w:rPr>
        <w:t>USH2A</w:t>
      </w:r>
      <w:r>
        <w:rPr>
          <w:rFonts w:ascii="Arial" w:cs="Arial" w:eastAsia="Arial" w:hAnsi="Arial"/>
          <w:sz w:val="14"/>
          <w:szCs w:val="14"/>
          <w:color w:val="auto"/>
        </w:rPr>
        <w:t>-related IRDs.</w:t>
      </w:r>
    </w:p>
    <w:p>
      <w:pPr>
        <w:spacing w:after="0" w:line="142" w:lineRule="exact"/>
        <w:rPr>
          <w:sz w:val="20"/>
          <w:szCs w:val="20"/>
          <w:color w:val="auto"/>
        </w:rPr>
      </w:pPr>
    </w:p>
    <w:p>
      <w:pPr>
        <w:ind w:right="820"/>
        <w:spacing w:after="0" w:line="281" w:lineRule="auto"/>
        <w:rPr>
          <w:sz w:val="20"/>
          <w:szCs w:val="20"/>
          <w:color w:val="auto"/>
        </w:rPr>
      </w:pPr>
      <w:r>
        <w:rPr>
          <w:rFonts w:ascii="Arial" w:cs="Arial" w:eastAsia="Arial" w:hAnsi="Arial"/>
          <w:sz w:val="14"/>
          <w:szCs w:val="14"/>
          <w:b w:val="1"/>
          <w:bCs w:val="1"/>
          <w:i w:val="1"/>
          <w:iCs w:val="1"/>
          <w:color w:val="auto"/>
        </w:rPr>
        <w:t>If we are unable to establish sales, marketing and distribution capabilities or enter into sales, marketing and distribution agreements with third parties, we may not be successful in commercializing any of our product candidates that we develop if and when any such product candidate is approved.</w:t>
      </w:r>
    </w:p>
    <w:p>
      <w:pPr>
        <w:spacing w:after="0" w:line="58" w:lineRule="exact"/>
        <w:rPr>
          <w:sz w:val="20"/>
          <w:szCs w:val="20"/>
          <w:color w:val="auto"/>
        </w:rPr>
      </w:pPr>
    </w:p>
    <w:p>
      <w:pPr>
        <w:ind w:right="140" w:firstLine="509"/>
        <w:spacing w:after="0" w:line="278" w:lineRule="auto"/>
        <w:rPr>
          <w:sz w:val="20"/>
          <w:szCs w:val="20"/>
          <w:color w:val="auto"/>
        </w:rPr>
      </w:pPr>
      <w:r>
        <w:rPr>
          <w:rFonts w:ascii="Arial" w:cs="Arial" w:eastAsia="Arial" w:hAnsi="Arial"/>
          <w:sz w:val="13"/>
          <w:szCs w:val="13"/>
          <w:color w:val="auto"/>
        </w:rPr>
        <w:t>As a company, we have no experience in the sale, marketing or distribution of pharmaceutical products. We currently do not have any sales, marketing or distribution infrastructure or dedicated personnel. To achieve commercial success for any approved product, we must either develop a sales, marketing and distribution organization or outsource those functions to third parties. We expect that our commercial strategy for any of our product candidates, including whether to retain commercial rights and market and sell the product candidate ourselves or to utilize collaboration, distribution or other marketing arrangements with third parties, would be determined based on a variety of factors, including the size and nature of the patient population, the disease area, the particular indications for which the product candidate is approved, the territories in which the product candidate may be marketed and the commercial potential for such product candidate. We are developing Zimura and IC-500 for GA secondary to AMD, which is a condition affecting a relatively large number of individuals. In contrast, our gene therapy programs are currently being developed for orphan IRDs with a limited number of affected individuals. If any of our product candidates is approved, the size and nature of the affected patient population will be an important factor in our commercial strategy. In addition, our commercial strategy would vary depending on whether the disease is typically treated by general ophthalmology practitioners, specialists, such as retinal specialists, or sub-specialists, such as retinal specialists with particular expertise in IRDs.</w:t>
      </w:r>
    </w:p>
    <w:p>
      <w:pPr>
        <w:spacing w:after="0" w:line="65" w:lineRule="exact"/>
        <w:rPr>
          <w:sz w:val="20"/>
          <w:szCs w:val="20"/>
          <w:color w:val="auto"/>
        </w:rPr>
      </w:pPr>
    </w:p>
    <w:p>
      <w:pPr>
        <w:ind w:right="240" w:firstLine="509"/>
        <w:spacing w:after="0" w:line="262" w:lineRule="auto"/>
        <w:rPr>
          <w:sz w:val="20"/>
          <w:szCs w:val="20"/>
          <w:color w:val="auto"/>
        </w:rPr>
      </w:pPr>
      <w:r>
        <w:rPr>
          <w:rFonts w:ascii="Arial" w:cs="Arial" w:eastAsia="Arial" w:hAnsi="Arial"/>
          <w:sz w:val="14"/>
          <w:szCs w:val="14"/>
          <w:color w:val="auto"/>
        </w:rPr>
        <w:t>There are risks involved with establishing our own sales, marketing and distribution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and distribution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Factors that may inhibit our efforts to commercialize our products on our own include:</w:t>
      </w:r>
    </w:p>
    <w:p>
      <w:pPr>
        <w:spacing w:after="0" w:line="200" w:lineRule="exact"/>
        <w:rPr>
          <w:sz w:val="20"/>
          <w:szCs w:val="20"/>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inability to recruit and retain adequate numbers of effective sales and marketing personnel;</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inability of sales personnel to obtain access to adequate numbers of physicians who may prescribe our products;</w:t>
      </w:r>
    </w:p>
    <w:p>
      <w:pPr>
        <w:spacing w:after="0" w:line="199" w:lineRule="exact"/>
        <w:rPr>
          <w:rFonts w:ascii="Arial" w:cs="Arial" w:eastAsia="Arial" w:hAnsi="Arial"/>
          <w:sz w:val="14"/>
          <w:szCs w:val="14"/>
          <w:color w:val="auto"/>
        </w:rPr>
      </w:pPr>
    </w:p>
    <w:p>
      <w:pPr>
        <w:ind w:left="800" w:hanging="286"/>
        <w:spacing w:after="0"/>
        <w:tabs>
          <w:tab w:leader="none" w:pos="80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lack of complementary products to be offered by our sales personnel, which may put us at a competitive disadvantage relative to companies with more extensive product lines; and</w:t>
      </w:r>
    </w:p>
    <w:p>
      <w:pPr>
        <w:spacing w:after="0" w:line="222" w:lineRule="exact"/>
        <w:rPr>
          <w:rFonts w:ascii="Arial" w:cs="Arial" w:eastAsia="Arial" w:hAnsi="Arial"/>
          <w:sz w:val="12"/>
          <w:szCs w:val="12"/>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unforeseen costs and expenses associated with creating an independent sales and marketing organization.</w:t>
      </w:r>
    </w:p>
    <w:p>
      <w:pPr>
        <w:spacing w:after="0" w:line="200"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If we enter into arrangements with third parties to perform sales, marketing and distribution services, our product revenues and our profitability, if any, are likely to be lower than if we were to market, sell and distribute ourselves any products that we develop.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would not be successful in commercializing our product candidates, if approved.</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0"/>
        <w:spacing w:after="0" w:line="368" w:lineRule="auto"/>
        <w:rPr>
          <w:sz w:val="20"/>
          <w:szCs w:val="20"/>
          <w:color w:val="auto"/>
        </w:rPr>
      </w:pPr>
      <w:r>
        <w:rPr>
          <w:rFonts w:ascii="Arial" w:cs="Arial" w:eastAsia="Arial" w:hAnsi="Arial"/>
          <w:sz w:val="12"/>
          <w:szCs w:val="12"/>
          <w:b w:val="1"/>
          <w:bCs w:val="1"/>
          <w:i w:val="1"/>
          <w:iCs w:val="1"/>
          <w:color w:val="auto"/>
        </w:rPr>
        <w:t>Even if any of our product candidates receives marketing approval, such product candidate may fail to achieve the degree of market acceptance by physicians, patients, third-party payors and others in the medical community necessary for commercial success and the market opportunity for any of our products and product candidates may be smaller than we estimate.</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degree of market acceptance of any product candidate that we are developing or we may develop, if approved for commercial sale, will depend on a number of factors, including:</w:t>
      </w:r>
    </w:p>
    <w:p>
      <w:pPr>
        <w:spacing w:after="0" w:line="211" w:lineRule="exact"/>
        <w:rPr>
          <w:sz w:val="20"/>
          <w:szCs w:val="20"/>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efficacy and potential advantages compared to alternative treatments, including the existing standard of care;</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any restrictions in the label on the use of our products in combination with other medications or with certain devices;</w:t>
      </w:r>
    </w:p>
    <w:p>
      <w:pPr>
        <w:spacing w:after="0" w:line="199" w:lineRule="exact"/>
        <w:rPr>
          <w:rFonts w:ascii="Arial" w:cs="Arial" w:eastAsia="Arial" w:hAnsi="Arial"/>
          <w:sz w:val="14"/>
          <w:szCs w:val="14"/>
          <w:color w:val="auto"/>
        </w:rPr>
      </w:pPr>
    </w:p>
    <w:p>
      <w:pPr>
        <w:ind w:left="760" w:right="100" w:hanging="246"/>
        <w:spacing w:after="0" w:line="267" w:lineRule="auto"/>
        <w:tabs>
          <w:tab w:leader="none" w:pos="756" w:val="left"/>
        </w:tabs>
        <w:numPr>
          <w:ilvl w:val="0"/>
          <w:numId w:val="48"/>
        </w:numPr>
        <w:rPr>
          <w:rFonts w:ascii="Arial" w:cs="Arial" w:eastAsia="Arial" w:hAnsi="Arial"/>
          <w:sz w:val="14"/>
          <w:szCs w:val="14"/>
          <w:color w:val="auto"/>
        </w:rPr>
      </w:pPr>
      <w:r>
        <w:rPr>
          <w:rFonts w:ascii="Arial" w:cs="Arial" w:eastAsia="Arial" w:hAnsi="Arial"/>
          <w:sz w:val="14"/>
          <w:szCs w:val="14"/>
          <w:color w:val="auto"/>
        </w:rPr>
        <w:t>any restrictions in the label on the use of our products to or by a subgroup of patients, including, for example, for Zimura, if approved, restrictions on use of our product to patients with GA secondary to dry AMD (as opposed to GA secondary to any or all forms of AMD) or to patients with specific GA lesion characteristics, such as non-foveal GA, or for our gene therapy product candidates, if approved, restrictions on use of our product if a patient previously received another gene therapy product;</w:t>
      </w:r>
    </w:p>
    <w:p>
      <w:pPr>
        <w:spacing w:after="0" w:line="162" w:lineRule="exact"/>
        <w:rPr>
          <w:rFonts w:ascii="Arial" w:cs="Arial" w:eastAsia="Arial" w:hAnsi="Arial"/>
          <w:sz w:val="14"/>
          <w:szCs w:val="14"/>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restrictions in the label imposing a waiting period in between intravitreal injections, in the case of Zimura being used for treatment of STGD1;</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and any commercialization partner’s ability to offer our products at competitive prices;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availability of governmental and third-party payor coverage and adequate reimbursement;</w:t>
      </w:r>
    </w:p>
    <w:p>
      <w:pPr>
        <w:spacing w:after="0" w:line="199" w:lineRule="exact"/>
        <w:rPr>
          <w:rFonts w:ascii="Arial" w:cs="Arial" w:eastAsia="Arial" w:hAnsi="Arial"/>
          <w:sz w:val="14"/>
          <w:szCs w:val="14"/>
          <w:color w:val="auto"/>
        </w:rPr>
      </w:pPr>
    </w:p>
    <w:p>
      <w:pPr>
        <w:ind w:left="760" w:right="360" w:hanging="246"/>
        <w:spacing w:after="0" w:line="281" w:lineRule="auto"/>
        <w:tabs>
          <w:tab w:leader="none" w:pos="756"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increasing reimbursement pressures on treating physicians due to the formation of accountable care organizations and the shift away from traditional fee-for-service reimbursement models to reimbursement based on quality of care and patient outcomes;</w:t>
      </w:r>
    </w:p>
    <w:p>
      <w:pPr>
        <w:spacing w:after="0" w:line="153" w:lineRule="exact"/>
        <w:rPr>
          <w:rFonts w:ascii="Arial" w:cs="Arial" w:eastAsia="Arial" w:hAnsi="Arial"/>
          <w:sz w:val="14"/>
          <w:szCs w:val="14"/>
          <w:color w:val="auto"/>
        </w:rPr>
      </w:pPr>
    </w:p>
    <w:p>
      <w:pPr>
        <w:ind w:left="760" w:right="340" w:hanging="246"/>
        <w:spacing w:after="0" w:line="281" w:lineRule="auto"/>
        <w:tabs>
          <w:tab w:leader="none" w:pos="756" w:val="left"/>
        </w:tabs>
        <w:numPr>
          <w:ilvl w:val="0"/>
          <w:numId w:val="48"/>
        </w:numPr>
        <w:rPr>
          <w:rFonts w:ascii="Arial" w:cs="Arial" w:eastAsia="Arial" w:hAnsi="Arial"/>
          <w:sz w:val="14"/>
          <w:szCs w:val="14"/>
          <w:color w:val="auto"/>
        </w:rPr>
      </w:pPr>
      <w:r>
        <w:rPr>
          <w:rFonts w:ascii="Arial" w:cs="Arial" w:eastAsia="Arial" w:hAnsi="Arial"/>
          <w:sz w:val="14"/>
          <w:szCs w:val="14"/>
          <w:color w:val="auto"/>
        </w:rPr>
        <w:t>willingness of the target patient population to try new therapies and of physicians to prescribe these therapies, particularly in light of the existing available standard of care or to the extent our product candidates require invasive procedures for administration, such as subretinal surgery;</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prevalence and severity of any side effects or perceived safety concerns, especially for new therapeutic treatments such as gene therapy; and</w:t>
      </w:r>
    </w:p>
    <w:p>
      <w:pPr>
        <w:spacing w:after="0" w:line="199" w:lineRule="exact"/>
        <w:rPr>
          <w:rFonts w:ascii="Arial" w:cs="Arial" w:eastAsia="Arial" w:hAnsi="Arial"/>
          <w:sz w:val="14"/>
          <w:szCs w:val="14"/>
          <w:color w:val="auto"/>
        </w:rPr>
      </w:pPr>
    </w:p>
    <w:p>
      <w:pPr>
        <w:ind w:left="760" w:hanging="246"/>
        <w:spacing w:after="0" w:line="260" w:lineRule="auto"/>
        <w:tabs>
          <w:tab w:leader="none" w:pos="756" w:val="left"/>
        </w:tabs>
        <w:numPr>
          <w:ilvl w:val="0"/>
          <w:numId w:val="48"/>
        </w:numPr>
        <w:rPr>
          <w:rFonts w:ascii="Arial" w:cs="Arial" w:eastAsia="Arial" w:hAnsi="Arial"/>
          <w:sz w:val="14"/>
          <w:szCs w:val="14"/>
          <w:color w:val="auto"/>
        </w:rPr>
      </w:pPr>
      <w:r>
        <w:rPr>
          <w:rFonts w:ascii="Arial" w:cs="Arial" w:eastAsia="Arial" w:hAnsi="Arial"/>
          <w:sz w:val="14"/>
          <w:szCs w:val="14"/>
          <w:color w:val="auto"/>
        </w:rPr>
        <w:t>whether competing products or other alternatives are more convenient or easier to administer, including alternatives that offer a less frequent dosing regimen than monthly intravitreal injections, in the case of Zimura, or a less invasive method of administration than subretinal injection, in the case of our gene therapy product candidates, come to market. For example, Apellis is testing its complement inhibitor product candidate for GA with both monthly and every other month dosing regimens, and may obtain a label with an every other month dosing regimen with similar efficacy as the monthly dosing regimen, while we expect that any label we may obtain for Zimura in GA will require monthly administrations. If so, physicians and patients may find Apellis's dosing regimen more acceptable than ours.</w:t>
      </w:r>
    </w:p>
    <w:p>
      <w:pPr>
        <w:spacing w:after="0" w:line="146" w:lineRule="exact"/>
        <w:rPr>
          <w:sz w:val="20"/>
          <w:szCs w:val="20"/>
          <w:color w:val="auto"/>
        </w:rPr>
      </w:pPr>
    </w:p>
    <w:p>
      <w:pPr>
        <w:ind w:right="40" w:firstLine="509"/>
        <w:spacing w:after="0" w:line="282" w:lineRule="auto"/>
        <w:rPr>
          <w:sz w:val="20"/>
          <w:szCs w:val="20"/>
          <w:color w:val="auto"/>
        </w:rPr>
      </w:pPr>
      <w:r>
        <w:rPr>
          <w:rFonts w:ascii="Arial" w:cs="Arial" w:eastAsia="Arial" w:hAnsi="Arial"/>
          <w:sz w:val="13"/>
          <w:szCs w:val="13"/>
          <w:color w:val="auto"/>
        </w:rPr>
        <w:t>Our development program for Zimura in GA uses an anatomical primary endpoint, the mean rate of change in GA growth over 12 months. We believe that this efficacy assessment is most likely to demonstrate clinical relevance for an investigational product across a heterogeneous GA patient population and other potential assessments, such as comparisons of visual acuity, are not as clinically meaningful for patients with GA. However, to date there is no direct functional corollary to the anatomical measure that we are using as our primary endpoint. Although we evaluated visual acuity as a secondary endpoint in the GATHER1 trial, the trial was not designed to reliably assess differences in mean changes in visual acuity with statistical significance. Patients, physicians and payors may not recognize the value of, and we may not be able to obtain marketing or reimbursement approval for, Zimura without demonstrating a functional benefit to vision. To do so, we may need to conduct additional clinical trials, which may not ultimately demonstrate a functional benefit to vision.</w:t>
      </w:r>
    </w:p>
    <w:p>
      <w:pPr>
        <w:spacing w:after="0" w:line="134" w:lineRule="exact"/>
        <w:rPr>
          <w:sz w:val="20"/>
          <w:szCs w:val="20"/>
          <w:color w:val="auto"/>
        </w:rPr>
      </w:pPr>
    </w:p>
    <w:p>
      <w:pPr>
        <w:ind w:right="320" w:firstLine="509"/>
        <w:spacing w:after="0" w:line="281" w:lineRule="auto"/>
        <w:rPr>
          <w:sz w:val="20"/>
          <w:szCs w:val="20"/>
          <w:color w:val="auto"/>
        </w:rPr>
      </w:pPr>
      <w:r>
        <w:rPr>
          <w:rFonts w:ascii="Arial" w:cs="Arial" w:eastAsia="Arial" w:hAnsi="Arial"/>
          <w:sz w:val="14"/>
          <w:szCs w:val="14"/>
          <w:color w:val="auto"/>
        </w:rPr>
        <w:t>For each of our Zimura trials where patients receive multiple intravitreal injections on the same day, including the OPH2005 trial, we have provided for a delay in the second intravitreal injection to occur during the same office visit 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jc w:val="both"/>
        <w:ind w:right="180"/>
        <w:spacing w:after="0" w:line="331" w:lineRule="auto"/>
        <w:rPr>
          <w:sz w:val="20"/>
          <w:szCs w:val="20"/>
          <w:color w:val="auto"/>
        </w:rPr>
      </w:pPr>
      <w:r>
        <w:rPr>
          <w:rFonts w:ascii="Arial" w:cs="Arial" w:eastAsia="Arial" w:hAnsi="Arial"/>
          <w:sz w:val="12"/>
          <w:szCs w:val="12"/>
          <w:color w:val="auto"/>
        </w:rPr>
        <w:t>minimize the risk of an unacceptable increase in intraocular pressure as a result of the volume of the multiple injections. If Zimura receives marketing approval for a particular indication, including for example, for autosomal recessive Stargardt disease, and the approved label requires a waiting period between injections administered on the same day or a dosing regimen that requires multiple office visits per month, the potential market opportunity for Zimura may be limited to the extent that physicians and patients find such a waiting period or dosing regimen unacceptable.</w:t>
      </w:r>
    </w:p>
    <w:p>
      <w:pPr>
        <w:spacing w:after="0" w:line="108" w:lineRule="exact"/>
        <w:rPr>
          <w:sz w:val="20"/>
          <w:szCs w:val="20"/>
          <w:color w:val="auto"/>
        </w:rPr>
      </w:pPr>
    </w:p>
    <w:p>
      <w:pPr>
        <w:ind w:right="40" w:firstLine="509"/>
        <w:spacing w:after="0" w:line="258" w:lineRule="auto"/>
        <w:rPr>
          <w:sz w:val="20"/>
          <w:szCs w:val="20"/>
          <w:color w:val="auto"/>
        </w:rPr>
      </w:pPr>
      <w:r>
        <w:rPr>
          <w:rFonts w:ascii="Arial" w:cs="Arial" w:eastAsia="Arial" w:hAnsi="Arial"/>
          <w:sz w:val="14"/>
          <w:szCs w:val="14"/>
          <w:color w:val="auto"/>
        </w:rPr>
        <w:t>In addition, the potential market opportunity for any product candidate is difficult to estimate precisely. Our estimates of the potential market opportunity for our product candidates include several key assumptions based on our expectations of the safety and effectiveness of the relevant product candidate, the expected patient population for our product candidates, our industry knowledge, the competitive landscape for the indications for which we are developing our product candidates and programs, market response to anti-VEGF agents currently approved for treatment of wet AMD and to Spark Therapeutics's Luxturna® and Novartis AG's Zolgensma® , third-party research reports and other surveys. While we believe that our internal assumptions are reasonable, no independent source has verified such assumptions and any of these assumptions could prove to be inaccurate, and the actual market for such product candidates could be smaller than our estimates of our potential market opportunity.</w:t>
      </w:r>
    </w:p>
    <w:p>
      <w:pPr>
        <w:spacing w:after="0" w:line="150" w:lineRule="exact"/>
        <w:rPr>
          <w:sz w:val="20"/>
          <w:szCs w:val="20"/>
          <w:color w:val="auto"/>
        </w:rPr>
      </w:pPr>
    </w:p>
    <w:p>
      <w:pPr>
        <w:ind w:right="60" w:firstLine="509"/>
        <w:spacing w:after="0" w:line="277" w:lineRule="auto"/>
        <w:rPr>
          <w:sz w:val="20"/>
          <w:szCs w:val="20"/>
          <w:color w:val="auto"/>
        </w:rPr>
      </w:pPr>
      <w:r>
        <w:rPr>
          <w:rFonts w:ascii="Arial" w:cs="Arial" w:eastAsia="Arial" w:hAnsi="Arial"/>
          <w:sz w:val="13"/>
          <w:szCs w:val="13"/>
          <w:color w:val="auto"/>
        </w:rPr>
        <w:t>There is a variety of factors that could contribute to the actual number of patients who receive an approved therapy being less than our estimates of the potential addressable market. With respect to our programs for orphan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the European Union and elsewhere may turn out to be lower than expected, patients may not be amenable to treatment with our products or patients may become increasingly difficult to identify and access, all of which would adversely affect our business, financial condition, results of operations and prospects. Further, the severity of the progression of a disease up to the time of treatment, especially in certain degenerative conditions such as GA and certain IRDs, likely will diminish the therapeutic benefit conferred by a new drug product due to irreversible cell death. For example, certain GA patients may have experienced the loss of certain portions of retinal tissue that disproportionately affected their functional vision, and these patients may not value a treatment that can only slow the growth of additional GA lesions without providing a treatment to their loss of functional vision. Certain patients’ immune systems and prior exposure to the virus used to deliver a gene therapy might inhibit the successful delivery of certain gene therapy products to the target tissue, thereby limiting eligibility for treatment or limiting treatment outcomes. If the number of patients that may benefit from the treatments we are seeking to develop is lower than we expect, our business, financial condition, results of operations and prospects may be adversely affected.</w:t>
      </w:r>
    </w:p>
    <w:p>
      <w:pPr>
        <w:spacing w:after="0" w:line="139" w:lineRule="exact"/>
        <w:rPr>
          <w:sz w:val="20"/>
          <w:szCs w:val="20"/>
          <w:color w:val="auto"/>
        </w:rPr>
      </w:pPr>
    </w:p>
    <w:p>
      <w:pPr>
        <w:ind w:right="440"/>
        <w:spacing w:after="0" w:line="281" w:lineRule="auto"/>
        <w:rPr>
          <w:sz w:val="20"/>
          <w:szCs w:val="20"/>
          <w:color w:val="auto"/>
        </w:rPr>
      </w:pPr>
      <w:r>
        <w:rPr>
          <w:rFonts w:ascii="Arial" w:cs="Arial" w:eastAsia="Arial" w:hAnsi="Arial"/>
          <w:sz w:val="14"/>
          <w:szCs w:val="14"/>
          <w:b w:val="1"/>
          <w:bCs w:val="1"/>
          <w:i w:val="1"/>
          <w:iCs w:val="1"/>
          <w:color w:val="auto"/>
        </w:rPr>
        <w:t>Even if we are able to commercialize any of the product candidates that we may develop, the product may become subject to unfavorable pricing regulations, pricing dynamics, third-party reimbursement practices or healthcare reform initiatives, which would harm our business.</w:t>
      </w:r>
    </w:p>
    <w:p>
      <w:pPr>
        <w:spacing w:after="0" w:line="132" w:lineRule="exact"/>
        <w:rPr>
          <w:sz w:val="20"/>
          <w:szCs w:val="20"/>
          <w:color w:val="auto"/>
        </w:rPr>
      </w:pPr>
    </w:p>
    <w:p>
      <w:pPr>
        <w:ind w:firstLine="509"/>
        <w:spacing w:after="0" w:line="277" w:lineRule="auto"/>
        <w:rPr>
          <w:sz w:val="20"/>
          <w:szCs w:val="20"/>
          <w:color w:val="auto"/>
        </w:rPr>
      </w:pPr>
      <w:r>
        <w:rPr>
          <w:rFonts w:ascii="Arial" w:cs="Arial" w:eastAsia="Arial" w:hAnsi="Arial"/>
          <w:sz w:val="13"/>
          <w:szCs w:val="13"/>
          <w:color w:val="auto"/>
        </w:rPr>
        <w:t>The regulations that govern marketing approvals, pricing and reimbursement for new drug products vary widely from country to country. Health care reform, including increasing scrutiny of drug prices, is an issue of intense political focus, particularly in the United States. Current and future legislation may significantly change the approval requirements in ways that could involve additional costs and cause delays in obtaining approvals or in ways that could alter the mechanism by which pharmaceutical prices are negotiated or otherwise determined. Many countries outside the United States require approval of the sale price of a drug before it can be marketed, and to apply for and obtain such an approval in certain countries, we or a commercialization partner may be required to conduct a clinical trial that compares the cost-effectiveness of our product candidate to other available therapies. In many countries, the pricing review period begins after marketing or product licensing approval is granted. In some foreign markets, prescription pharmaceutical pricing remains subject to continuing governmental control or negotiation even after initial approval is granted. In particular for Zimura in GA, we may need to demonstrate visual function in order to obtain reimbursement approval, although our clinical trials, which use an anatomic endpoint as the primary efficacy endpoint, are not designed to demonstrate a functional benefit with statistical significance. As a result, we might obtain marketing approval for a product in a particular country, but then be subject to price regulations that delay our or any commercialization partner’s commercial launch of the product, possibly for lengthy time periods, which would negatively impact the revenues we are able to generate from the sale of the product in that country. Adverse pricing limitations may hinder our ability to recoup our investment in one or more product candidates, even if our product candidates obtain marketing approval and are widely accepted and prescribed or used by physicians.</w:t>
      </w:r>
    </w:p>
    <w:p>
      <w:pPr>
        <w:spacing w:after="0" w:line="139" w:lineRule="exact"/>
        <w:rPr>
          <w:sz w:val="20"/>
          <w:szCs w:val="20"/>
          <w:color w:val="auto"/>
        </w:rPr>
      </w:pPr>
    </w:p>
    <w:p>
      <w:pPr>
        <w:ind w:right="240" w:firstLine="509"/>
        <w:spacing w:after="0" w:line="267" w:lineRule="auto"/>
        <w:rPr>
          <w:sz w:val="20"/>
          <w:szCs w:val="20"/>
          <w:color w:val="auto"/>
        </w:rPr>
      </w:pPr>
      <w:r>
        <w:rPr>
          <w:rFonts w:ascii="Arial" w:cs="Arial" w:eastAsia="Arial" w:hAnsi="Arial"/>
          <w:sz w:val="14"/>
          <w:szCs w:val="14"/>
          <w:color w:val="auto"/>
        </w:rPr>
        <w:t>In addition, even in countries where pharmaceuticals are not subject to strict pricing regulations through a governmental review and approval process, we may nonetheless face an unfavorable pricing environment as a result of political pressure or market dynamics. Because there are only two FDA-approved gene replacement therapy products, both of which launched in the United States within the past two years, the pricing environment for gene therapies is in the very early stages of</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jc w:val="both"/>
        <w:ind w:right="40"/>
        <w:spacing w:after="0" w:line="301" w:lineRule="auto"/>
        <w:rPr>
          <w:sz w:val="20"/>
          <w:szCs w:val="20"/>
          <w:color w:val="auto"/>
        </w:rPr>
      </w:pPr>
      <w:r>
        <w:rPr>
          <w:rFonts w:ascii="Arial" w:cs="Arial" w:eastAsia="Arial" w:hAnsi="Arial"/>
          <w:sz w:val="12"/>
          <w:szCs w:val="12"/>
          <w:color w:val="auto"/>
        </w:rPr>
        <w:t>its development. Gene therapies are generally intended to be one-time treatments or, at a minimum, to provide a benefit over an extended period lasting several years. If we are successful in obtaining marketing approval for any of our gene therapy product candidates, we will need to convince third-party payors of the value that our gene therapy product offers. Third-party payors may be unwilling to accept substantial upfront costs for a therapy where the benefits may not be realized or are realized over a period of years during which the patient may no longer be enrolled in the payor's</w:t>
      </w:r>
    </w:p>
    <w:p>
      <w:pPr>
        <w:spacing w:after="0" w:line="276" w:lineRule="auto"/>
        <w:rPr>
          <w:sz w:val="20"/>
          <w:szCs w:val="20"/>
          <w:color w:val="auto"/>
        </w:rPr>
      </w:pPr>
      <w:r>
        <w:rPr>
          <w:rFonts w:ascii="Arial" w:cs="Arial" w:eastAsia="Arial" w:hAnsi="Arial"/>
          <w:sz w:val="13"/>
          <w:szCs w:val="13"/>
          <w:color w:val="auto"/>
        </w:rPr>
        <w:t>plan. Although payors and manufacturers may be incentivized to agree to outcomes-based payment structures for gene therapies, where manufacturers provide rebates or a portion of the contract price is forgiven if an efficacy or durability threshold is not met for an individual patient, market dynamics in the United States currently do not facilitate these types of outcome-based payments, in particular because of rules that require that government payors, such as Medicaid, receive the “best price” for a drug, regardless of outcome. The perceived high cost for pharmaceutical products to treat orphan diseases, where manufacturers seek to recoup development costs and earn a profit for a therapy intended to treat a relatively small patient population, may attract increased political and public scrutiny. In particular, the $2.1 million list price for Zolgensma has generated significant public scrutiny over the prices of new pharmaceuticals coming to the market, including gene therapies, and as a result, Novartis has proposed permitting third-party payors to pay for Zolgensma in annual installments over five years instead of as a lump sum. Moreover, if we obtain marketing approval for a product candidate, such as Zimura, in more than one indication, including, for example in an orphan indication such as STGD1 and a non-orphan indication such as GA secondary to AMD, such a product candidate likely would only be sold at one price in any given country, regardless of the indications for which it is prescribed. This dynamic may result in our charging a price that does not generate profits in each indication for which the product is approved.</w:t>
      </w:r>
    </w:p>
    <w:p>
      <w:pPr>
        <w:spacing w:after="0" w:line="140" w:lineRule="exact"/>
        <w:rPr>
          <w:sz w:val="20"/>
          <w:szCs w:val="20"/>
          <w:color w:val="auto"/>
        </w:rPr>
      </w:pPr>
    </w:p>
    <w:p>
      <w:pPr>
        <w:ind w:right="80" w:firstLine="509"/>
        <w:spacing w:after="0" w:line="276" w:lineRule="auto"/>
        <w:rPr>
          <w:sz w:val="20"/>
          <w:szCs w:val="20"/>
          <w:color w:val="auto"/>
        </w:rPr>
      </w:pPr>
      <w:r>
        <w:rPr>
          <w:rFonts w:ascii="Arial" w:cs="Arial" w:eastAsia="Arial" w:hAnsi="Arial"/>
          <w:sz w:val="13"/>
          <w:szCs w:val="13"/>
          <w:color w:val="auto"/>
        </w:rPr>
        <w:t>Our ability and the ability of any commercialization partner to commercialize a product candidate successfully also will depend in part on the extent to which reimbursement for these products and related treatments will be available from government health authorities, private health insurers and other organizations. Government authorities and third-party payors, such as private health insurers and health maintenance organizations, decide which medications they will pay for and establish reimbursement levels. A major trend in the U.S. healthcare industry and elsewhere is cost containment. Government authorities and third-party payors, particularly Medicare, have attempted to control costs by limiting coverage and the amount of reimbursement for particular medications and encouraging the substitution of lower cost or generic products. Pricing pressures recently experienced by the pharmaceutical industry may be further exacerbated by legislative and policy changes under consideration by the Trump Administration, the U.S. Congress and many states. For example, the Trump Administration, through the Center for Medicare &amp; Medicaid Service, or CMS, announced in late 2018 an advance notice of proposed rulemaking describing a potential mandatory reference pricing model for Medicare Part B drugs under which the prices paid for these drugs will be adjusted in relation to an international pricing index that includes prevailing prices from other countries with strict price controls. The reference pricing model has found support from some members of the U.S. Congress. The Trump Administration has also expressed an interest in authorizing and/or directing CMS or other agencies of the U.S. government to negotiate prices for drugs covered by Medicare directly with pharmaceutical companies. If this were to occur, especially for AMD drugs where a large portion of the patient population is over the age of 65 and is therefore covered by Medicare, there could be significant downward pressure on prices charged, not only for patients covered by Medicare, but also for patients covered by private insurers who may follow the government’s lead on price. Moreover, increasingly, third-party payors are requiring that drug companies provide them with predetermined discounts from list prices and are challenging the prices charged for pharmaceutical products. We cannot be sure that coverage and reimbursement will be available for any product that we commercialize or any commercialization partner commercializes on our behalf, and, even if these are available, the level of reimbursement may not be satisfactory.</w:t>
      </w:r>
    </w:p>
    <w:p>
      <w:pPr>
        <w:spacing w:after="0" w:line="140"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Reimbursement may affect the demand for, or the price of, any product candidate for which we obtain marketing approval. Obtaining and maintaining adequate reimbursement for our products may be particularly difficult because of the higher prices often associated with drugs administered under the supervision of a physician. We or any commercialization partner may be required to conduct expensive pharmacoeconomic studies to justify coverage and reimbursement or the level of reimbursement relative to other therapies that may be on the market. If coverage and adequate reimbursement are not available or reimbursement is available only at limited levels, we may not be able to successfully commercialize any product candidate for which we obtain marketing approval.</w:t>
      </w:r>
    </w:p>
    <w:p>
      <w:pPr>
        <w:spacing w:after="0" w:line="146" w:lineRule="exact"/>
        <w:rPr>
          <w:sz w:val="20"/>
          <w:szCs w:val="20"/>
          <w:color w:val="auto"/>
        </w:rPr>
      </w:pPr>
    </w:p>
    <w:p>
      <w:pPr>
        <w:ind w:firstLine="509"/>
        <w:spacing w:after="0" w:line="282" w:lineRule="auto"/>
        <w:rPr>
          <w:sz w:val="20"/>
          <w:szCs w:val="20"/>
          <w:color w:val="auto"/>
        </w:rPr>
      </w:pPr>
      <w:r>
        <w:rPr>
          <w:rFonts w:ascii="Arial" w:cs="Arial" w:eastAsia="Arial" w:hAnsi="Arial"/>
          <w:sz w:val="13"/>
          <w:szCs w:val="13"/>
          <w:color w:val="auto"/>
        </w:rPr>
        <w:t>There may be significant delays in obtaining reimbursement for newly approved drugs, and coverage may be more limited than the purposes for which the drug is approved by the FDA or similar regulatory authorities outside the United States. For example, several insurers have limited the subpopulation for or imposed additional eligibility criteria for paying for Zolgensma, beyond the requirements of the approved FDA label, such as requiring that any eligible patients must receive another treatment first and demonstrate that the other treatment is ineffective before using Zolgensma.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line="282" w:lineRule="auto"/>
        <w:rPr>
          <w:sz w:val="20"/>
          <w:szCs w:val="20"/>
          <w:color w:val="auto"/>
        </w:rPr>
      </w:pPr>
      <w:r>
        <w:rPr>
          <w:rFonts w:ascii="Arial" w:cs="Arial" w:eastAsia="Arial" w:hAnsi="Arial"/>
          <w:sz w:val="13"/>
          <w:szCs w:val="13"/>
          <w:color w:val="auto"/>
        </w:rPr>
        <w:t>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which President Trump and many members of the U.S. Congress expressed an interest in pursuing. In December 2019, the Department of Health and Human Services proposed a rule permitting limited importation of drugs from Canada. Third-party payors often rely upon Medicare coverage policy and payment limitations in setting their own reimbursement policies. Our and any commercialization partner’s inability to promptly obtain coverage and profitable payment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34" w:lineRule="exact"/>
        <w:rPr>
          <w:sz w:val="20"/>
          <w:szCs w:val="20"/>
          <w:color w:val="auto"/>
        </w:rPr>
      </w:pPr>
    </w:p>
    <w:p>
      <w:pPr>
        <w:ind w:right="80" w:firstLine="509"/>
        <w:spacing w:after="0" w:line="267" w:lineRule="auto"/>
        <w:rPr>
          <w:sz w:val="20"/>
          <w:szCs w:val="20"/>
          <w:color w:val="auto"/>
        </w:rPr>
      </w:pPr>
      <w:r>
        <w:rPr>
          <w:rFonts w:ascii="Arial" w:cs="Arial" w:eastAsia="Arial" w:hAnsi="Arial"/>
          <w:sz w:val="14"/>
          <w:szCs w:val="14"/>
          <w:color w:val="auto"/>
        </w:rPr>
        <w:t>For a further discussion of health care reform and other political factors affecting drug prices, see the risk factor herein entitled "</w:t>
      </w:r>
      <w:r>
        <w:rPr>
          <w:rFonts w:ascii="Arial" w:cs="Arial" w:eastAsia="Arial" w:hAnsi="Arial"/>
          <w:sz w:val="14"/>
          <w:szCs w:val="14"/>
          <w:i w:val="1"/>
          <w:iCs w:val="1"/>
          <w:color w:val="auto"/>
        </w:rPr>
        <w:t>Current and future legislation and regulations may increase</w:t>
      </w:r>
      <w:r>
        <w:rPr>
          <w:rFonts w:ascii="Arial" w:cs="Arial" w:eastAsia="Arial" w:hAnsi="Arial"/>
          <w:sz w:val="14"/>
          <w:szCs w:val="14"/>
          <w:color w:val="auto"/>
        </w:rPr>
        <w:t xml:space="preserve"> </w:t>
      </w:r>
      <w:r>
        <w:rPr>
          <w:rFonts w:ascii="Arial" w:cs="Arial" w:eastAsia="Arial" w:hAnsi="Arial"/>
          <w:sz w:val="14"/>
          <w:szCs w:val="14"/>
          <w:i w:val="1"/>
          <w:iCs w:val="1"/>
          <w:color w:val="auto"/>
        </w:rPr>
        <w:t>the difficulty and cost for us and any future collaborators to obtain marketing approval of and commercialize our product candidates and affect the prices we or they may charge for such products, when and if approved.</w:t>
      </w:r>
      <w:r>
        <w:rPr>
          <w:rFonts w:ascii="Arial" w:cs="Arial" w:eastAsia="Arial" w:hAnsi="Arial"/>
          <w:sz w:val="14"/>
          <w:szCs w:val="14"/>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Ethical, legal and social issues related to genetic testing may reduce demand for any gene therapy product candidates we develop and for which we seek marketing approval.</w:t>
      </w:r>
    </w:p>
    <w:p>
      <w:pPr>
        <w:spacing w:after="0" w:line="190"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We anticipate that prior to receiving certain gene therapies, including as part of a clinical trial, patients would be required to undergo genetic testing. Genetic testing has raised concerns regarding the appropriate utilization and the confidentiality of information provided by genetic testing. The ownership of and the lawfulness of using genetic data is an area of the law that is unclear and varies across jurisdictions. Genetic tests for assessing a person’s likelihood of developing a chronic disease have focused public attention on the need to protect the privacy of genetic information. For example, concerns have been raised that insurance carriers and employers may use these tests to discriminate on the basis of genetic information, resulting in barriers to the acceptance of genetic tests by consumers. This dynamic could lead to governmental authorities restricting genetic testing or calling for limits on or regulating the use of genetic testing, particularly for diseases for which there is no known cure, as well as the use of genetic data. Any of these scenarios could decrease the pool of patients willing to participate in a clinical trial for a gene therapy and the demand for a gene therapy once it is approved.</w:t>
      </w:r>
    </w:p>
    <w:p>
      <w:pPr>
        <w:spacing w:after="0" w:line="151"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b w:val="1"/>
          <w:bCs w:val="1"/>
          <w:i w:val="1"/>
          <w:iCs w:val="1"/>
          <w:color w:val="auto"/>
        </w:rPr>
        <w:t>Product liability lawsuits against us or any future commercialization partner could divert resources, cause us to incur substantial liabilities and limit commercialization of any products that we may develop or in-license.</w:t>
      </w:r>
    </w:p>
    <w:p>
      <w:pPr>
        <w:spacing w:after="0" w:line="132" w:lineRule="exact"/>
        <w:rPr>
          <w:sz w:val="20"/>
          <w:szCs w:val="20"/>
          <w:color w:val="auto"/>
        </w:rPr>
      </w:pPr>
    </w:p>
    <w:p>
      <w:pPr>
        <w:ind w:firstLine="509"/>
        <w:spacing w:after="0" w:line="297" w:lineRule="auto"/>
        <w:rPr>
          <w:sz w:val="20"/>
          <w:szCs w:val="20"/>
          <w:color w:val="auto"/>
        </w:rPr>
      </w:pPr>
      <w:r>
        <w:rPr>
          <w:rFonts w:ascii="Arial" w:cs="Arial" w:eastAsia="Arial" w:hAnsi="Arial"/>
          <w:sz w:val="13"/>
          <w:szCs w:val="13"/>
          <w:color w:val="auto"/>
        </w:rPr>
        <w:t>We face an inherent risk of product liability exposure related to the testing of any product candidate that we develop in human clinical trials, and we and any future commercialization partner will face an even greater risk if we commercially sell any products that we develop or in-license. If we become subject to or otherwise cannot successfully defend ourselves against claims that our product candidates or our products caused injuries, we will incur substantial liabilities. Regardless of merit or eventual outcome, liability claims may result in:</w:t>
      </w:r>
    </w:p>
    <w:p>
      <w:pPr>
        <w:spacing w:after="0" w:line="145" w:lineRule="exact"/>
        <w:rPr>
          <w:sz w:val="20"/>
          <w:szCs w:val="20"/>
          <w:color w:val="auto"/>
        </w:rPr>
      </w:pPr>
    </w:p>
    <w:p>
      <w:pPr>
        <w:ind w:left="760" w:hanging="246"/>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decreased demand for any product candidates or products that we may develop or in-license;</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withdrawal of clinical trial participants;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injury to our reputation and significant negative media attention;</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significant costs to defend the related litigation;</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substantial monetary awards to trial participants or patients;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loss of revenue;</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reduced time and attention of our management to pursue our business strategy; and</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inability to commercialize any products that we may develop or in-license.</w:t>
      </w:r>
    </w:p>
    <w:p>
      <w:pPr>
        <w:spacing w:after="0" w:line="179" w:lineRule="exact"/>
        <w:rPr>
          <w:sz w:val="20"/>
          <w:szCs w:val="20"/>
          <w:color w:val="auto"/>
        </w:rPr>
      </w:pPr>
    </w:p>
    <w:p>
      <w:pPr>
        <w:ind w:right="100" w:firstLine="509"/>
        <w:spacing w:after="0" w:line="262" w:lineRule="auto"/>
        <w:rPr>
          <w:sz w:val="20"/>
          <w:szCs w:val="20"/>
          <w:color w:val="auto"/>
        </w:rPr>
      </w:pPr>
      <w:r>
        <w:rPr>
          <w:rFonts w:ascii="Arial" w:cs="Arial" w:eastAsia="Arial" w:hAnsi="Arial"/>
          <w:sz w:val="14"/>
          <w:szCs w:val="14"/>
          <w:color w:val="auto"/>
        </w:rPr>
        <w:t>We currently hold $10.0 million in product liability insurance coverage in the aggregate, with a per incident limit of $10.0 million, which may not be adequate to cover all liabilities that we may incur. We will need to increase our insurance coverage when and if we begin commercializing an approved product. Insurance coverage is increasingly expensive. We may not be able to maintain insurance coverage at a reasonable cost or in an amount adequate to satisfy any liability that may arise, including coverage for any local jurisdictions where we conduct clinical trials. In addition, if a commercialization or</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color w:val="auto"/>
        </w:rPr>
        <w:t>collaboration partner were to become subject to product liability claims or were unable to successfully defend themselves against such claims, any such commercialization or collaboration partners could be more likely to terminate such relationship with us and therefore substantially limit the commercial potential of our products.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Dependence on Third Parties</w:t>
      </w:r>
    </w:p>
    <w:p>
      <w:pPr>
        <w:spacing w:after="0" w:line="183"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b w:val="1"/>
          <w:bCs w:val="1"/>
          <w:i w:val="1"/>
          <w:iCs w:val="1"/>
          <w:color w:val="auto"/>
        </w:rPr>
        <w:t>We contract with third parties for the manufacture of and for providing starting materials for our product candidates for preclinical development activities and clinical trials and expect to continue to do so in the future. This reliance on third parties increases the risk that we will not have sufficient quantities of our product candidates or product candidates of sufficient quality, which could delay, prevent or impair our development or commercialization efforts. The COVID-19 pandemic has affected our contract manufacturers' operations and the manufacture of our product candidates.</w:t>
      </w:r>
    </w:p>
    <w:p>
      <w:pPr>
        <w:spacing w:after="0" w:line="146"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We do not currently own or operate manufacturing facilities for the production of clinical or commercial quantities of any of our product candidates and have a limited number of personnel hired to supervise outside contract manufacturers. We currently rely upon and expect to continue to rely upon third-party contract manufacturers to manufacture preclinical and clinical supplies of product candidates we are developing or may develop and commercial supplies of products if and when approved for marketing by applicable regulatory authorities. Furthermore, we and our contract manufacturers currently rely upon, and for the foreseeable future expect to continue to rely upon, sole-source suppliers of certain raw materials, plasmids and other specialized components of production used in the manufacture and fill/finish of our product candidates.</w:t>
      </w:r>
    </w:p>
    <w:p>
      <w:pPr>
        <w:spacing w:after="0" w:line="146" w:lineRule="exact"/>
        <w:rPr>
          <w:sz w:val="20"/>
          <w:szCs w:val="20"/>
          <w:color w:val="auto"/>
        </w:rPr>
      </w:pPr>
    </w:p>
    <w:p>
      <w:pPr>
        <w:ind w:right="20" w:firstLine="509"/>
        <w:spacing w:after="0" w:line="282" w:lineRule="auto"/>
        <w:rPr>
          <w:sz w:val="20"/>
          <w:szCs w:val="20"/>
          <w:color w:val="auto"/>
        </w:rPr>
      </w:pPr>
      <w:r>
        <w:rPr>
          <w:rFonts w:ascii="Arial" w:cs="Arial" w:eastAsia="Arial" w:hAnsi="Arial"/>
          <w:sz w:val="13"/>
          <w:szCs w:val="13"/>
          <w:color w:val="auto"/>
        </w:rPr>
        <w:t>We have historically relied on, and purchased on a purchase order basis from, a single third-party manufacturer, Agilent, to provide Zimura drug substance. We do not currently have any contractual commitments for the supply of Zimura drug substance with Agilent and we may not be able to come to agreement with Agilent for scale-up and validation activities and long-term clinical or commercial supply. We have recently engaged a different manufacturer for additional supply of drug substance for Zimura. We have also historically relied on a single third-party manufacturer, Ajinomoto, for Zimura drug product. We have recently engaged a second fill/finish service provider for additional supply of Zimura drug product. We purchase the PEG starting material used to modify the chemically synthesized aptamer in Zimura on a purchase order basis from a single third-party supplier. We are in discussions with this supplier for a long-term supply agreement for the PEG starting material. The prices for manufacturing activities that are not yet contractually committed may vary substantially over time and adversely affect our financial results.</w:t>
      </w:r>
    </w:p>
    <w:p>
      <w:pPr>
        <w:spacing w:after="0" w:line="134" w:lineRule="exact"/>
        <w:rPr>
          <w:sz w:val="20"/>
          <w:szCs w:val="20"/>
          <w:color w:val="auto"/>
        </w:rPr>
      </w:pPr>
    </w:p>
    <w:p>
      <w:pPr>
        <w:ind w:right="100" w:firstLine="509"/>
        <w:spacing w:after="0" w:line="281" w:lineRule="auto"/>
        <w:rPr>
          <w:sz w:val="20"/>
          <w:szCs w:val="20"/>
          <w:color w:val="auto"/>
        </w:rPr>
      </w:pPr>
      <w:r>
        <w:rPr>
          <w:rFonts w:ascii="Arial" w:cs="Arial" w:eastAsia="Arial" w:hAnsi="Arial"/>
          <w:sz w:val="14"/>
          <w:szCs w:val="14"/>
          <w:color w:val="auto"/>
        </w:rPr>
        <w:t>We have engaged a gene therapy CDMO for preclinical and Phase 1/2 clinical supply of IC-100 and IC-200. For IC-500, we have engaged a CDMO to conduct process development, scale-up and cGMP manufacture of the API for preclinical toxicology studies and clinical trials.</w:t>
      </w:r>
    </w:p>
    <w:p>
      <w:pPr>
        <w:spacing w:after="0" w:line="132" w:lineRule="exact"/>
        <w:rPr>
          <w:sz w:val="20"/>
          <w:szCs w:val="20"/>
          <w:color w:val="auto"/>
        </w:rPr>
      </w:pPr>
    </w:p>
    <w:p>
      <w:pPr>
        <w:ind w:right="40" w:firstLine="509"/>
        <w:spacing w:after="0" w:line="331" w:lineRule="auto"/>
        <w:rPr>
          <w:sz w:val="20"/>
          <w:szCs w:val="20"/>
          <w:color w:val="auto"/>
        </w:rPr>
      </w:pPr>
      <w:r>
        <w:rPr>
          <w:rFonts w:ascii="Arial" w:cs="Arial" w:eastAsia="Arial" w:hAnsi="Arial"/>
          <w:sz w:val="12"/>
          <w:szCs w:val="12"/>
          <w:color w:val="auto"/>
        </w:rPr>
        <w:t>Our current and anticipated future dependence upon others for the manufacture of the product candidates that we are developing or may develop may adversely affect our business plan and future growth. For example, any performance failure or differing priorities on the part of our existing or future manufacturers could delay preclinical or clinical development or marketing approval of our product candidates. Our dependence on third party manufacturers may limit our ability to commercialize on a timely and competitive basis any products that receive marketing approval.</w:t>
      </w:r>
    </w:p>
    <w:p>
      <w:pPr>
        <w:spacing w:after="0" w:line="108" w:lineRule="exact"/>
        <w:rPr>
          <w:sz w:val="20"/>
          <w:szCs w:val="20"/>
          <w:color w:val="auto"/>
        </w:rPr>
      </w:pPr>
    </w:p>
    <w:p>
      <w:pPr>
        <w:ind w:firstLine="509"/>
        <w:spacing w:after="0" w:line="284" w:lineRule="auto"/>
        <w:rPr>
          <w:sz w:val="20"/>
          <w:szCs w:val="20"/>
          <w:color w:val="auto"/>
        </w:rPr>
      </w:pPr>
      <w:r>
        <w:rPr>
          <w:rFonts w:ascii="Arial" w:cs="Arial" w:eastAsia="Arial" w:hAnsi="Arial"/>
          <w:sz w:val="13"/>
          <w:szCs w:val="13"/>
          <w:color w:val="auto"/>
        </w:rPr>
        <w:t>As a result of the COVID-19 pandemic, our third-party contract manufacturers and many sole-source suppliers have limited their operations by reducing the number of staff on site and instituting restrictions on visitors. These changes have affected how we work with our manufacturers and may result in delays to the progress of our manufacturing activities or affect their quality. For example, we have not been able to perform person-in-plant (PIP) observations on a number of critical manufacturing activities at our CDMO for IC-100 and IC-200, which may affect the quality of the materials produced during those activities. Additionally, shortages and governmental restrictions arising from the COVID-19 pandemic have disrupted and may continue to disrupt the ability of our contract manufacturers to procure items, such raw materials, that are essential for the manufacture of our product candidates.</w:t>
      </w:r>
    </w:p>
    <w:p>
      <w:pPr>
        <w:spacing w:after="0" w:line="134" w:lineRule="exact"/>
        <w:rPr>
          <w:sz w:val="20"/>
          <w:szCs w:val="20"/>
          <w:color w:val="auto"/>
        </w:rPr>
      </w:pPr>
    </w:p>
    <w:p>
      <w:pPr>
        <w:ind w:right="40" w:firstLine="509"/>
        <w:spacing w:after="0" w:line="258" w:lineRule="auto"/>
        <w:rPr>
          <w:sz w:val="20"/>
          <w:szCs w:val="20"/>
          <w:color w:val="auto"/>
        </w:rPr>
      </w:pPr>
      <w:r>
        <w:rPr>
          <w:rFonts w:ascii="Arial" w:cs="Arial" w:eastAsia="Arial" w:hAnsi="Arial"/>
          <w:sz w:val="14"/>
          <w:szCs w:val="14"/>
          <w:color w:val="auto"/>
        </w:rPr>
        <w:t>Our long-time third-party manufacturer for the API for Zimura and our CDMO for IC-100 and IC-200 are currently undergoing rapid expansion, including ramping up for production for existing clients, bringing on additional clients, opening new facilities, installing and validating new equipment, and hiring and training new personnel. Our third-party manufacturer for Zimura API informed us that as a result of competing demands from other customers, its ability to support our scale up and future manufacturing activities for Zimura is limited. As a result, we have engaged a different supplier that may become our primary or new sole supplier for Zimura API, and the timing, costs, progress, quality and outcome of our planned manufacturing activities for Zimura may be negatively affected. In addition, expansion experienced by other manufacturers and suppliers that we use, including any issues that they may experience while expanding, could negatively impact the timing, costs,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progress, quality and outcome of our planned manufacturing activities with those manufacturers and delay or hinder our development plans.</w:t>
      </w:r>
    </w:p>
    <w:p>
      <w:pPr>
        <w:spacing w:after="0" w:line="179"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If any of our third-party manufacturers, fill/finish providers or sole-source suppliers fail to fulfill our contracts or purchase orders, or if any of these manufacturers or suppliers should become unavailable to us for any reason, including as a result of capacity constraints, differing priorities, regulatory compliance issues, financial difficulties or insolvency, we believe that there are a limited number of potential replacement manufacturers or sole source suppliers, and we likely would incur added costs and delays in identifying or qualifying such replacements. We may be unable to establish agreements with such replacement manufacturers, fill/finish providers or sole-source suppliers or to do so on acceptable terms.</w:t>
      </w:r>
    </w:p>
    <w:p>
      <w:pPr>
        <w:spacing w:after="0" w:line="146" w:lineRule="exact"/>
        <w:rPr>
          <w:sz w:val="20"/>
          <w:szCs w:val="20"/>
          <w:color w:val="auto"/>
        </w:rPr>
      </w:pPr>
    </w:p>
    <w:p>
      <w:pPr>
        <w:ind w:right="100" w:firstLine="509"/>
        <w:spacing w:after="0" w:line="313" w:lineRule="auto"/>
        <w:rPr>
          <w:sz w:val="20"/>
          <w:szCs w:val="20"/>
          <w:color w:val="auto"/>
        </w:rPr>
      </w:pPr>
      <w:r>
        <w:rPr>
          <w:rFonts w:ascii="Arial" w:cs="Arial" w:eastAsia="Arial" w:hAnsi="Arial"/>
          <w:sz w:val="12"/>
          <w:szCs w:val="12"/>
          <w:color w:val="auto"/>
        </w:rPr>
        <w:t>In addition, we and our third party manufacturers source some of the raw and starting materials used in the manufacture of our product candidates from outside the United States. We source the PEG starting material from a supplier outside the United States. Our supplier relationships could be interrupted due to international supply disruptions, including those caused by geopolitical and other issues. For example, trade disputes, trade negotiations or the imposition of tariffs between the United States and its trading partners could cause delays or disruptions in our supply of starting materials for our product candidates. The COVID-19 pandemic and governmental measures in response caused a delay to the API process development activities at our manufacturer for IC-500 as a result of difficulty in procuring one of the critical starting materials used in the manufacture of IC-500 from China and may cause other delays or disruptions to our supply of starting materials.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Reliance on third-party manufacturers entails additional risks, including:</w:t>
      </w:r>
    </w:p>
    <w:p>
      <w:pPr>
        <w:spacing w:after="0" w:line="200" w:lineRule="exact"/>
        <w:rPr>
          <w:sz w:val="20"/>
          <w:szCs w:val="20"/>
          <w:color w:val="auto"/>
        </w:rPr>
      </w:pPr>
    </w:p>
    <w:p>
      <w:pPr>
        <w:ind w:left="760" w:hanging="246"/>
        <w:spacing w:after="0"/>
        <w:tabs>
          <w:tab w:leader="none" w:pos="7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our product candidates may compete with other product candidates and products for access to a limited number of suitable manufacturing facilities that operate under cGMP conditions;</w:t>
      </w:r>
    </w:p>
    <w:p>
      <w:pPr>
        <w:spacing w:after="0" w:line="222" w:lineRule="exact"/>
        <w:rPr>
          <w:rFonts w:ascii="Arial" w:cs="Arial" w:eastAsia="Arial" w:hAnsi="Arial"/>
          <w:sz w:val="12"/>
          <w:szCs w:val="12"/>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reliance on the third party for regulatory compliance, quality assurance and quality control;</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possible breach of the manufacturing agreement by the third party;</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possible misappropriation of our proprietary information, including our trade secrets and know-how; and</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possible termination or nonrenewal of the agreement by the third party at a time that is costly or inconvenient for us.</w:t>
      </w:r>
    </w:p>
    <w:p>
      <w:pPr>
        <w:spacing w:after="0" w:line="179" w:lineRule="exact"/>
        <w:rPr>
          <w:sz w:val="20"/>
          <w:szCs w:val="20"/>
          <w:color w:val="auto"/>
        </w:rPr>
      </w:pPr>
    </w:p>
    <w:p>
      <w:pPr>
        <w:ind w:right="120" w:firstLine="509"/>
        <w:spacing w:after="0" w:line="262" w:lineRule="auto"/>
        <w:rPr>
          <w:sz w:val="20"/>
          <w:szCs w:val="20"/>
          <w:color w:val="auto"/>
        </w:rPr>
      </w:pPr>
      <w:r>
        <w:rPr>
          <w:rFonts w:ascii="Arial" w:cs="Arial" w:eastAsia="Arial" w:hAnsi="Arial"/>
          <w:sz w:val="14"/>
          <w:szCs w:val="14"/>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harm our business and results of operations.</w:t>
      </w:r>
    </w:p>
    <w:p>
      <w:pPr>
        <w:spacing w:after="0" w:line="146" w:lineRule="exact"/>
        <w:rPr>
          <w:sz w:val="20"/>
          <w:szCs w:val="20"/>
          <w:color w:val="auto"/>
        </w:rPr>
      </w:pPr>
    </w:p>
    <w:p>
      <w:pPr>
        <w:ind w:right="200"/>
        <w:spacing w:after="0" w:line="321" w:lineRule="auto"/>
        <w:rPr>
          <w:sz w:val="20"/>
          <w:szCs w:val="20"/>
          <w:color w:val="auto"/>
        </w:rPr>
      </w:pPr>
      <w:r>
        <w:rPr>
          <w:rFonts w:ascii="Arial" w:cs="Arial" w:eastAsia="Arial" w:hAnsi="Arial"/>
          <w:sz w:val="13"/>
          <w:szCs w:val="13"/>
          <w:b w:val="1"/>
          <w:bCs w:val="1"/>
          <w:i w:val="1"/>
          <w:iCs w:val="1"/>
          <w:color w:val="auto"/>
        </w:rPr>
        <w:t>We rely upon third parties in conducting our preclinical development activities and clinical trials, and those third parties may not perform satisfactorily, including failing to meet deadlines for the completion of such activities. The COVID-19 pandemic has affected operations at our academic collaborators and our sponsored research activities.</w:t>
      </w:r>
    </w:p>
    <w:p>
      <w:pPr>
        <w:spacing w:after="0" w:line="109" w:lineRule="exact"/>
        <w:rPr>
          <w:sz w:val="20"/>
          <w:szCs w:val="20"/>
          <w:color w:val="auto"/>
        </w:rPr>
      </w:pPr>
    </w:p>
    <w:p>
      <w:pPr>
        <w:ind w:right="40" w:firstLine="509"/>
        <w:spacing w:after="0" w:line="288" w:lineRule="auto"/>
        <w:rPr>
          <w:sz w:val="20"/>
          <w:szCs w:val="20"/>
          <w:color w:val="auto"/>
        </w:rPr>
      </w:pPr>
      <w:r>
        <w:rPr>
          <w:rFonts w:ascii="Arial" w:cs="Arial" w:eastAsia="Arial" w:hAnsi="Arial"/>
          <w:sz w:val="13"/>
          <w:szCs w:val="13"/>
          <w:color w:val="auto"/>
        </w:rPr>
        <w:t>We are relying upon and expect in the future to rely upon third parties, such as contract research organizations, or CROs, clinical data management organizations, biostatisticians, medical institutions (including reading centers) and clinical investigators, in conducting our preclinical testing and clinical trials for our product candidates. These third parties may also have relationships with other entities, some of which may be our competitors. We or these third parties may terminate their engagements with us at any time for a variety of reasons, including a failure to perform by the third parties. If we need to enter into alternative arrangements, our product development activities could potentially be delayed and could potentially be very costly.</w:t>
      </w:r>
    </w:p>
    <w:p>
      <w:pPr>
        <w:spacing w:after="0" w:line="131"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color w:val="auto"/>
        </w:rPr>
        <w:t xml:space="preserve">We also rely upon our university collaborators to conduct some of our preclinical studies. In particular, Penn has the canine disease model for two of the diseases we are aiming to treat: RHO-adRP and </w:t>
      </w:r>
      <w:r>
        <w:rPr>
          <w:rFonts w:ascii="Arial" w:cs="Arial" w:eastAsia="Arial" w:hAnsi="Arial"/>
          <w:sz w:val="14"/>
          <w:szCs w:val="14"/>
          <w:i w:val="1"/>
          <w:iCs w:val="1"/>
          <w:color w:val="auto"/>
        </w:rPr>
        <w:t>BEST1</w:t>
      </w:r>
      <w:r>
        <w:rPr>
          <w:rFonts w:ascii="Arial" w:cs="Arial" w:eastAsia="Arial" w:hAnsi="Arial"/>
          <w:sz w:val="14"/>
          <w:szCs w:val="14"/>
          <w:color w:val="auto"/>
        </w:rPr>
        <w:t>-related retinal diseases. Our preclinical development plans for both IC-100 and IC-200 include conducting certain preclinical studies using the associated canine disease models. We have experienced some delays in the breeding of the canines for our IND-enabling studies for IC-200. If the canines that we are intending to use are not available to us for any reason, our development of IC-200 could potentially be delayed or otherwise adversely affected.</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firstLine="509"/>
        <w:spacing w:after="0" w:line="278" w:lineRule="auto"/>
        <w:rPr>
          <w:sz w:val="20"/>
          <w:szCs w:val="20"/>
          <w:color w:val="auto"/>
        </w:rPr>
      </w:pPr>
      <w:r>
        <w:rPr>
          <w:rFonts w:ascii="Arial" w:cs="Arial" w:eastAsia="Arial" w:hAnsi="Arial"/>
          <w:sz w:val="13"/>
          <w:szCs w:val="13"/>
          <w:color w:val="auto"/>
        </w:rPr>
        <w:t>The COVID-19 pandemic has caused our university collaborators to limit the number of staff on site and the types of activities that may be conducted in their laboratories. Penn has restricted their researchers from being on site in their laboratories and closed a number of research centers that our researchers use for data analysis, which has limited their ability to analyze some of the data generated during our preclinical studies. As a result, our receipt of data and reports from some of those studies have been delayed. In addition, we may be required to curtail some of the analysis we had originally planned. The University of Florida, or UF, has also limited staff on site in their laboratories and vector production facilities, which has delayed our obtaining certain reagents and other materials used for our gene therapy programs. In addition, UMMS has suspended researcher access to their laboratories and the conduct of certain animal studies, which has delayed our timelines for our miniCEP290 and miniUSH2A sponsored research programs. Shortages and governmental restrictions arising from the COVID-19 pandemic may also disrupt the ability of our academic collaborators, clinical trial sites and other contract research organizations to procure items that are essential for our research and development activities, including, for example, medical and laboratory supplies used in our clinical trials, including personal protective equipment for site staff, or animals that are used for preclinical studies. There is no guarantee that the COVID-19 pandemic will not further impact our supply chain, which could have a material impact on our research and development programs.</w:t>
      </w:r>
    </w:p>
    <w:p>
      <w:pPr>
        <w:spacing w:after="0" w:line="139" w:lineRule="exact"/>
        <w:rPr>
          <w:sz w:val="20"/>
          <w:szCs w:val="20"/>
          <w:color w:val="auto"/>
        </w:rPr>
      </w:pPr>
    </w:p>
    <w:p>
      <w:pPr>
        <w:ind w:right="60" w:firstLine="509"/>
        <w:spacing w:after="0" w:line="284" w:lineRule="auto"/>
        <w:rPr>
          <w:sz w:val="20"/>
          <w:szCs w:val="20"/>
          <w:color w:val="auto"/>
        </w:rPr>
      </w:pPr>
      <w:r>
        <w:rPr>
          <w:rFonts w:ascii="Arial" w:cs="Arial" w:eastAsia="Arial" w:hAnsi="Arial"/>
          <w:sz w:val="13"/>
          <w:szCs w:val="13"/>
          <w:color w:val="auto"/>
        </w:rPr>
        <w:t>Our reliance on these third parties for preclinical testing and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and other regulatory authorities require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various government-sponsored databases within specified timeframes. Failure to do so can result in fines, adverse publicity and civil and criminal sanctions.</w:t>
      </w:r>
    </w:p>
    <w:p>
      <w:pPr>
        <w:spacing w:after="0" w:line="134" w:lineRule="exact"/>
        <w:rPr>
          <w:sz w:val="20"/>
          <w:szCs w:val="20"/>
          <w:color w:val="auto"/>
        </w:rPr>
      </w:pPr>
    </w:p>
    <w:p>
      <w:pPr>
        <w:ind w:firstLine="509"/>
        <w:spacing w:after="0" w:line="279" w:lineRule="auto"/>
        <w:rPr>
          <w:sz w:val="20"/>
          <w:szCs w:val="20"/>
          <w:color w:val="auto"/>
        </w:rPr>
      </w:pPr>
      <w:r>
        <w:rPr>
          <w:rFonts w:ascii="Arial" w:cs="Arial" w:eastAsia="Arial" w:hAnsi="Arial"/>
          <w:sz w:val="13"/>
          <w:szCs w:val="13"/>
          <w:color w:val="auto"/>
        </w:rPr>
        <w:t>Over the past few years, there has been increasing oversight by the FDA and other regulatory authorities on data integrity, especially in the research and development of novel therapies such as gene therapies. We rely upon the practices of and systems in place at our third party collaborators in generating data to support our preclinical and clinical development programs and for quality control over this data. Their practices and systems vary in scope and effectiveness and we have a limited number of personnel to supervise, including to perform quality assurance of, those practices and systems. The COVID-19 pandemic has prevented us from performing audits on our vendors and clinical trial sites that we otherwise would have performed, which decreases the level of oversight we have over those vendors and clinical trial sites and increases the risk of non-compliance. Any failure of such practices or systems to comply with our stated protocols or regulatory requirements could adversely affect the quality of the data generated by these studies. If these third parties do not successfully carry out their contractual duties, meet expected deadlines or conduct our preclinical studies or clinical trials in accordance with regulatory requirements or our stated protocols, we would not be able to obtain, or may be delayed in obtaining, marketing approvals for our product candidates and would not be able to, or may be delayed in our efforts to, successfully commercialize our product candidates.</w:t>
      </w:r>
    </w:p>
    <w:p>
      <w:pPr>
        <w:spacing w:after="0" w:line="138" w:lineRule="exact"/>
        <w:rPr>
          <w:sz w:val="20"/>
          <w:szCs w:val="20"/>
          <w:color w:val="auto"/>
        </w:rPr>
      </w:pPr>
    </w:p>
    <w:p>
      <w:pPr>
        <w:ind w:right="60" w:firstLine="509"/>
        <w:spacing w:after="0" w:line="297" w:lineRule="auto"/>
        <w:rPr>
          <w:sz w:val="20"/>
          <w:szCs w:val="20"/>
          <w:color w:val="auto"/>
        </w:rPr>
      </w:pPr>
      <w:r>
        <w:rPr>
          <w:rFonts w:ascii="Arial" w:cs="Arial" w:eastAsia="Arial" w:hAnsi="Arial"/>
          <w:sz w:val="13"/>
          <w:szCs w:val="13"/>
          <w:color w:val="auto"/>
        </w:rPr>
        <w:t>We also rely upon other third parties to store, package, label and distribute drug supplies for our clinical trials and to store materials for our development activities. In particular, we rely on a limited number of third parties to store starting materials, drug substance and drug product for our product candidates and programs. Any performance failure on the part of these third parties could delay preclinical development, clinical development or marketing approval of our product candidates or commercialization of our products and adversely affect our results of operations.</w:t>
      </w:r>
    </w:p>
    <w:p>
      <w:pPr>
        <w:spacing w:after="0" w:line="124" w:lineRule="exact"/>
        <w:rPr>
          <w:sz w:val="20"/>
          <w:szCs w:val="20"/>
          <w:color w:val="auto"/>
        </w:rPr>
      </w:pPr>
    </w:p>
    <w:p>
      <w:pPr>
        <w:ind w:right="280"/>
        <w:spacing w:after="0" w:line="281" w:lineRule="auto"/>
        <w:rPr>
          <w:sz w:val="20"/>
          <w:szCs w:val="20"/>
          <w:color w:val="auto"/>
        </w:rPr>
      </w:pPr>
      <w:r>
        <w:rPr>
          <w:rFonts w:ascii="Arial" w:cs="Arial" w:eastAsia="Arial" w:hAnsi="Arial"/>
          <w:sz w:val="14"/>
          <w:szCs w:val="14"/>
          <w:b w:val="1"/>
          <w:bCs w:val="1"/>
          <w:i w:val="1"/>
          <w:iCs w:val="1"/>
          <w:color w:val="auto"/>
        </w:rPr>
        <w:t>We rely upon third-party researchers to advance our sponsored research programs. These arrangements may not ultimately yield any promising product candidates for preclinical or clinical development. We may not be able to fully realize the benefits of any intellectual property generated by these arrangements.</w:t>
      </w:r>
    </w:p>
    <w:p>
      <w:pPr>
        <w:spacing w:after="0" w:line="132" w:lineRule="exact"/>
        <w:rPr>
          <w:sz w:val="20"/>
          <w:szCs w:val="20"/>
          <w:color w:val="auto"/>
        </w:rPr>
      </w:pPr>
    </w:p>
    <w:p>
      <w:pPr>
        <w:ind w:right="40" w:firstLine="509"/>
        <w:spacing w:after="0" w:line="307" w:lineRule="auto"/>
        <w:rPr>
          <w:sz w:val="20"/>
          <w:szCs w:val="20"/>
          <w:color w:val="auto"/>
        </w:rPr>
      </w:pPr>
      <w:r>
        <w:rPr>
          <w:rFonts w:ascii="Arial" w:cs="Arial" w:eastAsia="Arial" w:hAnsi="Arial"/>
          <w:sz w:val="12"/>
          <w:szCs w:val="12"/>
          <w:color w:val="auto"/>
        </w:rPr>
        <w:t>Part of our strategy involves collaborative sponsored research to be performed by third-party research institutions. Although we seek to direct this research and advise on the design of these projects as well as critical development decisions, this research is being performed by individuals who are not our employees and the timeline and quality of the research efforts are outside of our direct control. Academic investigators and other researchers may have different priorities than we do as a biopharmaceutical drug development company. The sponsored research agreements we enter into for these programs generally provide that any inventions resulting from the research will be owned by the research institution performing the research, and that we have an option to negotiate for a license to develop and exploit any such inventions. Confidential information and new inventions derived from these research efforts may be disclosed through publications or other means prior to our third-party research collaborators being able to protect such intellectual property through the filing of patent applications. Our third-party research collaborators may not be able to obtain or maintain full ownership of inventions that are derived from the research or associated rights, which may limit their ability to provide us with a license to all relevant intellectual property on terms and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420"/>
        <w:spacing w:after="0" w:line="281" w:lineRule="auto"/>
        <w:rPr>
          <w:sz w:val="20"/>
          <w:szCs w:val="20"/>
          <w:color w:val="auto"/>
        </w:rPr>
      </w:pPr>
      <w:r>
        <w:rPr>
          <w:rFonts w:ascii="Arial" w:cs="Arial" w:eastAsia="Arial" w:hAnsi="Arial"/>
          <w:sz w:val="14"/>
          <w:szCs w:val="14"/>
          <w:color w:val="auto"/>
        </w:rPr>
        <w:t>conditions that are acceptable to us. Even if our collaborative research efforts yield promising results or new technological advances, they may not ultimately result in our being able to protect, develop or exploit the resulting intellectual property.</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not able to establish collaborations to advance our development programs, we may have to alter our development and commercialization plans.</w:t>
      </w:r>
    </w:p>
    <w:p>
      <w:pPr>
        <w:spacing w:after="0" w:line="179"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The development and potential commercialization of our product candidates is likely to require substantial additional cash to fund expenses. In addition, the development or commercialization of a product candidate in markets outside of the United States requires regulatory expertise and commercial capabilities that are specific to the local market. A number of countries require sponsors to perform a clinical trial in the local jurisdiction or with patients similar to the demographics of the local population as a condition to approving the drug. For some of our product candidates, we may seek to collaborate with pharmaceutical and biotechnology companies for the development and potential commercialization of those product candidates. In particular, we continue to explore potential collaboration opportunities for the further development and potential commercialization of Zimura.</w:t>
      </w:r>
    </w:p>
    <w:p>
      <w:pPr>
        <w:spacing w:after="0" w:line="146" w:lineRule="exact"/>
        <w:rPr>
          <w:sz w:val="20"/>
          <w:szCs w:val="20"/>
          <w:color w:val="auto"/>
        </w:rPr>
      </w:pPr>
    </w:p>
    <w:p>
      <w:pPr>
        <w:ind w:firstLine="509"/>
        <w:spacing w:after="0" w:line="277" w:lineRule="auto"/>
        <w:rPr>
          <w:sz w:val="20"/>
          <w:szCs w:val="20"/>
          <w:color w:val="auto"/>
        </w:rPr>
      </w:pPr>
      <w:r>
        <w:rPr>
          <w:rFonts w:ascii="Arial" w:cs="Arial" w:eastAsia="Arial" w:hAnsi="Arial"/>
          <w:sz w:val="13"/>
          <w:szCs w:val="13"/>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and other data we have generated for the product candidate,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For our gene therapy programs, we are party to in-license agreements that limit who we can collaborate with or require the approval of our licensor for us to enter into a collaboration, and any future license agreements that we may enter into may have similar restrictions. Collaborations are complex and time-consuming to negotiate and document. In addition, there have been a significant number of business combinations among pharmaceutical and biotechnology companies over the past few years that have resulted in a reduced number of potential future collaborators and this trend is likely to continue.</w:t>
      </w:r>
    </w:p>
    <w:p>
      <w:pPr>
        <w:spacing w:after="0" w:line="142" w:lineRule="exact"/>
        <w:rPr>
          <w:sz w:val="20"/>
          <w:szCs w:val="20"/>
          <w:color w:val="auto"/>
        </w:rPr>
      </w:pPr>
    </w:p>
    <w:p>
      <w:pPr>
        <w:ind w:right="20" w:firstLine="509"/>
        <w:spacing w:after="0" w:line="313" w:lineRule="auto"/>
        <w:rPr>
          <w:sz w:val="20"/>
          <w:szCs w:val="20"/>
          <w:color w:val="auto"/>
        </w:rPr>
      </w:pPr>
      <w:r>
        <w:rPr>
          <w:rFonts w:ascii="Arial" w:cs="Arial" w:eastAsia="Arial" w:hAnsi="Arial"/>
          <w:sz w:val="12"/>
          <w:szCs w:val="12"/>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those product candidates or bring them to market and generate product revenue.</w:t>
      </w:r>
    </w:p>
    <w:p>
      <w:pPr>
        <w:spacing w:after="0" w:line="119" w:lineRule="exact"/>
        <w:rPr>
          <w:sz w:val="20"/>
          <w:szCs w:val="20"/>
          <w:color w:val="auto"/>
        </w:rPr>
      </w:pPr>
    </w:p>
    <w:p>
      <w:pPr>
        <w:ind w:right="660"/>
        <w:spacing w:after="0" w:line="281" w:lineRule="auto"/>
        <w:rPr>
          <w:sz w:val="20"/>
          <w:szCs w:val="20"/>
          <w:color w:val="auto"/>
        </w:rPr>
      </w:pPr>
      <w:r>
        <w:rPr>
          <w:rFonts w:ascii="Arial" w:cs="Arial" w:eastAsia="Arial" w:hAnsi="Arial"/>
          <w:sz w:val="14"/>
          <w:szCs w:val="14"/>
          <w:b w:val="1"/>
          <w:bCs w:val="1"/>
          <w:i w:val="1"/>
          <w:iCs w:val="1"/>
          <w:color w:val="auto"/>
        </w:rPr>
        <w:t>If we enter into collaborations with third parties for the development or commercialization of our product candidates, any such collaborations will carry numerous risks. If any of our collaborations are not successful, we may not be able to capitalize on the market potential of these product candidates.</w:t>
      </w:r>
    </w:p>
    <w:p>
      <w:pPr>
        <w:spacing w:after="0" w:line="132" w:lineRule="exact"/>
        <w:rPr>
          <w:sz w:val="20"/>
          <w:szCs w:val="20"/>
          <w:color w:val="auto"/>
        </w:rPr>
      </w:pPr>
    </w:p>
    <w:p>
      <w:pPr>
        <w:ind w:right="120" w:firstLine="509"/>
        <w:spacing w:after="0" w:line="282" w:lineRule="auto"/>
        <w:rPr>
          <w:sz w:val="20"/>
          <w:szCs w:val="20"/>
          <w:color w:val="auto"/>
        </w:rPr>
      </w:pPr>
      <w:r>
        <w:rPr>
          <w:rFonts w:ascii="Arial" w:cs="Arial" w:eastAsia="Arial" w:hAnsi="Arial"/>
          <w:sz w:val="13"/>
          <w:szCs w:val="13"/>
          <w:color w:val="auto"/>
        </w:rPr>
        <w:t>We may utilize a variety of types of collaboration, distribution and other marketing arrangements with third parties to develop or commercialize our product candidates, either in the United States, or in markets outside the United States. We also may seek third-party collaborators for development and commercialization of other product candidates we may develop. Our likely collaborators for any sales, marketing, distribution, development, licensing or broader collaboration arrangements include large and mid-size pharmaceutical companies, regional and national pharmaceutical companies and biotechnology companies. If we do enter into any additional arrangements with third parties in the future, we would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Collaborations involving our product candidates could pose numerous risks to us, including the following:</w:t>
      </w:r>
    </w:p>
    <w:p>
      <w:pPr>
        <w:spacing w:after="0" w:line="200" w:lineRule="exact"/>
        <w:rPr>
          <w:sz w:val="20"/>
          <w:szCs w:val="20"/>
          <w:color w:val="auto"/>
        </w:rPr>
      </w:pPr>
    </w:p>
    <w:p>
      <w:pPr>
        <w:ind w:left="760" w:right="40" w:hanging="246"/>
        <w:spacing w:after="0" w:line="281" w:lineRule="auto"/>
        <w:tabs>
          <w:tab w:leader="none" w:pos="756"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collaborators, including marketing and distribution collaborators, have significant discretion in determining the efforts and resources that they will apply to these collaborations and may not perform their obligations as expected;</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 w:right="120" w:hanging="246"/>
        <w:spacing w:after="0" w:line="267" w:lineRule="auto"/>
        <w:tabs>
          <w:tab w:leader="none" w:pos="756"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changes in product candidate priorities or available funding or changes in priorities as a result of a merger, acquisition or other corporate restructuring or transaction;</w:t>
      </w:r>
    </w:p>
    <w:p>
      <w:pPr>
        <w:spacing w:after="0" w:line="162"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53" w:lineRule="exact"/>
        <w:rPr>
          <w:rFonts w:ascii="Arial" w:cs="Arial" w:eastAsia="Arial" w:hAnsi="Arial"/>
          <w:sz w:val="14"/>
          <w:szCs w:val="14"/>
          <w:color w:val="auto"/>
        </w:rPr>
      </w:pPr>
    </w:p>
    <w:p>
      <w:pPr>
        <w:ind w:left="760" w:right="60" w:hanging="246"/>
        <w:spacing w:after="0" w:line="321" w:lineRule="auto"/>
        <w:tabs>
          <w:tab w:leader="none" w:pos="756" w:val="left"/>
        </w:tabs>
        <w:numPr>
          <w:ilvl w:val="0"/>
          <w:numId w:val="52"/>
        </w:numPr>
        <w:rPr>
          <w:rFonts w:ascii="Arial" w:cs="Arial" w:eastAsia="Arial" w:hAnsi="Arial"/>
          <w:sz w:val="13"/>
          <w:szCs w:val="13"/>
          <w:color w:val="auto"/>
        </w:rPr>
      </w:pPr>
      <w:r>
        <w:rPr>
          <w:rFonts w:ascii="Arial" w:cs="Arial" w:eastAsia="Arial" w:hAnsi="Arial"/>
          <w:sz w:val="13"/>
          <w:szCs w:val="13"/>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30" w:lineRule="exact"/>
        <w:rPr>
          <w:rFonts w:ascii="Arial" w:cs="Arial" w:eastAsia="Arial" w:hAnsi="Arial"/>
          <w:sz w:val="13"/>
          <w:szCs w:val="13"/>
          <w:color w:val="auto"/>
        </w:rPr>
      </w:pPr>
    </w:p>
    <w:p>
      <w:pPr>
        <w:ind w:left="760" w:hanging="246"/>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we could grant exclusive rights to our collaborators, which would prevent us from collaborating with others;</w:t>
      </w:r>
    </w:p>
    <w:p>
      <w:pPr>
        <w:spacing w:after="0" w:line="199" w:lineRule="exact"/>
        <w:rPr>
          <w:rFonts w:ascii="Arial" w:cs="Arial" w:eastAsia="Arial" w:hAnsi="Arial"/>
          <w:sz w:val="14"/>
          <w:szCs w:val="14"/>
          <w:color w:val="auto"/>
        </w:rPr>
      </w:pPr>
    </w:p>
    <w:p>
      <w:pPr>
        <w:ind w:left="760" w:right="260" w:hanging="246"/>
        <w:spacing w:after="0" w:line="297" w:lineRule="auto"/>
        <w:tabs>
          <w:tab w:leader="none" w:pos="756" w:val="left"/>
        </w:tabs>
        <w:numPr>
          <w:ilvl w:val="0"/>
          <w:numId w:val="52"/>
        </w:numPr>
        <w:rPr>
          <w:rFonts w:ascii="Arial" w:cs="Arial" w:eastAsia="Arial" w:hAnsi="Arial"/>
          <w:sz w:val="13"/>
          <w:szCs w:val="13"/>
          <w:color w:val="auto"/>
        </w:rPr>
      </w:pPr>
      <w:r>
        <w:rPr>
          <w:rFonts w:ascii="Arial" w:cs="Arial" w:eastAsia="Arial" w:hAnsi="Arial"/>
          <w:sz w:val="13"/>
          <w:szCs w:val="13"/>
          <w:color w:val="auto"/>
        </w:rPr>
        <w:t>disagreements or disputes with collaborators, including disagreements or disputes over proprietary rights, contract interpretation or the preferred course of development, might cause delays or termination of the research, development or commercialization of products or product candidates, might lead to additional responsibilities for us with respect to product candidates or might result in litigation or arbitration, any of which would divert management attention and resources, be time-consuming and be expensive;</w:t>
      </w:r>
    </w:p>
    <w:p>
      <w:pPr>
        <w:spacing w:after="0" w:line="145" w:lineRule="exact"/>
        <w:rPr>
          <w:rFonts w:ascii="Arial" w:cs="Arial" w:eastAsia="Arial" w:hAnsi="Arial"/>
          <w:sz w:val="13"/>
          <w:szCs w:val="13"/>
          <w:color w:val="auto"/>
        </w:rPr>
      </w:pPr>
    </w:p>
    <w:p>
      <w:pPr>
        <w:ind w:left="760" w:hanging="246"/>
        <w:spacing w:after="0"/>
        <w:tabs>
          <w:tab w:leader="none" w:pos="7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collaborators with marketing and distribution rights to one or more of our products may not commit sufficient resources to the marketing and distribution of such product or products;</w:t>
      </w:r>
    </w:p>
    <w:p>
      <w:pPr>
        <w:spacing w:after="0" w:line="211" w:lineRule="exact"/>
        <w:rPr>
          <w:rFonts w:ascii="Arial" w:cs="Arial" w:eastAsia="Arial" w:hAnsi="Arial"/>
          <w:sz w:val="13"/>
          <w:szCs w:val="13"/>
          <w:color w:val="auto"/>
        </w:rPr>
      </w:pPr>
    </w:p>
    <w:p>
      <w:pPr>
        <w:ind w:left="760" w:right="100" w:hanging="246"/>
        <w:spacing w:after="0" w:line="267" w:lineRule="auto"/>
        <w:tabs>
          <w:tab w:leader="none" w:pos="756"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collaborators may not properly maintain or defend our intellectual property rights, may infringe the intellectual property rights of third parties, may misappropriate our trade secrets or may use our proprietary information in such a way as to invite litigation that could jeopardize or invalidate our intellectual property or proprietary information or expose us to litigation and potential liability;</w:t>
      </w:r>
    </w:p>
    <w:p>
      <w:pPr>
        <w:spacing w:after="0" w:line="162" w:lineRule="exact"/>
        <w:rPr>
          <w:rFonts w:ascii="Arial" w:cs="Arial" w:eastAsia="Arial" w:hAnsi="Arial"/>
          <w:sz w:val="14"/>
          <w:szCs w:val="14"/>
          <w:color w:val="auto"/>
        </w:rPr>
      </w:pPr>
    </w:p>
    <w:p>
      <w:pPr>
        <w:ind w:left="760" w:hanging="246"/>
        <w:spacing w:after="0" w:line="321" w:lineRule="auto"/>
        <w:tabs>
          <w:tab w:leader="none" w:pos="756" w:val="left"/>
        </w:tabs>
        <w:numPr>
          <w:ilvl w:val="0"/>
          <w:numId w:val="52"/>
        </w:numPr>
        <w:rPr>
          <w:rFonts w:ascii="Arial" w:cs="Arial" w:eastAsia="Arial" w:hAnsi="Arial"/>
          <w:sz w:val="13"/>
          <w:szCs w:val="13"/>
          <w:color w:val="auto"/>
        </w:rPr>
      </w:pPr>
      <w:r>
        <w:rPr>
          <w:rFonts w:ascii="Arial" w:cs="Arial" w:eastAsia="Arial" w:hAnsi="Arial"/>
          <w:sz w:val="13"/>
          <w:szCs w:val="13"/>
          <w:color w:val="auto"/>
        </w:rPr>
        <w:t>laws or practices in certain foreign jurisdictions may require that as a condition of working with a collaborator in such jurisdiction, we agree to certain foreign ownership restrictions, use certain local services or providers, share or license certain of our proprietary information or technology or other conditions that are not attractive to us; and</w:t>
      </w:r>
    </w:p>
    <w:p>
      <w:pPr>
        <w:spacing w:after="0" w:line="130" w:lineRule="exact"/>
        <w:rPr>
          <w:rFonts w:ascii="Arial" w:cs="Arial" w:eastAsia="Arial" w:hAnsi="Arial"/>
          <w:sz w:val="13"/>
          <w:szCs w:val="13"/>
          <w:color w:val="auto"/>
        </w:rPr>
      </w:pPr>
    </w:p>
    <w:p>
      <w:pPr>
        <w:ind w:left="760" w:right="20" w:hanging="246"/>
        <w:spacing w:after="0" w:line="281" w:lineRule="auto"/>
        <w:tabs>
          <w:tab w:leader="none" w:pos="756"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collaborations may be terminated for the convenience of the collaborator, our breach of the terms of the collaboration or other reasons and, if terminated, we may need to raise additional capital to pursue further development or commercialization of the applicable product candidates.</w:t>
      </w:r>
    </w:p>
    <w:p>
      <w:pPr>
        <w:spacing w:after="0" w:line="132" w:lineRule="exact"/>
        <w:rPr>
          <w:sz w:val="20"/>
          <w:szCs w:val="20"/>
          <w:color w:val="auto"/>
        </w:rPr>
      </w:pPr>
    </w:p>
    <w:p>
      <w:pPr>
        <w:ind w:right="80" w:firstLine="509"/>
        <w:spacing w:after="0" w:line="267" w:lineRule="auto"/>
        <w:rPr>
          <w:sz w:val="20"/>
          <w:szCs w:val="20"/>
          <w:color w:val="auto"/>
        </w:rPr>
      </w:pPr>
      <w:r>
        <w:rPr>
          <w:rFonts w:ascii="Arial" w:cs="Arial" w:eastAsia="Arial" w:hAnsi="Arial"/>
          <w:sz w:val="14"/>
          <w:szCs w:val="14"/>
          <w:color w:val="auto"/>
        </w:rPr>
        <w:t>If a collaborator of ours were to be involved in a business combination or other transaction, the foregoing risks would be heightened, and the business combination or transaction may divert attention or resources or create competing priorities. The collaborator may delay or terminate our product development or commercialization program. If one of our collaborators terminates its agreement with us, we could find it more difficult to attract new collaborators and the perception of our company could be adversely affected.</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Collaboration agreements may not lead to development or commercialization of product candidates in the most efficient manner or at all.</w:t>
      </w:r>
    </w:p>
    <w:p>
      <w:pPr>
        <w:spacing w:after="0" w:line="179" w:lineRule="exact"/>
        <w:rPr>
          <w:sz w:val="20"/>
          <w:szCs w:val="20"/>
          <w:color w:val="auto"/>
        </w:rPr>
      </w:pPr>
    </w:p>
    <w:p>
      <w:pPr>
        <w:ind w:right="40"/>
        <w:spacing w:after="0" w:line="288" w:lineRule="auto"/>
        <w:rPr>
          <w:sz w:val="20"/>
          <w:szCs w:val="20"/>
          <w:color w:val="auto"/>
        </w:rPr>
      </w:pPr>
      <w:r>
        <w:rPr>
          <w:rFonts w:ascii="Arial" w:cs="Arial" w:eastAsia="Arial" w:hAnsi="Arial"/>
          <w:sz w:val="13"/>
          <w:szCs w:val="13"/>
          <w:b w:val="1"/>
          <w:bCs w:val="1"/>
          <w:i w:val="1"/>
          <w:iCs w:val="1"/>
          <w:color w:val="auto"/>
        </w:rPr>
        <w:t>We depend on licenses and sublicenses for development and commercialization rights to Zimura, IC-100, IC-200 and our miniCEP290 program. These license arrangements, as well as the Inception 4 Merger Agreement, impose diligence obligations on us. We may enter into similar arrangements with respect to future product candidates or technologies. Termination of licenses or the failure by us or our licensees, including our potential future commercialization or collaboration partners, to comply with obligations under these or other agreements could materially harm our business and prevent us from developing or commercializing our products and product candidates.</w:t>
      </w:r>
    </w:p>
    <w:p>
      <w:pPr>
        <w:spacing w:after="0" w:line="131" w:lineRule="exact"/>
        <w:rPr>
          <w:sz w:val="20"/>
          <w:szCs w:val="20"/>
          <w:color w:val="auto"/>
        </w:rPr>
      </w:pPr>
    </w:p>
    <w:p>
      <w:pPr>
        <w:ind w:right="320" w:firstLine="509"/>
        <w:spacing w:after="0" w:line="267" w:lineRule="auto"/>
        <w:rPr>
          <w:sz w:val="20"/>
          <w:szCs w:val="20"/>
          <w:color w:val="auto"/>
        </w:rPr>
      </w:pPr>
      <w:r>
        <w:rPr>
          <w:rFonts w:ascii="Arial" w:cs="Arial" w:eastAsia="Arial" w:hAnsi="Arial"/>
          <w:sz w:val="14"/>
          <w:szCs w:val="14"/>
          <w:color w:val="auto"/>
        </w:rPr>
        <w:t>We are party to a license agreement with Archemix on which we depend for rights to Zimura. We are party to two different license agreements, each with UFRF and Penn, on which we depend for rights to IC-100 and IC-200. We are also party to a license agreement with UMMS for our miniCEP290 program. These agreements generally impose diligence, development and commercialization timelines, milestone payment, royalty, insurance and other obligations on us. Generally,</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the diligence obligations contained in these agreements require us to use commercially reasonable efforts to develop, seek regulatory approval for and commercialize the applicable product candidate in the United States and certain territories outside of the United States, including the European Union, Japan and such other markets where it would be commercially reasonable to do so. Under the license agreements for our product candidates, we would not be able to avoid our payment obligations even if we believed a licensed patent right was invalid or unenforceable because the license agreements provide that our licenses to all licensed patent rights would terminate if we challenge the validity or enforceability of any licensed patent right. The Inception 4 Merger Agreement, pursuant to which we acquired our HtrA1 inhibitor program, also imposes specified diligence and milestone payment obligations on us. We may enter into acquisition or licensing agreements in the future that would impose similar obligations on us.</w:t>
      </w:r>
    </w:p>
    <w:p>
      <w:pPr>
        <w:spacing w:after="0" w:line="150" w:lineRule="exact"/>
        <w:rPr>
          <w:sz w:val="20"/>
          <w:szCs w:val="20"/>
          <w:color w:val="auto"/>
        </w:rPr>
      </w:pPr>
    </w:p>
    <w:p>
      <w:pPr>
        <w:ind w:firstLine="509"/>
        <w:spacing w:after="0" w:line="278" w:lineRule="auto"/>
        <w:rPr>
          <w:sz w:val="20"/>
          <w:szCs w:val="20"/>
          <w:color w:val="auto"/>
        </w:rPr>
      </w:pPr>
      <w:r>
        <w:rPr>
          <w:rFonts w:ascii="Arial" w:cs="Arial" w:eastAsia="Arial" w:hAnsi="Arial"/>
          <w:sz w:val="13"/>
          <w:szCs w:val="13"/>
          <w:color w:val="auto"/>
        </w:rPr>
        <w:t>If we fail to comply with our obligations under current or future acquisition and licensing agreements, or otherwise breach an acquisition or licensing agreement as a result of our own actions or inaction or the actions or inactions of our commercialization or collaboration partners, our counterparties may have the right to terminate these agreements, in which event we might not have the rights or the financial resources to develop, manufacture or market any product that is covered by these agreements. Our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restated agreements with less favorable terms, seek alternative sources of financing or cause us to lose our rights under these agreements, including our rights to Zimura, IC-100, IC-200, our miniCEP290 program, and other important intellectual property or technology. Any of the foregoing could prevent us from commercializing our product candidates, which could have a material adverse effect on our operating results and overall financial condition. In the case of our limited diligence obligation under the Inception 4 Merger Agreement, a potential breach of our obligation to use commercially reasonable efforts to develop an HtrA1 inhibitor could lead to a lawsuit with the former equityholders of Inception 4 and result in potential liability to us of up to $5.0 million.</w:t>
      </w:r>
    </w:p>
    <w:p>
      <w:pPr>
        <w:spacing w:after="0" w:line="139" w:lineRule="exact"/>
        <w:rPr>
          <w:sz w:val="20"/>
          <w:szCs w:val="20"/>
          <w:color w:val="auto"/>
        </w:rPr>
      </w:pPr>
    </w:p>
    <w:p>
      <w:pPr>
        <w:ind w:right="40" w:firstLine="509"/>
        <w:spacing w:after="0" w:line="257" w:lineRule="auto"/>
        <w:rPr>
          <w:sz w:val="20"/>
          <w:szCs w:val="20"/>
          <w:color w:val="auto"/>
        </w:rPr>
      </w:pPr>
      <w:r>
        <w:rPr>
          <w:rFonts w:ascii="Arial" w:cs="Arial" w:eastAsia="Arial" w:hAnsi="Arial"/>
          <w:sz w:val="14"/>
          <w:szCs w:val="14"/>
          <w:color w:val="auto"/>
        </w:rPr>
        <w:t>In addition to the above risks, certain of our intellectual property rights are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their upstream licensors fail to comply with their obligations under the agreements pursuant to which they obtain the rights that are sublicensed to us, or should such agreements be terminated or amended, our ability to develop and commercialize the relevant product candidates may be materially harmed. While the applicable agreements may contain contractual provisions that would in many instances protect our rights as a sublicensee in these circumstances, these provisions may not be enforceable and may not protect our rights in all instances. Further, we do not have the right to control the prosecution, maintenance and enforcement of all of our licensed and sublicensed intellectual property, and even when we do have such rights, we may require the cooperation of our licensors and their upstream licensors, which may not be forthcoming. Our business could be materially adversely affected if we are unable to prosecute, maintain and enforce our licensed and sublicensed intellectual property effectively.</w:t>
      </w:r>
    </w:p>
    <w:p>
      <w:pPr>
        <w:spacing w:after="0" w:line="149" w:lineRule="exact"/>
        <w:rPr>
          <w:sz w:val="20"/>
          <w:szCs w:val="20"/>
          <w:color w:val="auto"/>
        </w:rPr>
      </w:pPr>
    </w:p>
    <w:p>
      <w:pPr>
        <w:ind w:right="60" w:firstLine="509"/>
        <w:spacing w:after="0" w:line="282" w:lineRule="auto"/>
        <w:rPr>
          <w:sz w:val="20"/>
          <w:szCs w:val="20"/>
          <w:color w:val="auto"/>
        </w:rPr>
      </w:pPr>
      <w:r>
        <w:rPr>
          <w:rFonts w:ascii="Arial" w:cs="Arial" w:eastAsia="Arial" w:hAnsi="Arial"/>
          <w:sz w:val="13"/>
          <w:szCs w:val="13"/>
          <w:color w:val="auto"/>
        </w:rPr>
        <w:t>Moreover, the license agreements for IC-100, IC-200 and our miniCEP290 program reserve for the licensing academic institutions the right to continue to practice for research purposes, the inventions covered by the intellectual property rights that we have in-licensed. These licensing institutions or their collaborators may generate scientific, preclinical or clinical data with respect to our product candidates, separate from our research and development efforts, that is inconsistent with other data for such product candidates, including additional preclinical and clinical data that we develop. Investigators at these institutions may publish, present, or otherwise publicly disclose this data, which may have an adverse impact on the prospects of the development of our product candidates and may harm our business. In addition, these institutions may use these data to support new patent applications which could result in the issuance of patents that may limit our freedom to operate without our obtaining additional licenses to these newly developed inventions.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Intellectual Property</w:t>
      </w:r>
    </w:p>
    <w:p>
      <w:pPr>
        <w:spacing w:after="0" w:line="183" w:lineRule="exact"/>
        <w:rPr>
          <w:sz w:val="20"/>
          <w:szCs w:val="20"/>
          <w:color w:val="auto"/>
        </w:rPr>
      </w:pPr>
    </w:p>
    <w:p>
      <w:pPr>
        <w:ind w:right="220"/>
        <w:spacing w:after="0" w:line="368" w:lineRule="auto"/>
        <w:rPr>
          <w:sz w:val="20"/>
          <w:szCs w:val="20"/>
          <w:color w:val="auto"/>
        </w:rPr>
      </w:pPr>
      <w:r>
        <w:rPr>
          <w:rFonts w:ascii="Arial" w:cs="Arial" w:eastAsia="Arial" w:hAnsi="Arial"/>
          <w:sz w:val="12"/>
          <w:szCs w:val="12"/>
          <w:b w:val="1"/>
          <w:bCs w:val="1"/>
          <w:i w:val="1"/>
          <w:iCs w:val="1"/>
          <w:color w:val="auto"/>
        </w:rPr>
        <w:t>If we are unable to obtain and maintain or do not maintain patent protection for our technology and products, or if the scope of the patent protection is not sufficiently broad, our competitors could develop and commercialize technology and products similar or identical to ours, and our ability to successfully commercialize our technology and products may be adversely affected.</w:t>
      </w:r>
    </w:p>
    <w:p>
      <w:pPr>
        <w:spacing w:after="0" w:line="86" w:lineRule="exact"/>
        <w:rPr>
          <w:sz w:val="20"/>
          <w:szCs w:val="20"/>
          <w:color w:val="auto"/>
        </w:rPr>
      </w:pPr>
    </w:p>
    <w:p>
      <w:pPr>
        <w:ind w:right="180" w:firstLine="509"/>
        <w:spacing w:after="0" w:line="267" w:lineRule="auto"/>
        <w:rPr>
          <w:sz w:val="20"/>
          <w:szCs w:val="20"/>
          <w:color w:val="auto"/>
        </w:rPr>
      </w:pPr>
      <w:r>
        <w:rPr>
          <w:rFonts w:ascii="Arial" w:cs="Arial" w:eastAsia="Arial" w:hAnsi="Arial"/>
          <w:sz w:val="14"/>
          <w:szCs w:val="14"/>
          <w:color w:val="auto"/>
        </w:rPr>
        <w:t>We currently rely and expect to continue to rely on patent rights to protect our competitive position. Once our patents expire, we may not be able to exclude competitors from commercializing products similar or identical to ours. The U.S. patent rights covering Zimura as a composition of matter are expected to expire in 2025. The U.S. patent rights covering methods of treating certain complement protein mediated disorders with Zimura are expected to expire in 2026. The European patent rights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jc w:val="both"/>
        <w:ind w:right="40"/>
        <w:spacing w:after="0" w:line="284" w:lineRule="auto"/>
        <w:rPr>
          <w:sz w:val="20"/>
          <w:szCs w:val="20"/>
          <w:color w:val="auto"/>
        </w:rPr>
      </w:pPr>
      <w:r>
        <w:rPr>
          <w:rFonts w:ascii="Arial" w:cs="Arial" w:eastAsia="Arial" w:hAnsi="Arial"/>
          <w:sz w:val="13"/>
          <w:szCs w:val="13"/>
          <w:color w:val="auto"/>
        </w:rPr>
        <w:t>covering the composition of matter of Zimura and methods of treating certain complement protein mediated disorders with Zimura are expected to expire in 2025. We expect the clinical development of Zimura to continue for at least the next several years. If so, the patents covering Zimura may expire before the date by which we or a potential commercial partner would be able to commercialize Zimura in the United States or Europe if we seek and obtain marketing approval. Even if we are able to obtain marketing approval for and commercially launch Zimura prior to the expiration of these patents, the remaining term of those patents may be shorter than we anticipate. Although the patent rights under existing patent applications for IC-100, IC-200, IC-500 and our miniCEP290 program are not expected to expire until 2037 or after, we face the same risk with those product candidates and programs and any future product candidates that we may develop.</w:t>
      </w:r>
    </w:p>
    <w:p>
      <w:pPr>
        <w:spacing w:after="0" w:line="134"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For our sponsored research agreements with UMMS and Penn, we are generally relying on our university collaborators to generate research and data to support new patent applications. The results of any sponsored research are uncertain and the interests of the universities and university researchers are not necessarily aligned with our interests as a commercial entity. The research may generate limited patentable results or data, or none at all. Furthermore, the universities generally control the filing, prosecution and maintenance of any patents or patent applications resulting from the sponsored research. Therefore, we may not be able to obtain any patent or other exclusivity protections as a result of our collaborative gene therapy sponsored research programs, which could materially diminish or eliminate the value of these programs.</w:t>
      </w:r>
    </w:p>
    <w:p>
      <w:pPr>
        <w:spacing w:after="0" w:line="146" w:lineRule="exact"/>
        <w:rPr>
          <w:sz w:val="20"/>
          <w:szCs w:val="20"/>
          <w:color w:val="auto"/>
        </w:rPr>
      </w:pPr>
    </w:p>
    <w:p>
      <w:pPr>
        <w:ind w:right="40" w:firstLine="509"/>
        <w:spacing w:after="0" w:line="303" w:lineRule="auto"/>
        <w:rPr>
          <w:sz w:val="20"/>
          <w:szCs w:val="20"/>
          <w:color w:val="auto"/>
        </w:rPr>
      </w:pPr>
      <w:r>
        <w:rPr>
          <w:rFonts w:ascii="Arial" w:cs="Arial" w:eastAsia="Arial" w:hAnsi="Arial"/>
          <w:sz w:val="12"/>
          <w:szCs w:val="12"/>
          <w:color w:val="auto"/>
        </w:rPr>
        <w:t>Our licensed patent rights for IC-200 and certain of our licensed patent rights for Zimura and IC-100 are method-of-treatment patents and patent applications. Method-of-treatment patents are more difficult to enforce than composition-of-matter patents because of the risk of off-label sale or use of a drug for the patented method. The FDA does not prohibit physicians from prescribing an approved product for uses that are not described in the product’s labeling. Although use of a product directed by off-label prescriptions may infringe our method-of-treatment patents, the practice is common across medical specialties, particularly in the United States, and such infringement is difficult to detect, prevent or prosecute. Off-label sales of other products having the same drug substance as our product candidates would limit our ability to generate revenue from the sale of such product candidates, if approved for commercial sale. In addition, European patent law generally makes the issuance and enforcement of patents that cover methods of treatment of the human body difficult. Further, once the composition-of-matter patents relating to Zimura or IC-100 in a particular jurisdiction, if any, expire, competitors will be able to make, offer and sell products containing the same drug substance as Zimura or IC-100 in that jurisdiction so long as these competitors do not infringe any of our other patents covering Zimura’s or IC-100's composition of matter or method of use or manufacture, do not violate the terms of any marketing or data exclusivity that may be granted to us by regulatory authorities and they obtain any necessary marketing approvals from applicable regulatory authorities. In such circumstances, we also may not be able to detect, prevent or prosecute off-label use of such competitors’ products containing the same drug substance as Zimura or IC-100, even if such use infringes any of our method-of-treatment patents.</w:t>
      </w:r>
    </w:p>
    <w:p>
      <w:pPr>
        <w:spacing w:after="0" w:line="125" w:lineRule="exact"/>
        <w:rPr>
          <w:sz w:val="20"/>
          <w:szCs w:val="20"/>
          <w:color w:val="auto"/>
        </w:rPr>
      </w:pPr>
    </w:p>
    <w:p>
      <w:pPr>
        <w:jc w:val="both"/>
        <w:ind w:right="40" w:firstLine="509"/>
        <w:spacing w:after="0" w:line="267" w:lineRule="auto"/>
        <w:rPr>
          <w:sz w:val="20"/>
          <w:szCs w:val="20"/>
          <w:color w:val="auto"/>
        </w:rPr>
      </w:pPr>
      <w:r>
        <w:rPr>
          <w:rFonts w:ascii="Arial" w:cs="Arial" w:eastAsia="Arial" w:hAnsi="Arial"/>
          <w:sz w:val="14"/>
          <w:szCs w:val="14"/>
          <w:color w:val="auto"/>
        </w:rPr>
        <w:t>Additionally, we do not currently have any composition-of-matter patent applications or patents covering IC-200. The method-of-treatment patent applications that Penn filed and which we in-licensed may be declared unpatentable or invalidated. If the patent applications protecting IC-200 are declared unpatentable or invalidated, it may diminish the value of IC-200 and our competitive position.</w:t>
      </w:r>
    </w:p>
    <w:p>
      <w:pPr>
        <w:spacing w:after="0" w:line="142" w:lineRule="exact"/>
        <w:rPr>
          <w:sz w:val="20"/>
          <w:szCs w:val="20"/>
          <w:color w:val="auto"/>
        </w:rPr>
      </w:pPr>
    </w:p>
    <w:p>
      <w:pPr>
        <w:ind w:right="100" w:firstLine="509"/>
        <w:spacing w:after="0" w:line="278" w:lineRule="auto"/>
        <w:rPr>
          <w:sz w:val="20"/>
          <w:szCs w:val="20"/>
          <w:color w:val="auto"/>
        </w:rPr>
      </w:pPr>
      <w:r>
        <w:rPr>
          <w:rFonts w:ascii="Arial" w:cs="Arial" w:eastAsia="Arial" w:hAnsi="Arial"/>
          <w:sz w:val="13"/>
          <w:szCs w:val="13"/>
          <w:color w:val="auto"/>
        </w:rPr>
        <w:t>Depending on potential delays in the regulatory review process for any of our product candidates, we may be able to obtain patent term extension for one of our patents in the United States under the Hatch-Waxman Act, which permits a patent extension term of up to five years as partial compensation for patent term effectively lost during product development and the FDA regulatory review process occurring after the issuance of a patent, but we can provide no assurances that such an extension term will be obtained. Similar to the patent term extension available in the United States, the regulatory framework in the European Union and certain other foreign jurisdictions provides the opportunity to extend the term of a patent that covers an approved drug in certain circumstances. Notwithstanding the availability of patent term extension provisions, we may not be granted patent term extensions because of, for example, failing to apply within applicable deadlines, failing to apply prior to expiration of relevant patents or otherwise failing to satisfy applicable requirements, such as using diligent efforts to develop a drug candidate. Moreover, the applicable time period or the scope of patent protection afforded could be less than we request. If we are unable to obtain patent term extension or the term or scope of any such extension is less than we request, any period during which we have the right to exclusively market our product would be shorter than we would otherwise expect, and our competitors may commercialize competing products following our patent expiration, and our revenue could be reduced, possibly materially.</w:t>
      </w:r>
    </w:p>
    <w:p>
      <w:pPr>
        <w:spacing w:after="0" w:line="139" w:lineRule="exact"/>
        <w:rPr>
          <w:sz w:val="20"/>
          <w:szCs w:val="20"/>
          <w:color w:val="auto"/>
        </w:rPr>
      </w:pPr>
    </w:p>
    <w:p>
      <w:pPr>
        <w:ind w:right="200" w:firstLine="509"/>
        <w:spacing w:after="0" w:line="267" w:lineRule="auto"/>
        <w:rPr>
          <w:sz w:val="20"/>
          <w:szCs w:val="20"/>
          <w:color w:val="auto"/>
        </w:rPr>
      </w:pPr>
      <w:r>
        <w:rPr>
          <w:rFonts w:ascii="Arial" w:cs="Arial" w:eastAsia="Arial" w:hAnsi="Arial"/>
          <w:sz w:val="14"/>
          <w:szCs w:val="14"/>
          <w:color w:val="auto"/>
        </w:rPr>
        <w:t>The Hatch-Waxman Act also permits the manufacture, use, offer for sale, sale or importation of a patented invention other than a new animal drug or veterinary biological product, if the manufacture, use, offer for sale, sale or importation is solely for uses that are reasonably related to development of information that could be submitted to the FDA. For this reason, our competitors might be able under certain circumstances to perform activities within the scope of the U.S. patents that we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2"/>
          <w:szCs w:val="12"/>
          <w:color w:val="auto"/>
        </w:rPr>
        <w:t>own or under which we are licensed without infringing such patents. This might enable our competitors to develop during the lifetime of these patents drugs that compete with our product candidates.</w:t>
      </w:r>
    </w:p>
    <w:p>
      <w:pPr>
        <w:spacing w:after="0" w:line="202" w:lineRule="exact"/>
        <w:rPr>
          <w:sz w:val="20"/>
          <w:szCs w:val="20"/>
          <w:color w:val="auto"/>
        </w:rPr>
      </w:pPr>
    </w:p>
    <w:p>
      <w:pPr>
        <w:ind w:right="40" w:firstLine="509"/>
        <w:spacing w:after="0" w:line="267" w:lineRule="auto"/>
        <w:rPr>
          <w:sz w:val="20"/>
          <w:szCs w:val="20"/>
          <w:color w:val="auto"/>
        </w:rPr>
      </w:pPr>
      <w:r>
        <w:rPr>
          <w:rFonts w:ascii="Arial" w:cs="Arial" w:eastAsia="Arial" w:hAnsi="Arial"/>
          <w:sz w:val="14"/>
          <w:szCs w:val="14"/>
          <w:color w:val="auto"/>
        </w:rPr>
        <w:t>Our issued patents may not be sufficient to provide us with a competitive advantage. For example, competitors may be able to circumvent our owned or licensed patents by developing similar or alternative technologies or products in a non-infringing manner. Even if our owned or licensed patent applications issue as patents, they may not issue with a scope broad enough to provide us with any meaningful protection, prevent competitors from competing with us or otherwise provide us with any competitive advantage.</w:t>
      </w:r>
    </w:p>
    <w:p>
      <w:pPr>
        <w:spacing w:after="0" w:line="142" w:lineRule="exact"/>
        <w:rPr>
          <w:sz w:val="20"/>
          <w:szCs w:val="20"/>
          <w:color w:val="auto"/>
        </w:rPr>
      </w:pPr>
    </w:p>
    <w:p>
      <w:pPr>
        <w:ind w:right="40" w:firstLine="509"/>
        <w:spacing w:after="0" w:line="277" w:lineRule="auto"/>
        <w:rPr>
          <w:sz w:val="20"/>
          <w:szCs w:val="20"/>
          <w:color w:val="auto"/>
        </w:rPr>
      </w:pPr>
      <w:r>
        <w:rPr>
          <w:rFonts w:ascii="Arial" w:cs="Arial" w:eastAsia="Arial" w:hAnsi="Arial"/>
          <w:sz w:val="13"/>
          <w:szCs w:val="13"/>
          <w:color w:val="auto"/>
        </w:rPr>
        <w:t>The issuance of a patent is not conclusive as to its inventorship, ownership, scope, term, validity or enforceability, and our owned and licensed patents may be challenged in the courts or patent offices in the United States and abroad. For example, if we receive marketing approval for our product candidates, other pharmaceutical companies may seek approval of generic or biosimilar versions of our products with the FDA or regulatory authorities in other jurisdictions. We may then be required to initiate proceedings against such companies in order to enforce our intellectual property rights. The risk of being involved in such proceedings is likely to increase if our products are commercially successful. In any such proceedings, the inventorship, ownership, scope, term, validity and enforceability of our patents may be challenged. These and other challenges may result in loss of exclusivity or freedom to operate or in patent claims being narrowed, invalidated or held unenforceable, in whole or in part, which could limit our ability to prevent others from using or commercializing similar or identical technology and products or from launching generic or biosimilar versions of our products, or could limit the duration of the patent protection of our technology and products. The launch of a generic version of one of our products in particular would be likely to result in an immediate and substantial reduction in the demand for our product, which could have a material adverse effect on our business.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42"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b w:val="1"/>
          <w:bCs w:val="1"/>
          <w:i w:val="1"/>
          <w:iCs w:val="1"/>
          <w:color w:val="auto"/>
        </w:rPr>
        <w:t>The patent prosecution process is expensive and time-consuming, is highly uncertain and involves complex legal and factual questions. Patent reform legislation could increase the uncertainties and costs surrounding the prosecution of our patent applications and the enforcement or defense of our issued patents.</w:t>
      </w:r>
    </w:p>
    <w:p>
      <w:pPr>
        <w:spacing w:after="0" w:line="132" w:lineRule="exact"/>
        <w:rPr>
          <w:sz w:val="20"/>
          <w:szCs w:val="20"/>
          <w:color w:val="auto"/>
        </w:rPr>
      </w:pPr>
    </w:p>
    <w:p>
      <w:pPr>
        <w:jc w:val="both"/>
        <w:ind w:right="60" w:firstLine="509"/>
        <w:spacing w:after="0" w:line="267" w:lineRule="auto"/>
        <w:rPr>
          <w:sz w:val="20"/>
          <w:szCs w:val="20"/>
          <w:color w:val="auto"/>
        </w:rPr>
      </w:pPr>
      <w:r>
        <w:rPr>
          <w:rFonts w:ascii="Arial" w:cs="Arial" w:eastAsia="Arial" w:hAnsi="Arial"/>
          <w:sz w:val="14"/>
          <w:szCs w:val="14"/>
          <w:color w:val="auto"/>
        </w:rPr>
        <w:t>Our success depends in large part on our ability to obtain and maintain patent protection in the United States and other countries with respect to our proprietary technology and products. We seek to protect our proprietary position by filing in the United States and in certain foreign jurisdictions patent applications related to our novel technologies and product candidates that are important to our business.</w:t>
      </w:r>
    </w:p>
    <w:p>
      <w:pPr>
        <w:spacing w:after="0" w:line="142" w:lineRule="exact"/>
        <w:rPr>
          <w:sz w:val="20"/>
          <w:szCs w:val="20"/>
          <w:color w:val="auto"/>
        </w:rPr>
      </w:pPr>
    </w:p>
    <w:p>
      <w:pPr>
        <w:ind w:firstLine="509"/>
        <w:spacing w:after="0" w:line="279" w:lineRule="auto"/>
        <w:rPr>
          <w:sz w:val="20"/>
          <w:szCs w:val="20"/>
          <w:color w:val="auto"/>
        </w:rPr>
      </w:pPr>
      <w:r>
        <w:rPr>
          <w:rFonts w:ascii="Arial" w:cs="Arial" w:eastAsia="Arial" w:hAnsi="Arial"/>
          <w:sz w:val="13"/>
          <w:szCs w:val="13"/>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In addition, we may not pursue or obtain patent protection in all major markets. Moreover, in some circumstances, we do not have the right to control the preparation, filing or prosecution of patent applications, or to maintain the patents, covering technology that we license from third parties or covering technology that a collaboration or commercialization partner may develop, the eventual commercialization of which could potentially entitle us to royalty payments. In some circumstances, our licensors may have the right to enforce the licensed patents without our involvement or consent, or to decide not to enforce or to allow us to enforce the licensed patents. Therefore, these patents and applications may not be prosecuted and enforced in a manner consistent with the best interests of our business. If any such licensors fail to maintain such patents, or lose rights to those patents, the rights that we have licensed may be reduced or eliminated and our ability to develop and commercialize any of our products that are the subject of such licensed rights could be adversely affected.</w:t>
      </w:r>
    </w:p>
    <w:p>
      <w:pPr>
        <w:spacing w:after="0" w:line="138" w:lineRule="exact"/>
        <w:rPr>
          <w:sz w:val="20"/>
          <w:szCs w:val="20"/>
          <w:color w:val="auto"/>
        </w:rPr>
      </w:pPr>
    </w:p>
    <w:p>
      <w:pPr>
        <w:ind w:right="40" w:firstLine="509"/>
        <w:spacing w:after="0" w:line="280" w:lineRule="auto"/>
        <w:rPr>
          <w:sz w:val="20"/>
          <w:szCs w:val="20"/>
          <w:color w:val="auto"/>
        </w:rPr>
      </w:pPr>
      <w:r>
        <w:rPr>
          <w:rFonts w:ascii="Arial" w:cs="Arial" w:eastAsia="Arial" w:hAnsi="Arial"/>
          <w:sz w:val="13"/>
          <w:szCs w:val="13"/>
          <w:color w:val="auto"/>
        </w:rPr>
        <w:t>The patent position of biotechnology and pharmaceutical companies generally is highly uncertain, involves complex legal and factual questions and has in recent years been the subject of much litigation. In addition, the laws of foreign jurisdictions may not protect our rights to the same extent as the laws of the United States.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that we or our licensors were the first to file for patent protection of such inventions. Moreover, the U.S. Patent and Trademark Office, or USPTO, might require that the term of a patent issuing from a pending patent application be disclaimed and limited to the term of another patent that is commonly owned or names a common inventor. As a result, the issuance, scope, validity, term, enforceability and commercial value of our patent rights are highly uncertain.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40" w:firstLine="509"/>
        <w:spacing w:after="0" w:line="258" w:lineRule="auto"/>
        <w:rPr>
          <w:sz w:val="20"/>
          <w:szCs w:val="20"/>
          <w:color w:val="auto"/>
        </w:rPr>
      </w:pPr>
      <w:r>
        <w:rPr>
          <w:rFonts w:ascii="Arial" w:cs="Arial" w:eastAsia="Arial" w:hAnsi="Arial"/>
          <w:sz w:val="14"/>
          <w:szCs w:val="14"/>
          <w:color w:val="auto"/>
        </w:rPr>
        <w:t>Our pending and future patent applications, and any collaboration or commercialization partner’s pending and future patent applications, may not result in patents being issued which protect our technology or products, in whole or in part, or which effectively prevent others from commercializing competitive technologies and products. In particular, during prosecution of any patent application, the issuance of any patents based on the application may depend upon our or their ability to generate additional preclinical or clinical data that support the patentability of our proposed claims. We or any collaboration or commercialization partner may not be able to generate sufficient additional data on a timely basis, or at all. Moreover, changes in either the patent laws or interpretation of the patent laws in the United States or other countries may diminish the value of our or a collaboration or commercialization partner’s patents or narrow the scope of our or their patent protection.</w:t>
      </w:r>
    </w:p>
    <w:p>
      <w:pPr>
        <w:spacing w:after="0" w:line="150" w:lineRule="exact"/>
        <w:rPr>
          <w:sz w:val="20"/>
          <w:szCs w:val="20"/>
          <w:color w:val="auto"/>
        </w:rPr>
      </w:pPr>
    </w:p>
    <w:p>
      <w:pPr>
        <w:ind w:right="40" w:firstLine="509"/>
        <w:spacing w:after="0" w:line="313" w:lineRule="auto"/>
        <w:rPr>
          <w:sz w:val="20"/>
          <w:szCs w:val="20"/>
          <w:color w:val="auto"/>
        </w:rPr>
      </w:pPr>
      <w:r>
        <w:rPr>
          <w:rFonts w:ascii="Arial" w:cs="Arial" w:eastAsia="Arial" w:hAnsi="Arial"/>
          <w:sz w:val="12"/>
          <w:szCs w:val="12"/>
          <w:color w:val="auto"/>
        </w:rPr>
        <w:t>Patent reform legislation could increase the uncertainties and costs surrounding the prosecution of our patent applications and the enforcement or defense of our issued patents. The Leahy-Smith America Invents Act, or the Leahy-Smith Act, was signed into law in September 2011, and many of the substantive changes became effective in March 2013. The Leahy-Smith Act revised United States patent law in part by changing the standard for patent approval from a “first to invent” standard to a “first to file” standard and developing a post-grant review system. This legislation changed United States patent law in a way that may weaken our ability to obtain patent protection in the United States for those applications filed after March 2013. For example, if we are the first to invent a new product or its use, but another party is the first to file a patent application on this invention, under the new law the other party may be entitled to the patent rights on the invention.</w:t>
      </w:r>
    </w:p>
    <w:p>
      <w:pPr>
        <w:spacing w:after="0" w:line="119" w:lineRule="exact"/>
        <w:rPr>
          <w:sz w:val="20"/>
          <w:szCs w:val="20"/>
          <w:color w:val="auto"/>
        </w:rPr>
      </w:pPr>
    </w:p>
    <w:p>
      <w:pPr>
        <w:ind w:right="20" w:firstLine="509"/>
        <w:spacing w:after="0" w:line="307" w:lineRule="auto"/>
        <w:rPr>
          <w:sz w:val="20"/>
          <w:szCs w:val="20"/>
          <w:color w:val="auto"/>
        </w:rPr>
      </w:pPr>
      <w:r>
        <w:rPr>
          <w:rFonts w:ascii="Arial" w:cs="Arial" w:eastAsia="Arial" w:hAnsi="Arial"/>
          <w:sz w:val="12"/>
          <w:szCs w:val="12"/>
          <w:color w:val="auto"/>
        </w:rPr>
        <w:t xml:space="preserve">Moreover, we may be subject to a third-party preissuance submission of prior art to the USPTO, or become involved in opposition, derivation, reexamination, </w:t>
      </w:r>
      <w:r>
        <w:rPr>
          <w:rFonts w:ascii="Arial" w:cs="Arial" w:eastAsia="Arial" w:hAnsi="Arial"/>
          <w:sz w:val="12"/>
          <w:szCs w:val="12"/>
          <w:i w:val="1"/>
          <w:iCs w:val="1"/>
          <w:color w:val="auto"/>
        </w:rPr>
        <w:t>inter partes</w:t>
      </w:r>
      <w:r>
        <w:rPr>
          <w:rFonts w:ascii="Arial" w:cs="Arial" w:eastAsia="Arial" w:hAnsi="Arial"/>
          <w:sz w:val="12"/>
          <w:szCs w:val="12"/>
          <w:color w:val="auto"/>
        </w:rPr>
        <w:t xml:space="preserve"> review, post-grant review, interference proceedings or other patent office proceedings or litigation, in the United States or elsewhere, challenging our patent rights or the patent rights of others. The Leahy-Smith Act expanded the ability of third parties to challenge the patents held by patentees through administrative reviews at the USPTO, which may facilitate others to challenge our patents. Based on available information, we believe that </w:t>
      </w:r>
      <w:r>
        <w:rPr>
          <w:rFonts w:ascii="Arial" w:cs="Arial" w:eastAsia="Arial" w:hAnsi="Arial"/>
          <w:sz w:val="12"/>
          <w:szCs w:val="12"/>
          <w:i w:val="1"/>
          <w:iCs w:val="1"/>
          <w:color w:val="auto"/>
        </w:rPr>
        <w:t>inter partes</w:t>
      </w:r>
      <w:r>
        <w:rPr>
          <w:rFonts w:ascii="Arial" w:cs="Arial" w:eastAsia="Arial" w:hAnsi="Arial"/>
          <w:sz w:val="12"/>
          <w:szCs w:val="12"/>
          <w:color w:val="auto"/>
        </w:rPr>
        <w:t xml:space="preserve"> review proceedings, brought by financial investors who may be selling short the stock of the patent holder, are becoming more prevalent.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develop or commercialize current or future product candidates.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become involved in lawsuits to protect or enforce our patents or other intellectual property, which could be expensive, time consuming and unsuccessful.</w:t>
      </w:r>
    </w:p>
    <w:p>
      <w:pPr>
        <w:spacing w:after="0" w:line="179" w:lineRule="exact"/>
        <w:rPr>
          <w:sz w:val="20"/>
          <w:szCs w:val="20"/>
          <w:color w:val="auto"/>
        </w:rPr>
      </w:pPr>
    </w:p>
    <w:p>
      <w:pPr>
        <w:ind w:right="60" w:firstLine="509"/>
        <w:spacing w:after="0" w:line="256" w:lineRule="auto"/>
        <w:rPr>
          <w:sz w:val="20"/>
          <w:szCs w:val="20"/>
          <w:color w:val="auto"/>
        </w:rPr>
      </w:pPr>
      <w:r>
        <w:rPr>
          <w:rFonts w:ascii="Arial" w:cs="Arial" w:eastAsia="Arial" w:hAnsi="Arial"/>
          <w:sz w:val="14"/>
          <w:szCs w:val="14"/>
          <w:color w:val="auto"/>
        </w:rPr>
        <w:t>Competitors may infringe or otherwise violate our patents, trademarks, copyrights or other intellectual property. To counter infringement or other violations, we may be required to file claims, which can be expensive and time consuming. For some of our licensed patent rights, we may need the cooperation of our licensors to file such claims.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5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Third parties may initiate legal proceedings or take other actions alleging that we are infringing or otherwise violating their intellectual property rights, the outcome of which would be uncertain and could have a material adverse effect on the success of our business.</w:t>
      </w:r>
    </w:p>
    <w:p>
      <w:pPr>
        <w:spacing w:after="0" w:line="132"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Our commercial success depends upon our ability and the ability of any future collaboration and commercialization partners to develop, manufacture, market and sell our product candidates and products and use our proprietary technologies without infringing or otherwise violating the intellectual property and other proprietary rights of third parties. New patent applications in the field of biotechnology and pharmaceuticals, and gene therapies in particular, are being filed at a rapid pace.</w:t>
      </w:r>
    </w:p>
    <w:p>
      <w:pPr>
        <w:spacing w:after="0" w:line="142" w:lineRule="exact"/>
        <w:rPr>
          <w:sz w:val="20"/>
          <w:szCs w:val="20"/>
          <w:color w:val="auto"/>
        </w:rPr>
      </w:pPr>
    </w:p>
    <w:p>
      <w:pPr>
        <w:jc w:val="both"/>
        <w:ind w:firstLine="509"/>
        <w:spacing w:after="0" w:line="321" w:lineRule="auto"/>
        <w:rPr>
          <w:sz w:val="20"/>
          <w:szCs w:val="20"/>
          <w:color w:val="auto"/>
        </w:rPr>
      </w:pPr>
      <w:r>
        <w:rPr>
          <w:rFonts w:ascii="Arial" w:cs="Arial" w:eastAsia="Arial" w:hAnsi="Arial"/>
          <w:sz w:val="13"/>
          <w:szCs w:val="13"/>
          <w:color w:val="auto"/>
        </w:rPr>
        <w:t>There is considerable intellectual property litigation in the biotechnology and pharmaceutical industries. We or any future collaboration and commercialization partners may become party to, or threatened with, future adversarial proceedings or litigation regarding intellectual property rights with respect to our products and technology, including interference, derivation,</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 xml:space="preserve">re-examination, post-grant review, </w:t>
      </w:r>
      <w:r>
        <w:rPr>
          <w:rFonts w:ascii="Arial" w:cs="Arial" w:eastAsia="Arial" w:hAnsi="Arial"/>
          <w:sz w:val="14"/>
          <w:szCs w:val="14"/>
          <w:i w:val="1"/>
          <w:iCs w:val="1"/>
          <w:color w:val="auto"/>
        </w:rPr>
        <w:t>inter partes</w:t>
      </w:r>
      <w:r>
        <w:rPr>
          <w:rFonts w:ascii="Arial" w:cs="Arial" w:eastAsia="Arial" w:hAnsi="Arial"/>
          <w:sz w:val="14"/>
          <w:szCs w:val="14"/>
          <w:color w:val="auto"/>
        </w:rPr>
        <w:t xml:space="preserve"> review, opposition, cancellation or similar proceedings before the USPTO or its foreign counterparts. The risks of being involved in such litigation and proceedings may increase as our product candidates near commercialization.</w:t>
      </w:r>
    </w:p>
    <w:p>
      <w:pPr>
        <w:spacing w:after="0" w:line="132" w:lineRule="exact"/>
        <w:rPr>
          <w:sz w:val="20"/>
          <w:szCs w:val="20"/>
          <w:color w:val="auto"/>
        </w:rPr>
      </w:pPr>
    </w:p>
    <w:p>
      <w:pPr>
        <w:ind w:firstLine="509"/>
        <w:spacing w:after="0" w:line="256" w:lineRule="auto"/>
        <w:rPr>
          <w:sz w:val="20"/>
          <w:szCs w:val="20"/>
          <w:color w:val="auto"/>
        </w:rPr>
      </w:pPr>
      <w:r>
        <w:rPr>
          <w:rFonts w:ascii="Arial" w:cs="Arial" w:eastAsia="Arial" w:hAnsi="Arial"/>
          <w:sz w:val="14"/>
          <w:szCs w:val="14"/>
          <w:color w:val="auto"/>
        </w:rPr>
        <w:t>Third parties may assert infringement or other claims against us or our collaboration or commercialization partners based on existing or future intellectual property rights. We or they may not be aware of all such intellectual property rights potentially relating to our product candidates and their manufacture and uses. In addition, contract manufacturers may inadvertently incorporate intellectual property belonging to third parties into our products or the manufacturing processes for these products without our knowledge. There is a lag between the filing of a patent application, which generally establishes the priority date of a patent claim, and the publication of such patent application. During the period between filing of a patent application and publication of the application, we would not otherwise have a means of discovering the existence or extent of the claimed inventions contained in a filed but unpublished patent application. Patent applications are often drafted broadly, and the scope of patent claims that may ultimately issue may not be known until several years after a patent application is filed and published. We may make development or pipeline decisions based on our belief that our product candidates can be distinguished from patent claims contained in published patent applications or issued patents, that patent claims contained in published patent applications are unlikely to issue as drafted, or that claims contained in issued patents are invalid. These positions regarding third-party intellectual property may not ultimately be successful in litigation. Thus, we do not know with certainty that our product candidates, or our intended commercialization thereof, does not and will not infringe or otherwise violate any third party’s intellectual property.</w:t>
      </w:r>
    </w:p>
    <w:p>
      <w:pPr>
        <w:spacing w:after="0" w:line="150" w:lineRule="exact"/>
        <w:rPr>
          <w:sz w:val="20"/>
          <w:szCs w:val="20"/>
          <w:color w:val="auto"/>
        </w:rPr>
      </w:pPr>
    </w:p>
    <w:p>
      <w:pPr>
        <w:ind w:firstLine="509"/>
        <w:spacing w:after="0" w:line="278" w:lineRule="auto"/>
        <w:rPr>
          <w:sz w:val="20"/>
          <w:szCs w:val="20"/>
          <w:color w:val="auto"/>
        </w:rPr>
      </w:pPr>
      <w:r>
        <w:rPr>
          <w:rFonts w:ascii="Arial" w:cs="Arial" w:eastAsia="Arial" w:hAnsi="Arial"/>
          <w:sz w:val="13"/>
          <w:szCs w:val="13"/>
          <w:color w:val="auto"/>
        </w:rPr>
        <w:t>If we are or any of our future collaboration or commercialization partners is found to infringe or otherwise violate a third party’s intellectual property rights, we or they could be required to obtain a license from such third party to continue developing and marketing our product candidates or products or to continue using a trademark. However, we or our future collaboration and commercialization partners may not be able to obtain any required license on commercially reasonable terms or at all. Even if we or they were able to obtain a license, it could be non-exclusive, thereby giving our competitors access to the same technologies licensed to us or our collaboration and commercialization partners and could require us or them to make substantial licensing and royalty payments. We or our future collaboration and commercialization partners could be forced, including by court order, to cease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or our future collaboration and commercialization partners from commercializing our product candidates or force us or them to cease some of our business operations, which could materially harm our business. Claims that we or our future collaboration and commercialization partners have misappropriated the confidential information or trade secrets of third parties could expose us or them to similar liabilities and have a similar negative impact on our business.</w:t>
      </w:r>
    </w:p>
    <w:p>
      <w:pPr>
        <w:spacing w:after="0" w:line="139"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b w:val="1"/>
          <w:bCs w:val="1"/>
          <w:i w:val="1"/>
          <w:iCs w:val="1"/>
          <w:color w:val="auto"/>
        </w:rPr>
        <w:t>We may be subject to claims by third parties asserting that we or our employees or contractors have misappropriated their intellectual property, or claiming ownership of what we regard as our own intellectual property.</w:t>
      </w:r>
    </w:p>
    <w:p>
      <w:pPr>
        <w:spacing w:after="0" w:line="132"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color w:val="auto"/>
        </w:rPr>
        <w:t>Many of our employees and contractors were previously employed at universities or other biotechnology or pharmaceutical companies, including our competitors or potential competitors. Although we try to ensure that our employees and contractors do not use the proprietary information or know-how of others in their work for us, we may be subject to claims that we or these employees or contractors have used or disclosed intellectual property, including trade secrets or other proprietary information, of any such employee’s or contractor’s former employer. Litigation may be necessary to defend against these claims.</w:t>
      </w:r>
    </w:p>
    <w:p>
      <w:pPr>
        <w:spacing w:after="0" w:line="146"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because we acquired rights to our product candidates from third parties, we must rely upon these third parties' practices, and those of their predecessors, with regard to the assignment of intellectual property therein, including the intellectual property rights protecting the HtrA1 inhibitors we acquired in the Inception 4 acquisition transaction.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If we fail in prosecuting or defending any such claims, in addition to paying monetary damages, we may lose valuable intellectual property rights or personnel.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Intellectual property litigation could cause us to spend substantial resources and could distract our personnel from their normal responsibilities.</w:t>
      </w:r>
    </w:p>
    <w:p>
      <w:pPr>
        <w:spacing w:after="0" w:line="179"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151" w:lineRule="exact"/>
        <w:rPr>
          <w:sz w:val="20"/>
          <w:szCs w:val="20"/>
          <w:color w:val="auto"/>
        </w:rPr>
      </w:pPr>
    </w:p>
    <w:p>
      <w:pPr>
        <w:ind w:right="220"/>
        <w:spacing w:after="0" w:line="281"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32" w:lineRule="exact"/>
        <w:rPr>
          <w:sz w:val="20"/>
          <w:szCs w:val="20"/>
          <w:color w:val="auto"/>
        </w:rPr>
      </w:pPr>
    </w:p>
    <w:p>
      <w:pPr>
        <w:ind w:firstLine="509"/>
        <w:spacing w:after="0" w:line="282" w:lineRule="auto"/>
        <w:rPr>
          <w:sz w:val="20"/>
          <w:szCs w:val="20"/>
          <w:color w:val="auto"/>
        </w:rPr>
      </w:pPr>
      <w:r>
        <w:rPr>
          <w:rFonts w:ascii="Arial" w:cs="Arial" w:eastAsia="Arial" w:hAnsi="Arial"/>
          <w:sz w:val="13"/>
          <w:szCs w:val="13"/>
          <w:color w:val="auto"/>
        </w:rPr>
        <w:t>Periodic maintenance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sooner than we expect, which would have a material adverse effect on our business.</w:t>
      </w:r>
    </w:p>
    <w:p>
      <w:pPr>
        <w:spacing w:after="0" w:line="134"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color w:val="auto"/>
        </w:rPr>
        <w:t>In addition, we may decide not to pursue patent prosecution in certain major markets or jurisdictions. For example, we may decide that the costs of obtaining and maintaining patent protection in a certain jurisdiction may outweigh the commercial benefits of patent protection. If so, our competitors may enter into and commercialize identical or similar products in that jurisdiction and if we choose to commercialize our products in that jurisdiction, we may not be able to exclude our competitors in the same way as if we had chosen to pursue patent prosecution in that jurisdiction.</w:t>
      </w:r>
    </w:p>
    <w:p>
      <w:pPr>
        <w:spacing w:after="0" w:line="146" w:lineRule="exact"/>
        <w:rPr>
          <w:sz w:val="20"/>
          <w:szCs w:val="20"/>
          <w:color w:val="auto"/>
        </w:rPr>
      </w:pPr>
    </w:p>
    <w:p>
      <w:pPr>
        <w:ind w:right="80" w:firstLine="509"/>
        <w:spacing w:after="0" w:line="297" w:lineRule="auto"/>
        <w:rPr>
          <w:sz w:val="20"/>
          <w:szCs w:val="20"/>
          <w:color w:val="auto"/>
        </w:rPr>
      </w:pPr>
      <w:r>
        <w:rPr>
          <w:rFonts w:ascii="Arial" w:cs="Arial" w:eastAsia="Arial" w:hAnsi="Arial"/>
          <w:sz w:val="13"/>
          <w:szCs w:val="13"/>
          <w:color w:val="auto"/>
        </w:rPr>
        <w:t>The COVID-19 pandemic has caused the USPTO and many foreign patent offices to adjust their filing deadlines and requirements for applicants. While some of those changes may be beneficial to us, there is added uncertainty with regard to many procedural requirements, which may result in inadvertent non-compliance with those requirements that result in abandonment or lapse of patent rights. Additionally, the reduced staff and operations at many patent offices may delay the prosecution of patent rights or limit us or our patent agents' ability to interact with them.</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protect the confidentiality of our trade secrets, our business and competitive position would be harmed.</w:t>
      </w:r>
    </w:p>
    <w:p>
      <w:pPr>
        <w:spacing w:after="0" w:line="179" w:lineRule="exact"/>
        <w:rPr>
          <w:sz w:val="20"/>
          <w:szCs w:val="20"/>
          <w:color w:val="auto"/>
        </w:rPr>
      </w:pPr>
    </w:p>
    <w:p>
      <w:pPr>
        <w:ind w:right="80" w:firstLine="509"/>
        <w:spacing w:after="0" w:line="279" w:lineRule="auto"/>
        <w:rPr>
          <w:sz w:val="20"/>
          <w:szCs w:val="20"/>
          <w:color w:val="auto"/>
        </w:rPr>
      </w:pPr>
      <w:r>
        <w:rPr>
          <w:rFonts w:ascii="Arial" w:cs="Arial" w:eastAsia="Arial" w:hAnsi="Arial"/>
          <w:sz w:val="13"/>
          <w:szCs w:val="13"/>
          <w:color w:val="auto"/>
        </w:rPr>
        <w:t>In addition to seeking patents for some of our technology and products, we also rely upon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outside scientific collaborators, contract manufacturers, potential business development counterparties, advisors and other third parties. We also enter into confidentiality and invention or patent assignment agreements with our employees and consultants. We cannot guarantee that we have executed such agreements with each party that may have or have had access to our trade secrets. Moreover, because we acquired our HtrA1 inhibitor program through the acquisition of Inception 4, we are relying upon Inception 4's, and its prior owner's, practices with regard to the protection of trade secrets and intellectual property rights for the period prior to our acquisition of Inception 4. Any party with whom we or they have executed a non-disclosure and confidentiality agreement may breach that agreement and disclose our proprietary information, including our trade secrets, and we may not be able to obtain adequate remedies for such breaches. Our proprietary information may also be obtained by third parties by other means, such as breaches of our physical or computer security systems.</w:t>
      </w:r>
    </w:p>
    <w:p>
      <w:pPr>
        <w:spacing w:after="0" w:line="138" w:lineRule="exact"/>
        <w:rPr>
          <w:sz w:val="20"/>
          <w:szCs w:val="20"/>
          <w:color w:val="auto"/>
        </w:rPr>
      </w:pPr>
    </w:p>
    <w:p>
      <w:pPr>
        <w:ind w:right="460" w:firstLine="509"/>
        <w:spacing w:after="0" w:line="368" w:lineRule="auto"/>
        <w:rPr>
          <w:sz w:val="20"/>
          <w:szCs w:val="20"/>
          <w:color w:val="auto"/>
        </w:rPr>
      </w:pPr>
      <w:r>
        <w:rPr>
          <w:rFonts w:ascii="Arial" w:cs="Arial" w:eastAsia="Arial" w:hAnsi="Arial"/>
          <w:sz w:val="12"/>
          <w:szCs w:val="12"/>
          <w:color w:val="auto"/>
        </w:rPr>
        <w:t>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color w:val="auto"/>
        </w:rPr>
        <w:t>to be lawfully obtained or independently developed by a competitor, we would have no right to prevent them, or those to whom they communicate it, from using that technology or information to compete with us and our competitive position would be harmed.</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Information Technology and Data Protection</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rely significantly upon information technology systems and any failure, inadequacy, interruption or security lapse of these systems could harm our ability to operate our business effectively.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Information technology risks have become more significant over time, including as a result of widespread remote working during the COVID-19 pandemic.</w:t>
      </w:r>
    </w:p>
    <w:p>
      <w:pPr>
        <w:spacing w:after="0" w:line="168" w:lineRule="exact"/>
        <w:rPr>
          <w:sz w:val="20"/>
          <w:szCs w:val="20"/>
          <w:color w:val="auto"/>
        </w:rPr>
      </w:pPr>
    </w:p>
    <w:p>
      <w:pPr>
        <w:jc w:val="both"/>
        <w:ind w:right="40" w:firstLine="509"/>
        <w:spacing w:after="0" w:line="262" w:lineRule="auto"/>
        <w:rPr>
          <w:sz w:val="20"/>
          <w:szCs w:val="20"/>
          <w:color w:val="auto"/>
        </w:rPr>
      </w:pPr>
      <w:r>
        <w:rPr>
          <w:rFonts w:ascii="Arial" w:cs="Arial" w:eastAsia="Arial" w:hAnsi="Arial"/>
          <w:sz w:val="14"/>
          <w:szCs w:val="14"/>
          <w:color w:val="auto"/>
        </w:rPr>
        <w:t>In the ordinary course of business, we and our third-party contractors maintain personal and other sensitive data on our and their respective networks, including our intellectual property and proprietary or confidential information relating to our business and that of our clinical trial participants, business collaborators and employees. In particular, we rely on contract research organizations and other third parties to store and manage data generated from our preclinical research and development activities and from our clinical trials. The secure maintenance of this sensitive information is critical to our business and reputation.</w:t>
      </w:r>
    </w:p>
    <w:p>
      <w:pPr>
        <w:spacing w:after="0" w:line="146" w:lineRule="exact"/>
        <w:rPr>
          <w:sz w:val="20"/>
          <w:szCs w:val="20"/>
          <w:color w:val="auto"/>
        </w:rPr>
      </w:pPr>
    </w:p>
    <w:p>
      <w:pPr>
        <w:ind w:right="60" w:firstLine="509"/>
        <w:spacing w:after="0" w:line="297" w:lineRule="auto"/>
        <w:rPr>
          <w:sz w:val="20"/>
          <w:szCs w:val="20"/>
          <w:color w:val="auto"/>
        </w:rPr>
      </w:pPr>
      <w:r>
        <w:rPr>
          <w:rFonts w:ascii="Arial" w:cs="Arial" w:eastAsia="Arial" w:hAnsi="Arial"/>
          <w:sz w:val="13"/>
          <w:szCs w:val="13"/>
          <w:color w:val="auto"/>
        </w:rPr>
        <w:t>We have implemented a number of measures to protect our information technology systems. These measures include, among others, creation of a cyber-security governance team and standard operating procedures for responding to any cyber-security incidents, mandatory routine cyber-security training, including social engineering training, for our employees and consultants with access to our information technology systems and engagement of a third-party vendor to regularly assess our informational technology systems and potential vulnerabilities.</w:t>
      </w:r>
    </w:p>
    <w:p>
      <w:pPr>
        <w:spacing w:after="0" w:line="124" w:lineRule="exact"/>
        <w:rPr>
          <w:sz w:val="20"/>
          <w:szCs w:val="20"/>
          <w:color w:val="auto"/>
        </w:rPr>
      </w:pPr>
    </w:p>
    <w:p>
      <w:pPr>
        <w:ind w:right="120" w:firstLine="509"/>
        <w:spacing w:after="0" w:line="282" w:lineRule="auto"/>
        <w:rPr>
          <w:sz w:val="20"/>
          <w:szCs w:val="20"/>
          <w:color w:val="auto"/>
        </w:rPr>
      </w:pPr>
      <w:r>
        <w:rPr>
          <w:rFonts w:ascii="Arial" w:cs="Arial" w:eastAsia="Arial" w:hAnsi="Arial"/>
          <w:sz w:val="13"/>
          <w:szCs w:val="13"/>
          <w:color w:val="auto"/>
        </w:rPr>
        <w:t>Despite the implementation of security measures, our internal computer systems and those of our third-party contractors are vulnerable to compromise, damage, loss or exfiltration from cyber-attacks, computer viruses, unauthorized access, natural disasters, terrorism, war and telecommunication and electrical failures. In particular, companies and other entities and individuals have been increasingly subject to a wide variety of security incidents, cyber-attacks, phishing scams and other attempts to gain unauthorized access to systems and information, including through social engineering. The number and complexity of these threats continue to increase over time. These threats can come from a variety of sources, ranging in sophistication from individual hackers to state-sponsored attacks. Cyber threats may be broadly targeted, or they may be custom-crafted against our information systems or those of our third-party contractors. In particular, there have been increasing number of cyber threats and attempts by foreign hackers targeted towards U.S. pharmaceutical and biotechnology companies.</w:t>
      </w:r>
    </w:p>
    <w:p>
      <w:pPr>
        <w:spacing w:after="0" w:line="134"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As a result of the COVID-19 pandemic, we have switched to remote working since mid-March 2020 and as a result, have increasingly relied upon teleconferencing and cloud-based means of communication. Many other companies have done the same. There have been numerous publicized attempts of bad actors attempting to intercept proprietary communications. We may be similarly susceptible to those kinds of threats.</w:t>
      </w:r>
    </w:p>
    <w:p>
      <w:pPr>
        <w:spacing w:after="0" w:line="142" w:lineRule="exact"/>
        <w:rPr>
          <w:sz w:val="20"/>
          <w:szCs w:val="20"/>
          <w:color w:val="auto"/>
        </w:rPr>
      </w:pPr>
    </w:p>
    <w:p>
      <w:pPr>
        <w:ind w:right="60" w:firstLine="509"/>
        <w:spacing w:after="0" w:line="280" w:lineRule="auto"/>
        <w:rPr>
          <w:sz w:val="20"/>
          <w:szCs w:val="20"/>
          <w:color w:val="auto"/>
        </w:rPr>
      </w:pPr>
      <w:r>
        <w:rPr>
          <w:rFonts w:ascii="Arial" w:cs="Arial" w:eastAsia="Arial" w:hAnsi="Arial"/>
          <w:sz w:val="13"/>
          <w:szCs w:val="13"/>
          <w:color w:val="auto"/>
        </w:rPr>
        <w:t>For information stored with our third-party contractors, we rely upon, and the integrity and confidentiality of such information is dependent upon, the risk mitigation efforts such third-party contractors have in place. Cyber-attacks have become more prevalent and much harder to detect and defend against. Our and our third-party contractors’ respective network and storage applications may be subject to unauthorized access by hackers or breached due to operator error, malfeasance or other system disruptions. We might not anticipate or immediately detect such incidents and the damage caused by such incidents. System failures, data breaches and any unauthorized access or disclosure of our information or intellectual property could compromise our intellectual property and expose sensitive business information. System failures or accidents or security breaches could cause interruptions in our operations, and could result in a material disruption of our research and development activities and business operations, in addition to possibly requiring substantial expenditures of resources to remedy. Moreover, if a breach of our security or that of our vendors occurs, the market perception of the effectiveness of our security measures could be harmed and our reputation could be damaged.</w:t>
      </w:r>
    </w:p>
    <w:p>
      <w:pPr>
        <w:spacing w:after="0" w:line="137" w:lineRule="exact"/>
        <w:rPr>
          <w:sz w:val="20"/>
          <w:szCs w:val="20"/>
          <w:color w:val="auto"/>
        </w:rPr>
      </w:pPr>
    </w:p>
    <w:p>
      <w:pPr>
        <w:ind w:firstLine="509"/>
        <w:spacing w:after="0" w:line="282" w:lineRule="auto"/>
        <w:rPr>
          <w:sz w:val="20"/>
          <w:szCs w:val="20"/>
          <w:color w:val="auto"/>
        </w:rPr>
      </w:pPr>
      <w:r>
        <w:rPr>
          <w:rFonts w:ascii="Arial" w:cs="Arial" w:eastAsia="Arial" w:hAnsi="Arial"/>
          <w:sz w:val="13"/>
          <w:szCs w:val="13"/>
          <w:color w:val="auto"/>
        </w:rPr>
        <w:t>A data security breach could also lead to unauthorized exposure of personal information of our clinical trial participants, our employees or others. Cyber-attacks and the measures we implement to prevent, detect, and respond to them could cause us to incur significant remediation costs, result in product development delays, disrupt key business operations, expose us to contractual damages and/or regulatory liability, require us to make certain breach notifications, divert the attention of our management and key information technology resources, harm our reputation and deter patients, clinical investigators or other business collaborators from participating in our clinical trials or otherwise working with us. Any loss of preclinical data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public disclosure of confidential or proprietary information, we could incur liability and our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2"/>
          <w:szCs w:val="12"/>
          <w:color w:val="auto"/>
        </w:rPr>
        <w:t>product development and commercialization efforts could be delayed. In addition, we may not have adequate insurance coverage to provide compensation for any losses associated with such events.</w:t>
      </w:r>
    </w:p>
    <w:p>
      <w:pPr>
        <w:spacing w:after="0" w:line="202" w:lineRule="exact"/>
        <w:rPr>
          <w:sz w:val="20"/>
          <w:szCs w:val="20"/>
          <w:color w:val="auto"/>
        </w:rPr>
      </w:pPr>
    </w:p>
    <w:p>
      <w:pPr>
        <w:ind w:right="120"/>
        <w:spacing w:after="0" w:line="321" w:lineRule="auto"/>
        <w:rPr>
          <w:sz w:val="20"/>
          <w:szCs w:val="20"/>
          <w:color w:val="auto"/>
        </w:rPr>
      </w:pPr>
      <w:r>
        <w:rPr>
          <w:rFonts w:ascii="Arial" w:cs="Arial" w:eastAsia="Arial" w:hAnsi="Arial"/>
          <w:sz w:val="13"/>
          <w:szCs w:val="13"/>
          <w:b w:val="1"/>
          <w:bCs w:val="1"/>
          <w:i w:val="1"/>
          <w:iCs w:val="1"/>
          <w:color w:val="auto"/>
        </w:rPr>
        <w:t>Compliance with global privacy and data security requirements could result in additional costs and liabilities to us or inhibit our ability to collect and process data in line with our expectations, and the failure to comply with such requirements could have a material adverse effect on our business, financial condition or results of operations.</w:t>
      </w:r>
    </w:p>
    <w:p>
      <w:pPr>
        <w:spacing w:after="0" w:line="109" w:lineRule="exact"/>
        <w:rPr>
          <w:sz w:val="20"/>
          <w:szCs w:val="20"/>
          <w:color w:val="auto"/>
        </w:rPr>
      </w:pPr>
    </w:p>
    <w:p>
      <w:pPr>
        <w:ind w:firstLine="509"/>
        <w:spacing w:after="0" w:line="301" w:lineRule="auto"/>
        <w:rPr>
          <w:sz w:val="20"/>
          <w:szCs w:val="20"/>
          <w:color w:val="auto"/>
        </w:rPr>
      </w:pPr>
      <w:r>
        <w:rPr>
          <w:rFonts w:ascii="Arial" w:cs="Arial" w:eastAsia="Arial" w:hAnsi="Arial"/>
          <w:sz w:val="12"/>
          <w:szCs w:val="12"/>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and those frameworks may not be consistent. For example, the collection, use, disclosure, transfer, or other processing of personal data regarding individuals in the European Union, including personal health data, is subject to the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conducting data protection impact assessments before starting certain processing activities, implementing safeguards to protect the security and confidentiality of personal data, providing notification of data breaches, and taking certain measures when engaging third-party data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also provides certain discretion to individual European member states, and many of them have enacted local legislation implementing the GDPR that differ from one another. The GDPR compliance framework is evolving as data protection authorities enforce applicable requirements and as European courts interpret the GDPR. We are aware that many other countries have enacted or are considering legislation similar to the GDPR.</w:t>
      </w:r>
    </w:p>
    <w:p>
      <w:pPr>
        <w:spacing w:after="0" w:line="130" w:lineRule="exact"/>
        <w:rPr>
          <w:sz w:val="20"/>
          <w:szCs w:val="20"/>
          <w:color w:val="auto"/>
        </w:rPr>
      </w:pPr>
    </w:p>
    <w:p>
      <w:pPr>
        <w:ind w:right="20" w:firstLine="509"/>
        <w:spacing w:after="0" w:line="255" w:lineRule="auto"/>
        <w:rPr>
          <w:sz w:val="20"/>
          <w:szCs w:val="20"/>
          <w:color w:val="auto"/>
        </w:rPr>
      </w:pPr>
      <w:r>
        <w:rPr>
          <w:rFonts w:ascii="Arial" w:cs="Arial" w:eastAsia="Arial" w:hAnsi="Arial"/>
          <w:sz w:val="14"/>
          <w:szCs w:val="14"/>
          <w:color w:val="auto"/>
        </w:rPr>
        <w:t>Similar actions are either in place or under way in the United States. There are a broad variety of data protection laws that are applicable to our activities, and a wide range of enforcement agencies at both the state and federal levels with the authority to review our privacy and data security practices based on general consumer protection laws. The Federal Trade Commission and state Attorneys General have been increasingly active in reviewing companies' privacy and data security practices in relation to consumer information. New legislation and regulations are also being considered at both the state and federal levels. For example, the California Consumer Privacy Act, or the CCPA, which went into effect on January 1, 2020, is creating similar risks and obligations as those created by GDPR, although the CCPA exempts certain information collected as part of a clinical trial that is subject to the Federal Policy for the Protection of Human Subjects (the Common Rule). The New York SHIELD Act, which became fully effective in March 2020, imposes certain data security and data breach notification requirements on organizations that collect personal information of New York residents.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We also may be subject to consumer class action litigation related to alleged noncompliance with these laws. Even if we are not determined to have violated these laws, responding to government investigations and/or consumer litigation in these areas typically requires the expenditure of significant resources and has the potential to generate negative publicity, which could harm our reputation and our business.</w:t>
      </w:r>
    </w:p>
    <w:p>
      <w:pPr>
        <w:spacing w:after="0" w:line="155" w:lineRule="exact"/>
        <w:rPr>
          <w:sz w:val="20"/>
          <w:szCs w:val="20"/>
          <w:color w:val="auto"/>
        </w:rPr>
      </w:pPr>
    </w:p>
    <w:p>
      <w:pPr>
        <w:ind w:right="60" w:firstLine="509"/>
        <w:spacing w:after="0" w:line="280" w:lineRule="auto"/>
        <w:rPr>
          <w:sz w:val="20"/>
          <w:szCs w:val="20"/>
          <w:color w:val="auto"/>
        </w:rPr>
      </w:pPr>
      <w:r>
        <w:rPr>
          <w:rFonts w:ascii="Arial" w:cs="Arial" w:eastAsia="Arial" w:hAnsi="Arial"/>
          <w:sz w:val="13"/>
          <w:szCs w:val="13"/>
          <w:color w:val="auto"/>
        </w:rPr>
        <w:t>Given the breadth and depth of changes in data protection obligations, preparing for and complying with these requirements has required and will continue to require significant time, resources and a review of our technologies, systems and practices, as well as those of any third-party collaborators, service providers, contractors or consultants that process or transfer personal data. The GDPR and other changes in laws or regulations associated with the enhanced protection of certain types of sensitive data, such as healthcare data or other personal information from our clinical trials, has resulted in certain changes to our business practices, such as additional consideration given to the GDPR and other relevant data protection laws in setting up clinical trial agreements and informed consent forms for our GATHER2 trial, and may require further changes to our business practices. Any non-compliance by us or our employees, consultants or contractors with the GDPR or other data protection laws could lead to setbacks in the development or approval of our product candidates, government enforcement actions, private litigation, significant fines and penalties, or reputational harm and could have a material adverse effect on our business, financial condition or results of operations.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Regulatory Approval and Marketing of our Product Candidates and Other Legal Compliance Matters</w:t>
      </w:r>
    </w:p>
    <w:p>
      <w:pPr>
        <w:spacing w:after="0" w:line="183"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would be materially impaired.</w:t>
      </w:r>
    </w:p>
    <w:p>
      <w:pPr>
        <w:spacing w:after="0" w:line="142" w:lineRule="exact"/>
        <w:rPr>
          <w:sz w:val="20"/>
          <w:szCs w:val="20"/>
          <w:color w:val="auto"/>
        </w:rPr>
      </w:pPr>
    </w:p>
    <w:p>
      <w:pPr>
        <w:jc w:val="both"/>
        <w:ind w:right="280" w:firstLine="509"/>
        <w:spacing w:after="0" w:line="267" w:lineRule="auto"/>
        <w:rPr>
          <w:sz w:val="20"/>
          <w:szCs w:val="20"/>
          <w:color w:val="auto"/>
        </w:rPr>
      </w:pPr>
      <w:r>
        <w:rPr>
          <w:rFonts w:ascii="Arial" w:cs="Arial" w:eastAsia="Arial" w:hAnsi="Arial"/>
          <w:sz w:val="14"/>
          <w:szCs w:val="14"/>
          <w:color w:val="auto"/>
        </w:rPr>
        <w:t>Our product candidates and the activities associated with their development and commercialization, including their design, testing, manufacture, safety, efficacy, recordkeeping, labeling, storage, approval, advertising, promotion, sale and distribution and import and export, are subject to comprehensive regulation by the FDA, the EMA and comparable regulatory agencies in other countries.</w:t>
      </w:r>
    </w:p>
    <w:p>
      <w:pPr>
        <w:spacing w:after="0" w:line="142" w:lineRule="exact"/>
        <w:rPr>
          <w:sz w:val="20"/>
          <w:szCs w:val="20"/>
          <w:color w:val="auto"/>
        </w:rPr>
      </w:pPr>
    </w:p>
    <w:p>
      <w:pPr>
        <w:ind w:right="20" w:firstLine="509"/>
        <w:spacing w:after="0" w:line="279" w:lineRule="auto"/>
        <w:rPr>
          <w:sz w:val="20"/>
          <w:szCs w:val="20"/>
          <w:color w:val="auto"/>
        </w:rPr>
      </w:pPr>
      <w:r>
        <w:rPr>
          <w:rFonts w:ascii="Arial" w:cs="Arial" w:eastAsia="Arial" w:hAnsi="Arial"/>
          <w:sz w:val="13"/>
          <w:szCs w:val="13"/>
          <w:color w:val="auto"/>
        </w:rPr>
        <w:t>In general, the FDA and similar regulatory authorities outside the United States require two adequate and well-controlled clinical trials demonstrating safety and effectiveness for marketing approval for an ophthalmic pharmaceutical product.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expect to rely upon third-party CROs to assist us in this process. Securing marketing approval requires obtaining positive safety and efficacy data from required clinical trials, as well as the submission of extensive preclinical and clinical data and supporting information to regulatory authorities for each indication to establish the product candidate’s safety and efficacy. Securing marketing approval also requires the submission of information about the product manufacturing processes to, and inspection of manufacturing facilities by, the relevant regulatory authorities. The FDA or other regulatory authorities may determine that a product candidate that we may develop is not effective, is only moderately effective or has undesirable or unintended side effects, toxicities or other characteristics that preclude our obtaining marketing approval or prevent or limit commercial use.</w:t>
      </w:r>
    </w:p>
    <w:p>
      <w:pPr>
        <w:spacing w:after="0" w:line="138" w:lineRule="exact"/>
        <w:rPr>
          <w:sz w:val="20"/>
          <w:szCs w:val="20"/>
          <w:color w:val="auto"/>
        </w:rPr>
      </w:pPr>
    </w:p>
    <w:p>
      <w:pPr>
        <w:ind w:right="20" w:firstLine="509"/>
        <w:spacing w:after="0" w:line="282" w:lineRule="auto"/>
        <w:rPr>
          <w:sz w:val="20"/>
          <w:szCs w:val="20"/>
          <w:color w:val="auto"/>
        </w:rPr>
      </w:pPr>
      <w:r>
        <w:rPr>
          <w:rFonts w:ascii="Arial" w:cs="Arial" w:eastAsia="Arial" w:hAnsi="Arial"/>
          <w:sz w:val="13"/>
          <w:szCs w:val="13"/>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34"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Marketing approval of novel product candidates such as Zimura and our gene therapy product candidates manufactured using novel manufacturing processes can be more expensive and take longer than for other, more well-known or extensively studied pharmaceutical or biopharmaceutical products, due to regulatory agencies’ lack of experience with them. We believe that the FDA has only granted marketing approval for one aptamer product and two gene replacement products to date. This lack of experience may lengthen the regulatory review process, require us to conduct additional non-clinical studies or clinical trials, increase our development costs, lead to changes in regulatory positions and interpretations, delay or prevent approval and commercialization of these product candidates or lead to significant post-approval limitations or restrictions.</w:t>
      </w:r>
    </w:p>
    <w:p>
      <w:pPr>
        <w:spacing w:after="0" w:line="146" w:lineRule="exact"/>
        <w:rPr>
          <w:sz w:val="20"/>
          <w:szCs w:val="20"/>
          <w:color w:val="auto"/>
        </w:rPr>
      </w:pPr>
    </w:p>
    <w:p>
      <w:pPr>
        <w:ind w:right="560" w:firstLine="509"/>
        <w:spacing w:after="0" w:line="281" w:lineRule="auto"/>
        <w:rPr>
          <w:sz w:val="20"/>
          <w:szCs w:val="20"/>
          <w:color w:val="auto"/>
        </w:rPr>
      </w:pPr>
      <w:r>
        <w:rPr>
          <w:rFonts w:ascii="Arial" w:cs="Arial" w:eastAsia="Arial" w:hAnsi="Arial"/>
          <w:sz w:val="14"/>
          <w:szCs w:val="14"/>
          <w:color w:val="auto"/>
        </w:rPr>
        <w:t>Accordingly, if we or our collaborators experience delays in obtaining approval or if we fail to obtain approval of our product candidates, the commercial prospects for such product candidate may be harmed and our ability to generate revenues would be materially impaired.</w:t>
      </w:r>
    </w:p>
    <w:p>
      <w:pPr>
        <w:spacing w:after="0" w:line="132"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Failure to obtain marketing approval in foreign jurisdictions would prevent our product candidates from being marketed in such jurisdictions. The approval requirements in foreign jurisdictions may differ significantly from those in the United States.</w:t>
      </w:r>
    </w:p>
    <w:p>
      <w:pPr>
        <w:spacing w:after="0" w:line="132" w:lineRule="exact"/>
        <w:rPr>
          <w:sz w:val="20"/>
          <w:szCs w:val="20"/>
          <w:color w:val="auto"/>
        </w:rPr>
      </w:pPr>
    </w:p>
    <w:p>
      <w:pPr>
        <w:ind w:right="20" w:firstLine="509"/>
        <w:spacing w:after="0" w:line="288" w:lineRule="auto"/>
        <w:rPr>
          <w:sz w:val="20"/>
          <w:szCs w:val="20"/>
          <w:color w:val="auto"/>
        </w:rPr>
      </w:pPr>
      <w:r>
        <w:rPr>
          <w:rFonts w:ascii="Arial" w:cs="Arial" w:eastAsia="Arial" w:hAnsi="Arial"/>
          <w:sz w:val="13"/>
          <w:szCs w:val="13"/>
          <w:color w:val="auto"/>
        </w:rPr>
        <w:t>In order to market and sell our product candidates in the European Union and many other jurisdictions, we or our third-party commercialization partners must obtain separate marketing approvals and comply with numerous and varying regulatory requirements. The approval procedure varies among countries and can involve additional preclinical or clinical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product can be approved for sale in that country. We or our third-party commercialization partners may not obtain marketing and/or reimbursement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and our third-party commercialization partners may not be able to file for marketing approvals and may not receive necessary approvals to commercialize our products in any market.</w:t>
      </w:r>
    </w:p>
    <w:p>
      <w:pPr>
        <w:spacing w:after="0" w:line="146"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In June 2016, the electorate in the United Kingdom, or UK, voted in favor of leaving the European Union, commonly referred to as “Brexit”. Following protracted negotiations, the UK left the European Union on January 31, 2020. There is a transitional period until December 31, 2020, and the UK government and the European Union are attempting to agree to long-term trade and other agreements. Since the existing regulatory framework for pharmaceutical products in the UK is derived from European Union directives and regulations, Brexit could materially impact the future regulatory regime for pharmaceutical products in the UK, which remains uncertain.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51"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b w:val="1"/>
          <w:bCs w:val="1"/>
          <w:i w:val="1"/>
          <w:iCs w:val="1"/>
          <w:color w:val="auto"/>
        </w:rPr>
        <w:t>A fast track designation or grant of priority review status by the FDA may not actually lead to a faster development or regulatory review or approval process. The FDA may withdraw fast track designation if it believes that the designation is no longer supported by data from our clinical development program.</w:t>
      </w:r>
    </w:p>
    <w:p>
      <w:pPr>
        <w:spacing w:after="0" w:line="132" w:lineRule="exact"/>
        <w:rPr>
          <w:sz w:val="20"/>
          <w:szCs w:val="20"/>
          <w:color w:val="auto"/>
        </w:rPr>
      </w:pPr>
    </w:p>
    <w:p>
      <w:pPr>
        <w:ind w:right="40" w:firstLine="509"/>
        <w:spacing w:after="0" w:line="257" w:lineRule="auto"/>
        <w:rPr>
          <w:sz w:val="20"/>
          <w:szCs w:val="20"/>
          <w:color w:val="auto"/>
        </w:rPr>
      </w:pPr>
      <w:r>
        <w:rPr>
          <w:rFonts w:ascii="Arial" w:cs="Arial" w:eastAsia="Arial" w:hAnsi="Arial"/>
          <w:sz w:val="14"/>
          <w:szCs w:val="14"/>
          <w:color w:val="auto"/>
        </w:rPr>
        <w:t>The FDA may designate a product for fast track review if it is intended, whether alone or in combination with one or more other products, for the treatment of a serious or life-threatening disease or condition, and if the product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51" w:lineRule="exact"/>
        <w:rPr>
          <w:sz w:val="20"/>
          <w:szCs w:val="20"/>
          <w:color w:val="auto"/>
        </w:rPr>
      </w:pPr>
    </w:p>
    <w:p>
      <w:pPr>
        <w:ind w:right="80" w:firstLine="509"/>
        <w:spacing w:after="0" w:line="260" w:lineRule="auto"/>
        <w:rPr>
          <w:sz w:val="20"/>
          <w:szCs w:val="20"/>
          <w:color w:val="auto"/>
        </w:rPr>
      </w:pPr>
      <w:r>
        <w:rPr>
          <w:rFonts w:ascii="Arial" w:cs="Arial" w:eastAsia="Arial" w:hAnsi="Arial"/>
          <w:sz w:val="14"/>
          <w:szCs w:val="14"/>
          <w:color w:val="auto"/>
        </w:rPr>
        <w:t>In April 2020, the FDA granted fast track designation to Zimura for the treatment of GA secondary to dry AMD. Even though Zimura has received fast track designation, we must continue to follow the requirements of the program in order to maintain the fast track designation, and even if we maintain the designation, we may not ultimately experience a faster development process, review or approval compared to conventional FDA procedures. The FDA's grant of fast track designation to Zimura for the treatment of GA secondary to dry AMD does not imply that the FDA will grant fast track designation to Zimura for another indication, such as STGD1, or that the FDA will grant fast track designation for any of our other product candidates, if we choose to apply for fast track designation.</w:t>
      </w:r>
    </w:p>
    <w:p>
      <w:pPr>
        <w:spacing w:after="0" w:line="146"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would receive marketing approval.</w:t>
      </w:r>
    </w:p>
    <w:p>
      <w:pPr>
        <w:spacing w:after="0" w:line="132" w:lineRule="exact"/>
        <w:rPr>
          <w:sz w:val="20"/>
          <w:szCs w:val="20"/>
          <w:color w:val="auto"/>
        </w:rPr>
      </w:pPr>
    </w:p>
    <w:p>
      <w:pPr>
        <w:ind w:right="40" w:firstLine="509"/>
        <w:spacing w:after="0" w:line="282" w:lineRule="auto"/>
        <w:rPr>
          <w:sz w:val="20"/>
          <w:szCs w:val="20"/>
          <w:color w:val="auto"/>
        </w:rPr>
      </w:pPr>
      <w:r>
        <w:rPr>
          <w:rFonts w:ascii="Arial" w:cs="Arial" w:eastAsia="Arial" w:hAnsi="Arial"/>
          <w:sz w:val="13"/>
          <w:szCs w:val="13"/>
          <w:color w:val="auto"/>
        </w:rPr>
        <w:t>In 2012, Congress enacted the Food and Drug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34" w:lineRule="exact"/>
        <w:rPr>
          <w:sz w:val="20"/>
          <w:szCs w:val="20"/>
          <w:color w:val="auto"/>
        </w:rPr>
      </w:pPr>
    </w:p>
    <w:p>
      <w:pPr>
        <w:ind w:right="40" w:firstLine="509"/>
        <w:spacing w:after="0" w:line="267" w:lineRule="auto"/>
        <w:rPr>
          <w:sz w:val="20"/>
          <w:szCs w:val="20"/>
          <w:color w:val="auto"/>
        </w:rPr>
      </w:pPr>
      <w:r>
        <w:rPr>
          <w:rFonts w:ascii="Arial" w:cs="Arial" w:eastAsia="Arial" w:hAnsi="Arial"/>
          <w:sz w:val="14"/>
          <w:szCs w:val="14"/>
          <w:color w:val="auto"/>
        </w:rPr>
        <w:t>Designation as a breakthrough therapy is within the discretion of the FDA. Accordingly, even if we believe one of our product candidates meets the criteria for designation as a breakthrough therapy, the FDA may disagree and instead decide not to make such designation. In any event, the receipt of a breakthrough therapy designation for a product candidate may not result in a faster development process, review or approval compared to drugs considered for approval under conventional FDA</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520"/>
        <w:spacing w:after="0" w:line="281" w:lineRule="auto"/>
        <w:rPr>
          <w:sz w:val="20"/>
          <w:szCs w:val="20"/>
          <w:color w:val="auto"/>
        </w:rPr>
      </w:pPr>
      <w:r>
        <w:rPr>
          <w:rFonts w:ascii="Arial" w:cs="Arial" w:eastAsia="Arial" w:hAnsi="Arial"/>
          <w:sz w:val="14"/>
          <w:szCs w:val="14"/>
          <w:color w:val="auto"/>
        </w:rPr>
        <w:t>procedures and does not ensure ultimate approval by the FDA. In addition, even if one or more of our product candidates qualify as breakthrough therapies, the FDA may later decide that the products no longer meet the conditions for qualification or that the time period for FDA review or approval will not be shortened.</w:t>
      </w:r>
    </w:p>
    <w:p>
      <w:pPr>
        <w:spacing w:after="0" w:line="132"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b w:val="1"/>
          <w:bCs w:val="1"/>
          <w:i w:val="1"/>
          <w:iCs w:val="1"/>
          <w:color w:val="auto"/>
        </w:rPr>
        <w:t>We currently do not have orphan drug designations or orphan drug exclusivity for any product candidate. If our competitors are able to obtain orphan drug exclusivity for products that constitute the same or similar drug and treat the same indications as our product candidates, we may not be able to have our product candidates approved by the applicable regulatory authority for a significant period of time.</w:t>
      </w:r>
    </w:p>
    <w:p>
      <w:pPr>
        <w:spacing w:after="0" w:line="142" w:lineRule="exact"/>
        <w:rPr>
          <w:sz w:val="20"/>
          <w:szCs w:val="20"/>
          <w:color w:val="auto"/>
        </w:rPr>
      </w:pPr>
    </w:p>
    <w:p>
      <w:pPr>
        <w:ind w:right="40" w:firstLine="509"/>
        <w:spacing w:after="0" w:line="241" w:lineRule="auto"/>
        <w:rPr>
          <w:sz w:val="20"/>
          <w:szCs w:val="20"/>
          <w:color w:val="auto"/>
        </w:rPr>
      </w:pPr>
      <w:r>
        <w:rPr>
          <w:rFonts w:ascii="Arial" w:cs="Arial" w:eastAsia="Arial" w:hAnsi="Arial"/>
          <w:sz w:val="14"/>
          <w:szCs w:val="14"/>
          <w:color w:val="auto"/>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and that there exists no satisfactory method of diagnosis, prevention or treatment of the condition in question that has been authorized in the European Community or, if such method exists, that the medicinal product will be of significant benefit to those affected by that condition.</w:t>
      </w:r>
    </w:p>
    <w:p>
      <w:pPr>
        <w:spacing w:after="0" w:line="152" w:lineRule="exact"/>
        <w:rPr>
          <w:sz w:val="20"/>
          <w:szCs w:val="20"/>
          <w:color w:val="auto"/>
        </w:rPr>
      </w:pPr>
    </w:p>
    <w:p>
      <w:pPr>
        <w:jc w:val="both"/>
        <w:ind w:right="100" w:firstLine="509"/>
        <w:spacing w:after="0" w:line="288" w:lineRule="auto"/>
        <w:rPr>
          <w:sz w:val="20"/>
          <w:szCs w:val="20"/>
          <w:color w:val="auto"/>
        </w:rPr>
      </w:pPr>
      <w:r>
        <w:rPr>
          <w:rFonts w:ascii="Arial" w:cs="Arial" w:eastAsia="Arial" w:hAnsi="Arial"/>
          <w:sz w:val="13"/>
          <w:szCs w:val="13"/>
          <w:color w:val="auto"/>
        </w:rPr>
        <w:t>If we request orphan drug designation for any of our product candidates in one or more indications, there can be no assurances that the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31" w:lineRule="exact"/>
        <w:rPr>
          <w:sz w:val="20"/>
          <w:szCs w:val="20"/>
          <w:color w:val="auto"/>
        </w:rPr>
      </w:pPr>
    </w:p>
    <w:p>
      <w:pPr>
        <w:ind w:firstLine="509"/>
        <w:spacing w:after="0" w:line="278" w:lineRule="auto"/>
        <w:rPr>
          <w:sz w:val="20"/>
          <w:szCs w:val="20"/>
          <w:color w:val="auto"/>
        </w:rPr>
      </w:pPr>
      <w:r>
        <w:rPr>
          <w:rFonts w:ascii="Arial" w:cs="Arial" w:eastAsia="Arial" w:hAnsi="Arial"/>
          <w:sz w:val="13"/>
          <w:szCs w:val="13"/>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during that marketing exclusivity period from approving another marketing application for a product that constitutes the same or similar drug treating the same indication, except in limited circumstances. If another sponsor receives such approval before we do, regardless of our orphan drug designation, we may be precluded from receiving marketing approval for our product candidate during the applicable exclusivity period. The applicable period is seven years in the United States and 10 years in the European Union. The exclusivity period in the United States can be extended by six months if the sponsor submits pediatric data that fairly respond to a written request from the FDA for such data. In the European Union, the exclusivity period can be extended by two years following the completion of an agreed pediatric investigation plan. The exclusivity period in the European Union can be reduced to six years if a product no longer meets the criteria for orphan drug designation or if the product is sufficiently profitable so that market exclusivity is no longer justified. Orphan drug exclusivity may be revoked, or a competing sponsor may be allowed on the market, if any regulatory agency determines that the request for designation was materially defective or if the sponsor having orphan drug exclusivity is unable to assure sufficient quantity of the product to meet the needs of patients with the rare disease or condition.</w:t>
      </w:r>
    </w:p>
    <w:p>
      <w:pPr>
        <w:spacing w:after="0" w:line="139" w:lineRule="exact"/>
        <w:rPr>
          <w:sz w:val="20"/>
          <w:szCs w:val="20"/>
          <w:color w:val="auto"/>
        </w:rPr>
      </w:pPr>
    </w:p>
    <w:p>
      <w:pPr>
        <w:ind w:right="40" w:firstLine="509"/>
        <w:spacing w:after="0" w:line="258" w:lineRule="auto"/>
        <w:rPr>
          <w:sz w:val="20"/>
          <w:szCs w:val="20"/>
          <w:color w:val="auto"/>
        </w:rPr>
      </w:pPr>
      <w:r>
        <w:rPr>
          <w:rFonts w:ascii="Arial" w:cs="Arial" w:eastAsia="Arial" w:hAnsi="Arial"/>
          <w:sz w:val="14"/>
          <w:szCs w:val="14"/>
          <w:color w:val="auto"/>
        </w:rPr>
        <w:t>Even if we obtain orphan drug exclusivity for a product candidate, that exclusivity may not effectively protect the product candidate from competition because a competing sponsor's drug could nevertheless be approved for the same condition if certain requirements are met. In the United States, even after an orphan drug is approved, the FDA may subsequently approve another drug for the same condition if the FDA concludes that the later drug is not the same drug or is clinically superior in that it is shown to be safer, more effective or makes a major contribution to patient care. In particular, the concept of what constitutes the "same drug" for purposes of orphan drug exclusivity remains in flux in the context of gene therapies, and the FDA has issued draft guidance suggesting that it would not consider two gene therapy products to be different drugs solely based on minor differences in the transgenes or vectors. In the European Union, marketing authorization may be granted to a similar medicinal product for the same orphan indication if:</w:t>
      </w:r>
    </w:p>
    <w:p>
      <w:pPr>
        <w:spacing w:after="0" w:line="171" w:lineRule="exact"/>
        <w:rPr>
          <w:sz w:val="20"/>
          <w:szCs w:val="20"/>
          <w:color w:val="auto"/>
        </w:rPr>
      </w:pPr>
    </w:p>
    <w:p>
      <w:pPr>
        <w:ind w:left="760" w:right="120" w:hanging="246"/>
        <w:spacing w:after="0" w:line="281" w:lineRule="auto"/>
        <w:tabs>
          <w:tab w:leader="none" w:pos="756"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second applicant can establish in its application that its medicinal product, although similar to the orphan medicinal product already authorized, is safer, more effective or otherwise clinically superior;</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holder of the marketing authorization for the original orphan medicinal product consents to a second orphan medicinal product application; or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left="760" w:hanging="246"/>
        <w:spacing w:after="0"/>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holder of the marketing authorization for the original orphan medicinal product cannot supply sufficient quantities of the orphan medicinal product.</w:t>
      </w:r>
    </w:p>
    <w:p>
      <w:pPr>
        <w:spacing w:after="0" w:line="179" w:lineRule="exact"/>
        <w:rPr>
          <w:sz w:val="20"/>
          <w:szCs w:val="20"/>
          <w:color w:val="auto"/>
        </w:rPr>
      </w:pPr>
    </w:p>
    <w:p>
      <w:pPr>
        <w:ind w:right="320"/>
        <w:spacing w:after="0" w:line="331" w:lineRule="auto"/>
        <w:rPr>
          <w:sz w:val="20"/>
          <w:szCs w:val="20"/>
          <w:color w:val="auto"/>
        </w:rPr>
      </w:pPr>
      <w:r>
        <w:rPr>
          <w:rFonts w:ascii="Arial" w:cs="Arial" w:eastAsia="Arial" w:hAnsi="Arial"/>
          <w:sz w:val="12"/>
          <w:szCs w:val="12"/>
          <w:b w:val="1"/>
          <w:bCs w:val="1"/>
          <w:i w:val="1"/>
          <w:iCs w:val="1"/>
          <w:color w:val="auto"/>
        </w:rPr>
        <w:t>Any product candidate for which we obtain marketing approval could be subject to post-marketing restrictions or withdrawal from the market and we or our third-party commercialization partners may be subject to penalties if we or our third-party commercialization partners or our or their manufacturers fail to comply with regulatory requirements or if we or our third-party commercialization partners or our or their manufacturers experience unanticipated problems with our products, when and if any of them are approved.</w:t>
      </w:r>
    </w:p>
    <w:p>
      <w:pPr>
        <w:spacing w:after="0" w:line="108" w:lineRule="exact"/>
        <w:rPr>
          <w:sz w:val="20"/>
          <w:szCs w:val="20"/>
          <w:color w:val="auto"/>
        </w:rPr>
      </w:pPr>
    </w:p>
    <w:p>
      <w:pPr>
        <w:ind w:firstLine="509"/>
        <w:spacing w:after="0" w:line="282" w:lineRule="auto"/>
        <w:rPr>
          <w:sz w:val="20"/>
          <w:szCs w:val="20"/>
          <w:color w:val="auto"/>
        </w:rPr>
      </w:pPr>
      <w:r>
        <w:rPr>
          <w:rFonts w:ascii="Arial" w:cs="Arial" w:eastAsia="Arial" w:hAnsi="Arial"/>
          <w:sz w:val="13"/>
          <w:szCs w:val="13"/>
          <w:color w:val="auto"/>
        </w:rPr>
        <w:t>Any product candidate for which we or our commercialization partners obtain marketing approval, along with the manufacturing processes, post-approval clinical data, labeling, advertising and promotional activities for such product, will be subject to the continued requirements of and review by the FDA and other regulatory authorities. These requirements include submissions of safety and other post-marketing information and reports, registration and listing requirements, cGMP requirements relating to manufacturing, quality control and quality assurance, complaints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may be subject to significant conditions of approval or contain requirements for costly post-marketing testing and surveillance to monitor the safety or efficacy of the medicine, including the requirement to implement a risk evaluation and mitigation strategy.</w:t>
      </w:r>
    </w:p>
    <w:p>
      <w:pPr>
        <w:spacing w:after="0" w:line="134"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The FDA and other agencies, including the Department of Justice, or the DOJ, closely regulate and monitor the post-approval marketing and promotion of products to ensure that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 care fraud and abuse laws, as well as state consumer protection laws.</w:t>
      </w:r>
    </w:p>
    <w:p>
      <w:pPr>
        <w:spacing w:after="0" w:line="146" w:lineRule="exact"/>
        <w:rPr>
          <w:sz w:val="20"/>
          <w:szCs w:val="20"/>
          <w:color w:val="auto"/>
        </w:rPr>
      </w:pPr>
    </w:p>
    <w:p>
      <w:pPr>
        <w:ind w:right="380" w:firstLine="509"/>
        <w:spacing w:after="0" w:line="281" w:lineRule="auto"/>
        <w:rPr>
          <w:sz w:val="20"/>
          <w:szCs w:val="20"/>
          <w:color w:val="auto"/>
        </w:rPr>
      </w:pPr>
      <w:r>
        <w:rPr>
          <w:rFonts w:ascii="Arial" w:cs="Arial" w:eastAsia="Arial" w:hAnsi="Arial"/>
          <w:sz w:val="14"/>
          <w:szCs w:val="14"/>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153" w:lineRule="exact"/>
        <w:rPr>
          <w:sz w:val="20"/>
          <w:szCs w:val="20"/>
          <w:color w:val="auto"/>
        </w:rPr>
      </w:pPr>
    </w:p>
    <w:p>
      <w:pPr>
        <w:ind w:left="760" w:hanging="246"/>
        <w:spacing w:after="0"/>
        <w:tabs>
          <w:tab w:leader="none" w:pos="7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restrictions on such products, manufacturers or manufacturing processes;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restrictions on the labeling or marketing of a product;</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restrictions on distribution or use of a product;</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requirements to conduct post-marketing studies or clinical trials;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warning letters or untitled letters;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refusal to approve pending applications or supplements to approved applications that we submit;</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recall of products;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damage to relationships with any potential collaborators;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unfavorable press coverage and damage to our reputation;</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fines, restitution or disgorgement of profits or revenues;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suspension or withdrawal of marketing approvals;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refusal to permit the import or export of our products;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product seizure;</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injunctions or the imposition of civil or criminal penalties; 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left="760" w:hanging="246"/>
        <w:spacing w:after="0"/>
        <w:tabs>
          <w:tab w:leader="none" w:pos="7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litigation involving patients using our products.</w:t>
      </w:r>
    </w:p>
    <w:p>
      <w:pPr>
        <w:spacing w:after="0" w:line="179" w:lineRule="exact"/>
        <w:rPr>
          <w:sz w:val="20"/>
          <w:szCs w:val="20"/>
          <w:color w:val="auto"/>
        </w:rPr>
      </w:pPr>
    </w:p>
    <w:p>
      <w:pPr>
        <w:ind w:right="420" w:firstLine="509"/>
        <w:spacing w:after="0" w:line="281" w:lineRule="auto"/>
        <w:rPr>
          <w:sz w:val="20"/>
          <w:szCs w:val="20"/>
          <w:color w:val="auto"/>
        </w:rPr>
      </w:pPr>
      <w:r>
        <w:rPr>
          <w:rFonts w:ascii="Arial" w:cs="Arial" w:eastAsia="Arial" w:hAnsi="Arial"/>
          <w:sz w:val="14"/>
          <w:szCs w:val="14"/>
          <w:color w:val="auto"/>
        </w:rPr>
        <w:t>Non-compliance with European Union requirements regarding safety monitoring or pharmacovigilance, and with requirements related to the development of products for the pediatric population, can also result in significant financial penalties.</w:t>
      </w:r>
    </w:p>
    <w:p>
      <w:pPr>
        <w:spacing w:after="0" w:line="132" w:lineRule="exact"/>
        <w:rPr>
          <w:sz w:val="20"/>
          <w:szCs w:val="20"/>
          <w:color w:val="auto"/>
        </w:rPr>
      </w:pPr>
    </w:p>
    <w:p>
      <w:pPr>
        <w:jc w:val="both"/>
        <w:ind w:right="220"/>
        <w:spacing w:after="0" w:line="267" w:lineRule="auto"/>
        <w:rPr>
          <w:sz w:val="20"/>
          <w:szCs w:val="20"/>
          <w:color w:val="auto"/>
        </w:rPr>
      </w:pPr>
      <w:r>
        <w:rPr>
          <w:rFonts w:ascii="Arial" w:cs="Arial" w:eastAsia="Arial" w:hAnsi="Arial"/>
          <w:sz w:val="14"/>
          <w:szCs w:val="14"/>
          <w:b w:val="1"/>
          <w:bCs w:val="1"/>
          <w:i w:val="1"/>
          <w:iCs w:val="1"/>
          <w:color w:val="auto"/>
        </w:rPr>
        <w:t>Our and our potential commercialization partners’ relationships with customers and third-party payors will be subject to applicable anti-kickback, fraud and abuse and other healthcare laws and regulations, which could expose us and our commercialization partners to criminal sanctions, civil penalties, contractual damages, reputational harm and diminished profits and future earnings.</w:t>
      </w:r>
    </w:p>
    <w:p>
      <w:pPr>
        <w:spacing w:after="0" w:line="142" w:lineRule="exact"/>
        <w:rPr>
          <w:sz w:val="20"/>
          <w:szCs w:val="20"/>
          <w:color w:val="auto"/>
        </w:rPr>
      </w:pPr>
    </w:p>
    <w:p>
      <w:pPr>
        <w:jc w:val="both"/>
        <w:ind w:right="100" w:firstLine="509"/>
        <w:spacing w:after="0" w:line="288" w:lineRule="auto"/>
        <w:rPr>
          <w:sz w:val="20"/>
          <w:szCs w:val="20"/>
          <w:color w:val="auto"/>
        </w:rPr>
      </w:pPr>
      <w:r>
        <w:rPr>
          <w:rFonts w:ascii="Arial" w:cs="Arial" w:eastAsia="Arial" w:hAnsi="Arial"/>
          <w:sz w:val="13"/>
          <w:szCs w:val="13"/>
          <w:color w:val="auto"/>
        </w:rPr>
        <w:t>Healthcare providers, physicians and third-party payors play a primary role in the recommendation and prescription of any product candidates for which we obtain marketing approval. Our future arrangements with healthcare providers, physicians and third-party payors may expose us and our commercialization partners to broadly applicable fraud and abuse and other healthcare laws and regulations that may constrain the business or financial arrangements and relationships through which we and our commercialization partners market, sell and distribute any products for which we or they obtain marketing approval. Restrictions under applicable federal and state healthcare laws and regulations include the following:</w:t>
      </w:r>
    </w:p>
    <w:p>
      <w:pPr>
        <w:spacing w:after="0" w:line="152" w:lineRule="exact"/>
        <w:rPr>
          <w:sz w:val="20"/>
          <w:szCs w:val="20"/>
          <w:color w:val="auto"/>
        </w:rPr>
      </w:pPr>
    </w:p>
    <w:p>
      <w:pPr>
        <w:ind w:left="760" w:right="60" w:hanging="246"/>
        <w:spacing w:after="0" w:line="267" w:lineRule="auto"/>
        <w:tabs>
          <w:tab w:leader="none" w:pos="756"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162" w:lineRule="exact"/>
        <w:rPr>
          <w:rFonts w:ascii="Arial" w:cs="Arial" w:eastAsia="Arial" w:hAnsi="Arial"/>
          <w:sz w:val="14"/>
          <w:szCs w:val="14"/>
          <w:color w:val="auto"/>
        </w:rPr>
      </w:pPr>
    </w:p>
    <w:p>
      <w:pPr>
        <w:ind w:left="760" w:right="80" w:hanging="246"/>
        <w:spacing w:after="0" w:line="262" w:lineRule="auto"/>
        <w:tabs>
          <w:tab w:leader="none" w:pos="756" w:val="left"/>
        </w:tabs>
        <w:numPr>
          <w:ilvl w:val="0"/>
          <w:numId w:val="57"/>
        </w:numPr>
        <w:rPr>
          <w:rFonts w:ascii="Arial" w:cs="Arial" w:eastAsia="Arial" w:hAnsi="Arial"/>
          <w:sz w:val="14"/>
          <w:szCs w:val="14"/>
          <w:color w:val="auto"/>
        </w:rPr>
      </w:pPr>
      <w:r>
        <w:rPr>
          <w:rFonts w:ascii="Arial" w:cs="Arial" w:eastAsia="Arial" w:hAnsi="Arial"/>
          <w:sz w:val="14"/>
          <w:szCs w:val="14"/>
          <w:color w:val="auto"/>
        </w:rPr>
        <w:t xml:space="preserve">the federal False Claims Act imposes criminal and civil penalties, including through civil whistleblower or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a minimum of $11,181 and a maximum of $22,363 per false claim;</w:t>
      </w:r>
    </w:p>
    <w:p>
      <w:pPr>
        <w:spacing w:after="0" w:line="166"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153" w:lineRule="exact"/>
        <w:rPr>
          <w:rFonts w:ascii="Arial" w:cs="Arial" w:eastAsia="Arial" w:hAnsi="Arial"/>
          <w:sz w:val="14"/>
          <w:szCs w:val="14"/>
          <w:color w:val="auto"/>
        </w:rPr>
      </w:pPr>
    </w:p>
    <w:p>
      <w:pPr>
        <w:ind w:left="760" w:right="360" w:hanging="246"/>
        <w:spacing w:after="0" w:line="281" w:lineRule="auto"/>
        <w:tabs>
          <w:tab w:leader="none" w:pos="756" w:val="left"/>
        </w:tabs>
        <w:numPr>
          <w:ilvl w:val="0"/>
          <w:numId w:val="57"/>
        </w:numPr>
        <w:rPr>
          <w:rFonts w:ascii="Arial" w:cs="Arial" w:eastAsia="Arial" w:hAnsi="Arial"/>
          <w:sz w:val="14"/>
          <w:szCs w:val="14"/>
          <w:color w:val="auto"/>
        </w:rPr>
      </w:pPr>
      <w:r>
        <w:rPr>
          <w:rFonts w:ascii="Arial" w:cs="Arial" w:eastAsia="Arial" w:hAnsi="Arial"/>
          <w:sz w:val="14"/>
          <w:szCs w:val="14"/>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153" w:lineRule="exact"/>
        <w:rPr>
          <w:rFonts w:ascii="Arial" w:cs="Arial" w:eastAsia="Arial" w:hAnsi="Arial"/>
          <w:sz w:val="14"/>
          <w:szCs w:val="14"/>
          <w:color w:val="auto"/>
        </w:rPr>
      </w:pPr>
    </w:p>
    <w:p>
      <w:pPr>
        <w:ind w:left="760" w:right="120" w:hanging="246"/>
        <w:spacing w:after="0" w:line="281" w:lineRule="auto"/>
        <w:tabs>
          <w:tab w:leader="none" w:pos="756"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federal Physician Payments Sunshine Act requires certain manufacturers of drugs, medical devices and biological products covered by federal healthcare benefit programs to report payments and other transfers of value to physicians and teaching hospitals; and</w:t>
      </w:r>
    </w:p>
    <w:p>
      <w:pPr>
        <w:spacing w:after="0" w:line="153" w:lineRule="exact"/>
        <w:rPr>
          <w:rFonts w:ascii="Arial" w:cs="Arial" w:eastAsia="Arial" w:hAnsi="Arial"/>
          <w:sz w:val="14"/>
          <w:szCs w:val="14"/>
          <w:color w:val="auto"/>
        </w:rPr>
      </w:pPr>
    </w:p>
    <w:p>
      <w:pPr>
        <w:ind w:left="760" w:right="140" w:hanging="246"/>
        <w:spacing w:after="0" w:line="281" w:lineRule="auto"/>
        <w:tabs>
          <w:tab w:leader="none" w:pos="756" w:val="left"/>
        </w:tabs>
        <w:numPr>
          <w:ilvl w:val="0"/>
          <w:numId w:val="57"/>
        </w:numPr>
        <w:rPr>
          <w:rFonts w:ascii="Arial" w:cs="Arial" w:eastAsia="Arial" w:hAnsi="Arial"/>
          <w:sz w:val="14"/>
          <w:szCs w:val="14"/>
          <w:color w:val="auto"/>
        </w:rPr>
      </w:pPr>
      <w:r>
        <w:rPr>
          <w:rFonts w:ascii="Arial" w:cs="Arial" w:eastAsia="Arial" w:hAnsi="Arial"/>
          <w:sz w:val="14"/>
          <w:szCs w:val="14"/>
          <w:color w:val="auto"/>
        </w:rPr>
        <w:t>analogous state and foreign laws and regulations, such as state anti-kickback and false claims laws and transparency statutes, may apply to sales or marketing arrangements and claims involving healthcare items or services reimbursed by governmental and non-governmental third-party payors, including private insurers.</w:t>
      </w:r>
    </w:p>
    <w:p>
      <w:pPr>
        <w:spacing w:after="0" w:line="132"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such as the GDPR, also govern the privacy and security of health information in some circumstances, many of which differ from HIPAA and each other in significant ways, thus complicating compliance efforts.</w:t>
      </w:r>
    </w:p>
    <w:p>
      <w:pPr>
        <w:spacing w:after="0" w:line="146" w:lineRule="exact"/>
        <w:rPr>
          <w:sz w:val="20"/>
          <w:szCs w:val="20"/>
          <w:color w:val="auto"/>
        </w:rPr>
      </w:pPr>
    </w:p>
    <w:p>
      <w:pPr>
        <w:ind w:right="20" w:firstLine="509"/>
        <w:spacing w:after="0" w:line="288" w:lineRule="auto"/>
        <w:rPr>
          <w:sz w:val="20"/>
          <w:szCs w:val="20"/>
          <w:color w:val="auto"/>
        </w:rPr>
      </w:pPr>
      <w:r>
        <w:rPr>
          <w:rFonts w:ascii="Arial" w:cs="Arial" w:eastAsia="Arial" w:hAnsi="Arial"/>
          <w:sz w:val="13"/>
          <w:szCs w:val="13"/>
          <w:color w:val="auto"/>
        </w:rPr>
        <w:t>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financial results. As our product candidates advance in clinical development, we plan to develop and implement a corporate compliance program to ensure that we will market and sell any future products that we successfully develop in compliance with all applicable laws and regulations, but we cannot guarantee that any such program will protect us from</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420"/>
        <w:spacing w:after="0" w:line="321" w:lineRule="auto"/>
        <w:rPr>
          <w:sz w:val="20"/>
          <w:szCs w:val="20"/>
          <w:color w:val="auto"/>
        </w:rPr>
      </w:pPr>
      <w:r>
        <w:rPr>
          <w:rFonts w:ascii="Arial" w:cs="Arial" w:eastAsia="Arial" w:hAnsi="Arial"/>
          <w:sz w:val="13"/>
          <w:szCs w:val="13"/>
          <w:color w:val="auto"/>
        </w:rPr>
        <w:t>governmental investigations or other actions or lawsuits stemming from a failure to be in compliance with such laws and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09" w:lineRule="exact"/>
        <w:rPr>
          <w:sz w:val="20"/>
          <w:szCs w:val="20"/>
          <w:color w:val="auto"/>
        </w:rPr>
      </w:pPr>
    </w:p>
    <w:p>
      <w:pPr>
        <w:ind w:right="40" w:firstLine="509"/>
        <w:spacing w:after="0" w:line="282" w:lineRule="auto"/>
        <w:rPr>
          <w:sz w:val="20"/>
          <w:szCs w:val="20"/>
          <w:color w:val="auto"/>
        </w:rPr>
      </w:pPr>
      <w:r>
        <w:rPr>
          <w:rFonts w:ascii="Arial" w:cs="Arial" w:eastAsia="Arial" w:hAnsi="Arial"/>
          <w:sz w:val="13"/>
          <w:szCs w:val="13"/>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or our commercialization partners’ operations are found to be in violation of any of these laws or any other governmental regulations that may apply to us or them, we or they may be subject to significant civil, criminal and administrative penalties, including damages, fines, imprisonment, exclusion of products from government funded healthcare programs, such as Medicare and Medicaid, and the curtailment or restructuring of our or their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56"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Current and future legislation and regulations may increase the difficulty and cost for us and any future collaborators to obtain marketing approval of and commercialize our product candidates and affect the prices we or they may charge for such products, when and if approved.</w:t>
      </w:r>
    </w:p>
    <w:p>
      <w:pPr>
        <w:spacing w:after="0" w:line="132" w:lineRule="exact"/>
        <w:rPr>
          <w:sz w:val="20"/>
          <w:szCs w:val="20"/>
          <w:color w:val="auto"/>
        </w:rPr>
      </w:pPr>
    </w:p>
    <w:p>
      <w:pPr>
        <w:ind w:right="80" w:firstLine="509"/>
        <w:spacing w:after="0" w:line="288" w:lineRule="auto"/>
        <w:rPr>
          <w:sz w:val="20"/>
          <w:szCs w:val="20"/>
          <w:color w:val="auto"/>
        </w:rPr>
      </w:pPr>
      <w:r>
        <w:rPr>
          <w:rFonts w:ascii="Arial" w:cs="Arial" w:eastAsia="Arial" w:hAnsi="Arial"/>
          <w:sz w:val="13"/>
          <w:szCs w:val="13"/>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charge for any approved products.</w:t>
      </w:r>
    </w:p>
    <w:p>
      <w:pPr>
        <w:spacing w:after="0" w:line="131" w:lineRule="exact"/>
        <w:rPr>
          <w:sz w:val="20"/>
          <w:szCs w:val="20"/>
          <w:color w:val="auto"/>
        </w:rPr>
      </w:pPr>
    </w:p>
    <w:p>
      <w:pPr>
        <w:ind w:right="20" w:firstLine="509"/>
        <w:spacing w:after="0" w:line="281" w:lineRule="auto"/>
        <w:rPr>
          <w:sz w:val="20"/>
          <w:szCs w:val="20"/>
          <w:color w:val="auto"/>
        </w:rPr>
      </w:pPr>
      <w:r>
        <w:rPr>
          <w:rFonts w:ascii="Arial" w:cs="Arial" w:eastAsia="Arial" w:hAnsi="Arial"/>
          <w:sz w:val="14"/>
          <w:szCs w:val="14"/>
          <w:color w:val="auto"/>
        </w:rPr>
        <w:t>In March 2010, President Barack H. Obama signed into law the Patient Protection and Affordable Care Act, as amended by the Health Care and Education Reconciliation Act, or collectively the ACA. Among the provisions of the ACA of potential importance to our business and our product candidates are the following:</w:t>
      </w:r>
    </w:p>
    <w:p>
      <w:pPr>
        <w:spacing w:after="0" w:line="153" w:lineRule="exact"/>
        <w:rPr>
          <w:sz w:val="20"/>
          <w:szCs w:val="20"/>
          <w:color w:val="auto"/>
        </w:rPr>
      </w:pPr>
    </w:p>
    <w:p>
      <w:pPr>
        <w:ind w:left="760" w:hanging="246"/>
        <w:spacing w:after="0"/>
        <w:tabs>
          <w:tab w:leader="none" w:pos="7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an annual, non-deductible fee on any entity that manufactures or imports specified branded prescription products and biologic agents;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an increase in the statutory minimum rebates a manufacturer must pay under the Medicaid Drug Rebate Program;</w:t>
      </w:r>
    </w:p>
    <w:p>
      <w:pPr>
        <w:spacing w:after="0" w:line="199" w:lineRule="exact"/>
        <w:rPr>
          <w:rFonts w:ascii="Arial" w:cs="Arial" w:eastAsia="Arial" w:hAnsi="Arial"/>
          <w:sz w:val="14"/>
          <w:szCs w:val="14"/>
          <w:color w:val="auto"/>
        </w:rPr>
      </w:pPr>
    </w:p>
    <w:p>
      <w:pPr>
        <w:ind w:left="760" w:right="100" w:hanging="246"/>
        <w:spacing w:after="0" w:line="281" w:lineRule="auto"/>
        <w:tabs>
          <w:tab w:leader="none" w:pos="756" w:val="left"/>
        </w:tabs>
        <w:numPr>
          <w:ilvl w:val="0"/>
          <w:numId w:val="58"/>
        </w:numPr>
        <w:rPr>
          <w:rFonts w:ascii="Arial" w:cs="Arial" w:eastAsia="Arial" w:hAnsi="Arial"/>
          <w:sz w:val="14"/>
          <w:szCs w:val="14"/>
          <w:color w:val="auto"/>
        </w:rPr>
      </w:pPr>
      <w:r>
        <w:rPr>
          <w:rFonts w:ascii="Arial" w:cs="Arial" w:eastAsia="Arial" w:hAnsi="Arial"/>
          <w:sz w:val="14"/>
          <w:szCs w:val="14"/>
          <w:color w:val="auto"/>
        </w:rPr>
        <w:t>expansion of healthcare fraud and abuse laws, including the civil False Claims Act and the federal Anti-Kickback Statute, new government investigative powers and enhanced penalties for noncompliance;</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 new Medicare Part D coverage gap discount program, in which manufacturers must agree to offer 70%, point-of-sale discounts off negotiated prices;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extension of manufacturers’ Medicaid rebate liability;</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expansion of eligibility criteria for Medicaid programs;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expansion of the entities eligible for discounts under the Public Health Service pharmaceutical pricing program;</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new requirements to report certain financial arrangements with physicians and teaching hospitals;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 new requirement to annually report product samples that manufacturers and distributors provide to physicians; and</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 new Patient-Centered Outcomes Research Institute to oversee, identify priorities in, and conduct comparative clinical effectiveness research, along with funding for such research.</w:t>
      </w:r>
    </w:p>
    <w:p>
      <w:pPr>
        <w:spacing w:after="0" w:line="190" w:lineRule="exact"/>
        <w:rPr>
          <w:sz w:val="20"/>
          <w:szCs w:val="20"/>
          <w:color w:val="auto"/>
        </w:rPr>
      </w:pPr>
    </w:p>
    <w:p>
      <w:pPr>
        <w:ind w:right="60" w:firstLine="509"/>
        <w:spacing w:after="0" w:line="267" w:lineRule="auto"/>
        <w:rPr>
          <w:sz w:val="20"/>
          <w:szCs w:val="20"/>
          <w:color w:val="auto"/>
        </w:rPr>
      </w:pPr>
      <w:r>
        <w:rPr>
          <w:rFonts w:ascii="Arial" w:cs="Arial" w:eastAsia="Arial" w:hAnsi="Arial"/>
          <w:sz w:val="14"/>
          <w:szCs w:val="14"/>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2029 unless additional congressional action is taken. The Coronavirus Aid, Relief and Economic Security Act,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40"/>
        <w:spacing w:after="0" w:line="282" w:lineRule="auto"/>
        <w:rPr>
          <w:sz w:val="20"/>
          <w:szCs w:val="20"/>
          <w:color w:val="auto"/>
        </w:rPr>
      </w:pPr>
      <w:r>
        <w:rPr>
          <w:rFonts w:ascii="Arial" w:cs="Arial" w:eastAsia="Arial" w:hAnsi="Arial"/>
          <w:sz w:val="13"/>
          <w:szCs w:val="13"/>
          <w:color w:val="auto"/>
        </w:rPr>
        <w:t>or the CARES Act, suspended the 2% Medicare sequester from May 1, 2020 through December 31, 2020, and extended the sequester by one year, through 2030. The American Taxpayer Relief Act of 2012,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134" w:lineRule="exact"/>
        <w:rPr>
          <w:sz w:val="20"/>
          <w:szCs w:val="20"/>
          <w:color w:val="auto"/>
        </w:rPr>
      </w:pPr>
    </w:p>
    <w:p>
      <w:pPr>
        <w:ind w:right="100" w:firstLine="509"/>
        <w:spacing w:after="0" w:line="258" w:lineRule="auto"/>
        <w:rPr>
          <w:sz w:val="20"/>
          <w:szCs w:val="20"/>
          <w:color w:val="auto"/>
        </w:rPr>
      </w:pPr>
      <w:r>
        <w:rPr>
          <w:rFonts w:ascii="Arial" w:cs="Arial" w:eastAsia="Arial" w:hAnsi="Arial"/>
          <w:sz w:val="14"/>
          <w:szCs w:val="14"/>
          <w:color w:val="auto"/>
        </w:rPr>
        <w:t>Since enactment of the ACA, there have been numerous legal challenges and congressional actions to repeal and replace provisions of the law. For example, with enactment of the TCJA, Congress repealed the “individual mandate.” The repeal of this provision, which required most Americans to carry a minimal level of health insurance, became effective in 2019. According to the Congressional Budget Office, the repeal of the individual mandate will cause 13 million fewer Americans to be insured in 2027 and premiums in insurance markets may rise. Further, the Bipartisan Budget Act of 2018,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Congress may consider other legislation to amend or replace elements of the ACA during the current congressional session.</w:t>
      </w:r>
    </w:p>
    <w:p>
      <w:pPr>
        <w:spacing w:after="0" w:line="150" w:lineRule="exact"/>
        <w:rPr>
          <w:sz w:val="20"/>
          <w:szCs w:val="20"/>
          <w:color w:val="auto"/>
        </w:rPr>
      </w:pPr>
    </w:p>
    <w:p>
      <w:pPr>
        <w:ind w:right="20" w:firstLine="509"/>
        <w:spacing w:after="0" w:line="279" w:lineRule="auto"/>
        <w:rPr>
          <w:sz w:val="20"/>
          <w:szCs w:val="20"/>
          <w:color w:val="auto"/>
        </w:rPr>
      </w:pPr>
      <w:r>
        <w:rPr>
          <w:rFonts w:ascii="Arial" w:cs="Arial" w:eastAsia="Arial" w:hAnsi="Arial"/>
          <w:sz w:val="13"/>
          <w:szCs w:val="13"/>
          <w:color w:val="auto"/>
        </w:rPr>
        <w:t>The Trump Administration has also taken executive actions to undermine or delay implementation of the ACA, which has led to numerous legal challenges to the ACA and the Trump Administration's actions. Since January 2017, President Trump has signed at least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 second executive order terminated the cost-sharing subsidies that reimburse insurers under the ACA, which has led some states attorneys general and some insurers to sue the Trump Administration for such payments and a number of those lawsuits remain pending. In addition, in October 2018 CMS promulgated regulations that would give states greater flexibility in setting benchmarks for insurers in the individual and small group marketplaces, which may have the effect of relaxing the essential health benefits required under the ACA for plans sold through such marketplaces. Additional executive actions or regulations may be forthcoming.</w:t>
      </w:r>
    </w:p>
    <w:p>
      <w:pPr>
        <w:spacing w:after="0" w:line="138" w:lineRule="exact"/>
        <w:rPr>
          <w:sz w:val="20"/>
          <w:szCs w:val="20"/>
          <w:color w:val="auto"/>
        </w:rPr>
      </w:pPr>
    </w:p>
    <w:p>
      <w:pPr>
        <w:ind w:right="160" w:firstLine="509"/>
        <w:spacing w:after="0" w:line="282" w:lineRule="auto"/>
        <w:rPr>
          <w:sz w:val="20"/>
          <w:szCs w:val="20"/>
          <w:color w:val="auto"/>
        </w:rPr>
      </w:pPr>
      <w:r>
        <w:rPr>
          <w:rFonts w:ascii="Arial" w:cs="Arial" w:eastAsia="Arial" w:hAnsi="Arial"/>
          <w:sz w:val="13"/>
          <w:szCs w:val="13"/>
          <w:color w:val="auto"/>
        </w:rPr>
        <w:t>In addition, in December 2018, a U.S. District Court in the Northern District of Texas ruled that the individual mandate portion of the ACA is an essential and inseverable feature of the ACA, and therefore because the mandate was repealed as part of the TCJA, the remaining provisions of the ACA are invalid as well. In December 2019, the U.S. Circuit Court of Appeals for the Fifth Circuit affirmed the lower court's ruling that the individual mandate portion of the ACA is unconstitutional and remanded the case to the district court for reconsideration of the severability question and additional analysis of the provisions of the ACA. In March 2020, the U.S. Supreme Court agreed to review this decision during its next term. On June 25, 2020, the Trump Administration and a coalition of 18 states asked the court to strike down the entirety of the ACA. Litigation and legislation over the ACA are likely to continue, and there is additional uncertainty posed by the upcoming federal elections in November 2020 and other factors, with unpredictable and uncertain results.</w:t>
      </w:r>
    </w:p>
    <w:p>
      <w:pPr>
        <w:spacing w:after="0" w:line="134" w:lineRule="exact"/>
        <w:rPr>
          <w:sz w:val="20"/>
          <w:szCs w:val="20"/>
          <w:color w:val="auto"/>
        </w:rPr>
      </w:pPr>
    </w:p>
    <w:p>
      <w:pPr>
        <w:ind w:firstLine="509"/>
        <w:spacing w:after="0" w:line="282" w:lineRule="auto"/>
        <w:rPr>
          <w:sz w:val="20"/>
          <w:szCs w:val="20"/>
          <w:color w:val="auto"/>
        </w:rPr>
      </w:pPr>
      <w:r>
        <w:rPr>
          <w:rFonts w:ascii="Arial" w:cs="Arial" w:eastAsia="Arial" w:hAnsi="Arial"/>
          <w:sz w:val="13"/>
          <w:szCs w:val="13"/>
          <w:color w:val="auto"/>
        </w:rPr>
        <w:t>We will continue to evaluate the effect that the ACA, its possible amendment or repeal and the actions of the Trump Administration in relation to the ACA could have on our business. It is possible that amendment or repeal initiatives, if enacted into law, could ultimately result in fewer individuals having health insurance coverage or in individuals having insurance coverage with less generous benefits.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 While the timing and scope of any potential future legislation to amend or repeal ACA provisions is highly uncertain in many respects, including the possibility that any such amendment or repeal is brought about by a court ruling rather than legislative action, it is also possible that some of the ACA provisions that generally are not favorable for the research-based pharmaceutical industry could also be amended or repealed.</w:t>
      </w:r>
    </w:p>
    <w:p>
      <w:pPr>
        <w:spacing w:after="0" w:line="134"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The costs of prescription pharmaceuticals in the United States has also been the subject of considerable discussion in the United States, and members of Congress and the Trump Administration have stated that they will address such costs through new legislative and administrative measures. In May 2018, the Trump Administration announced a plan that would include several initiatives designed to lower drug prices and additional similar proposals from HHS and CMS have followed. In September 2019, members of both houses of Congress unveiled separate bills aimed at controlling drug pricing and in</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December 2019, the House of Representatives passed its bill. At the state level, individual states are increasingly passing legislation and implementing regulations designed to control pharmaceutical and biological product pricing and to increase the transparency of drug pricing. Additionally, third party payors, regional health care authorities and individual hospitals are increasingly using bidding procedures to determine what pharmaceutical products and which suppliers will be included in their prescription drug and other health care programs. We expect additional measures addressing pharmaceutical pricing to be proposed and may be adopted in the future, which could reduce the ultimate demand for our products, once approved, or put pressure on our product pricing. For example, in December 2019, the Trump Administration published proposed rules that, if finalized, would allow states or certain other non-federal government entities to submit importation program proposals to the FDA for review and approval. Applicants would be required to demonstrate their importation plans pose no additional risk to public health and safety and will result in significant cost savings for consumers. At the same time, the FDA issued draft guidance that would allow manufacturers to import their own FDA-approved drugs that are authorized for sale in other countries (multi-market approved products). On July 24, 2020, the Trump Administration announced that it had signed four executive orders on various policies to reduce drug prices. Finally,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We expect drug pricing will continue to be a political issue in the upcoming 2020 federal elections and beyond.</w:t>
      </w:r>
    </w:p>
    <w:p>
      <w:pPr>
        <w:spacing w:after="0" w:line="155"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 In the European Union, similar political, economic and regulatory developments as those in the United States may affect our ability to profitably commercialize our products, if approved.</w:t>
      </w:r>
    </w:p>
    <w:p>
      <w:pPr>
        <w:spacing w:after="0" w:line="146" w:lineRule="exact"/>
        <w:rPr>
          <w:sz w:val="20"/>
          <w:szCs w:val="20"/>
          <w:color w:val="auto"/>
        </w:rPr>
      </w:pPr>
    </w:p>
    <w:p>
      <w:pPr>
        <w:ind w:right="100" w:firstLine="509"/>
        <w:spacing w:after="0" w:line="267" w:lineRule="auto"/>
        <w:rPr>
          <w:sz w:val="20"/>
          <w:szCs w:val="20"/>
          <w:color w:val="auto"/>
        </w:rPr>
      </w:pPr>
      <w:r>
        <w:rPr>
          <w:rFonts w:ascii="Arial" w:cs="Arial" w:eastAsia="Arial" w:hAnsi="Arial"/>
          <w:sz w:val="14"/>
          <w:szCs w:val="14"/>
          <w:color w:val="auto"/>
        </w:rPr>
        <w:t>Finally, 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commercialization of our product candidates, if any, may be.</w:t>
      </w:r>
    </w:p>
    <w:p>
      <w:pPr>
        <w:spacing w:after="0" w:line="142" w:lineRule="exact"/>
        <w:rPr>
          <w:sz w:val="20"/>
          <w:szCs w:val="20"/>
          <w:color w:val="auto"/>
        </w:rPr>
      </w:pPr>
    </w:p>
    <w:p>
      <w:pPr>
        <w:ind w:right="280"/>
        <w:spacing w:after="0" w:line="368" w:lineRule="auto"/>
        <w:rPr>
          <w:sz w:val="20"/>
          <w:szCs w:val="20"/>
          <w:color w:val="auto"/>
        </w:rPr>
      </w:pPr>
      <w:r>
        <w:rPr>
          <w:rFonts w:ascii="Arial" w:cs="Arial" w:eastAsia="Arial" w:hAnsi="Arial"/>
          <w:sz w:val="12"/>
          <w:szCs w:val="12"/>
          <w:b w:val="1"/>
          <w:bCs w:val="1"/>
          <w:i w:val="1"/>
          <w:iCs w:val="1"/>
          <w:color w:val="auto"/>
        </w:rPr>
        <w:t>Our operations may be dependent on the normal function of the FDA, the SEC and other government agencies. The inability of those agencies to obtain necessary funding and other effects from the political process could prevent those agencies from performing normal functions on which the operation of our business may rely, which could negatively impact our business.</w:t>
      </w:r>
    </w:p>
    <w:p>
      <w:pPr>
        <w:spacing w:after="0" w:line="86" w:lineRule="exact"/>
        <w:rPr>
          <w:sz w:val="20"/>
          <w:szCs w:val="20"/>
          <w:color w:val="auto"/>
        </w:rPr>
      </w:pPr>
    </w:p>
    <w:p>
      <w:pPr>
        <w:ind w:firstLine="509"/>
        <w:spacing w:after="0" w:line="303" w:lineRule="auto"/>
        <w:rPr>
          <w:sz w:val="20"/>
          <w:szCs w:val="20"/>
          <w:color w:val="auto"/>
        </w:rPr>
      </w:pPr>
      <w:r>
        <w:rPr>
          <w:rFonts w:ascii="Arial" w:cs="Arial" w:eastAsia="Arial" w:hAnsi="Arial"/>
          <w:sz w:val="12"/>
          <w:szCs w:val="12"/>
          <w:color w:val="auto"/>
        </w:rPr>
        <w:t>The ability of the FDA to review and approve new product applications such as INDs, new drug applications and biologics license applications can be affected by a variety of factors, including government funding levels, ability to hire and retain key personnel and to accept the payment of user fees, and statutory, regulatory, and policy changes. Government funding of the FDA, the SEC and other government agencies on which our operations may rely is subject to the political process, which is inherently fluid and unpredictable. For example, over the last several years, the U.S. government has shut down several times and certain regulatory agencies, such as the FDA and the SEC, have had to furlough critical employees and stop critical activities. Additionally, the COVID-19 pandemic has caused many regulatory agencies, including the FDA, to reduce staff availability and operations. In addition, we may face impediments to scheduling or conducting regulatory meetings and approvals due to measures intended to limit in-person interactions. If a prolonged government restriction or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 In addition, the Trump Administration has taken several executive actions, including the issuance of a number of executive orders, that could affect federal agencies, including the FDA. Those executive actions, some of which are still being implemented, may impose significant burdens on, or otherwise materially delay, the FDA’s ability to engage in routine regulatory and oversight activities, which could negatively impact our business.</w:t>
      </w:r>
    </w:p>
    <w:p>
      <w:pPr>
        <w:spacing w:after="0" w:line="125" w:lineRule="exact"/>
        <w:rPr>
          <w:sz w:val="20"/>
          <w:szCs w:val="20"/>
          <w:color w:val="auto"/>
        </w:rPr>
      </w:pPr>
    </w:p>
    <w:p>
      <w:pPr>
        <w:ind w:right="280"/>
        <w:spacing w:after="0" w:line="281" w:lineRule="auto"/>
        <w:rPr>
          <w:sz w:val="20"/>
          <w:szCs w:val="20"/>
          <w:color w:val="auto"/>
        </w:rPr>
      </w:pPr>
      <w:r>
        <w:rPr>
          <w:rFonts w:ascii="Arial" w:cs="Arial" w:eastAsia="Arial" w:hAnsi="Arial"/>
          <w:sz w:val="14"/>
          <w:szCs w:val="14"/>
          <w:b w:val="1"/>
          <w:bCs w:val="1"/>
          <w:i w:val="1"/>
          <w:iCs w:val="1"/>
          <w:color w:val="auto"/>
        </w:rPr>
        <w:t>We are subject to U.S. and foreign anti-corruption and anti-money laundering laws with respect to our operations and non-compliance with such laws can subject us to criminal and/or civil liability and harm our business.</w:t>
      </w:r>
    </w:p>
    <w:p>
      <w:pPr>
        <w:spacing w:after="0" w:line="132" w:lineRule="exact"/>
        <w:rPr>
          <w:sz w:val="20"/>
          <w:szCs w:val="20"/>
          <w:color w:val="auto"/>
        </w:rPr>
      </w:pPr>
    </w:p>
    <w:p>
      <w:pPr>
        <w:ind w:right="40" w:firstLine="509"/>
        <w:spacing w:after="0" w:line="267" w:lineRule="auto"/>
        <w:rPr>
          <w:sz w:val="20"/>
          <w:szCs w:val="20"/>
          <w:color w:val="auto"/>
        </w:rPr>
      </w:pPr>
      <w:r>
        <w:rPr>
          <w:rFonts w:ascii="Arial" w:cs="Arial" w:eastAsia="Arial" w:hAnsi="Arial"/>
          <w:sz w:val="14"/>
          <w:szCs w:val="14"/>
          <w:color w:val="auto"/>
        </w:rPr>
        <w:t>We are subject to the U.S. Foreign Corrupt Practices Act of 1977, as amended, or the FCPA, the U.S. domestic bribery statute contained in 18 U.S.C. § 201, the U.S. International Travel Act of 1961,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80"/>
        <w:spacing w:after="0" w:line="288" w:lineRule="auto"/>
        <w:rPr>
          <w:sz w:val="20"/>
          <w:szCs w:val="20"/>
          <w:color w:val="auto"/>
        </w:rPr>
      </w:pPr>
      <w:r>
        <w:rPr>
          <w:rFonts w:ascii="Arial" w:cs="Arial" w:eastAsia="Arial" w:hAnsi="Arial"/>
          <w:sz w:val="13"/>
          <w:szCs w:val="13"/>
          <w:color w:val="auto"/>
        </w:rPr>
        <w:t>and collaborators from authorizing, promising, offering, or providing, directly or indirectly, improper payments or benefits to recipients in the public or private sector. We may have direct or indirect interactions with officials and employees of government agencies or government-affiliated hospitals, universities, and other organizations. In addition, we may engage third party intermediaries to promote our clinical research activities abroad and/or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131" w:lineRule="exact"/>
        <w:rPr>
          <w:sz w:val="20"/>
          <w:szCs w:val="20"/>
          <w:color w:val="auto"/>
        </w:rPr>
      </w:pPr>
    </w:p>
    <w:p>
      <w:pPr>
        <w:ind w:firstLine="509"/>
        <w:spacing w:after="0" w:line="282" w:lineRule="auto"/>
        <w:rPr>
          <w:sz w:val="20"/>
          <w:szCs w:val="20"/>
          <w:color w:val="auto"/>
        </w:rPr>
      </w:pPr>
      <w:r>
        <w:rPr>
          <w:rFonts w:ascii="Arial" w:cs="Arial" w:eastAsia="Arial" w:hAnsi="Arial"/>
          <w:sz w:val="13"/>
          <w:szCs w:val="13"/>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134"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b w:val="1"/>
          <w:bCs w:val="1"/>
          <w:i w:val="1"/>
          <w:iCs w:val="1"/>
          <w:color w:val="auto"/>
        </w:rPr>
        <w:t>If we or our third-party manufacturers fail to comply with environmental, health and safety laws and regulations, we could become subject to fines or penalties or incur costs that could harm our business.</w:t>
      </w:r>
    </w:p>
    <w:p>
      <w:pPr>
        <w:spacing w:after="0" w:line="132" w:lineRule="exact"/>
        <w:rPr>
          <w:sz w:val="20"/>
          <w:szCs w:val="20"/>
          <w:color w:val="auto"/>
        </w:rPr>
      </w:pPr>
    </w:p>
    <w:p>
      <w:pPr>
        <w:ind w:right="20" w:firstLine="509"/>
        <w:spacing w:after="0" w:line="284" w:lineRule="auto"/>
        <w:rPr>
          <w:sz w:val="20"/>
          <w:szCs w:val="20"/>
          <w:color w:val="auto"/>
        </w:rPr>
      </w:pPr>
      <w:r>
        <w:rPr>
          <w:rFonts w:ascii="Arial" w:cs="Arial" w:eastAsia="Arial" w:hAnsi="Arial"/>
          <w:sz w:val="13"/>
          <w:szCs w:val="13"/>
          <w:color w:val="auto"/>
        </w:rPr>
        <w:t>We and our third-party manufacturers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produce hazardous waste products. We cannot eliminate the risk of contamination or injury from these materials. In the event of contamination or injury resulting from our use of hazardous materials, we could be held liable for any resulting damages, and any liability could exceed our resources and any coverage provided by our insurance. We also could incur significant costs associated with civil or criminal fines and penalties for failure to comply with such laws and regulations.</w:t>
      </w:r>
    </w:p>
    <w:p>
      <w:pPr>
        <w:spacing w:after="0" w:line="134" w:lineRule="exact"/>
        <w:rPr>
          <w:sz w:val="20"/>
          <w:szCs w:val="20"/>
          <w:color w:val="auto"/>
        </w:rPr>
      </w:pPr>
    </w:p>
    <w:p>
      <w:pPr>
        <w:ind w:right="60" w:firstLine="509"/>
        <w:spacing w:after="0" w:line="321" w:lineRule="auto"/>
        <w:rPr>
          <w:sz w:val="20"/>
          <w:szCs w:val="20"/>
          <w:color w:val="auto"/>
        </w:rPr>
      </w:pPr>
      <w:r>
        <w:rPr>
          <w:rFonts w:ascii="Arial" w:cs="Arial" w:eastAsia="Arial" w:hAnsi="Arial"/>
          <w:sz w:val="13"/>
          <w:szCs w:val="13"/>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w:t>
      </w:r>
    </w:p>
    <w:p>
      <w:pPr>
        <w:spacing w:after="0" w:line="109" w:lineRule="exact"/>
        <w:rPr>
          <w:sz w:val="20"/>
          <w:szCs w:val="20"/>
          <w:color w:val="auto"/>
        </w:rPr>
      </w:pPr>
    </w:p>
    <w:p>
      <w:pPr>
        <w:ind w:right="80" w:firstLine="509"/>
        <w:spacing w:after="0" w:line="321" w:lineRule="auto"/>
        <w:rPr>
          <w:sz w:val="20"/>
          <w:szCs w:val="20"/>
          <w:color w:val="auto"/>
        </w:rPr>
      </w:pPr>
      <w:r>
        <w:rPr>
          <w:rFonts w:ascii="Arial" w:cs="Arial" w:eastAsia="Arial" w:hAnsi="Arial"/>
          <w:sz w:val="13"/>
          <w:szCs w:val="13"/>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09" w:lineRule="exact"/>
        <w:rPr>
          <w:sz w:val="20"/>
          <w:szCs w:val="20"/>
          <w:color w:val="auto"/>
        </w:rPr>
      </w:pPr>
    </w:p>
    <w:p>
      <w:pPr>
        <w:ind w:right="100" w:firstLine="509"/>
        <w:spacing w:after="0" w:line="267" w:lineRule="auto"/>
        <w:rPr>
          <w:sz w:val="20"/>
          <w:szCs w:val="20"/>
          <w:color w:val="auto"/>
        </w:rPr>
      </w:pPr>
      <w:r>
        <w:rPr>
          <w:rFonts w:ascii="Arial" w:cs="Arial" w:eastAsia="Arial" w:hAnsi="Arial"/>
          <w:sz w:val="14"/>
          <w:szCs w:val="14"/>
          <w:color w:val="auto"/>
        </w:rPr>
        <w:t>Further, with respect to the operations of our third-party contract manufacturers, it is possible that if they fail to operate in compliance with applicable environmental, health and safety laws and regulations or properly dispose of wastes associated with our product candidates or products, we could be held liable for any resulting damages, suffer reputational harm or experience a disruption in the manufacture and supply of our product candidates or products.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Employee Matters and Managing Our Operations</w:t>
      </w:r>
    </w:p>
    <w:p>
      <w:pPr>
        <w:spacing w:after="0" w:line="108" w:lineRule="exact"/>
        <w:rPr>
          <w:sz w:val="20"/>
          <w:szCs w:val="20"/>
          <w:color w:val="auto"/>
        </w:rPr>
      </w:pPr>
    </w:p>
    <w:p>
      <w:pPr>
        <w:ind w:right="340"/>
        <w:spacing w:after="0" w:line="281" w:lineRule="auto"/>
        <w:rPr>
          <w:sz w:val="20"/>
          <w:szCs w:val="20"/>
          <w:color w:val="auto"/>
        </w:rPr>
      </w:pPr>
      <w:r>
        <w:rPr>
          <w:rFonts w:ascii="Arial" w:cs="Arial" w:eastAsia="Arial" w:hAnsi="Arial"/>
          <w:sz w:val="14"/>
          <w:szCs w:val="14"/>
          <w:b w:val="1"/>
          <w:bCs w:val="1"/>
          <w:i w:val="1"/>
          <w:iCs w:val="1"/>
          <w:color w:val="auto"/>
        </w:rPr>
        <w:t>We are a development-stage company with a limited number of employees to oversee our research and development programs and general and administrative functions. We may experience difficulties in recruiting necessary personnel and in retaining key employees and consultants.</w:t>
      </w:r>
    </w:p>
    <w:p>
      <w:pPr>
        <w:spacing w:after="0" w:line="58" w:lineRule="exact"/>
        <w:rPr>
          <w:sz w:val="20"/>
          <w:szCs w:val="20"/>
          <w:color w:val="auto"/>
        </w:rPr>
      </w:pPr>
    </w:p>
    <w:p>
      <w:pPr>
        <w:ind w:right="340" w:firstLine="509"/>
        <w:spacing w:after="0" w:line="267" w:lineRule="auto"/>
        <w:rPr>
          <w:sz w:val="20"/>
          <w:szCs w:val="20"/>
          <w:color w:val="auto"/>
        </w:rPr>
      </w:pPr>
      <w:r>
        <w:rPr>
          <w:rFonts w:ascii="Arial" w:cs="Arial" w:eastAsia="Arial" w:hAnsi="Arial"/>
          <w:sz w:val="14"/>
          <w:szCs w:val="14"/>
          <w:color w:val="auto"/>
        </w:rPr>
        <w:t>We are a development-stage company with a total of 47 full-time employees as of August 1, 2020. These employees support key areas of our business and operations, including clinical operations, regulatory affairs, drug safety, data management, medical affairs, scientific research, outsourced manufacturing and supply chain management, analytical development and quality assurance, as well as all of our general and administrative functions and public company infrastructure.</w:t>
      </w:r>
    </w:p>
    <w:p>
      <w:pPr>
        <w:spacing w:after="0" w:line="67" w:lineRule="exact"/>
        <w:rPr>
          <w:sz w:val="20"/>
          <w:szCs w:val="20"/>
          <w:color w:val="auto"/>
        </w:rPr>
      </w:pPr>
    </w:p>
    <w:p>
      <w:pPr>
        <w:ind w:right="40" w:firstLine="509"/>
        <w:spacing w:after="0" w:line="321" w:lineRule="auto"/>
        <w:rPr>
          <w:sz w:val="20"/>
          <w:szCs w:val="20"/>
          <w:color w:val="auto"/>
        </w:rPr>
      </w:pPr>
      <w:r>
        <w:rPr>
          <w:rFonts w:ascii="Arial" w:cs="Arial" w:eastAsia="Arial" w:hAnsi="Arial"/>
          <w:sz w:val="13"/>
          <w:szCs w:val="13"/>
          <w:color w:val="auto"/>
        </w:rPr>
        <w:t>We remain highly dependent on David R. Guyer, M.D., our executive chairman, and Glenn P. Sblendorio, our chief executive officer and president, as well as the other principal members of our management, scientific and clinical teams. We do not maintain “key person” insurance for any of our executives or other employees. Although we have entered into letter</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80"/>
        <w:spacing w:after="0" w:line="288" w:lineRule="auto"/>
        <w:rPr>
          <w:sz w:val="20"/>
          <w:szCs w:val="20"/>
          <w:color w:val="auto"/>
        </w:rPr>
      </w:pPr>
      <w:r>
        <w:rPr>
          <w:rFonts w:ascii="Arial" w:cs="Arial" w:eastAsia="Arial" w:hAnsi="Arial"/>
          <w:sz w:val="13"/>
          <w:szCs w:val="13"/>
          <w:color w:val="auto"/>
        </w:rPr>
        <w:t>agreements with our executive officers, each of them and our non-executive employees may terminate their employment with us at any time. As a result, key employees whom we expect to retain to assist with the growth of our business may choose not to remain employees. Additionally, because of our size, we have only a small number of employees supporting some of the key areas of our business and operations. If any of those employees were to leave our company or become unavailable due to the COVID-19 pandemic or other reasons, the loss of their services could seriously disrupt our ability to carry on our operations as planned and seriously harm our ability to successfully implement our business plan.</w:t>
      </w:r>
    </w:p>
    <w:p>
      <w:pPr>
        <w:spacing w:after="0" w:line="57" w:lineRule="exact"/>
        <w:rPr>
          <w:sz w:val="20"/>
          <w:szCs w:val="20"/>
          <w:color w:val="auto"/>
        </w:rPr>
      </w:pPr>
    </w:p>
    <w:p>
      <w:pPr>
        <w:ind w:right="60" w:firstLine="509"/>
        <w:spacing w:after="0" w:line="257" w:lineRule="auto"/>
        <w:rPr>
          <w:sz w:val="20"/>
          <w:szCs w:val="20"/>
          <w:color w:val="auto"/>
        </w:rPr>
      </w:pPr>
      <w:r>
        <w:rPr>
          <w:rFonts w:ascii="Arial" w:cs="Arial" w:eastAsia="Arial" w:hAnsi="Arial"/>
          <w:sz w:val="14"/>
          <w:szCs w:val="14"/>
          <w:color w:val="auto"/>
        </w:rPr>
        <w:t>Furthermore, replacing any of our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if at all, given the competition among numerous pharmaceutical and biotechnology companies for similar personnel, including, in particular, personnel with gene therapy experience. As we conduct our GATHER2 trial, continue our OPH2005 trial and prepare for the future development and potential commercialization of Zimura, we have been and expect we will need to continue hiring additional clinical operations, quality assurance, manufacturing, medical, regulatory and other personnel from this limited pool. We also experience competition for the hiring of scientific and clinical personnel from universities and research institutions. The COVID-19 pandemic has made interviewing and hiring qualified candidates more difficult.</w:t>
      </w:r>
    </w:p>
    <w:p>
      <w:pPr>
        <w:spacing w:after="0" w:line="77"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color w:val="auto"/>
        </w:rPr>
        <w:t>In addition to our employees, we rely on consultants and advisors, including scientific and clinical advisors, to assist us in formulating our research and development, pipeline expansion and commercialization strategies. Our consultants and advisors may be employed by employers other than us and may have commitments under consulting or advisory contracts with other entities that may limit their availability to us. Many consultants and advisors, especially those with gene therapy experience, are high demand and we may not be able to obtain or retain their services for any number of reasons, which could limit our ability to pursue our strategy.</w:t>
      </w:r>
    </w:p>
    <w:p>
      <w:pPr>
        <w:spacing w:after="0" w:line="72" w:lineRule="exact"/>
        <w:rPr>
          <w:sz w:val="20"/>
          <w:szCs w:val="20"/>
          <w:color w:val="auto"/>
        </w:rPr>
      </w:pPr>
    </w:p>
    <w:p>
      <w:pPr>
        <w:ind w:right="140"/>
        <w:spacing w:after="0" w:line="368" w:lineRule="auto"/>
        <w:rPr>
          <w:sz w:val="20"/>
          <w:szCs w:val="20"/>
          <w:color w:val="auto"/>
        </w:rPr>
      </w:pPr>
      <w:r>
        <w:rPr>
          <w:rFonts w:ascii="Arial" w:cs="Arial" w:eastAsia="Arial" w:hAnsi="Arial"/>
          <w:sz w:val="12"/>
          <w:szCs w:val="12"/>
          <w:b w:val="1"/>
          <w:bCs w:val="1"/>
          <w:i w:val="1"/>
          <w:iCs w:val="1"/>
          <w:color w:val="auto"/>
        </w:rPr>
        <w:t>As a result of the COVID-19 pandemic, our entire company has been working remotely since March 2020 and we expect to continue working remotely for the foreseeable future. Our ability to continue to work remotely and when the conditions are appropriate, transition effectively to working in our offices, may affect our operations and the success of our company going forward.</w:t>
      </w:r>
    </w:p>
    <w:p>
      <w:pPr>
        <w:spacing w:after="0" w:line="12" w:lineRule="exact"/>
        <w:rPr>
          <w:sz w:val="20"/>
          <w:szCs w:val="20"/>
          <w:color w:val="auto"/>
        </w:rPr>
      </w:pPr>
    </w:p>
    <w:p>
      <w:pPr>
        <w:ind w:right="20" w:firstLine="509"/>
        <w:spacing w:after="0" w:line="280" w:lineRule="auto"/>
        <w:rPr>
          <w:sz w:val="20"/>
          <w:szCs w:val="20"/>
          <w:color w:val="auto"/>
        </w:rPr>
      </w:pPr>
      <w:r>
        <w:rPr>
          <w:rFonts w:ascii="Arial" w:cs="Arial" w:eastAsia="Arial" w:hAnsi="Arial"/>
          <w:sz w:val="13"/>
          <w:szCs w:val="13"/>
          <w:color w:val="auto"/>
        </w:rPr>
        <w:t>In the middle of March 2020, we instituted a company-wide working from home policy, which has remained in effect. Our working from home policy may negatively impact productivity or disrupt our business, the magnitude of which will depend, in part, on the length of this remote working arrangement and other limitations on our ability to conduct our business in the ordinary course. We expect to work from home for the foreseeable future and will closely follow the guidance from federal and state authorities, including the Centers for Disease Control and Prevention, the New York State Department of Health and the New Jersey Department of Health, in deciding if and when to transition back to working in our offices. We expect the transition, if any, to occur in stages. If and when we transition back to working at company sites, there may be an increased risk to our employees and contractors, including as a result of a second or subsequent wave of the COVID-19 pandemic. If any of them contracts COVID-19 as a result of or while conducting services for us, we may be subject to workers compensation or other claims. Because of our small size and the importance of our employees and contractors to the success of our company, their exposure to the COVID-19 pandemic may adversely affect our ability to carry on our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establish and maintain effective internal control over financial reporting, our ability to accurately report our financial results could be adversely affected.</w:t>
      </w:r>
    </w:p>
    <w:p>
      <w:pPr>
        <w:spacing w:after="0" w:line="179" w:lineRule="exact"/>
        <w:rPr>
          <w:sz w:val="20"/>
          <w:szCs w:val="20"/>
          <w:color w:val="auto"/>
        </w:rPr>
      </w:pPr>
    </w:p>
    <w:p>
      <w:pPr>
        <w:ind w:firstLine="509"/>
        <w:spacing w:after="0" w:line="278" w:lineRule="auto"/>
        <w:rPr>
          <w:sz w:val="20"/>
          <w:szCs w:val="20"/>
          <w:color w:val="auto"/>
        </w:rPr>
      </w:pPr>
      <w:r>
        <w:rPr>
          <w:rFonts w:ascii="Arial" w:cs="Arial" w:eastAsia="Arial" w:hAnsi="Arial"/>
          <w:sz w:val="13"/>
          <w:szCs w:val="13"/>
          <w:color w:val="auto"/>
        </w:rPr>
        <w:t>A material weakness is a deficiency, or combination of deficiencies, in internal control over financial reporting, such that there is a reasonable possibility that a material misstatement of the company’s annual or interim financial statements would not be prevented or detected on a timely basis. If any material weakness in our internal control over financial reporting is discovered or occurs in the future, our financial statements may contain material misstatements and we could be required to restate our financial results. As previously disclosed, in 2015 our management concluded that we experienced a material weakness in internal controls that required us to restate the relevant financial statements and we took steps that year to address the deficiency and prevent similar deficiencies in the future. Although we have remediated this deficiency in internal control over financial reporting, we cannot be certain that the remedial measures that we took in the past or other measures we take in the future, especially in light of the decrease in staffing in our accounting and finance areas following our reduction in force during 2017, will ensure that we maintain adequate controls over our financial reporting going forward and, accordingly, additional material weaknesses could occur or be identified. The COVID-19 pandemic may also affect the effectiveness of our internal controls. Any additional material weaknesses or combination of deficiencies could materially and adversely affect our ability to provide timely and accurate financial information, and any future deficiencies may impact investors’ confidence in our internal controls and our company, which could cause our stock price to decline.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Common Stock</w:t>
      </w:r>
    </w:p>
    <w:p>
      <w:pPr>
        <w:spacing w:after="0" w:line="183"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members of our board of directors and management.</w:t>
      </w:r>
    </w:p>
    <w:p>
      <w:pPr>
        <w:spacing w:after="0" w:line="132"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Provisions in our certificate of incorporation and our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68" w:lineRule="exact"/>
        <w:rPr>
          <w:sz w:val="20"/>
          <w:szCs w:val="20"/>
          <w:color w:val="auto"/>
        </w:rPr>
      </w:pPr>
    </w:p>
    <w:p>
      <w:pPr>
        <w:ind w:left="760" w:hanging="246"/>
        <w:spacing w:after="0"/>
        <w:tabs>
          <w:tab w:leader="none" w:pos="7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provide for a classified board of directors such that only one of three classes of directors is elected each year;</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allow the authorized number of our directors to be changed only by resolution of our board of directors;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limit the manner in which stockholders can remove directors from our board of directors;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provide for advance notice requirements for stockholder proposals that can be acted on at stockholder meetings and nominations to our board of directors;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require that stockholder actions must be effected at a duly called stockholder meeting and prohibit actions by our stockholders by written consent;</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limit who may call stockholder meetings;</w:t>
      </w:r>
    </w:p>
    <w:p>
      <w:pPr>
        <w:spacing w:after="0" w:line="199" w:lineRule="exact"/>
        <w:rPr>
          <w:rFonts w:ascii="Arial" w:cs="Arial" w:eastAsia="Arial" w:hAnsi="Arial"/>
          <w:sz w:val="14"/>
          <w:szCs w:val="14"/>
          <w:color w:val="auto"/>
        </w:rPr>
      </w:pPr>
    </w:p>
    <w:p>
      <w:pPr>
        <w:ind w:left="760" w:right="80" w:hanging="246"/>
        <w:spacing w:after="0" w:line="281" w:lineRule="auto"/>
        <w:tabs>
          <w:tab w:leader="none" w:pos="756" w:val="left"/>
        </w:tabs>
        <w:numPr>
          <w:ilvl w:val="0"/>
          <w:numId w:val="59"/>
        </w:numPr>
        <w:rPr>
          <w:rFonts w:ascii="Arial" w:cs="Arial" w:eastAsia="Arial" w:hAnsi="Arial"/>
          <w:sz w:val="14"/>
          <w:szCs w:val="14"/>
          <w:color w:val="auto"/>
        </w:rPr>
      </w:pPr>
      <w:r>
        <w:rPr>
          <w:rFonts w:ascii="Arial" w:cs="Arial" w:eastAsia="Arial" w:hAnsi="Arial"/>
          <w:sz w:val="14"/>
          <w:szCs w:val="14"/>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53" w:lineRule="exact"/>
        <w:rPr>
          <w:rFonts w:ascii="Arial" w:cs="Arial" w:eastAsia="Arial" w:hAnsi="Arial"/>
          <w:sz w:val="14"/>
          <w:szCs w:val="14"/>
          <w:color w:val="auto"/>
        </w:rPr>
      </w:pPr>
    </w:p>
    <w:p>
      <w:pPr>
        <w:ind w:left="760" w:right="100" w:hanging="246"/>
        <w:spacing w:after="0" w:line="281" w:lineRule="auto"/>
        <w:tabs>
          <w:tab w:leader="none" w:pos="756"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require the approval of the holders of at least 75% of the votes that all our stockholders would be entitled to cast to amend or repeal certain provisions of our certificate of incorporation or by-laws.</w:t>
      </w:r>
    </w:p>
    <w:p>
      <w:pPr>
        <w:spacing w:after="0" w:line="132" w:lineRule="exact"/>
        <w:rPr>
          <w:sz w:val="20"/>
          <w:szCs w:val="20"/>
          <w:color w:val="auto"/>
        </w:rPr>
      </w:pPr>
    </w:p>
    <w:p>
      <w:pPr>
        <w:jc w:val="both"/>
        <w:ind w:right="260" w:firstLine="509"/>
        <w:spacing w:after="0" w:line="267" w:lineRule="auto"/>
        <w:rPr>
          <w:sz w:val="20"/>
          <w:szCs w:val="20"/>
          <w:color w:val="auto"/>
        </w:rPr>
      </w:pPr>
      <w:r>
        <w:rPr>
          <w:rFonts w:ascii="Arial" w:cs="Arial" w:eastAsia="Arial" w:hAnsi="Arial"/>
          <w:sz w:val="14"/>
          <w:szCs w:val="14"/>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price of our common stock may be volatile and fluctuate substantially, which could result in substantial losses for stockholders.</w:t>
      </w:r>
    </w:p>
    <w:p>
      <w:pPr>
        <w:spacing w:after="0" w:line="179" w:lineRule="exact"/>
        <w:rPr>
          <w:sz w:val="20"/>
          <w:szCs w:val="20"/>
          <w:color w:val="auto"/>
        </w:rPr>
      </w:pPr>
    </w:p>
    <w:p>
      <w:pPr>
        <w:jc w:val="both"/>
        <w:ind w:right="120" w:firstLine="509"/>
        <w:spacing w:after="0" w:line="262" w:lineRule="auto"/>
        <w:rPr>
          <w:sz w:val="20"/>
          <w:szCs w:val="20"/>
          <w:color w:val="auto"/>
        </w:rPr>
      </w:pPr>
      <w:r>
        <w:rPr>
          <w:rFonts w:ascii="Arial" w:cs="Arial" w:eastAsia="Arial" w:hAnsi="Arial"/>
          <w:sz w:val="14"/>
          <w:szCs w:val="14"/>
          <w:color w:val="auto"/>
        </w:rPr>
        <w:t>Our stock price may be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As a result of this volatility, our stockholders may not be able to sell their shares of common stock at or above the price at which they purchased their shares. The market price for our common stock may be influenced by many factors, including:</w:t>
      </w:r>
    </w:p>
    <w:p>
      <w:pPr>
        <w:spacing w:after="0" w:line="167" w:lineRule="exact"/>
        <w:rPr>
          <w:sz w:val="20"/>
          <w:szCs w:val="20"/>
          <w:color w:val="auto"/>
        </w:rPr>
      </w:pPr>
    </w:p>
    <w:p>
      <w:pPr>
        <w:ind w:left="760" w:hanging="246"/>
        <w:spacing w:after="0"/>
        <w:tabs>
          <w:tab w:leader="none" w:pos="7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results of research, preclinical development activities and clinical trials for our product candidates and the timing of the receipt of such results;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success of products or technologies that compete with our product candidates, including results of clinical trials of product candidates of our competitors;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actual or anticipated changes in estimates as to financial results, development timelines or recommendations by securities analysts;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left="760" w:hanging="246"/>
        <w:spacing w:after="0"/>
        <w:tabs>
          <w:tab w:leader="none" w:pos="7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level of expenses related to any of our product candidates or development programs;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variations in our financial results or those of companies that are perceived to be similar to us;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recruitment or departure of key personnel;</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results of our efforts to in-license or acquire the rights to other product candidates and technologies for the treatment of retinal diseases;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developments or disputes concerning patent applications, issued patents or other proprietary rights;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relevant scientific and medical developments;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changes in the structure of healthcare payment systems;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market conditions in the pharmaceutical and biotechnology sectors;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general economic, industry and market conditions, such as those caused by the COVID-19 pandemic;</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political, social, regulatory or legal developments in the United States and other countries; and</w:t>
      </w:r>
    </w:p>
    <w:p>
      <w:pPr>
        <w:spacing w:after="0" w:line="199" w:lineRule="exact"/>
        <w:rPr>
          <w:rFonts w:ascii="Arial" w:cs="Arial" w:eastAsia="Arial" w:hAnsi="Arial"/>
          <w:sz w:val="14"/>
          <w:szCs w:val="14"/>
          <w:color w:val="auto"/>
        </w:rPr>
      </w:pPr>
    </w:p>
    <w:p>
      <w:pPr>
        <w:ind w:left="1020" w:hanging="506"/>
        <w:spacing w:after="0"/>
        <w:tabs>
          <w:tab w:leader="none" w:pos="10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other factors described in this “Risk Factors” section.</w:t>
      </w:r>
    </w:p>
    <w:p>
      <w:pPr>
        <w:spacing w:after="0" w:line="200"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In addition, the COVID-19 pandemic has caused significant disruptions in the financial markets, and may continue to cause such disruptions, and has also impacted, and may continue to impact, the volatility of our stock price and trading in our stock. Following periods of volatility in the market price of a company’s stock, securities class-action litigation has often been instituted against that company. For example, we and certain of our current and former executive officers have been named as defendants in a purported class action lawsuit and a related shareholder derivative action following our announcement in December 2016 of the initial, top-line results from the first two of our Phase 3 Fovista trials for the treatment of wet AMD. See “</w:t>
      </w:r>
      <w:r>
        <w:rPr>
          <w:rFonts w:ascii="Arial" w:cs="Arial" w:eastAsia="Arial" w:hAnsi="Arial"/>
          <w:sz w:val="14"/>
          <w:szCs w:val="14"/>
          <w:i w:val="1"/>
          <w:iCs w:val="1"/>
          <w:color w:val="auto"/>
        </w:rPr>
        <w:t>Risks Related to Our Business</w:t>
      </w:r>
      <w:r>
        <w:rPr>
          <w:rFonts w:ascii="Arial" w:cs="Arial" w:eastAsia="Arial" w:hAnsi="Arial"/>
          <w:sz w:val="14"/>
          <w:szCs w:val="14"/>
          <w:color w:val="auto"/>
        </w:rPr>
        <w:t xml:space="preserve"> </w:t>
      </w:r>
      <w:r>
        <w:rPr>
          <w:rFonts w:ascii="Arial" w:cs="Arial" w:eastAsia="Arial" w:hAnsi="Arial"/>
          <w:sz w:val="14"/>
          <w:szCs w:val="14"/>
          <w:i w:val="1"/>
          <w:iCs w:val="1"/>
          <w:color w:val="auto"/>
        </w:rPr>
        <w:t>Plan, Financial Position and Need for Additional Capital—We and certain of our current and former executive officers have been named as defendants in lawsuits that could result in substantial costs and divert management’s attention</w:t>
      </w:r>
      <w:r>
        <w:rPr>
          <w:rFonts w:ascii="Arial" w:cs="Arial" w:eastAsia="Arial" w:hAnsi="Arial"/>
          <w:sz w:val="14"/>
          <w:szCs w:val="14"/>
          <w:color w:val="auto"/>
        </w:rPr>
        <w:t>.” These proceedings and other similar litigation, if instituted against us, could cause us to incur substantial costs to defend such claims and divert</w:t>
      </w:r>
      <w:r>
        <w:rPr>
          <w:rFonts w:ascii="Arial" w:cs="Arial" w:eastAsia="Arial" w:hAnsi="Arial"/>
          <w:sz w:val="14"/>
          <w:szCs w:val="14"/>
          <w:i w:val="1"/>
          <w:iCs w:val="1"/>
          <w:color w:val="auto"/>
        </w:rPr>
        <w:t xml:space="preserve"> </w:t>
      </w:r>
      <w:r>
        <w:rPr>
          <w:rFonts w:ascii="Arial" w:cs="Arial" w:eastAsia="Arial" w:hAnsi="Arial"/>
          <w:sz w:val="14"/>
          <w:szCs w:val="14"/>
          <w:color w:val="auto"/>
        </w:rPr>
        <w:t>management’s attention and resources, which could seriously harm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a significant portion of our total outstanding shares are sold into the market, the market price of our common stock could drop significantly, even if our business is doing well.</w:t>
      </w:r>
    </w:p>
    <w:p>
      <w:pPr>
        <w:spacing w:after="0" w:line="190" w:lineRule="exact"/>
        <w:rPr>
          <w:sz w:val="20"/>
          <w:szCs w:val="20"/>
          <w:color w:val="auto"/>
        </w:rPr>
      </w:pPr>
    </w:p>
    <w:p>
      <w:pPr>
        <w:ind w:right="100" w:firstLine="509"/>
        <w:spacing w:after="0" w:line="265" w:lineRule="auto"/>
        <w:rPr>
          <w:sz w:val="20"/>
          <w:szCs w:val="20"/>
          <w:color w:val="auto"/>
        </w:rPr>
      </w:pPr>
      <w:r>
        <w:rPr>
          <w:rFonts w:ascii="Arial" w:cs="Arial" w:eastAsia="Arial" w:hAnsi="Arial"/>
          <w:sz w:val="13"/>
          <w:szCs w:val="13"/>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For example, we issued 8,649,453 shares of our common stock to funds affiliated with Vivo Capital, LLC and Samsara BioCapital, LP in a private placement in June 2020. We have agreed to use commercially reasonable efforts to file a registration statement on Form S-3 with the Securities and Exchange Commission for the purposes of registering for resale these shares and to have such registration statement be declared effective by the Securities and Exchange Commission as set forth in the stock purchase agreement executed in connection with the private placement, following which such shares could be freely sold and traded. If the holders of these shares sell, or the market perceives that these holders will sell, the shares currently held by them, the price of our common stock may decline.</w:t>
      </w:r>
    </w:p>
    <w:p>
      <w:pPr>
        <w:spacing w:after="0" w:line="134" w:lineRule="exact"/>
        <w:rPr>
          <w:sz w:val="20"/>
          <w:szCs w:val="20"/>
          <w:color w:val="auto"/>
        </w:rPr>
      </w:pPr>
    </w:p>
    <w:p>
      <w:pPr>
        <w:ind w:right="80" w:firstLine="509"/>
        <w:spacing w:after="0" w:line="267" w:lineRule="auto"/>
        <w:rPr>
          <w:sz w:val="20"/>
          <w:szCs w:val="20"/>
          <w:color w:val="auto"/>
        </w:rPr>
      </w:pPr>
      <w:r>
        <w:rPr>
          <w:rFonts w:ascii="Arial" w:cs="Arial" w:eastAsia="Arial" w:hAnsi="Arial"/>
          <w:sz w:val="14"/>
          <w:szCs w:val="14"/>
          <w:color w:val="auto"/>
        </w:rPr>
        <w:t>Moreover, we have filed, and expect to continue to file, registration statements on Form S-8 registering all shares of common stock that we may issue under our equity compensation plans. Once registered on Form S-8, shares underlying these equity awards can be freely sold in the public market upon issuance, subject to volume, notice and manner of sale limitations applicable to affiliates.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ownership percentage of our stockholders may be diluted in the future, which could dilute the voting power or reduce the value of our outstanding shares of common stock.</w:t>
      </w:r>
    </w:p>
    <w:p>
      <w:pPr>
        <w:spacing w:after="0" w:line="137" w:lineRule="exact"/>
        <w:rPr>
          <w:sz w:val="20"/>
          <w:szCs w:val="20"/>
          <w:color w:val="auto"/>
        </w:rPr>
      </w:pPr>
    </w:p>
    <w:p>
      <w:pPr>
        <w:ind w:right="160" w:firstLine="509"/>
        <w:spacing w:after="0" w:line="321" w:lineRule="auto"/>
        <w:rPr>
          <w:sz w:val="20"/>
          <w:szCs w:val="20"/>
          <w:color w:val="auto"/>
        </w:rPr>
      </w:pPr>
      <w:r>
        <w:rPr>
          <w:rFonts w:ascii="Arial" w:cs="Arial" w:eastAsia="Arial" w:hAnsi="Arial"/>
          <w:sz w:val="13"/>
          <w:szCs w:val="13"/>
          <w:color w:val="auto"/>
        </w:rPr>
        <w:t>As with any publicly traded company, the ownership percentage of our stockholders may be diluted in the future because of equity issuances for acquisitions, capital markets transactions, business development transactions or otherwise, including equity awards that we intend to continue to grant to our directors, officers and employees pursuant to our equity</w:t>
      </w: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compensation plans. Our employees are also entitled, subject to certain conditions, to purchase our ordinary shares at a discount pursuant to our Employee Stock Purchase Plan.</w:t>
      </w:r>
    </w:p>
    <w:p>
      <w:pPr>
        <w:spacing w:after="0" w:line="125" w:lineRule="exact"/>
        <w:rPr>
          <w:sz w:val="20"/>
          <w:szCs w:val="20"/>
          <w:color w:val="auto"/>
        </w:rPr>
      </w:pPr>
    </w:p>
    <w:p>
      <w:pPr>
        <w:ind w:right="60" w:firstLine="509"/>
        <w:spacing w:after="0" w:line="281" w:lineRule="auto"/>
        <w:rPr>
          <w:sz w:val="20"/>
          <w:szCs w:val="20"/>
          <w:color w:val="auto"/>
        </w:rPr>
      </w:pPr>
      <w:r>
        <w:rPr>
          <w:rFonts w:ascii="Arial" w:cs="Arial" w:eastAsia="Arial" w:hAnsi="Arial"/>
          <w:sz w:val="14"/>
          <w:szCs w:val="14"/>
          <w:color w:val="auto"/>
        </w:rPr>
        <w:t>In addition, the pre-funded warrants that we issued in connection with our December 2019 and June 2020 public offerings are exercisable at any time, and any exercise of such warrants will increase the number of shares of our outstanding common stock, which may dilute the ownership percentage or voting power of our stockholders.</w:t>
      </w:r>
    </w:p>
    <w:p>
      <w:pPr>
        <w:spacing w:after="0" w:line="79" w:lineRule="exact"/>
        <w:rPr>
          <w:sz w:val="20"/>
          <w:szCs w:val="20"/>
          <w:color w:val="auto"/>
        </w:rPr>
      </w:pPr>
    </w:p>
    <w:p>
      <w:pPr>
        <w:ind w:firstLine="509"/>
        <w:spacing w:after="0" w:line="288" w:lineRule="auto"/>
        <w:rPr>
          <w:sz w:val="20"/>
          <w:szCs w:val="20"/>
          <w:color w:val="auto"/>
        </w:rPr>
      </w:pPr>
      <w:r>
        <w:rPr>
          <w:rFonts w:ascii="Arial" w:cs="Arial" w:eastAsia="Arial" w:hAnsi="Arial"/>
          <w:sz w:val="13"/>
          <w:szCs w:val="13"/>
          <w:color w:val="auto"/>
        </w:rPr>
        <w:t>Also, our certificate of incorporation authorizes us to issue, without the approval of our shareholders, one or more classes or series of preferred stock having such designation, powers, preferences and relative, participating, optional and other special rights, including preferences over our common stock with respect to dividends and distributions, as our board of directors generally may determine. The terms of one or more classes or series of preferred stock could dilute the voting power or reduce the value of our ordinary shares. Similarly, the repurchase or redemption rights or liquidation preferences we could assign to holders of preferred stock could affect the residual value of our common stock.</w:t>
      </w:r>
    </w:p>
    <w:p>
      <w:pPr>
        <w:spacing w:after="0" w:line="78"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For more information about the dilutive effects of financing or business development transactions we may undertake, see the risk factor above, "</w:t>
      </w:r>
      <w:r>
        <w:rPr>
          <w:rFonts w:ascii="Arial" w:cs="Arial" w:eastAsia="Arial" w:hAnsi="Arial"/>
          <w:sz w:val="14"/>
          <w:szCs w:val="14"/>
          <w:i w:val="1"/>
          <w:iCs w:val="1"/>
          <w:color w:val="auto"/>
        </w:rPr>
        <w:t>Raising additional capital may cause dilution</w:t>
      </w:r>
      <w:r>
        <w:rPr>
          <w:rFonts w:ascii="Arial" w:cs="Arial" w:eastAsia="Arial" w:hAnsi="Arial"/>
          <w:sz w:val="14"/>
          <w:szCs w:val="14"/>
          <w:color w:val="auto"/>
        </w:rPr>
        <w:t xml:space="preserve"> </w:t>
      </w:r>
      <w:r>
        <w:rPr>
          <w:rFonts w:ascii="Arial" w:cs="Arial" w:eastAsia="Arial" w:hAnsi="Arial"/>
          <w:sz w:val="14"/>
          <w:szCs w:val="14"/>
          <w:i w:val="1"/>
          <w:iCs w:val="1"/>
          <w:color w:val="auto"/>
        </w:rPr>
        <w:t>to our stockholders, restrict our operations or require us to relinquish rights to our technologies or product candidates</w:t>
      </w:r>
      <w:r>
        <w:rPr>
          <w:rFonts w:ascii="Arial" w:cs="Arial" w:eastAsia="Arial" w:hAnsi="Arial"/>
          <w:sz w:val="14"/>
          <w:szCs w:val="14"/>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148"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As a public company, we incur and will continue to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68" w:lineRule="exact"/>
        <w:rPr>
          <w:sz w:val="20"/>
          <w:szCs w:val="20"/>
          <w:color w:val="auto"/>
        </w:rPr>
      </w:pPr>
    </w:p>
    <w:p>
      <w:pPr>
        <w:ind w:firstLine="509"/>
        <w:spacing w:after="0" w:line="280" w:lineRule="auto"/>
        <w:rPr>
          <w:sz w:val="20"/>
          <w:szCs w:val="20"/>
          <w:color w:val="auto"/>
        </w:rPr>
      </w:pPr>
      <w:r>
        <w:rPr>
          <w:rFonts w:ascii="Arial" w:cs="Arial" w:eastAsia="Arial" w:hAnsi="Arial"/>
          <w:sz w:val="13"/>
          <w:szCs w:val="13"/>
          <w:color w:val="auto"/>
        </w:rPr>
        <w:t>Pursuant to Section 404 of the Sarbanes-Oxley Act of 2002, or Section 404, we are required to furnish with our periodic Exchange Act reports a report by our management on our internal control over financial reporting. We are also required to include with our annual report an attestation report on internal control over financial reporting issued by our independent registered public accounting firm. To achieve compliance with Section 404, we must document and evaluate our internal control over financial reporting, which is both costly and challenging. In this regard, we will need to continue to dedicate internal resources and engage outside consultants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our internal control over financial reporting may, in the future, be found to be ineffective under Section 404. Our identification of one or more material weaknesses could result in an adverse reaction in the financial markets due to a loss of confidence in the reliability of our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Because we do not anticipate paying any cash dividends on our common stock in the foreseeable future, capital appreciation, if any, will be our stockholders’ sole source of gain.</w:t>
      </w:r>
    </w:p>
    <w:p>
      <w:pPr>
        <w:spacing w:after="0" w:line="190" w:lineRule="exact"/>
        <w:rPr>
          <w:sz w:val="20"/>
          <w:szCs w:val="20"/>
          <w:color w:val="auto"/>
        </w:rPr>
      </w:pPr>
    </w:p>
    <w:p>
      <w:pPr>
        <w:ind w:right="140" w:firstLine="509"/>
        <w:spacing w:after="0" w:line="267" w:lineRule="auto"/>
        <w:rPr>
          <w:sz w:val="20"/>
          <w:szCs w:val="20"/>
          <w:color w:val="auto"/>
        </w:rPr>
      </w:pPr>
      <w:r>
        <w:rPr>
          <w:rFonts w:ascii="Arial" w:cs="Arial" w:eastAsia="Arial" w:hAnsi="Arial"/>
          <w:sz w:val="14"/>
          <w:szCs w:val="14"/>
          <w:color w:val="auto"/>
        </w:rPr>
        <w:t>We have never declared or paid cash dividends on our common stock. We currently intend to retain all of our future earnings, if any, to finance the growth of our business. In addition, the terms of any future debt agreements that we enter into may preclude us from paying dividends. As a result, capital appreciation, if any, of our common stock will be our stockholders’ sole source of gain for the foreseeable future.</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Sales of Unregistered Securities</w:t>
      </w:r>
    </w:p>
    <w:p>
      <w:pPr>
        <w:spacing w:after="0" w:line="129" w:lineRule="exact"/>
        <w:rPr>
          <w:sz w:val="20"/>
          <w:szCs w:val="20"/>
          <w:color w:val="auto"/>
        </w:rPr>
      </w:pPr>
    </w:p>
    <w:p>
      <w:pPr>
        <w:jc w:val="both"/>
        <w:ind w:right="160" w:firstLine="509"/>
        <w:spacing w:after="0" w:line="267" w:lineRule="auto"/>
        <w:rPr>
          <w:sz w:val="20"/>
          <w:szCs w:val="20"/>
          <w:color w:val="auto"/>
        </w:rPr>
      </w:pPr>
      <w:r>
        <w:rPr>
          <w:rFonts w:ascii="Arial" w:cs="Arial" w:eastAsia="Arial" w:hAnsi="Arial"/>
          <w:sz w:val="14"/>
          <w:szCs w:val="14"/>
          <w:color w:val="auto"/>
        </w:rPr>
        <w:t>In April and May 2020, of the stock options we granted to new employees pursuant to our 2019 Inducement Stock Incentive Plan, options to purchase an aggregate of 68,750 shares of our common stock were not registered under the Securities Act of 1933, as amended, at the time of grant. These options, and the shares issuable upon exercise, have since been registered pursuant to a Form S-8 that we filed with the Securities and Exchange Commission on May 7, 2020.</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20" w:firstLine="509"/>
        <w:spacing w:after="0" w:line="251" w:lineRule="auto"/>
        <w:rPr>
          <w:sz w:val="20"/>
          <w:szCs w:val="20"/>
          <w:color w:val="auto"/>
        </w:rPr>
      </w:pPr>
      <w:r>
        <w:rPr>
          <w:rFonts w:ascii="Arial" w:cs="Arial" w:eastAsia="Arial" w:hAnsi="Arial"/>
          <w:sz w:val="14"/>
          <w:szCs w:val="14"/>
          <w:color w:val="auto"/>
        </w:rPr>
        <w:t>In June 2020, we completed a private placement exempt from the registration requirements of the Securities Act of 1933, as amended, in which we sold 8,649,453 shares of our common stock to affiliates of Vivo Capital, LLC and Samsara BioCapital, L.P. at a price of $4.10 per share. The gross proceeds from the private placement were approximately $35.5 million, before deducting placement agent fees of approximately $2.1 million.</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Except as set forth above, we did not sell any unregistered equity securities during the period covered by this Quarterly Report on Form 10-Q.</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 of Equity Securities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did not purchase any of our registered equity securities during the period covered by this Quarterly Report on Form 10-Q.</w:t>
      </w:r>
    </w:p>
    <w:p>
      <w:pPr>
        <w:spacing w:after="0" w:line="200" w:lineRule="exact"/>
        <w:rPr>
          <w:sz w:val="20"/>
          <w:szCs w:val="20"/>
          <w:color w:val="auto"/>
        </w:rPr>
      </w:pP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 and Financial Statement Schedules</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exhibits filed as part of this Quarterly Report on Form 10-Q are set forth on the Exhibit Index, which is incorporated herein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Financial Statement Schedules</w:t>
      </w:r>
    </w:p>
    <w:p>
      <w:pPr>
        <w:spacing w:after="0" w:line="129"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No financial statement schedules have been filed as part of this Quarterly Report on Form 10-Q because they are not applicable, not required or because the information is otherwise included in our financial statements or notes thereto.</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Exhibits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5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Exhibit</w:t>
            </w:r>
          </w:p>
        </w:tc>
        <w:tc>
          <w:tcPr>
            <w:tcW w:w="3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500" w:type="dxa"/>
            <w:vAlign w:val="bottom"/>
            <w:gridSpan w:val="15"/>
            <w:vMerge w:val="restart"/>
          </w:tcPr>
          <w:p>
            <w:pPr>
              <w:ind w:left="100"/>
              <w:spacing w:after="0"/>
              <w:rPr>
                <w:sz w:val="20"/>
                <w:szCs w:val="20"/>
                <w:color w:val="auto"/>
              </w:rPr>
            </w:pPr>
            <w:r>
              <w:rPr>
                <w:rFonts w:ascii="Arial" w:cs="Arial" w:eastAsia="Arial" w:hAnsi="Arial"/>
                <w:sz w:val="11"/>
                <w:szCs w:val="11"/>
                <w:b w:val="1"/>
                <w:bCs w:val="1"/>
                <w:color w:val="auto"/>
              </w:rPr>
              <w:t>Description of Exhibit</w:t>
            </w:r>
          </w:p>
        </w:tc>
        <w:tc>
          <w:tcPr>
            <w:tcW w:w="0" w:type="dxa"/>
            <w:vAlign w:val="bottom"/>
          </w:tcPr>
          <w:p>
            <w:pPr>
              <w:spacing w:after="0"/>
              <w:rPr>
                <w:sz w:val="1"/>
                <w:szCs w:val="1"/>
                <w:color w:val="auto"/>
              </w:rPr>
            </w:pPr>
          </w:p>
        </w:tc>
      </w:tr>
      <w:tr>
        <w:trPr>
          <w:trHeight w:val="151"/>
        </w:trPr>
        <w:tc>
          <w:tcPr>
            <w:tcW w:w="15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Number</w:t>
            </w:r>
          </w:p>
        </w:tc>
        <w:tc>
          <w:tcPr>
            <w:tcW w:w="3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500" w:type="dxa"/>
            <w:vAlign w:val="bottom"/>
            <w:gridSpan w:val="1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80" w:type="dxa"/>
            <w:vAlign w:val="bottom"/>
            <w:tcBorders>
              <w:top w:val="single" w:sz="8" w:color="auto"/>
            </w:tcBorders>
          </w:tcPr>
          <w:p>
            <w:pPr>
              <w:jc w:val="right"/>
              <w:spacing w:after="0" w:line="143" w:lineRule="exact"/>
              <w:rPr>
                <w:rFonts w:ascii="Arial" w:cs="Arial" w:eastAsia="Arial" w:hAnsi="Arial"/>
                <w:sz w:val="14"/>
                <w:szCs w:val="14"/>
                <w:u w:val="single" w:color="auto"/>
                <w:color w:val="0000FF"/>
              </w:rPr>
            </w:pPr>
            <w:hyperlink r:id="rId118">
              <w:r>
                <w:rPr>
                  <w:rFonts w:ascii="Arial" w:cs="Arial" w:eastAsia="Arial" w:hAnsi="Arial"/>
                  <w:sz w:val="14"/>
                  <w:szCs w:val="14"/>
                  <w:u w:val="single" w:color="auto"/>
                  <w:color w:val="0000FF"/>
                </w:rPr>
                <w:t>3.1</w:t>
              </w:r>
            </w:hyperlink>
          </w:p>
        </w:tc>
        <w:tc>
          <w:tcPr>
            <w:tcW w:w="220" w:type="dxa"/>
            <w:vAlign w:val="bottom"/>
          </w:tcPr>
          <w:p>
            <w:pPr>
              <w:spacing w:after="0"/>
              <w:rPr>
                <w:sz w:val="12"/>
                <w:szCs w:val="12"/>
                <w:color w:val="auto"/>
              </w:rPr>
            </w:pPr>
          </w:p>
        </w:tc>
        <w:tc>
          <w:tcPr>
            <w:tcW w:w="9740" w:type="dxa"/>
            <w:vAlign w:val="bottom"/>
            <w:tcBorders>
              <w:top w:val="single" w:sz="8" w:color="auto"/>
            </w:tcBorders>
            <w:gridSpan w:val="18"/>
          </w:tcPr>
          <w:p>
            <w:pPr>
              <w:spacing w:after="0" w:line="143" w:lineRule="exact"/>
              <w:rPr>
                <w:rFonts w:ascii="Arial" w:cs="Arial" w:eastAsia="Arial" w:hAnsi="Arial"/>
                <w:sz w:val="14"/>
                <w:szCs w:val="14"/>
                <w:color w:val="0000FF"/>
                <w:w w:val="92"/>
              </w:rPr>
            </w:pPr>
            <w:hyperlink r:id="rId118">
              <w:r>
                <w:rPr>
                  <w:rFonts w:ascii="Arial" w:cs="Arial" w:eastAsia="Arial" w:hAnsi="Arial"/>
                  <w:sz w:val="14"/>
                  <w:szCs w:val="14"/>
                  <w:color w:val="0000FF"/>
                  <w:w w:val="92"/>
                </w:rPr>
                <w:t>Restated Certificate of Incorporation of the Registrant (incorporated by reference to Exhibit 3.3 to Amendment No. 2 of the Registrant's Registration Statement on Form S-</w:t>
              </w:r>
            </w:hyperlink>
          </w:p>
        </w:tc>
        <w:tc>
          <w:tcPr>
            <w:tcW w:w="0" w:type="dxa"/>
            <w:vAlign w:val="bottom"/>
          </w:tcPr>
          <w:p>
            <w:pPr>
              <w:spacing w:after="0"/>
              <w:rPr>
                <w:sz w:val="1"/>
                <w:szCs w:val="1"/>
                <w:color w:val="auto"/>
              </w:rPr>
            </w:pPr>
          </w:p>
        </w:tc>
      </w:tr>
      <w:tr>
        <w:trPr>
          <w:trHeight w:val="118"/>
        </w:trPr>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70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w w:val="99"/>
              </w:rPr>
            </w:pPr>
            <w:hyperlink r:id="rId118">
              <w:r>
                <w:rPr>
                  <w:rFonts w:ascii="Arial" w:cs="Arial" w:eastAsia="Arial" w:hAnsi="Arial"/>
                  <w:sz w:val="13"/>
                  <w:szCs w:val="13"/>
                  <w:color w:val="0000FF"/>
                  <w:w w:val="99"/>
                </w:rPr>
                <w:t>1 (File No. 333-190643) filed with the Securities and Exchange Commission on September 9, 2013)</w:t>
              </w:r>
            </w:hyperlink>
          </w:p>
        </w:tc>
        <w:tc>
          <w:tcPr>
            <w:tcW w:w="400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280" w:type="dxa"/>
            <w:vAlign w:val="bottom"/>
          </w:tcPr>
          <w:p>
            <w:pPr>
              <w:jc w:val="right"/>
              <w:spacing w:after="0"/>
              <w:rPr>
                <w:rFonts w:ascii="Arial" w:cs="Arial" w:eastAsia="Arial" w:hAnsi="Arial"/>
                <w:sz w:val="14"/>
                <w:szCs w:val="14"/>
                <w:u w:val="single" w:color="auto"/>
                <w:color w:val="0000FF"/>
              </w:rPr>
            </w:pPr>
            <w:hyperlink r:id="rId119">
              <w:r>
                <w:rPr>
                  <w:rFonts w:ascii="Arial" w:cs="Arial" w:eastAsia="Arial" w:hAnsi="Arial"/>
                  <w:sz w:val="14"/>
                  <w:szCs w:val="14"/>
                  <w:u w:val="single" w:color="auto"/>
                  <w:color w:val="0000FF"/>
                </w:rPr>
                <w:t>3.2</w:t>
              </w:r>
            </w:hyperlink>
          </w:p>
        </w:tc>
        <w:tc>
          <w:tcPr>
            <w:tcW w:w="220" w:type="dxa"/>
            <w:vAlign w:val="bottom"/>
          </w:tcPr>
          <w:p>
            <w:pPr>
              <w:spacing w:after="0"/>
              <w:rPr>
                <w:sz w:val="13"/>
                <w:szCs w:val="13"/>
                <w:color w:val="auto"/>
              </w:rPr>
            </w:pPr>
          </w:p>
        </w:tc>
        <w:tc>
          <w:tcPr>
            <w:tcW w:w="9740" w:type="dxa"/>
            <w:vAlign w:val="bottom"/>
            <w:gridSpan w:val="18"/>
          </w:tcPr>
          <w:p>
            <w:pPr>
              <w:spacing w:after="0"/>
              <w:rPr>
                <w:rFonts w:ascii="Arial" w:cs="Arial" w:eastAsia="Arial" w:hAnsi="Arial"/>
                <w:sz w:val="14"/>
                <w:szCs w:val="14"/>
                <w:color w:val="0000FF"/>
                <w:w w:val="92"/>
              </w:rPr>
            </w:pPr>
            <w:hyperlink r:id="rId119">
              <w:r>
                <w:rPr>
                  <w:rFonts w:ascii="Arial" w:cs="Arial" w:eastAsia="Arial" w:hAnsi="Arial"/>
                  <w:sz w:val="14"/>
                  <w:szCs w:val="14"/>
                  <w:color w:val="0000FF"/>
                  <w:w w:val="92"/>
                </w:rPr>
                <w:t>Certificate of Amendment to Restated Certificate of Incorporation of the Registrant (incorporated by reference to Exhibit 3.1 of the Registrant's Current Report on Form 8-</w:t>
              </w:r>
            </w:hyperlink>
          </w:p>
        </w:tc>
        <w:tc>
          <w:tcPr>
            <w:tcW w:w="0" w:type="dxa"/>
            <w:vAlign w:val="bottom"/>
          </w:tcPr>
          <w:p>
            <w:pPr>
              <w:spacing w:after="0"/>
              <w:rPr>
                <w:sz w:val="1"/>
                <w:szCs w:val="1"/>
                <w:color w:val="auto"/>
              </w:rPr>
            </w:pPr>
          </w:p>
        </w:tc>
      </w:tr>
      <w:tr>
        <w:trPr>
          <w:trHeight w:val="118"/>
        </w:trPr>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80" w:type="dxa"/>
            <w:vAlign w:val="bottom"/>
            <w:tcBorders>
              <w:top w:val="single" w:sz="8" w:color="0000FF"/>
            </w:tcBorders>
            <w:gridSpan w:val="15"/>
          </w:tcPr>
          <w:p>
            <w:pPr>
              <w:spacing w:after="0" w:line="118" w:lineRule="exact"/>
              <w:rPr>
                <w:rFonts w:ascii="Arial" w:cs="Arial" w:eastAsia="Arial" w:hAnsi="Arial"/>
                <w:sz w:val="13"/>
                <w:szCs w:val="13"/>
                <w:color w:val="0000FF"/>
              </w:rPr>
            </w:pPr>
            <w:hyperlink r:id="rId119">
              <w:r>
                <w:rPr>
                  <w:rFonts w:ascii="Arial" w:cs="Arial" w:eastAsia="Arial" w:hAnsi="Arial"/>
                  <w:sz w:val="13"/>
                  <w:szCs w:val="13"/>
                  <w:color w:val="0000FF"/>
                </w:rPr>
                <w:t>K filed with the Securities and Exchange Commission on April 16, 2019)</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80" w:type="dxa"/>
            <w:vAlign w:val="bottom"/>
          </w:tcPr>
          <w:p>
            <w:pPr>
              <w:jc w:val="right"/>
              <w:spacing w:after="0"/>
              <w:rPr>
                <w:rFonts w:ascii="Arial" w:cs="Arial" w:eastAsia="Arial" w:hAnsi="Arial"/>
                <w:sz w:val="14"/>
                <w:szCs w:val="14"/>
                <w:u w:val="single" w:color="auto"/>
                <w:color w:val="0000FF"/>
              </w:rPr>
            </w:pPr>
            <w:hyperlink r:id="rId120">
              <w:r>
                <w:rPr>
                  <w:rFonts w:ascii="Arial" w:cs="Arial" w:eastAsia="Arial" w:hAnsi="Arial"/>
                  <w:sz w:val="14"/>
                  <w:szCs w:val="14"/>
                  <w:u w:val="single" w:color="auto"/>
                  <w:color w:val="0000FF"/>
                </w:rPr>
                <w:t>3.3</w:t>
              </w:r>
            </w:hyperlink>
          </w:p>
        </w:tc>
        <w:tc>
          <w:tcPr>
            <w:tcW w:w="220" w:type="dxa"/>
            <w:vAlign w:val="bottom"/>
          </w:tcPr>
          <w:p>
            <w:pPr>
              <w:spacing w:after="0"/>
              <w:rPr>
                <w:sz w:val="13"/>
                <w:szCs w:val="13"/>
                <w:color w:val="auto"/>
              </w:rPr>
            </w:pPr>
          </w:p>
        </w:tc>
        <w:tc>
          <w:tcPr>
            <w:tcW w:w="9740" w:type="dxa"/>
            <w:vAlign w:val="bottom"/>
            <w:gridSpan w:val="18"/>
          </w:tcPr>
          <w:p>
            <w:pPr>
              <w:spacing w:after="0"/>
              <w:rPr>
                <w:rFonts w:ascii="Arial" w:cs="Arial" w:eastAsia="Arial" w:hAnsi="Arial"/>
                <w:sz w:val="14"/>
                <w:szCs w:val="14"/>
                <w:color w:val="0000FF"/>
                <w:w w:val="94"/>
              </w:rPr>
            </w:pPr>
            <w:hyperlink r:id="rId120">
              <w:r>
                <w:rPr>
                  <w:rFonts w:ascii="Arial" w:cs="Arial" w:eastAsia="Arial" w:hAnsi="Arial"/>
                  <w:sz w:val="14"/>
                  <w:szCs w:val="14"/>
                  <w:color w:val="0000FF"/>
                  <w:w w:val="94"/>
                </w:rPr>
                <w:t>Amended and Restated Bylaws of the Registrant (incorporated by reference to Exhibit 3.4 to Amendment No. 2 of the Registrant's Registration Statement on Form S-</w:t>
              </w:r>
            </w:hyperlink>
          </w:p>
        </w:tc>
        <w:tc>
          <w:tcPr>
            <w:tcW w:w="0" w:type="dxa"/>
            <w:vAlign w:val="bottom"/>
          </w:tcPr>
          <w:p>
            <w:pPr>
              <w:spacing w:after="0"/>
              <w:rPr>
                <w:sz w:val="1"/>
                <w:szCs w:val="1"/>
                <w:color w:val="auto"/>
              </w:rPr>
            </w:pPr>
          </w:p>
        </w:tc>
      </w:tr>
      <w:tr>
        <w:trPr>
          <w:trHeight w:val="118"/>
        </w:trPr>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8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w w:val="98"/>
              </w:rPr>
            </w:pPr>
            <w:hyperlink r:id="rId120">
              <w:r>
                <w:rPr>
                  <w:rFonts w:ascii="Arial" w:cs="Arial" w:eastAsia="Arial" w:hAnsi="Arial"/>
                  <w:sz w:val="13"/>
                  <w:szCs w:val="13"/>
                  <w:color w:val="0000FF"/>
                  <w:w w:val="98"/>
                </w:rPr>
                <w:t>1 (File No. 333-190643) filed with the Securities and Exchange Commission on September 9, 2013)</w:t>
              </w:r>
            </w:hyperlink>
          </w:p>
        </w:tc>
        <w:tc>
          <w:tcPr>
            <w:tcW w:w="3720" w:type="dxa"/>
            <w:vAlign w:val="bottom"/>
            <w:tcBorders>
              <w:top w:val="single" w:sz="8" w:color="0000FF"/>
            </w:tcBorders>
            <w:gridSpan w:val="7"/>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1280" w:type="dxa"/>
            <w:vAlign w:val="bottom"/>
          </w:tcPr>
          <w:p>
            <w:pPr>
              <w:jc w:val="right"/>
              <w:spacing w:after="0"/>
              <w:rPr>
                <w:rFonts w:ascii="Arial" w:cs="Arial" w:eastAsia="Arial" w:hAnsi="Arial"/>
                <w:sz w:val="14"/>
                <w:szCs w:val="14"/>
                <w:u w:val="single" w:color="auto"/>
                <w:color w:val="0000FF"/>
              </w:rPr>
            </w:pPr>
            <w:hyperlink w:anchor="page104">
              <w:r>
                <w:rPr>
                  <w:rFonts w:ascii="Arial" w:cs="Arial" w:eastAsia="Arial" w:hAnsi="Arial"/>
                  <w:sz w:val="14"/>
                  <w:szCs w:val="14"/>
                  <w:u w:val="single" w:color="auto"/>
                  <w:color w:val="0000FF"/>
                </w:rPr>
                <w:t>10.1</w:t>
              </w:r>
            </w:hyperlink>
          </w:p>
        </w:tc>
        <w:tc>
          <w:tcPr>
            <w:tcW w:w="220" w:type="dxa"/>
            <w:vAlign w:val="bottom"/>
          </w:tcPr>
          <w:p>
            <w:pPr>
              <w:spacing w:after="0"/>
              <w:rPr>
                <w:sz w:val="16"/>
                <w:szCs w:val="16"/>
                <w:color w:val="auto"/>
              </w:rPr>
            </w:pPr>
          </w:p>
        </w:tc>
        <w:tc>
          <w:tcPr>
            <w:tcW w:w="9740" w:type="dxa"/>
            <w:vAlign w:val="bottom"/>
            <w:gridSpan w:val="18"/>
          </w:tcPr>
          <w:p>
            <w:pPr>
              <w:spacing w:after="0"/>
              <w:rPr>
                <w:rFonts w:ascii="Arial" w:cs="Arial" w:eastAsia="Arial" w:hAnsi="Arial"/>
                <w:sz w:val="14"/>
                <w:szCs w:val="14"/>
                <w:u w:val="single" w:color="auto"/>
                <w:color w:val="0000FF"/>
              </w:rPr>
            </w:pPr>
            <w:hyperlink w:anchor="page104">
              <w:r>
                <w:rPr>
                  <w:rFonts w:ascii="Arial" w:cs="Arial" w:eastAsia="Arial" w:hAnsi="Arial"/>
                  <w:sz w:val="14"/>
                  <w:szCs w:val="14"/>
                  <w:u w:val="single" w:color="auto"/>
                  <w:color w:val="0000FF"/>
                </w:rPr>
                <w:t>Offer Letter between the Registrant and Pravin U. Dugel, dated March 11, 2020</w:t>
              </w:r>
            </w:hyperlink>
          </w:p>
        </w:tc>
        <w:tc>
          <w:tcPr>
            <w:tcW w:w="0" w:type="dxa"/>
            <w:vAlign w:val="bottom"/>
          </w:tcPr>
          <w:p>
            <w:pPr>
              <w:spacing w:after="0"/>
              <w:rPr>
                <w:sz w:val="1"/>
                <w:szCs w:val="1"/>
                <w:color w:val="auto"/>
              </w:rPr>
            </w:pPr>
          </w:p>
        </w:tc>
      </w:tr>
      <w:tr>
        <w:trPr>
          <w:trHeight w:val="180"/>
        </w:trPr>
        <w:tc>
          <w:tcPr>
            <w:tcW w:w="1280" w:type="dxa"/>
            <w:vAlign w:val="bottom"/>
          </w:tcPr>
          <w:p>
            <w:pPr>
              <w:jc w:val="right"/>
              <w:spacing w:after="0"/>
              <w:rPr>
                <w:rFonts w:ascii="Arial" w:cs="Arial" w:eastAsia="Arial" w:hAnsi="Arial"/>
                <w:sz w:val="14"/>
                <w:szCs w:val="14"/>
                <w:u w:val="single" w:color="auto"/>
                <w:color w:val="0000FF"/>
              </w:rPr>
            </w:pPr>
            <w:hyperlink w:anchor="page109">
              <w:r>
                <w:rPr>
                  <w:rFonts w:ascii="Arial" w:cs="Arial" w:eastAsia="Arial" w:hAnsi="Arial"/>
                  <w:sz w:val="14"/>
                  <w:szCs w:val="14"/>
                  <w:u w:val="single" w:color="auto"/>
                  <w:color w:val="0000FF"/>
                </w:rPr>
                <w:t>10.2</w:t>
              </w:r>
            </w:hyperlink>
          </w:p>
        </w:tc>
        <w:tc>
          <w:tcPr>
            <w:tcW w:w="220" w:type="dxa"/>
            <w:vAlign w:val="bottom"/>
          </w:tcPr>
          <w:p>
            <w:pPr>
              <w:spacing w:after="0"/>
              <w:rPr>
                <w:sz w:val="15"/>
                <w:szCs w:val="15"/>
                <w:color w:val="auto"/>
              </w:rPr>
            </w:pPr>
          </w:p>
        </w:tc>
        <w:tc>
          <w:tcPr>
            <w:tcW w:w="9740" w:type="dxa"/>
            <w:vAlign w:val="bottom"/>
            <w:gridSpan w:val="18"/>
          </w:tcPr>
          <w:p>
            <w:pPr>
              <w:spacing w:after="0"/>
              <w:rPr>
                <w:rFonts w:ascii="Arial" w:cs="Arial" w:eastAsia="Arial" w:hAnsi="Arial"/>
                <w:sz w:val="14"/>
                <w:szCs w:val="14"/>
                <w:u w:val="single" w:color="auto"/>
                <w:color w:val="0000FF"/>
              </w:rPr>
            </w:pPr>
            <w:hyperlink w:anchor="page109">
              <w:r>
                <w:rPr>
                  <w:rFonts w:ascii="Arial" w:cs="Arial" w:eastAsia="Arial" w:hAnsi="Arial"/>
                  <w:sz w:val="14"/>
                  <w:szCs w:val="14"/>
                  <w:u w:val="single" w:color="auto"/>
                  <w:color w:val="0000FF"/>
                </w:rPr>
                <w:t>Severance Agreement between the Registrant and Pravin U. Dugel, dated March 11, 2020</w:t>
              </w:r>
            </w:hyperlink>
          </w:p>
        </w:tc>
        <w:tc>
          <w:tcPr>
            <w:tcW w:w="0" w:type="dxa"/>
            <w:vAlign w:val="bottom"/>
          </w:tcPr>
          <w:p>
            <w:pPr>
              <w:spacing w:after="0"/>
              <w:rPr>
                <w:sz w:val="1"/>
                <w:szCs w:val="1"/>
                <w:color w:val="auto"/>
              </w:rPr>
            </w:pPr>
          </w:p>
        </w:tc>
      </w:tr>
      <w:tr>
        <w:trPr>
          <w:trHeight w:val="149"/>
        </w:trPr>
        <w:tc>
          <w:tcPr>
            <w:tcW w:w="1280" w:type="dxa"/>
            <w:vAlign w:val="bottom"/>
          </w:tcPr>
          <w:p>
            <w:pPr>
              <w:jc w:val="right"/>
              <w:spacing w:after="0" w:line="149" w:lineRule="exact"/>
              <w:rPr>
                <w:rFonts w:ascii="Arial" w:cs="Arial" w:eastAsia="Arial" w:hAnsi="Arial"/>
                <w:sz w:val="14"/>
                <w:szCs w:val="14"/>
                <w:u w:val="single" w:color="auto"/>
                <w:color w:val="0000FF"/>
              </w:rPr>
            </w:pPr>
            <w:hyperlink r:id="rId121">
              <w:r>
                <w:rPr>
                  <w:rFonts w:ascii="Arial" w:cs="Arial" w:eastAsia="Arial" w:hAnsi="Arial"/>
                  <w:sz w:val="14"/>
                  <w:szCs w:val="14"/>
                  <w:u w:val="single" w:color="auto"/>
                  <w:color w:val="0000FF"/>
                </w:rPr>
                <w:t>10.3</w:t>
              </w:r>
            </w:hyperlink>
          </w:p>
        </w:tc>
        <w:tc>
          <w:tcPr>
            <w:tcW w:w="220" w:type="dxa"/>
            <w:vAlign w:val="bottom"/>
          </w:tcPr>
          <w:p>
            <w:pPr>
              <w:spacing w:after="0"/>
              <w:rPr>
                <w:sz w:val="12"/>
                <w:szCs w:val="12"/>
                <w:color w:val="auto"/>
              </w:rPr>
            </w:pPr>
          </w:p>
        </w:tc>
        <w:tc>
          <w:tcPr>
            <w:tcW w:w="9740" w:type="dxa"/>
            <w:vAlign w:val="bottom"/>
            <w:gridSpan w:val="18"/>
          </w:tcPr>
          <w:p>
            <w:pPr>
              <w:spacing w:after="0" w:line="149" w:lineRule="exact"/>
              <w:rPr>
                <w:rFonts w:ascii="Arial" w:cs="Arial" w:eastAsia="Arial" w:hAnsi="Arial"/>
                <w:sz w:val="14"/>
                <w:szCs w:val="14"/>
                <w:color w:val="0000FF"/>
                <w:w w:val="91"/>
              </w:rPr>
            </w:pPr>
            <w:hyperlink r:id="rId121">
              <w:r>
                <w:rPr>
                  <w:rFonts w:ascii="Arial" w:cs="Arial" w:eastAsia="Arial" w:hAnsi="Arial"/>
                  <w:sz w:val="14"/>
                  <w:szCs w:val="14"/>
                  <w:u w:val="single" w:color="auto"/>
                  <w:color w:val="0000FF"/>
                  <w:w w:val="91"/>
                </w:rPr>
                <w:t>Letter agreement between One Penn Plaza LLC and Registrant, dated April 6, 2020</w:t>
              </w:r>
              <w:r>
                <w:rPr>
                  <w:rFonts w:ascii="Arial" w:cs="Arial" w:eastAsia="Arial" w:hAnsi="Arial"/>
                  <w:sz w:val="14"/>
                  <w:szCs w:val="14"/>
                  <w:color w:val="0000FF"/>
                  <w:w w:val="91"/>
                </w:rPr>
                <w:t xml:space="preserve"> (incorporated by reference to Exhibit 10.3 of the Registrant's Quarterly Report on Form</w:t>
              </w:r>
            </w:hyperlink>
          </w:p>
        </w:tc>
        <w:tc>
          <w:tcPr>
            <w:tcW w:w="0" w:type="dxa"/>
            <w:vAlign w:val="bottom"/>
          </w:tcPr>
          <w:p>
            <w:pPr>
              <w:spacing w:after="0"/>
              <w:rPr>
                <w:sz w:val="1"/>
                <w:szCs w:val="1"/>
                <w:color w:val="auto"/>
              </w:rPr>
            </w:pPr>
          </w:p>
        </w:tc>
      </w:tr>
      <w:tr>
        <w:trPr>
          <w:trHeight w:val="118"/>
        </w:trPr>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40" w:type="dxa"/>
            <w:vAlign w:val="bottom"/>
            <w:tcBorders>
              <w:bottom w:val="single" w:sz="8" w:color="0000FF"/>
            </w:tcBorders>
            <w:gridSpan w:val="3"/>
          </w:tcPr>
          <w:p>
            <w:pPr>
              <w:spacing w:after="0" w:line="118" w:lineRule="exact"/>
              <w:rPr>
                <w:rFonts w:ascii="Arial" w:cs="Arial" w:eastAsia="Arial" w:hAnsi="Arial"/>
                <w:sz w:val="13"/>
                <w:szCs w:val="13"/>
                <w:color w:val="0000FF"/>
                <w:w w:val="99"/>
              </w:rPr>
            </w:pPr>
            <w:hyperlink r:id="rId121">
              <w:r>
                <w:rPr>
                  <w:rFonts w:ascii="Arial" w:cs="Arial" w:eastAsia="Arial" w:hAnsi="Arial"/>
                  <w:sz w:val="13"/>
                  <w:szCs w:val="13"/>
                  <w:color w:val="0000FF"/>
                  <w:w w:val="99"/>
                </w:rPr>
                <w:t>10-Q filed with the Securities and Exchange Commission on May 7, 2020)</w:t>
              </w:r>
            </w:hyperlink>
          </w:p>
        </w:tc>
        <w:tc>
          <w:tcPr>
            <w:tcW w:w="500" w:type="dxa"/>
            <w:vAlign w:val="bottom"/>
            <w:gridSpan w:val="2"/>
          </w:tcPr>
          <w:p>
            <w:pPr>
              <w:spacing w:after="0"/>
              <w:rPr>
                <w:sz w:val="10"/>
                <w:szCs w:val="10"/>
                <w:color w:val="auto"/>
              </w:rPr>
            </w:pPr>
          </w:p>
        </w:tc>
        <w:tc>
          <w:tcPr>
            <w:tcW w:w="1600" w:type="dxa"/>
            <w:vAlign w:val="bottom"/>
            <w:tcBorders>
              <w:top w:val="single" w:sz="8" w:color="0000FF"/>
            </w:tcBorders>
            <w:gridSpan w:val="3"/>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940" w:type="dxa"/>
            <w:vAlign w:val="bottom"/>
            <w:tcBorders>
              <w:top w:val="single" w:sz="8" w:color="0000FF"/>
            </w:tcBorders>
          </w:tcPr>
          <w:p>
            <w:pPr>
              <w:spacing w:after="0"/>
              <w:rPr>
                <w:sz w:val="10"/>
                <w:szCs w:val="10"/>
                <w:color w:val="auto"/>
              </w:rPr>
            </w:pPr>
          </w:p>
        </w:tc>
        <w:tc>
          <w:tcPr>
            <w:tcW w:w="17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gridSpan w:val="2"/>
          </w:tcPr>
          <w:p>
            <w:pPr>
              <w:spacing w:after="0"/>
              <w:rPr>
                <w:sz w:val="10"/>
                <w:szCs w:val="10"/>
                <w:color w:val="auto"/>
              </w:rPr>
            </w:pPr>
          </w:p>
        </w:tc>
        <w:tc>
          <w:tcPr>
            <w:tcW w:w="180" w:type="dxa"/>
            <w:vAlign w:val="bottom"/>
            <w:tcBorders>
              <w:top w:val="single" w:sz="8" w:color="0000FF"/>
            </w:tcBorders>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280" w:type="dxa"/>
            <w:vAlign w:val="bottom"/>
          </w:tcPr>
          <w:p>
            <w:pPr>
              <w:jc w:val="right"/>
              <w:spacing w:after="0"/>
              <w:rPr>
                <w:rFonts w:ascii="Arial" w:cs="Arial" w:eastAsia="Arial" w:hAnsi="Arial"/>
                <w:sz w:val="14"/>
                <w:szCs w:val="14"/>
                <w:u w:val="single" w:color="auto"/>
                <w:color w:val="0000FF"/>
              </w:rPr>
            </w:pPr>
            <w:hyperlink r:id="rId122">
              <w:r>
                <w:rPr>
                  <w:rFonts w:ascii="Arial" w:cs="Arial" w:eastAsia="Arial" w:hAnsi="Arial"/>
                  <w:sz w:val="14"/>
                  <w:szCs w:val="14"/>
                  <w:u w:val="single" w:color="auto"/>
                  <w:color w:val="0000FF"/>
                </w:rPr>
                <w:t>10.4</w:t>
              </w:r>
            </w:hyperlink>
          </w:p>
        </w:tc>
        <w:tc>
          <w:tcPr>
            <w:tcW w:w="220" w:type="dxa"/>
            <w:vAlign w:val="bottom"/>
          </w:tcPr>
          <w:p>
            <w:pPr>
              <w:spacing w:after="0"/>
              <w:rPr>
                <w:sz w:val="13"/>
                <w:szCs w:val="13"/>
                <w:color w:val="auto"/>
              </w:rPr>
            </w:pPr>
          </w:p>
        </w:tc>
        <w:tc>
          <w:tcPr>
            <w:tcW w:w="9740" w:type="dxa"/>
            <w:vAlign w:val="bottom"/>
            <w:gridSpan w:val="18"/>
          </w:tcPr>
          <w:p>
            <w:pPr>
              <w:spacing w:after="0"/>
              <w:rPr>
                <w:rFonts w:ascii="Arial" w:cs="Arial" w:eastAsia="Arial" w:hAnsi="Arial"/>
                <w:sz w:val="14"/>
                <w:szCs w:val="14"/>
                <w:color w:val="0000FF"/>
                <w:w w:val="99"/>
              </w:rPr>
            </w:pPr>
            <w:hyperlink r:id="rId122">
              <w:r>
                <w:rPr>
                  <w:rFonts w:ascii="Arial" w:cs="Arial" w:eastAsia="Arial" w:hAnsi="Arial"/>
                  <w:sz w:val="14"/>
                  <w:szCs w:val="14"/>
                  <w:color w:val="0000FF"/>
                  <w:w w:val="99"/>
                </w:rPr>
                <w:t>Amendment No. 1 to Exclusive License Agreement with Know-How, by and among Trustees of the University of Pennsylvania, University of Florida Research</w:t>
              </w:r>
            </w:hyperlink>
          </w:p>
        </w:tc>
        <w:tc>
          <w:tcPr>
            <w:tcW w:w="0" w:type="dxa"/>
            <w:vAlign w:val="bottom"/>
          </w:tcPr>
          <w:p>
            <w:pPr>
              <w:spacing w:after="0"/>
              <w:rPr>
                <w:sz w:val="1"/>
                <w:szCs w:val="1"/>
                <w:color w:val="auto"/>
              </w:rPr>
            </w:pPr>
          </w:p>
        </w:tc>
      </w:tr>
      <w:tr>
        <w:trPr>
          <w:trHeight w:val="118"/>
        </w:trPr>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40" w:type="dxa"/>
            <w:vAlign w:val="bottom"/>
            <w:tcBorders>
              <w:top w:val="single" w:sz="8" w:color="0000FF"/>
            </w:tcBorders>
            <w:gridSpan w:val="11"/>
          </w:tcPr>
          <w:p>
            <w:pPr>
              <w:spacing w:after="0" w:line="118" w:lineRule="exact"/>
              <w:rPr>
                <w:rFonts w:ascii="Arial" w:cs="Arial" w:eastAsia="Arial" w:hAnsi="Arial"/>
                <w:sz w:val="13"/>
                <w:szCs w:val="13"/>
                <w:color w:val="0000FF"/>
                <w:w w:val="99"/>
              </w:rPr>
            </w:pPr>
            <w:hyperlink r:id="rId122">
              <w:r>
                <w:rPr>
                  <w:rFonts w:ascii="Arial" w:cs="Arial" w:eastAsia="Arial" w:hAnsi="Arial"/>
                  <w:sz w:val="13"/>
                  <w:szCs w:val="13"/>
                  <w:color w:val="0000FF"/>
                  <w:w w:val="99"/>
                </w:rPr>
                <w:t>Foundation, Incorporated and Registrant, dated May 1, 2020 (incorporated by reference to Exhibit 10.2 of the Registrant's Quarterly Report on Form 10-Q filed</w:t>
              </w:r>
            </w:hyperlink>
          </w:p>
        </w:tc>
        <w:tc>
          <w:tcPr>
            <w:tcW w:w="700" w:type="dxa"/>
            <w:vAlign w:val="bottom"/>
            <w:gridSpan w:val="7"/>
          </w:tcPr>
          <w:p>
            <w:pPr>
              <w:ind w:left="40"/>
              <w:spacing w:after="0" w:line="118" w:lineRule="exact"/>
              <w:rPr>
                <w:rFonts w:ascii="Arial" w:cs="Arial" w:eastAsia="Arial" w:hAnsi="Arial"/>
                <w:sz w:val="13"/>
                <w:szCs w:val="13"/>
                <w:color w:val="0000FF"/>
              </w:rPr>
            </w:pPr>
            <w:hyperlink r:id="rId122">
              <w:r>
                <w:rPr>
                  <w:rFonts w:ascii="Arial" w:cs="Arial" w:eastAsia="Arial" w:hAnsi="Arial"/>
                  <w:sz w:val="13"/>
                  <w:szCs w:val="13"/>
                  <w:color w:val="0000FF"/>
                </w:rPr>
                <w:t>with the</w:t>
              </w:r>
            </w:hyperlink>
          </w:p>
        </w:tc>
        <w:tc>
          <w:tcPr>
            <w:tcW w:w="0" w:type="dxa"/>
            <w:vAlign w:val="bottom"/>
          </w:tcPr>
          <w:p>
            <w:pPr>
              <w:spacing w:after="0"/>
              <w:rPr>
                <w:sz w:val="1"/>
                <w:szCs w:val="1"/>
                <w:color w:val="auto"/>
              </w:rPr>
            </w:pPr>
          </w:p>
        </w:tc>
      </w:tr>
      <w:tr>
        <w:trPr>
          <w:trHeight w:val="118"/>
        </w:trPr>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540" w:type="dxa"/>
            <w:vAlign w:val="bottom"/>
            <w:tcBorders>
              <w:top w:val="single" w:sz="8" w:color="0000FF"/>
            </w:tcBorders>
            <w:gridSpan w:val="14"/>
          </w:tcPr>
          <w:p>
            <w:pPr>
              <w:spacing w:after="0" w:line="118" w:lineRule="exact"/>
              <w:rPr>
                <w:rFonts w:ascii="Arial" w:cs="Arial" w:eastAsia="Arial" w:hAnsi="Arial"/>
                <w:sz w:val="13"/>
                <w:szCs w:val="13"/>
                <w:color w:val="0000FF"/>
              </w:rPr>
            </w:pPr>
            <w:hyperlink r:id="rId122">
              <w:r>
                <w:rPr>
                  <w:rFonts w:ascii="Arial" w:cs="Arial" w:eastAsia="Arial" w:hAnsi="Arial"/>
                  <w:sz w:val="13"/>
                  <w:szCs w:val="13"/>
                  <w:color w:val="0000FF"/>
                </w:rPr>
                <w:t>Securities and Exchange Commission on May 7, 2020)</w:t>
              </w:r>
            </w:hyperlink>
          </w:p>
        </w:tc>
        <w:tc>
          <w:tcPr>
            <w:tcW w:w="20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80" w:type="dxa"/>
            <w:vAlign w:val="bottom"/>
          </w:tcPr>
          <w:p>
            <w:pPr>
              <w:jc w:val="right"/>
              <w:spacing w:after="0"/>
              <w:rPr>
                <w:rFonts w:ascii="Arial" w:cs="Arial" w:eastAsia="Arial" w:hAnsi="Arial"/>
                <w:sz w:val="14"/>
                <w:szCs w:val="14"/>
                <w:u w:val="single" w:color="auto"/>
                <w:color w:val="0000FF"/>
              </w:rPr>
            </w:pPr>
            <w:hyperlink r:id="rId123">
              <w:r>
                <w:rPr>
                  <w:rFonts w:ascii="Arial" w:cs="Arial" w:eastAsia="Arial" w:hAnsi="Arial"/>
                  <w:sz w:val="14"/>
                  <w:szCs w:val="14"/>
                  <w:u w:val="single" w:color="auto"/>
                  <w:color w:val="0000FF"/>
                </w:rPr>
                <w:t>10.5</w:t>
              </w:r>
            </w:hyperlink>
          </w:p>
        </w:tc>
        <w:tc>
          <w:tcPr>
            <w:tcW w:w="220" w:type="dxa"/>
            <w:vAlign w:val="bottom"/>
          </w:tcPr>
          <w:p>
            <w:pPr>
              <w:spacing w:after="0"/>
              <w:rPr>
                <w:sz w:val="13"/>
                <w:szCs w:val="13"/>
                <w:color w:val="auto"/>
              </w:rPr>
            </w:pPr>
          </w:p>
        </w:tc>
        <w:tc>
          <w:tcPr>
            <w:tcW w:w="9740" w:type="dxa"/>
            <w:vAlign w:val="bottom"/>
            <w:gridSpan w:val="18"/>
          </w:tcPr>
          <w:p>
            <w:pPr>
              <w:spacing w:after="0"/>
              <w:rPr>
                <w:rFonts w:ascii="Arial" w:cs="Arial" w:eastAsia="Arial" w:hAnsi="Arial"/>
                <w:sz w:val="14"/>
                <w:szCs w:val="14"/>
                <w:color w:val="0000FF"/>
                <w:w w:val="96"/>
              </w:rPr>
            </w:pPr>
            <w:hyperlink r:id="rId123">
              <w:r>
                <w:rPr>
                  <w:rFonts w:ascii="Arial" w:cs="Arial" w:eastAsia="Arial" w:hAnsi="Arial"/>
                  <w:sz w:val="14"/>
                  <w:szCs w:val="14"/>
                  <w:u w:val="single" w:color="auto"/>
                  <w:color w:val="0000FF"/>
                  <w:w w:val="96"/>
                </w:rPr>
                <w:t>Stock Purchase Agreement, dated June 17, 2020, between the Registrant and</w:t>
              </w:r>
              <w:r>
                <w:rPr>
                  <w:rFonts w:ascii="Arial" w:cs="Arial" w:eastAsia="Arial" w:hAnsi="Arial"/>
                  <w:sz w:val="14"/>
                  <w:szCs w:val="14"/>
                  <w:color w:val="0000FF"/>
                  <w:w w:val="96"/>
                </w:rPr>
                <w:t xml:space="preserve"> Certain Purchasers Named Therein </w:t>
              </w:r>
              <w:r>
                <w:rPr>
                  <w:rFonts w:ascii="Arial" w:cs="Arial" w:eastAsia="Arial" w:hAnsi="Arial"/>
                  <w:sz w:val="14"/>
                  <w:szCs w:val="14"/>
                  <w:u w:val="single" w:color="auto"/>
                  <w:color w:val="0000FF"/>
                  <w:w w:val="96"/>
                </w:rPr>
                <w:t>(incorporated by</w:t>
              </w:r>
              <w:r>
                <w:rPr>
                  <w:rFonts w:ascii="Arial" w:cs="Arial" w:eastAsia="Arial" w:hAnsi="Arial"/>
                  <w:sz w:val="14"/>
                  <w:szCs w:val="14"/>
                  <w:color w:val="0000FF"/>
                  <w:w w:val="96"/>
                </w:rPr>
                <w:t xml:space="preserve"> reference to Exhibit 10.1 of the</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vMerge w:val="restart"/>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600" w:type="dxa"/>
            <w:vAlign w:val="bottom"/>
            <w:gridSpan w:val="6"/>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0" w:type="dxa"/>
            <w:vAlign w:val="bottom"/>
            <w:gridSpan w:val="9"/>
          </w:tcPr>
          <w:p>
            <w:pPr>
              <w:spacing w:after="0" w:line="118" w:lineRule="exact"/>
              <w:rPr>
                <w:rFonts w:ascii="Arial" w:cs="Arial" w:eastAsia="Arial" w:hAnsi="Arial"/>
                <w:sz w:val="13"/>
                <w:szCs w:val="13"/>
                <w:color w:val="0000FF"/>
                <w:w w:val="99"/>
              </w:rPr>
            </w:pPr>
            <w:hyperlink r:id="rId123">
              <w:r>
                <w:rPr>
                  <w:rFonts w:ascii="Arial" w:cs="Arial" w:eastAsia="Arial" w:hAnsi="Arial"/>
                  <w:sz w:val="13"/>
                  <w:szCs w:val="13"/>
                  <w:color w:val="0000FF"/>
                  <w:w w:val="99"/>
                </w:rPr>
                <w:t>Registrant's Current Report on Form 8-K filed with the Securities and Exchange Commission on June 19, 2020)</w:t>
              </w:r>
            </w:hyperlink>
          </w:p>
        </w:tc>
        <w:tc>
          <w:tcPr>
            <w:tcW w:w="940" w:type="dxa"/>
            <w:vAlign w:val="bottom"/>
            <w:vMerge w:val="continue"/>
          </w:tcPr>
          <w:p>
            <w:pPr>
              <w:spacing w:after="0"/>
              <w:rPr>
                <w:sz w:val="10"/>
                <w:szCs w:val="10"/>
                <w:color w:val="auto"/>
              </w:rPr>
            </w:pPr>
          </w:p>
        </w:tc>
        <w:tc>
          <w:tcPr>
            <w:tcW w:w="1800" w:type="dxa"/>
            <w:vAlign w:val="bottom"/>
            <w:gridSpan w:val="2"/>
          </w:tcPr>
          <w:p>
            <w:pPr>
              <w:spacing w:after="0"/>
              <w:rPr>
                <w:sz w:val="10"/>
                <w:szCs w:val="10"/>
                <w:color w:val="auto"/>
              </w:rPr>
            </w:pPr>
          </w:p>
        </w:tc>
        <w:tc>
          <w:tcPr>
            <w:tcW w:w="6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40" w:type="dxa"/>
            <w:vAlign w:val="bottom"/>
            <w:gridSpan w:val="8"/>
            <w:shd w:val="clear" w:color="auto" w:fill="0000FF"/>
          </w:tcPr>
          <w:p>
            <w:pPr>
              <w:spacing w:after="0" w:line="20" w:lineRule="exact"/>
              <w:rPr>
                <w:sz w:val="1"/>
                <w:szCs w:val="1"/>
                <w:color w:val="auto"/>
              </w:rPr>
            </w:pPr>
          </w:p>
        </w:tc>
        <w:tc>
          <w:tcPr>
            <w:tcW w:w="34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80" w:type="dxa"/>
            <w:vAlign w:val="bottom"/>
          </w:tcPr>
          <w:p>
            <w:pPr>
              <w:jc w:val="right"/>
              <w:spacing w:after="0"/>
              <w:rPr>
                <w:rFonts w:ascii="Arial" w:cs="Arial" w:eastAsia="Arial" w:hAnsi="Arial"/>
                <w:sz w:val="14"/>
                <w:szCs w:val="14"/>
                <w:u w:val="single" w:color="auto"/>
                <w:color w:val="0000FF"/>
              </w:rPr>
            </w:pPr>
            <w:hyperlink w:anchor="page117">
              <w:r>
                <w:rPr>
                  <w:rFonts w:ascii="Arial" w:cs="Arial" w:eastAsia="Arial" w:hAnsi="Arial"/>
                  <w:sz w:val="14"/>
                  <w:szCs w:val="14"/>
                  <w:u w:val="single" w:color="auto"/>
                  <w:color w:val="0000FF"/>
                </w:rPr>
                <w:t>31.1</w:t>
              </w:r>
            </w:hyperlink>
          </w:p>
        </w:tc>
        <w:tc>
          <w:tcPr>
            <w:tcW w:w="220" w:type="dxa"/>
            <w:vAlign w:val="bottom"/>
          </w:tcPr>
          <w:p>
            <w:pPr>
              <w:spacing w:after="0"/>
              <w:rPr>
                <w:sz w:val="16"/>
                <w:szCs w:val="16"/>
                <w:color w:val="auto"/>
              </w:rPr>
            </w:pPr>
          </w:p>
        </w:tc>
        <w:tc>
          <w:tcPr>
            <w:tcW w:w="9740" w:type="dxa"/>
            <w:vAlign w:val="bottom"/>
            <w:gridSpan w:val="18"/>
          </w:tcPr>
          <w:p>
            <w:pPr>
              <w:spacing w:after="0"/>
              <w:rPr>
                <w:rFonts w:ascii="Arial" w:cs="Arial" w:eastAsia="Arial" w:hAnsi="Arial"/>
                <w:sz w:val="14"/>
                <w:szCs w:val="14"/>
                <w:u w:val="single" w:color="auto"/>
                <w:color w:val="0000FF"/>
              </w:rPr>
            </w:pPr>
            <w:hyperlink w:anchor="page117">
              <w:r>
                <w:rPr>
                  <w:rFonts w:ascii="Arial" w:cs="Arial" w:eastAsia="Arial" w:hAnsi="Arial"/>
                  <w:sz w:val="14"/>
                  <w:szCs w:val="14"/>
                  <w:u w:val="single" w:color="auto"/>
                  <w:color w:val="0000FF"/>
                </w:rPr>
                <w:t>Certification of principal executive officer pursuant to Rule 13a-14(a)/15d-14(a) of the Securities Exchange Act of 1934, as amended</w:t>
              </w:r>
            </w:hyperlink>
          </w:p>
        </w:tc>
        <w:tc>
          <w:tcPr>
            <w:tcW w:w="0" w:type="dxa"/>
            <w:vAlign w:val="bottom"/>
          </w:tcPr>
          <w:p>
            <w:pPr>
              <w:spacing w:after="0"/>
              <w:rPr>
                <w:sz w:val="1"/>
                <w:szCs w:val="1"/>
                <w:color w:val="auto"/>
              </w:rPr>
            </w:pPr>
          </w:p>
        </w:tc>
      </w:tr>
      <w:tr>
        <w:trPr>
          <w:trHeight w:val="180"/>
        </w:trPr>
        <w:tc>
          <w:tcPr>
            <w:tcW w:w="1280" w:type="dxa"/>
            <w:vAlign w:val="bottom"/>
          </w:tcPr>
          <w:p>
            <w:pPr>
              <w:jc w:val="right"/>
              <w:spacing w:after="0"/>
              <w:rPr>
                <w:rFonts w:ascii="Arial" w:cs="Arial" w:eastAsia="Arial" w:hAnsi="Arial"/>
                <w:sz w:val="14"/>
                <w:szCs w:val="14"/>
                <w:u w:val="single" w:color="auto"/>
                <w:color w:val="0000FF"/>
              </w:rPr>
            </w:pPr>
            <w:hyperlink w:anchor="page118">
              <w:r>
                <w:rPr>
                  <w:rFonts w:ascii="Arial" w:cs="Arial" w:eastAsia="Arial" w:hAnsi="Arial"/>
                  <w:sz w:val="14"/>
                  <w:szCs w:val="14"/>
                  <w:u w:val="single" w:color="auto"/>
                  <w:color w:val="0000FF"/>
                </w:rPr>
                <w:t>31.2</w:t>
              </w:r>
            </w:hyperlink>
          </w:p>
        </w:tc>
        <w:tc>
          <w:tcPr>
            <w:tcW w:w="220" w:type="dxa"/>
            <w:vAlign w:val="bottom"/>
          </w:tcPr>
          <w:p>
            <w:pPr>
              <w:spacing w:after="0"/>
              <w:rPr>
                <w:sz w:val="15"/>
                <w:szCs w:val="15"/>
                <w:color w:val="auto"/>
              </w:rPr>
            </w:pPr>
          </w:p>
        </w:tc>
        <w:tc>
          <w:tcPr>
            <w:tcW w:w="9740" w:type="dxa"/>
            <w:vAlign w:val="bottom"/>
            <w:gridSpan w:val="18"/>
          </w:tcPr>
          <w:p>
            <w:pPr>
              <w:spacing w:after="0"/>
              <w:rPr>
                <w:rFonts w:ascii="Arial" w:cs="Arial" w:eastAsia="Arial" w:hAnsi="Arial"/>
                <w:sz w:val="14"/>
                <w:szCs w:val="14"/>
                <w:u w:val="single" w:color="auto"/>
                <w:color w:val="0000FF"/>
              </w:rPr>
            </w:pPr>
            <w:hyperlink w:anchor="page118">
              <w:r>
                <w:rPr>
                  <w:rFonts w:ascii="Arial" w:cs="Arial" w:eastAsia="Arial" w:hAnsi="Arial"/>
                  <w:sz w:val="14"/>
                  <w:szCs w:val="14"/>
                  <w:u w:val="single" w:color="auto"/>
                  <w:color w:val="0000FF"/>
                </w:rPr>
                <w:t>Certification of principal financial officer pursuant to Rule 13a-14(a)/15d-14(a) of the Securities Exchange Act of 1934, as amended</w:t>
              </w:r>
            </w:hyperlink>
          </w:p>
        </w:tc>
        <w:tc>
          <w:tcPr>
            <w:tcW w:w="0" w:type="dxa"/>
            <w:vAlign w:val="bottom"/>
          </w:tcPr>
          <w:p>
            <w:pPr>
              <w:spacing w:after="0"/>
              <w:rPr>
                <w:sz w:val="1"/>
                <w:szCs w:val="1"/>
                <w:color w:val="auto"/>
              </w:rPr>
            </w:pPr>
          </w:p>
        </w:tc>
      </w:tr>
      <w:tr>
        <w:trPr>
          <w:trHeight w:val="180"/>
        </w:trPr>
        <w:tc>
          <w:tcPr>
            <w:tcW w:w="1280" w:type="dxa"/>
            <w:vAlign w:val="bottom"/>
          </w:tcPr>
          <w:p>
            <w:pPr>
              <w:jc w:val="right"/>
              <w:spacing w:after="0"/>
              <w:rPr>
                <w:rFonts w:ascii="Arial" w:cs="Arial" w:eastAsia="Arial" w:hAnsi="Arial"/>
                <w:sz w:val="14"/>
                <w:szCs w:val="14"/>
                <w:u w:val="single" w:color="auto"/>
                <w:color w:val="0000FF"/>
              </w:rPr>
            </w:pPr>
            <w:hyperlink w:anchor="page119">
              <w:r>
                <w:rPr>
                  <w:rFonts w:ascii="Arial" w:cs="Arial" w:eastAsia="Arial" w:hAnsi="Arial"/>
                  <w:sz w:val="14"/>
                  <w:szCs w:val="14"/>
                  <w:u w:val="single" w:color="auto"/>
                  <w:color w:val="0000FF"/>
                </w:rPr>
                <w:t>32.1</w:t>
              </w:r>
            </w:hyperlink>
          </w:p>
        </w:tc>
        <w:tc>
          <w:tcPr>
            <w:tcW w:w="220" w:type="dxa"/>
            <w:vAlign w:val="bottom"/>
          </w:tcPr>
          <w:p>
            <w:pPr>
              <w:spacing w:after="0"/>
              <w:rPr>
                <w:sz w:val="15"/>
                <w:szCs w:val="15"/>
                <w:color w:val="auto"/>
              </w:rPr>
            </w:pPr>
          </w:p>
        </w:tc>
        <w:tc>
          <w:tcPr>
            <w:tcW w:w="9740" w:type="dxa"/>
            <w:vAlign w:val="bottom"/>
            <w:gridSpan w:val="18"/>
          </w:tcPr>
          <w:p>
            <w:pPr>
              <w:spacing w:after="0"/>
              <w:rPr>
                <w:rFonts w:ascii="Arial" w:cs="Arial" w:eastAsia="Arial" w:hAnsi="Arial"/>
                <w:sz w:val="14"/>
                <w:szCs w:val="14"/>
                <w:u w:val="single" w:color="auto"/>
                <w:color w:val="0000FF"/>
              </w:rPr>
            </w:pPr>
            <w:hyperlink w:anchor="page119">
              <w:r>
                <w:rPr>
                  <w:rFonts w:ascii="Arial" w:cs="Arial" w:eastAsia="Arial" w:hAnsi="Arial"/>
                  <w:sz w:val="14"/>
                  <w:szCs w:val="14"/>
                  <w:u w:val="single" w:color="auto"/>
                  <w:color w:val="0000FF"/>
                </w:rPr>
                <w:t>Certification of principal executive officer pursuant to 18 U.S.C. §1350, as adopted pursuant to Section 906 of the Sarbanes-Oxley Act of 2002</w:t>
              </w:r>
            </w:hyperlink>
          </w:p>
        </w:tc>
        <w:tc>
          <w:tcPr>
            <w:tcW w:w="0" w:type="dxa"/>
            <w:vAlign w:val="bottom"/>
          </w:tcPr>
          <w:p>
            <w:pPr>
              <w:spacing w:after="0"/>
              <w:rPr>
                <w:sz w:val="1"/>
                <w:szCs w:val="1"/>
                <w:color w:val="auto"/>
              </w:rPr>
            </w:pPr>
          </w:p>
        </w:tc>
      </w:tr>
      <w:tr>
        <w:trPr>
          <w:trHeight w:val="180"/>
        </w:trPr>
        <w:tc>
          <w:tcPr>
            <w:tcW w:w="1280" w:type="dxa"/>
            <w:vAlign w:val="bottom"/>
          </w:tcPr>
          <w:p>
            <w:pPr>
              <w:jc w:val="right"/>
              <w:spacing w:after="0"/>
              <w:rPr>
                <w:rFonts w:ascii="Arial" w:cs="Arial" w:eastAsia="Arial" w:hAnsi="Arial"/>
                <w:sz w:val="14"/>
                <w:szCs w:val="14"/>
                <w:u w:val="single" w:color="auto"/>
                <w:color w:val="0000FF"/>
              </w:rPr>
            </w:pPr>
            <w:hyperlink w:anchor="page120">
              <w:r>
                <w:rPr>
                  <w:rFonts w:ascii="Arial" w:cs="Arial" w:eastAsia="Arial" w:hAnsi="Arial"/>
                  <w:sz w:val="14"/>
                  <w:szCs w:val="14"/>
                  <w:u w:val="single" w:color="auto"/>
                  <w:color w:val="0000FF"/>
                </w:rPr>
                <w:t>32.2</w:t>
              </w:r>
            </w:hyperlink>
          </w:p>
        </w:tc>
        <w:tc>
          <w:tcPr>
            <w:tcW w:w="220" w:type="dxa"/>
            <w:vAlign w:val="bottom"/>
          </w:tcPr>
          <w:p>
            <w:pPr>
              <w:spacing w:after="0"/>
              <w:rPr>
                <w:sz w:val="15"/>
                <w:szCs w:val="15"/>
                <w:color w:val="auto"/>
              </w:rPr>
            </w:pPr>
          </w:p>
        </w:tc>
        <w:tc>
          <w:tcPr>
            <w:tcW w:w="9740" w:type="dxa"/>
            <w:vAlign w:val="bottom"/>
            <w:gridSpan w:val="18"/>
          </w:tcPr>
          <w:p>
            <w:pPr>
              <w:spacing w:after="0"/>
              <w:rPr>
                <w:rFonts w:ascii="Arial" w:cs="Arial" w:eastAsia="Arial" w:hAnsi="Arial"/>
                <w:sz w:val="14"/>
                <w:szCs w:val="14"/>
                <w:color w:val="0000FF"/>
                <w:w w:val="99"/>
              </w:rPr>
            </w:pPr>
            <w:hyperlink w:anchor="page120">
              <w:r>
                <w:rPr>
                  <w:rFonts w:ascii="Arial" w:cs="Arial" w:eastAsia="Arial" w:hAnsi="Arial"/>
                  <w:sz w:val="14"/>
                  <w:szCs w:val="14"/>
                  <w:u w:val="single" w:color="auto"/>
                  <w:color w:val="0000FF"/>
                  <w:w w:val="99"/>
                </w:rPr>
                <w:t>Certification of principal financial officer pursuant to 18 U.S.C. §1350, as adopted pursuant to Section 906 of the Sarbanes-Oxley Act of</w:t>
              </w:r>
              <w:r>
                <w:rPr>
                  <w:rFonts w:ascii="Arial" w:cs="Arial" w:eastAsia="Arial" w:hAnsi="Arial"/>
                  <w:sz w:val="14"/>
                  <w:szCs w:val="14"/>
                  <w:color w:val="0000FF"/>
                  <w:w w:val="99"/>
                </w:rPr>
                <w:t xml:space="preserve"> </w:t>
              </w:r>
            </w:hyperlink>
            <w:r>
              <w:rPr>
                <w:rFonts w:ascii="Arial" w:cs="Arial" w:eastAsia="Arial" w:hAnsi="Arial"/>
                <w:sz w:val="14"/>
                <w:szCs w:val="14"/>
                <w:color w:val="0000FF"/>
                <w:w w:val="99"/>
              </w:rPr>
              <w:t xml:space="preserve">2002Oxley </w:t>
            </w:r>
            <w:hyperlink w:anchor="page120">
              <w:r>
                <w:rPr>
                  <w:rFonts w:ascii="Arial" w:cs="Arial" w:eastAsia="Arial" w:hAnsi="Arial"/>
                  <w:sz w:val="14"/>
                  <w:szCs w:val="14"/>
                  <w:u w:val="single" w:color="auto"/>
                  <w:color w:val="0000FF"/>
                  <w:w w:val="99"/>
                </w:rPr>
                <w:t>Act of 2002</w:t>
              </w:r>
            </w:hyperlink>
          </w:p>
        </w:tc>
        <w:tc>
          <w:tcPr>
            <w:tcW w:w="0" w:type="dxa"/>
            <w:vAlign w:val="bottom"/>
          </w:tcPr>
          <w:p>
            <w:pPr>
              <w:spacing w:after="0"/>
              <w:rPr>
                <w:sz w:val="1"/>
                <w:szCs w:val="1"/>
                <w:color w:val="auto"/>
              </w:rPr>
            </w:pPr>
          </w:p>
        </w:tc>
      </w:tr>
      <w:tr>
        <w:trPr>
          <w:trHeight w:val="191"/>
        </w:trPr>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101.INS*</w:t>
            </w:r>
          </w:p>
        </w:tc>
        <w:tc>
          <w:tcPr>
            <w:tcW w:w="9740" w:type="dxa"/>
            <w:vAlign w:val="bottom"/>
            <w:gridSpan w:val="18"/>
          </w:tcPr>
          <w:p>
            <w:pPr>
              <w:spacing w:after="0"/>
              <w:rPr>
                <w:sz w:val="20"/>
                <w:szCs w:val="20"/>
                <w:color w:val="auto"/>
              </w:rPr>
            </w:pPr>
            <w:r>
              <w:rPr>
                <w:rFonts w:ascii="Arial" w:cs="Arial" w:eastAsia="Arial" w:hAnsi="Arial"/>
                <w:sz w:val="14"/>
                <w:szCs w:val="14"/>
                <w:color w:val="auto"/>
              </w:rPr>
              <w:t>Inline XBRL Instance Document</w:t>
            </w:r>
          </w:p>
        </w:tc>
        <w:tc>
          <w:tcPr>
            <w:tcW w:w="0" w:type="dxa"/>
            <w:vAlign w:val="bottom"/>
          </w:tcPr>
          <w:p>
            <w:pPr>
              <w:spacing w:after="0"/>
              <w:rPr>
                <w:sz w:val="1"/>
                <w:szCs w:val="1"/>
                <w:color w:val="auto"/>
              </w:rPr>
            </w:pPr>
          </w:p>
        </w:tc>
      </w:tr>
      <w:tr>
        <w:trPr>
          <w:trHeight w:val="212"/>
        </w:trPr>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101.SCH*</w:t>
            </w:r>
          </w:p>
        </w:tc>
        <w:tc>
          <w:tcPr>
            <w:tcW w:w="9740" w:type="dxa"/>
            <w:vAlign w:val="bottom"/>
            <w:gridSpan w:val="18"/>
          </w:tcPr>
          <w:p>
            <w:pPr>
              <w:spacing w:after="0"/>
              <w:rPr>
                <w:sz w:val="20"/>
                <w:szCs w:val="20"/>
                <w:color w:val="auto"/>
              </w:rPr>
            </w:pPr>
            <w:r>
              <w:rPr>
                <w:rFonts w:ascii="Arial" w:cs="Arial" w:eastAsia="Arial" w:hAnsi="Arial"/>
                <w:sz w:val="14"/>
                <w:szCs w:val="14"/>
                <w:color w:val="auto"/>
              </w:rPr>
              <w:t>Inline XBRL Taxonomy Extension Schema Document</w:t>
            </w:r>
          </w:p>
        </w:tc>
        <w:tc>
          <w:tcPr>
            <w:tcW w:w="0" w:type="dxa"/>
            <w:vAlign w:val="bottom"/>
          </w:tcPr>
          <w:p>
            <w:pPr>
              <w:spacing w:after="0"/>
              <w:rPr>
                <w:sz w:val="1"/>
                <w:szCs w:val="1"/>
                <w:color w:val="auto"/>
              </w:rPr>
            </w:pPr>
          </w:p>
        </w:tc>
      </w:tr>
      <w:tr>
        <w:trPr>
          <w:trHeight w:val="212"/>
        </w:trPr>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101.CAL*</w:t>
            </w:r>
          </w:p>
        </w:tc>
        <w:tc>
          <w:tcPr>
            <w:tcW w:w="9740" w:type="dxa"/>
            <w:vAlign w:val="bottom"/>
            <w:gridSpan w:val="18"/>
          </w:tcPr>
          <w:p>
            <w:pPr>
              <w:spacing w:after="0"/>
              <w:rPr>
                <w:sz w:val="20"/>
                <w:szCs w:val="20"/>
                <w:color w:val="auto"/>
              </w:rPr>
            </w:pPr>
            <w:r>
              <w:rPr>
                <w:rFonts w:ascii="Arial" w:cs="Arial" w:eastAsia="Arial" w:hAnsi="Arial"/>
                <w:sz w:val="14"/>
                <w:szCs w:val="14"/>
                <w:color w:val="auto"/>
              </w:rPr>
              <w:t>Inline XBRL Taxonomy Calculation Linkbase Document</w:t>
            </w:r>
          </w:p>
        </w:tc>
        <w:tc>
          <w:tcPr>
            <w:tcW w:w="0" w:type="dxa"/>
            <w:vAlign w:val="bottom"/>
          </w:tcPr>
          <w:p>
            <w:pPr>
              <w:spacing w:after="0"/>
              <w:rPr>
                <w:sz w:val="1"/>
                <w:szCs w:val="1"/>
                <w:color w:val="auto"/>
              </w:rPr>
            </w:pPr>
          </w:p>
        </w:tc>
      </w:tr>
      <w:tr>
        <w:trPr>
          <w:trHeight w:val="212"/>
        </w:trPr>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101.DEF*</w:t>
            </w:r>
          </w:p>
        </w:tc>
        <w:tc>
          <w:tcPr>
            <w:tcW w:w="9740" w:type="dxa"/>
            <w:vAlign w:val="bottom"/>
            <w:gridSpan w:val="18"/>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212"/>
        </w:trPr>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101.LAB*</w:t>
            </w:r>
          </w:p>
        </w:tc>
        <w:tc>
          <w:tcPr>
            <w:tcW w:w="9740" w:type="dxa"/>
            <w:vAlign w:val="bottom"/>
            <w:gridSpan w:val="18"/>
          </w:tcPr>
          <w:p>
            <w:pPr>
              <w:spacing w:after="0"/>
              <w:rPr>
                <w:sz w:val="20"/>
                <w:szCs w:val="20"/>
                <w:color w:val="auto"/>
              </w:rPr>
            </w:pPr>
            <w:r>
              <w:rPr>
                <w:rFonts w:ascii="Arial" w:cs="Arial" w:eastAsia="Arial" w:hAnsi="Arial"/>
                <w:sz w:val="14"/>
                <w:szCs w:val="14"/>
                <w:color w:val="auto"/>
              </w:rPr>
              <w:t>Inline XBRL Taxonomy Label Linkbase Document</w:t>
            </w:r>
          </w:p>
        </w:tc>
        <w:tc>
          <w:tcPr>
            <w:tcW w:w="0" w:type="dxa"/>
            <w:vAlign w:val="bottom"/>
          </w:tcPr>
          <w:p>
            <w:pPr>
              <w:spacing w:after="0"/>
              <w:rPr>
                <w:sz w:val="1"/>
                <w:szCs w:val="1"/>
                <w:color w:val="auto"/>
              </w:rPr>
            </w:pPr>
          </w:p>
        </w:tc>
      </w:tr>
      <w:tr>
        <w:trPr>
          <w:trHeight w:val="212"/>
        </w:trPr>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101.PRE*</w:t>
            </w:r>
          </w:p>
        </w:tc>
        <w:tc>
          <w:tcPr>
            <w:tcW w:w="9740" w:type="dxa"/>
            <w:vAlign w:val="bottom"/>
            <w:gridSpan w:val="18"/>
          </w:tcPr>
          <w:p>
            <w:pPr>
              <w:spacing w:after="0"/>
              <w:rPr>
                <w:sz w:val="20"/>
                <w:szCs w:val="20"/>
                <w:color w:val="auto"/>
              </w:rPr>
            </w:pPr>
            <w:r>
              <w:rPr>
                <w:rFonts w:ascii="Arial" w:cs="Arial" w:eastAsia="Arial" w:hAnsi="Arial"/>
                <w:sz w:val="14"/>
                <w:szCs w:val="14"/>
                <w:color w:val="auto"/>
              </w:rPr>
              <w:t>Inline XBRL Taxonomy Presentation Linkbase Document</w:t>
            </w:r>
          </w:p>
        </w:tc>
        <w:tc>
          <w:tcPr>
            <w:tcW w:w="0" w:type="dxa"/>
            <w:vAlign w:val="bottom"/>
          </w:tcPr>
          <w:p>
            <w:pPr>
              <w:spacing w:after="0"/>
              <w:rPr>
                <w:sz w:val="1"/>
                <w:szCs w:val="1"/>
                <w:color w:val="auto"/>
              </w:rPr>
            </w:pPr>
          </w:p>
        </w:tc>
      </w:tr>
      <w:tr>
        <w:trPr>
          <w:trHeight w:val="212"/>
        </w:trPr>
        <w:tc>
          <w:tcPr>
            <w:tcW w:w="1280" w:type="dxa"/>
            <w:vAlign w:val="bottom"/>
          </w:tcPr>
          <w:p>
            <w:pPr>
              <w:jc w:val="right"/>
              <w:spacing w:after="0"/>
              <w:rPr>
                <w:sz w:val="20"/>
                <w:szCs w:val="20"/>
                <w:color w:val="auto"/>
              </w:rPr>
            </w:pPr>
            <w:r>
              <w:rPr>
                <w:rFonts w:ascii="Arial" w:cs="Arial" w:eastAsia="Arial" w:hAnsi="Arial"/>
                <w:sz w:val="14"/>
                <w:szCs w:val="14"/>
                <w:color w:val="auto"/>
              </w:rPr>
              <w:t>104*</w:t>
            </w:r>
          </w:p>
        </w:tc>
        <w:tc>
          <w:tcPr>
            <w:tcW w:w="220" w:type="dxa"/>
            <w:vAlign w:val="bottom"/>
          </w:tcPr>
          <w:p>
            <w:pPr>
              <w:spacing w:after="0"/>
              <w:rPr>
                <w:sz w:val="18"/>
                <w:szCs w:val="18"/>
                <w:color w:val="auto"/>
              </w:rPr>
            </w:pPr>
          </w:p>
        </w:tc>
        <w:tc>
          <w:tcPr>
            <w:tcW w:w="9740" w:type="dxa"/>
            <w:vAlign w:val="bottom"/>
            <w:gridSpan w:val="18"/>
          </w:tcPr>
          <w:p>
            <w:pPr>
              <w:spacing w:after="0"/>
              <w:rPr>
                <w:sz w:val="20"/>
                <w:szCs w:val="20"/>
                <w:color w:val="auto"/>
              </w:rPr>
            </w:pPr>
            <w:r>
              <w:rPr>
                <w:rFonts w:ascii="Arial" w:cs="Arial" w:eastAsia="Arial" w:hAnsi="Arial"/>
                <w:sz w:val="14"/>
                <w:szCs w:val="14"/>
                <w:color w:val="auto"/>
              </w:rPr>
              <w:t>The cover page from this Quarterly Report on Form 10-Q, formatted in Inline XBRL</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Submitted electronically herewith.</w:t>
      </w:r>
    </w:p>
    <w:p>
      <w:pPr>
        <w:spacing w:after="0" w:line="253"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Attached as Exhibit 101 to this report are the following formatted in XBRL (Extensible Business Reporting Language): (i) Consolidated Balance Sheets at June 30, 2020 (unaudited) and December 31, 2019, (ii) Consolidated Statements of Operations and Comprehensive Loss (unaudited) for the three and six month periods ended June 30, 2020 and 2019, (iii) Consolidated Statements of Stockholders' Equity (unaudited) for the three and six month periods ended June 30, 2020 and 2019, (iv) Consolidated Statements of Cash Flows (unaudited) for the six month periods ended June 30, 2020 and 2019 and (v) Notes to Financial Statements (unaudited).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7840" w:type="dxa"/>
            <w:vAlign w:val="bottom"/>
            <w:gridSpan w:val="2"/>
          </w:tcPr>
          <w:p>
            <w:pPr>
              <w:ind w:left="2200"/>
              <w:spacing w:after="0"/>
              <w:rPr>
                <w:sz w:val="20"/>
                <w:szCs w:val="20"/>
                <w:color w:val="auto"/>
              </w:rPr>
            </w:pPr>
            <w:r>
              <w:rPr>
                <w:rFonts w:ascii="Arial" w:cs="Arial" w:eastAsia="Arial" w:hAnsi="Arial"/>
                <w:sz w:val="14"/>
                <w:szCs w:val="14"/>
                <w:b w:val="1"/>
                <w:bCs w:val="1"/>
                <w:color w:val="auto"/>
              </w:rPr>
              <w:t>IVERIC bio, Inc.</w:t>
            </w:r>
          </w:p>
        </w:tc>
      </w:tr>
      <w:tr>
        <w:trPr>
          <w:trHeight w:val="637"/>
        </w:trPr>
        <w:tc>
          <w:tcPr>
            <w:tcW w:w="3400" w:type="dxa"/>
            <w:vAlign w:val="bottom"/>
          </w:tcPr>
          <w:p>
            <w:pPr>
              <w:spacing w:after="0"/>
              <w:rPr>
                <w:sz w:val="20"/>
                <w:szCs w:val="20"/>
                <w:color w:val="auto"/>
              </w:rPr>
            </w:pPr>
            <w:r>
              <w:rPr>
                <w:rFonts w:ascii="Arial" w:cs="Arial" w:eastAsia="Arial" w:hAnsi="Arial"/>
                <w:sz w:val="14"/>
                <w:szCs w:val="14"/>
                <w:color w:val="auto"/>
              </w:rPr>
              <w:t>Date: August 6, 2020</w:t>
            </w:r>
          </w:p>
        </w:tc>
        <w:tc>
          <w:tcPr>
            <w:tcW w:w="2920" w:type="dxa"/>
            <w:vAlign w:val="bottom"/>
          </w:tcPr>
          <w:p>
            <w:pPr>
              <w:ind w:left="2200"/>
              <w:spacing w:after="0"/>
              <w:rPr>
                <w:sz w:val="20"/>
                <w:szCs w:val="20"/>
                <w:color w:val="auto"/>
              </w:rPr>
            </w:pPr>
            <w:r>
              <w:rPr>
                <w:rFonts w:ascii="Arial" w:cs="Arial" w:eastAsia="Arial" w:hAnsi="Arial"/>
                <w:sz w:val="14"/>
                <w:szCs w:val="14"/>
                <w:color w:val="auto"/>
              </w:rPr>
              <w:t>By:</w:t>
            </w:r>
          </w:p>
        </w:tc>
        <w:tc>
          <w:tcPr>
            <w:tcW w:w="4920" w:type="dxa"/>
            <w:vAlign w:val="bottom"/>
          </w:tcPr>
          <w:p>
            <w:pPr>
              <w:ind w:left="20"/>
              <w:spacing w:after="0"/>
              <w:rPr>
                <w:sz w:val="20"/>
                <w:szCs w:val="20"/>
                <w:color w:val="auto"/>
              </w:rPr>
            </w:pPr>
            <w:r>
              <w:rPr>
                <w:rFonts w:ascii="Arial" w:cs="Arial" w:eastAsia="Arial" w:hAnsi="Arial"/>
                <w:sz w:val="14"/>
                <w:szCs w:val="14"/>
                <w:color w:val="auto"/>
              </w:rPr>
              <w:t>/s/ David F. Carroll</w:t>
            </w:r>
          </w:p>
        </w:tc>
      </w:tr>
      <w:tr>
        <w:trPr>
          <w:trHeight w:val="22"/>
        </w:trPr>
        <w:tc>
          <w:tcPr>
            <w:tcW w:w="34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r>
      <w:tr>
        <w:trPr>
          <w:trHeight w:val="181"/>
        </w:trPr>
        <w:tc>
          <w:tcPr>
            <w:tcW w:w="34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4920" w:type="dxa"/>
            <w:vAlign w:val="bottom"/>
          </w:tcPr>
          <w:p>
            <w:pPr>
              <w:ind w:left="20"/>
              <w:spacing w:after="0"/>
              <w:rPr>
                <w:sz w:val="20"/>
                <w:szCs w:val="20"/>
                <w:color w:val="auto"/>
              </w:rPr>
            </w:pPr>
            <w:r>
              <w:rPr>
                <w:rFonts w:ascii="Arial" w:cs="Arial" w:eastAsia="Arial" w:hAnsi="Arial"/>
                <w:sz w:val="14"/>
                <w:szCs w:val="14"/>
                <w:color w:val="auto"/>
              </w:rPr>
              <w:t>David F. Carroll</w:t>
            </w:r>
          </w:p>
        </w:tc>
      </w:tr>
      <w:tr>
        <w:trPr>
          <w:trHeight w:val="212"/>
        </w:trPr>
        <w:tc>
          <w:tcPr>
            <w:tcW w:w="34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r>
        <w:trPr>
          <w:trHeight w:val="212"/>
        </w:trPr>
        <w:tc>
          <w:tcPr>
            <w:tcW w:w="34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4"/>
                <w:szCs w:val="14"/>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260"/>
          </w:cols>
          <w:pgMar w:left="300" w:top="129" w:right="339" w:bottom="1440"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6" w:name="page117"/>
    <w:bookmarkEnd w:id="116"/>
    <w:p>
      <w:pPr>
        <w:ind w:left="10600"/>
        <w:spacing w:after="0"/>
        <w:rPr>
          <w:sz w:val="20"/>
          <w:szCs w:val="20"/>
          <w:color w:val="auto"/>
        </w:rPr>
      </w:pPr>
      <w:r>
        <w:rPr>
          <w:rFonts w:ascii="Arial" w:cs="Arial" w:eastAsia="Arial" w:hAnsi="Arial"/>
          <w:sz w:val="11"/>
          <w:szCs w:val="11"/>
          <w:b w:val="1"/>
          <w:bCs w:val="1"/>
          <w:color w:val="auto"/>
        </w:rPr>
        <w:t>Exhibit 31.1</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I, Glenn P. Sblendorio, certify that:</w:t>
      </w:r>
    </w:p>
    <w:p>
      <w:pPr>
        <w:spacing w:after="0" w:line="188" w:lineRule="exact"/>
        <w:rPr>
          <w:sz w:val="20"/>
          <w:szCs w:val="20"/>
          <w:color w:val="auto"/>
        </w:rPr>
      </w:pPr>
    </w:p>
    <w:p>
      <w:pPr>
        <w:ind w:left="520" w:hanging="260"/>
        <w:spacing w:after="0"/>
        <w:tabs>
          <w:tab w:leader="none" w:pos="5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for the quarter ended June 30, 2020 of IVERIC bio, Inc.;</w:t>
      </w:r>
    </w:p>
    <w:p>
      <w:pPr>
        <w:spacing w:after="0" w:line="190" w:lineRule="exact"/>
        <w:rPr>
          <w:rFonts w:ascii="Arial" w:cs="Arial" w:eastAsia="Arial" w:hAnsi="Arial"/>
          <w:sz w:val="13"/>
          <w:szCs w:val="13"/>
          <w:color w:val="auto"/>
        </w:rPr>
      </w:pPr>
    </w:p>
    <w:p>
      <w:pPr>
        <w:ind w:left="520" w:right="20" w:hanging="260"/>
        <w:spacing w:after="0" w:line="257" w:lineRule="auto"/>
        <w:tabs>
          <w:tab w:leader="none" w:pos="5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3"/>
          <w:szCs w:val="13"/>
          <w:color w:val="auto"/>
        </w:rPr>
      </w:pPr>
    </w:p>
    <w:p>
      <w:pPr>
        <w:ind w:left="520" w:right="120" w:hanging="260"/>
        <w:spacing w:after="0" w:line="257" w:lineRule="auto"/>
        <w:tabs>
          <w:tab w:leader="none" w:pos="5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Arial" w:cs="Arial" w:eastAsia="Arial" w:hAnsi="Arial"/>
          <w:sz w:val="13"/>
          <w:szCs w:val="13"/>
          <w:color w:val="auto"/>
        </w:rPr>
      </w:pPr>
    </w:p>
    <w:p>
      <w:pPr>
        <w:ind w:left="520" w:right="60" w:hanging="260"/>
        <w:spacing w:after="0" w:line="257" w:lineRule="auto"/>
        <w:tabs>
          <w:tab w:leader="none" w:pos="5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Arial" w:cs="Arial" w:eastAsia="Arial" w:hAnsi="Arial"/>
          <w:sz w:val="13"/>
          <w:szCs w:val="13"/>
          <w:color w:val="auto"/>
        </w:rPr>
      </w:pPr>
    </w:p>
    <w:p>
      <w:pPr>
        <w:ind w:left="760" w:right="340" w:hanging="246"/>
        <w:spacing w:after="0" w:line="299" w:lineRule="auto"/>
        <w:tabs>
          <w:tab w:leader="none" w:pos="742" w:val="left"/>
        </w:tabs>
        <w:numPr>
          <w:ilvl w:val="1"/>
          <w:numId w:val="6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2"/>
          <w:szCs w:val="12"/>
          <w:color w:val="auto"/>
        </w:rPr>
      </w:pPr>
    </w:p>
    <w:p>
      <w:pPr>
        <w:ind w:left="760" w:right="20" w:hanging="246"/>
        <w:spacing w:after="0" w:line="257" w:lineRule="auto"/>
        <w:tabs>
          <w:tab w:leader="none" w:pos="749" w:val="left"/>
        </w:tabs>
        <w:numPr>
          <w:ilvl w:val="1"/>
          <w:numId w:val="62"/>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Arial" w:cs="Arial" w:eastAsia="Arial" w:hAnsi="Arial"/>
          <w:sz w:val="13"/>
          <w:szCs w:val="13"/>
          <w:color w:val="auto"/>
        </w:rPr>
      </w:pPr>
    </w:p>
    <w:p>
      <w:pPr>
        <w:ind w:left="760" w:hanging="246"/>
        <w:spacing w:after="0" w:line="257" w:lineRule="auto"/>
        <w:tabs>
          <w:tab w:leader="none" w:pos="742" w:val="left"/>
        </w:tabs>
        <w:numPr>
          <w:ilvl w:val="1"/>
          <w:numId w:val="6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Arial" w:cs="Arial" w:eastAsia="Arial" w:hAnsi="Arial"/>
          <w:sz w:val="13"/>
          <w:szCs w:val="13"/>
          <w:color w:val="auto"/>
        </w:rPr>
      </w:pPr>
    </w:p>
    <w:p>
      <w:pPr>
        <w:ind w:left="760" w:right="40" w:hanging="246"/>
        <w:spacing w:after="0" w:line="257" w:lineRule="auto"/>
        <w:tabs>
          <w:tab w:leader="none" w:pos="749" w:val="left"/>
        </w:tabs>
        <w:numPr>
          <w:ilvl w:val="1"/>
          <w:numId w:val="6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3"/>
          <w:szCs w:val="13"/>
          <w:color w:val="auto"/>
        </w:rPr>
      </w:pPr>
    </w:p>
    <w:p>
      <w:pPr>
        <w:ind w:left="520" w:right="40" w:hanging="260"/>
        <w:spacing w:after="0" w:line="257" w:lineRule="auto"/>
        <w:tabs>
          <w:tab w:leader="none" w:pos="549"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7" w:lineRule="exact"/>
        <w:rPr>
          <w:rFonts w:ascii="Arial" w:cs="Arial" w:eastAsia="Arial" w:hAnsi="Arial"/>
          <w:sz w:val="13"/>
          <w:szCs w:val="13"/>
          <w:color w:val="auto"/>
        </w:rPr>
      </w:pPr>
    </w:p>
    <w:p>
      <w:pPr>
        <w:ind w:left="760" w:right="280" w:hanging="246"/>
        <w:spacing w:after="0" w:line="257" w:lineRule="auto"/>
        <w:tabs>
          <w:tab w:leader="none" w:pos="735" w:val="left"/>
        </w:tabs>
        <w:numPr>
          <w:ilvl w:val="1"/>
          <w:numId w:val="6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Arial" w:cs="Arial" w:eastAsia="Arial" w:hAnsi="Arial"/>
          <w:sz w:val="13"/>
          <w:szCs w:val="13"/>
          <w:color w:val="auto"/>
        </w:rPr>
      </w:pPr>
    </w:p>
    <w:p>
      <w:pPr>
        <w:ind w:left="760" w:hanging="246"/>
        <w:spacing w:after="0"/>
        <w:tabs>
          <w:tab w:leader="none" w:pos="760" w:val="left"/>
        </w:tabs>
        <w:numPr>
          <w:ilvl w:val="1"/>
          <w:numId w:val="6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20"/>
        <w:spacing w:after="0"/>
        <w:tabs>
          <w:tab w:leader="none" w:pos="7000" w:val="left"/>
          <w:tab w:leader="none" w:pos="7740" w:val="left"/>
        </w:tabs>
        <w:rPr>
          <w:sz w:val="20"/>
          <w:szCs w:val="20"/>
          <w:color w:val="auto"/>
        </w:rPr>
      </w:pPr>
      <w:r>
        <w:rPr>
          <w:rFonts w:ascii="Arial" w:cs="Arial" w:eastAsia="Arial" w:hAnsi="Arial"/>
          <w:sz w:val="13"/>
          <w:szCs w:val="13"/>
          <w:color w:val="auto"/>
        </w:rPr>
        <w:t>Date: August 6, 2020</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24130</wp:posOffset>
            </wp:positionV>
            <wp:extent cx="221678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2216785" cy="6985"/>
                    </a:xfrm>
                    <a:prstGeom prst="rect">
                      <a:avLst/>
                    </a:prstGeom>
                    <a:noFill/>
                  </pic:spPr>
                </pic:pic>
              </a:graphicData>
            </a:graphic>
          </wp:anchor>
        </w:drawing>
      </w:r>
    </w:p>
    <w:p>
      <w:pPr>
        <w:spacing w:after="0" w:line="20" w:lineRule="exact"/>
        <w:rPr>
          <w:sz w:val="20"/>
          <w:szCs w:val="20"/>
          <w:color w:val="auto"/>
        </w:rPr>
      </w:pPr>
    </w:p>
    <w:p>
      <w:pPr>
        <w:ind w:left="7760"/>
        <w:spacing w:after="0"/>
        <w:rPr>
          <w:sz w:val="20"/>
          <w:szCs w:val="20"/>
          <w:color w:val="auto"/>
        </w:rPr>
      </w:pPr>
      <w:r>
        <w:rPr>
          <w:rFonts w:ascii="Arial" w:cs="Arial" w:eastAsia="Arial" w:hAnsi="Arial"/>
          <w:sz w:val="13"/>
          <w:szCs w:val="13"/>
          <w:color w:val="auto"/>
        </w:rPr>
        <w:t>Glenn P. Sblendorio</w:t>
      </w:r>
    </w:p>
    <w:p>
      <w:pPr>
        <w:ind w:left="7760"/>
        <w:spacing w:after="0" w:line="204" w:lineRule="auto"/>
        <w:rPr>
          <w:sz w:val="20"/>
          <w:szCs w:val="20"/>
          <w:color w:val="auto"/>
        </w:rPr>
      </w:pPr>
      <w:r>
        <w:rPr>
          <w:rFonts w:ascii="Arial" w:cs="Arial" w:eastAsia="Arial" w:hAnsi="Arial"/>
          <w:sz w:val="13"/>
          <w:szCs w:val="13"/>
          <w:color w:val="auto"/>
        </w:rPr>
        <w:t>Chief Executive Officer</w:t>
      </w:r>
    </w:p>
    <w:p>
      <w:pPr>
        <w:ind w:left="7760"/>
        <w:spacing w:after="0"/>
        <w:rPr>
          <w:sz w:val="20"/>
          <w:szCs w:val="20"/>
          <w:color w:val="auto"/>
        </w:rPr>
      </w:pPr>
      <w:r>
        <w:rPr>
          <w:rFonts w:ascii="Arial" w:cs="Arial" w:eastAsia="Arial" w:hAnsi="Arial"/>
          <w:sz w:val="13"/>
          <w:szCs w:val="13"/>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3810</wp:posOffset>
            </wp:positionV>
            <wp:extent cx="221678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22167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64770</wp:posOffset>
            </wp:positionV>
            <wp:extent cx="7148195" cy="266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148195" cy="26670"/>
                    </a:xfrm>
                    <a:prstGeom prst="rect">
                      <a:avLst/>
                    </a:prstGeom>
                    <a:noFill/>
                  </pic:spPr>
                </pic:pic>
              </a:graphicData>
            </a:graphic>
          </wp:anchor>
        </w:drawing>
      </w:r>
    </w:p>
    <w:p>
      <w:pPr>
        <w:sectPr>
          <w:pgSz w:w="11900" w:h="16838" w:orient="portrait"/>
          <w:cols w:equalWidth="0" w:num="1">
            <w:col w:w="11260"/>
          </w:cols>
          <w:pgMar w:left="300" w:top="744" w:right="339" w:bottom="1440" w:gutter="0" w:footer="0" w:header="0"/>
        </w:sectPr>
      </w:pPr>
    </w:p>
    <w:bookmarkStart w:id="117" w:name="page118"/>
    <w:bookmarkEnd w:id="117"/>
    <w:p>
      <w:pPr>
        <w:ind w:left="10600"/>
        <w:spacing w:after="0"/>
        <w:rPr>
          <w:sz w:val="20"/>
          <w:szCs w:val="20"/>
          <w:color w:val="auto"/>
        </w:rPr>
      </w:pPr>
      <w:r>
        <w:rPr>
          <w:rFonts w:ascii="Arial" w:cs="Arial" w:eastAsia="Arial" w:hAnsi="Arial"/>
          <w:sz w:val="11"/>
          <w:szCs w:val="11"/>
          <w:b w:val="1"/>
          <w:bCs w:val="1"/>
          <w:color w:val="auto"/>
        </w:rPr>
        <w:t>Exhibit 31.2</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I, David F. Carroll, certify that:</w:t>
      </w:r>
    </w:p>
    <w:p>
      <w:pPr>
        <w:spacing w:after="0" w:line="190" w:lineRule="exact"/>
        <w:rPr>
          <w:sz w:val="20"/>
          <w:szCs w:val="20"/>
          <w:color w:val="auto"/>
        </w:rPr>
      </w:pPr>
    </w:p>
    <w:p>
      <w:pPr>
        <w:ind w:left="520" w:hanging="260"/>
        <w:spacing w:after="0"/>
        <w:tabs>
          <w:tab w:leader="none" w:pos="520" w:val="left"/>
        </w:tabs>
        <w:numPr>
          <w:ilvl w:val="0"/>
          <w:numId w:val="63"/>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for the quarter ended June 30, 2020 of IVERIC bio, Inc.;</w:t>
      </w:r>
    </w:p>
    <w:p>
      <w:pPr>
        <w:spacing w:after="0" w:line="190" w:lineRule="exact"/>
        <w:rPr>
          <w:rFonts w:ascii="Arial" w:cs="Arial" w:eastAsia="Arial" w:hAnsi="Arial"/>
          <w:sz w:val="13"/>
          <w:szCs w:val="13"/>
          <w:color w:val="auto"/>
        </w:rPr>
      </w:pPr>
    </w:p>
    <w:p>
      <w:pPr>
        <w:ind w:left="520" w:right="20" w:hanging="260"/>
        <w:spacing w:after="0" w:line="257" w:lineRule="auto"/>
        <w:tabs>
          <w:tab w:leader="none" w:pos="520" w:val="left"/>
        </w:tabs>
        <w:numPr>
          <w:ilvl w:val="0"/>
          <w:numId w:val="6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3"/>
          <w:szCs w:val="13"/>
          <w:color w:val="auto"/>
        </w:rPr>
      </w:pPr>
    </w:p>
    <w:p>
      <w:pPr>
        <w:ind w:left="520" w:right="120" w:hanging="260"/>
        <w:spacing w:after="0" w:line="257" w:lineRule="auto"/>
        <w:tabs>
          <w:tab w:leader="none" w:pos="520" w:val="left"/>
        </w:tabs>
        <w:numPr>
          <w:ilvl w:val="0"/>
          <w:numId w:val="6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Arial" w:cs="Arial" w:eastAsia="Arial" w:hAnsi="Arial"/>
          <w:sz w:val="13"/>
          <w:szCs w:val="13"/>
          <w:color w:val="auto"/>
        </w:rPr>
      </w:pPr>
    </w:p>
    <w:p>
      <w:pPr>
        <w:ind w:left="520" w:right="80" w:hanging="260"/>
        <w:spacing w:after="0" w:line="257" w:lineRule="auto"/>
        <w:tabs>
          <w:tab w:leader="none" w:pos="518"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Arial" w:cs="Arial" w:eastAsia="Arial" w:hAnsi="Arial"/>
          <w:sz w:val="13"/>
          <w:szCs w:val="13"/>
          <w:color w:val="auto"/>
        </w:rPr>
      </w:pPr>
    </w:p>
    <w:p>
      <w:pPr>
        <w:ind w:left="760" w:right="340" w:hanging="246"/>
        <w:spacing w:after="0" w:line="299" w:lineRule="auto"/>
        <w:tabs>
          <w:tab w:leader="none" w:pos="742" w:val="left"/>
        </w:tabs>
        <w:numPr>
          <w:ilvl w:val="1"/>
          <w:numId w:val="6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2"/>
          <w:szCs w:val="12"/>
          <w:color w:val="auto"/>
        </w:rPr>
      </w:pPr>
    </w:p>
    <w:p>
      <w:pPr>
        <w:ind w:left="760" w:right="20" w:hanging="246"/>
        <w:spacing w:after="0" w:line="257" w:lineRule="auto"/>
        <w:tabs>
          <w:tab w:leader="none" w:pos="749" w:val="left"/>
        </w:tabs>
        <w:numPr>
          <w:ilvl w:val="1"/>
          <w:numId w:val="6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Arial" w:cs="Arial" w:eastAsia="Arial" w:hAnsi="Arial"/>
          <w:sz w:val="13"/>
          <w:szCs w:val="13"/>
          <w:color w:val="auto"/>
        </w:rPr>
      </w:pPr>
    </w:p>
    <w:p>
      <w:pPr>
        <w:ind w:left="760" w:hanging="246"/>
        <w:spacing w:after="0" w:line="257" w:lineRule="auto"/>
        <w:tabs>
          <w:tab w:leader="none" w:pos="742" w:val="left"/>
        </w:tabs>
        <w:numPr>
          <w:ilvl w:val="1"/>
          <w:numId w:val="6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Arial" w:cs="Arial" w:eastAsia="Arial" w:hAnsi="Arial"/>
          <w:sz w:val="13"/>
          <w:szCs w:val="13"/>
          <w:color w:val="auto"/>
        </w:rPr>
      </w:pPr>
    </w:p>
    <w:p>
      <w:pPr>
        <w:ind w:left="760" w:right="40" w:hanging="246"/>
        <w:spacing w:after="0" w:line="257" w:lineRule="auto"/>
        <w:tabs>
          <w:tab w:leader="none" w:pos="749" w:val="left"/>
        </w:tabs>
        <w:numPr>
          <w:ilvl w:val="1"/>
          <w:numId w:val="6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3"/>
          <w:szCs w:val="13"/>
          <w:color w:val="auto"/>
        </w:rPr>
      </w:pPr>
    </w:p>
    <w:p>
      <w:pPr>
        <w:ind w:left="520" w:right="80" w:hanging="260"/>
        <w:spacing w:after="0" w:line="257" w:lineRule="auto"/>
        <w:tabs>
          <w:tab w:leader="none" w:pos="518"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7" w:lineRule="exact"/>
        <w:rPr>
          <w:rFonts w:ascii="Arial" w:cs="Arial" w:eastAsia="Arial" w:hAnsi="Arial"/>
          <w:sz w:val="13"/>
          <w:szCs w:val="13"/>
          <w:color w:val="auto"/>
        </w:rPr>
      </w:pPr>
    </w:p>
    <w:p>
      <w:pPr>
        <w:ind w:left="760" w:right="280" w:hanging="246"/>
        <w:spacing w:after="0" w:line="257" w:lineRule="auto"/>
        <w:tabs>
          <w:tab w:leader="none" w:pos="735" w:val="left"/>
        </w:tabs>
        <w:numPr>
          <w:ilvl w:val="1"/>
          <w:numId w:val="6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Arial" w:cs="Arial" w:eastAsia="Arial" w:hAnsi="Arial"/>
          <w:sz w:val="13"/>
          <w:szCs w:val="13"/>
          <w:color w:val="auto"/>
        </w:rPr>
      </w:pPr>
    </w:p>
    <w:p>
      <w:pPr>
        <w:ind w:left="760" w:hanging="246"/>
        <w:spacing w:after="0"/>
        <w:tabs>
          <w:tab w:leader="none" w:pos="760" w:val="left"/>
        </w:tabs>
        <w:numPr>
          <w:ilvl w:val="1"/>
          <w:numId w:val="6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20"/>
        <w:spacing w:after="0"/>
        <w:tabs>
          <w:tab w:leader="none" w:pos="7000" w:val="left"/>
          <w:tab w:leader="none" w:pos="7740" w:val="left"/>
        </w:tabs>
        <w:rPr>
          <w:sz w:val="20"/>
          <w:szCs w:val="20"/>
          <w:color w:val="auto"/>
        </w:rPr>
      </w:pPr>
      <w:r>
        <w:rPr>
          <w:rFonts w:ascii="Arial" w:cs="Arial" w:eastAsia="Arial" w:hAnsi="Arial"/>
          <w:sz w:val="13"/>
          <w:szCs w:val="13"/>
          <w:color w:val="auto"/>
        </w:rPr>
        <w:t>Date: August 6, 2020</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24130</wp:posOffset>
            </wp:positionV>
            <wp:extent cx="221678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2216785" cy="6985"/>
                    </a:xfrm>
                    <a:prstGeom prst="rect">
                      <a:avLst/>
                    </a:prstGeom>
                    <a:noFill/>
                  </pic:spPr>
                </pic:pic>
              </a:graphicData>
            </a:graphic>
          </wp:anchor>
        </w:drawing>
      </w:r>
    </w:p>
    <w:p>
      <w:pPr>
        <w:spacing w:after="0" w:line="20" w:lineRule="exact"/>
        <w:rPr>
          <w:sz w:val="20"/>
          <w:szCs w:val="20"/>
          <w:color w:val="auto"/>
        </w:rPr>
      </w:pPr>
    </w:p>
    <w:p>
      <w:pPr>
        <w:ind w:left="7760"/>
        <w:spacing w:after="0"/>
        <w:rPr>
          <w:sz w:val="20"/>
          <w:szCs w:val="20"/>
          <w:color w:val="auto"/>
        </w:rPr>
      </w:pPr>
      <w:r>
        <w:rPr>
          <w:rFonts w:ascii="Arial" w:cs="Arial" w:eastAsia="Arial" w:hAnsi="Arial"/>
          <w:sz w:val="13"/>
          <w:szCs w:val="13"/>
          <w:color w:val="auto"/>
        </w:rPr>
        <w:t>David F. Carroll</w:t>
      </w:r>
    </w:p>
    <w:p>
      <w:pPr>
        <w:ind w:left="7760"/>
        <w:spacing w:after="0" w:line="204" w:lineRule="auto"/>
        <w:rPr>
          <w:sz w:val="20"/>
          <w:szCs w:val="20"/>
          <w:color w:val="auto"/>
        </w:rPr>
      </w:pPr>
      <w:r>
        <w:rPr>
          <w:rFonts w:ascii="Arial" w:cs="Arial" w:eastAsia="Arial" w:hAnsi="Arial"/>
          <w:sz w:val="13"/>
          <w:szCs w:val="13"/>
          <w:color w:val="auto"/>
        </w:rPr>
        <w:t>Chief Financial Officer</w:t>
      </w:r>
    </w:p>
    <w:p>
      <w:pPr>
        <w:ind w:left="7760"/>
        <w:spacing w:after="0"/>
        <w:rPr>
          <w:sz w:val="20"/>
          <w:szCs w:val="20"/>
          <w:color w:val="auto"/>
        </w:rPr>
      </w:pPr>
      <w:r>
        <w:rPr>
          <w:rFonts w:ascii="Arial" w:cs="Arial" w:eastAsia="Arial" w:hAnsi="Arial"/>
          <w:sz w:val="13"/>
          <w:szCs w:val="13"/>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57785</wp:posOffset>
            </wp:positionV>
            <wp:extent cx="7148195" cy="266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7148195" cy="26670"/>
                    </a:xfrm>
                    <a:prstGeom prst="rect">
                      <a:avLst/>
                    </a:prstGeom>
                    <a:noFill/>
                  </pic:spPr>
                </pic:pic>
              </a:graphicData>
            </a:graphic>
          </wp:anchor>
        </w:drawing>
      </w:r>
    </w:p>
    <w:p>
      <w:pPr>
        <w:sectPr>
          <w:pgSz w:w="11900" w:h="16838" w:orient="portrait"/>
          <w:cols w:equalWidth="0" w:num="1">
            <w:col w:w="11260"/>
          </w:cols>
          <w:pgMar w:left="300" w:top="744"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3"/>
          <w:szCs w:val="13"/>
          <w:b w:val="1"/>
          <w:bCs w:val="1"/>
          <w:color w:val="auto"/>
        </w:rPr>
        <w:t>Exhibit 32.1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18 U.S.C. SECTION 1350,AS ADOPTED PURSUANT TOSECTION 906 OF THE SARBANES-OXLEY ACT OF 2002</w:t>
      </w:r>
    </w:p>
    <w:p>
      <w:pPr>
        <w:spacing w:after="0" w:line="205" w:lineRule="exact"/>
        <w:rPr>
          <w:sz w:val="20"/>
          <w:szCs w:val="20"/>
          <w:color w:val="auto"/>
        </w:rPr>
      </w:pPr>
    </w:p>
    <w:p>
      <w:pPr>
        <w:ind w:right="240" w:firstLine="255"/>
        <w:spacing w:after="0" w:line="248" w:lineRule="auto"/>
        <w:rPr>
          <w:sz w:val="20"/>
          <w:szCs w:val="20"/>
          <w:color w:val="auto"/>
        </w:rPr>
      </w:pPr>
      <w:r>
        <w:rPr>
          <w:rFonts w:ascii="Arial" w:cs="Arial" w:eastAsia="Arial" w:hAnsi="Arial"/>
          <w:sz w:val="13"/>
          <w:szCs w:val="13"/>
          <w:color w:val="auto"/>
        </w:rPr>
        <w:t>In connection with the Quarterly Report on Form 10-Q of IVERIC bio, Inc. (the "Company") for the period ended June 30, 2020 as filed with the Securities and Exchange Commission on the date hereof (the "Report"), the undersigned, Glenn P. Sblendorio, Chief Executive Officer of the Company, hereby certifies, pursuant to Rule 13a-14(b) and 18 U.S.C. Section 1350, as adopted pursuant to Section 906 of the Sarbanes-Oxley Act of 2002, that to his knowledge:</w:t>
      </w:r>
    </w:p>
    <w:p>
      <w:pPr>
        <w:spacing w:after="0" w:line="173" w:lineRule="exact"/>
        <w:rPr>
          <w:sz w:val="20"/>
          <w:szCs w:val="20"/>
          <w:color w:val="auto"/>
        </w:rPr>
      </w:pPr>
    </w:p>
    <w:p>
      <w:pPr>
        <w:ind w:left="500" w:hanging="240"/>
        <w:spacing w:after="0"/>
        <w:tabs>
          <w:tab w:leader="none" w:pos="5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20"/>
        <w:spacing w:after="0"/>
        <w:tabs>
          <w:tab w:leader="none" w:pos="5700" w:val="left"/>
          <w:tab w:leader="none" w:pos="6440" w:val="left"/>
        </w:tabs>
        <w:rPr>
          <w:sz w:val="20"/>
          <w:szCs w:val="20"/>
          <w:color w:val="auto"/>
        </w:rPr>
      </w:pPr>
      <w:r>
        <w:rPr>
          <w:rFonts w:ascii="Arial" w:cs="Arial" w:eastAsia="Arial" w:hAnsi="Arial"/>
          <w:sz w:val="13"/>
          <w:szCs w:val="13"/>
          <w:color w:val="auto"/>
        </w:rPr>
        <w:t>Date: August 6, 2020</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4092575</wp:posOffset>
            </wp:positionH>
            <wp:positionV relativeFrom="paragraph">
              <wp:posOffset>24130</wp:posOffset>
            </wp:positionV>
            <wp:extent cx="302514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3025140" cy="6985"/>
                    </a:xfrm>
                    <a:prstGeom prst="rect">
                      <a:avLst/>
                    </a:prstGeom>
                    <a:noFill/>
                  </pic:spPr>
                </pic:pic>
              </a:graphicData>
            </a:graphic>
          </wp:anchor>
        </w:drawing>
      </w:r>
    </w:p>
    <w:p>
      <w:pPr>
        <w:spacing w:after="0" w:line="15" w:lineRule="exact"/>
        <w:rPr>
          <w:sz w:val="20"/>
          <w:szCs w:val="20"/>
          <w:color w:val="auto"/>
        </w:rPr>
      </w:pPr>
    </w:p>
    <w:p>
      <w:pPr>
        <w:ind w:left="6460"/>
        <w:spacing w:after="0"/>
        <w:rPr>
          <w:sz w:val="20"/>
          <w:szCs w:val="20"/>
          <w:color w:val="auto"/>
        </w:rPr>
      </w:pPr>
      <w:r>
        <w:rPr>
          <w:rFonts w:ascii="Arial" w:cs="Arial" w:eastAsia="Arial" w:hAnsi="Arial"/>
          <w:sz w:val="13"/>
          <w:szCs w:val="13"/>
          <w:color w:val="auto"/>
        </w:rPr>
        <w:t>Glenn P. Sblendorio</w:t>
      </w:r>
    </w:p>
    <w:p>
      <w:pPr>
        <w:ind w:left="6460"/>
        <w:spacing w:after="0" w:line="150" w:lineRule="exact"/>
        <w:rPr>
          <w:sz w:val="20"/>
          <w:szCs w:val="20"/>
          <w:color w:val="auto"/>
        </w:rPr>
      </w:pPr>
      <w:r>
        <w:rPr>
          <w:rFonts w:ascii="Arial" w:cs="Arial" w:eastAsia="Arial" w:hAnsi="Arial"/>
          <w:sz w:val="13"/>
          <w:szCs w:val="13"/>
          <w:color w:val="auto"/>
        </w:rPr>
        <w:t>Chief Executive Officer</w:t>
      </w:r>
      <w:r>
        <w:rPr>
          <w:rFonts w:ascii="Arial" w:cs="Arial" w:eastAsia="Arial" w:hAnsi="Arial"/>
          <w:sz w:val="13"/>
          <w:szCs w:val="13"/>
          <w:i w:val="1"/>
          <w:iCs w:val="1"/>
          <w:color w:val="auto"/>
        </w:rPr>
        <w:t>(Principal</w:t>
      </w:r>
      <w:r>
        <w:rPr>
          <w:rFonts w:ascii="MS PGothic" w:cs="MS PGothic" w:eastAsia="MS PGothic" w:hAnsi="MS PGothic"/>
          <w:sz w:val="13"/>
          <w:szCs w:val="13"/>
          <w:color w:val="auto"/>
        </w:rPr>
        <w:t> </w:t>
      </w:r>
      <w:r>
        <w:rPr>
          <w:rFonts w:ascii="Arial" w:cs="Arial" w:eastAsia="Arial" w:hAnsi="Arial"/>
          <w:sz w:val="13"/>
          <w:szCs w:val="13"/>
          <w:color w:val="auto"/>
        </w:rPr>
        <w:t xml:space="preserve"> </w:t>
      </w:r>
      <w:r>
        <w:rPr>
          <w:rFonts w:ascii="Arial" w:cs="Arial" w:eastAsia="Arial" w:hAnsi="Arial"/>
          <w:sz w:val="13"/>
          <w:szCs w:val="13"/>
          <w:i w:val="1"/>
          <w:iCs w:val="1"/>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60960</wp:posOffset>
            </wp:positionV>
            <wp:extent cx="7148195" cy="266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148195" cy="26670"/>
                    </a:xfrm>
                    <a:prstGeom prst="rect">
                      <a:avLst/>
                    </a:prstGeom>
                    <a:noFill/>
                  </pic:spPr>
                </pic:pic>
              </a:graphicData>
            </a:graphic>
          </wp:anchor>
        </w:drawing>
      </w:r>
    </w:p>
    <w:p>
      <w:pPr>
        <w:sectPr>
          <w:pgSz w:w="11900" w:h="16838" w:orient="portrait"/>
          <w:cols w:equalWidth="0" w:num="1">
            <w:col w:w="11260"/>
          </w:cols>
          <w:pgMar w:left="300" w:top="744"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3"/>
          <w:szCs w:val="13"/>
          <w:b w:val="1"/>
          <w:bCs w:val="1"/>
          <w:color w:val="auto"/>
        </w:rPr>
        <w:t>Exhibit 32.2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18 U.S.C. SECTION 1350,AS ADOPTED PURSUANT TOSECTION 906 OF THE SARBANES-OXLEY ACT OF 2002</w:t>
      </w:r>
    </w:p>
    <w:p>
      <w:pPr>
        <w:spacing w:after="0" w:line="205" w:lineRule="exact"/>
        <w:rPr>
          <w:sz w:val="20"/>
          <w:szCs w:val="20"/>
          <w:color w:val="auto"/>
        </w:rPr>
      </w:pPr>
    </w:p>
    <w:p>
      <w:pPr>
        <w:ind w:right="160" w:firstLine="255"/>
        <w:spacing w:after="0" w:line="248" w:lineRule="auto"/>
        <w:rPr>
          <w:sz w:val="20"/>
          <w:szCs w:val="20"/>
          <w:color w:val="auto"/>
        </w:rPr>
      </w:pPr>
      <w:r>
        <w:rPr>
          <w:rFonts w:ascii="Arial" w:cs="Arial" w:eastAsia="Arial" w:hAnsi="Arial"/>
          <w:sz w:val="13"/>
          <w:szCs w:val="13"/>
          <w:color w:val="auto"/>
        </w:rPr>
        <w:t>In connection with the Quarterly Report on Form 10-Q of IVERIC bio, Inc. (the "Company") for the period ended June 30, 2020 as filed with the Securities and Exchange Commission on the date hereof (the "Report"), the undersigned, David F. Carroll, Chief Financial Officer of the Company, hereby certifies, pursuant to Rule 13a-14(b) and 18 U.S.C. Section 1350, as adopted pursuant to Section 906 of the Sarbanes-Oxley Act of 2002, that to his knowledge:</w:t>
      </w:r>
    </w:p>
    <w:p>
      <w:pPr>
        <w:spacing w:after="0" w:line="173" w:lineRule="exact"/>
        <w:rPr>
          <w:sz w:val="20"/>
          <w:szCs w:val="20"/>
          <w:color w:val="auto"/>
        </w:rPr>
      </w:pPr>
    </w:p>
    <w:p>
      <w:pPr>
        <w:ind w:left="500" w:hanging="240"/>
        <w:spacing w:after="0"/>
        <w:tabs>
          <w:tab w:leader="none" w:pos="5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20"/>
        <w:spacing w:after="0"/>
        <w:tabs>
          <w:tab w:leader="none" w:pos="5740" w:val="left"/>
          <w:tab w:leader="none" w:pos="6480" w:val="left"/>
        </w:tabs>
        <w:rPr>
          <w:sz w:val="20"/>
          <w:szCs w:val="20"/>
          <w:color w:val="auto"/>
        </w:rPr>
      </w:pPr>
      <w:r>
        <w:rPr>
          <w:rFonts w:ascii="Arial" w:cs="Arial" w:eastAsia="Arial" w:hAnsi="Arial"/>
          <w:sz w:val="13"/>
          <w:szCs w:val="13"/>
          <w:color w:val="auto"/>
        </w:rPr>
        <w:t>Date: August 6, 2020</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24130</wp:posOffset>
            </wp:positionV>
            <wp:extent cx="302514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3025140" cy="6985"/>
                    </a:xfrm>
                    <a:prstGeom prst="rect">
                      <a:avLst/>
                    </a:prstGeom>
                    <a:noFill/>
                  </pic:spPr>
                </pic:pic>
              </a:graphicData>
            </a:graphic>
          </wp:anchor>
        </w:drawing>
      </w:r>
    </w:p>
    <w:p>
      <w:pPr>
        <w:spacing w:after="0" w:line="20" w:lineRule="exact"/>
        <w:rPr>
          <w:sz w:val="20"/>
          <w:szCs w:val="20"/>
          <w:color w:val="auto"/>
        </w:rPr>
      </w:pPr>
    </w:p>
    <w:p>
      <w:pPr>
        <w:ind w:left="6500"/>
        <w:spacing w:after="0"/>
        <w:rPr>
          <w:sz w:val="20"/>
          <w:szCs w:val="20"/>
          <w:color w:val="auto"/>
        </w:rPr>
      </w:pPr>
      <w:r>
        <w:rPr>
          <w:rFonts w:ascii="Arial" w:cs="Arial" w:eastAsia="Arial" w:hAnsi="Arial"/>
          <w:sz w:val="13"/>
          <w:szCs w:val="13"/>
          <w:color w:val="auto"/>
        </w:rPr>
        <w:t>David F. Carroll</w:t>
      </w:r>
    </w:p>
    <w:p>
      <w:pPr>
        <w:ind w:left="6500"/>
        <w:spacing w:after="0" w:line="204" w:lineRule="auto"/>
        <w:rPr>
          <w:sz w:val="20"/>
          <w:szCs w:val="20"/>
          <w:color w:val="auto"/>
        </w:rPr>
      </w:pPr>
      <w:r>
        <w:rPr>
          <w:rFonts w:ascii="Arial" w:cs="Arial" w:eastAsia="Arial" w:hAnsi="Arial"/>
          <w:sz w:val="13"/>
          <w:szCs w:val="13"/>
          <w:color w:val="auto"/>
        </w:rPr>
        <w:t>Chief Financial Officer</w:t>
      </w:r>
    </w:p>
    <w:p>
      <w:pPr>
        <w:ind w:left="6500"/>
        <w:spacing w:after="0"/>
        <w:rPr>
          <w:sz w:val="20"/>
          <w:szCs w:val="20"/>
          <w:color w:val="auto"/>
        </w:rPr>
      </w:pPr>
      <w:r>
        <w:rPr>
          <w:rFonts w:ascii="Arial" w:cs="Arial" w:eastAsia="Arial" w:hAnsi="Arial"/>
          <w:sz w:val="13"/>
          <w:szCs w:val="13"/>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57785</wp:posOffset>
            </wp:positionV>
            <wp:extent cx="7148195" cy="266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148195" cy="26670"/>
                    </a:xfrm>
                    <a:prstGeom prst="rect">
                      <a:avLst/>
                    </a:prstGeom>
                    <a:noFill/>
                  </pic:spPr>
                </pic:pic>
              </a:graphicData>
            </a:graphic>
          </wp:anchor>
        </w:drawing>
      </w:r>
    </w:p>
    <w:sectPr>
      <w:pgSz w:w="11900" w:h="16838" w:orient="portrait"/>
      <w:cols w:equalWidth="0" w:num="1">
        <w:col w:w="11260"/>
      </w:cols>
      <w:pgMar w:left="300" w:top="74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1)"/>
      <w:numFmt w:val="decimal"/>
      <w:start w:val="808"/>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1)"/>
      <w:numFmt w:val="lowerLetter"/>
      <w:start w:val="1"/>
    </w:lvl>
  </w:abstractNum>
  <w:abstractNum w:abstractNumId="14">
    <w:nsid w:val="2D517796"/>
    <w:multiLevelType w:val="hybridMultilevel"/>
    <w:lvl w:ilvl="0">
      <w:lvlJc w:val="left"/>
      <w:lvlText w:val="(%1)"/>
      <w:numFmt w:val="lowerLetter"/>
      <w:start w:val="1"/>
    </w:lvl>
  </w:abstractNum>
  <w:abstractNum w:abstractNumId="15">
    <w:nsid w:val="580BD78F"/>
    <w:multiLevelType w:val="hybridMultilevel"/>
    <w:lvl w:ilvl="0">
      <w:lvlJc w:val="left"/>
      <w:lvlText w:val="(%1)"/>
      <w:numFmt w:val="lowerLetter"/>
      <w:start w:val="1"/>
    </w:lvl>
  </w:abstractNum>
  <w:abstractNum w:abstractNumId="16">
    <w:nsid w:val="153EA438"/>
    <w:multiLevelType w:val="hybridMultilevel"/>
    <w:lvl w:ilvl="0">
      <w:lvlJc w:val="left"/>
      <w:lvlText w:val="(%1)"/>
      <w:numFmt w:val="lowerLetter"/>
      <w:start w:val="1"/>
    </w:lvl>
  </w:abstractNum>
  <w:abstractNum w:abstractNumId="17">
    <w:nsid w:val="3855585C"/>
    <w:multiLevelType w:val="hybridMultilevel"/>
    <w:lvl w:ilvl="0">
      <w:lvlJc w:val="left"/>
      <w:lvlText w:val="(%1)"/>
      <w:numFmt w:val="lowerLetter"/>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1)"/>
      <w:numFmt w:val="decimal"/>
      <w:start w:val="1"/>
    </w:lvl>
    <w:lvl w:ilvl="1">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18" Type="http://schemas.openxmlformats.org/officeDocument/2006/relationships/hyperlink" Target="http://www.sec.gov/Archives/edgar/data/1410939/000119312513360785/d560505dex33.htm" TargetMode="External"/><Relationship Id="rId119" Type="http://schemas.openxmlformats.org/officeDocument/2006/relationships/hyperlink" Target="http://www.sec.gov/Archives/edgar/data/1410939/000141093919000021/opht-charteramendmentnamec.htm" TargetMode="External"/><Relationship Id="rId120" Type="http://schemas.openxmlformats.org/officeDocument/2006/relationships/hyperlink" Target="http://www.sec.gov/Archives/edgar/data/1410939/000119312513360785/d560505dex34.htm" TargetMode="External"/><Relationship Id="rId121" Type="http://schemas.openxmlformats.org/officeDocument/2006/relationships/hyperlink" Target="https://www.sec.gov/Archives/edgar/data/1410939/000141093920000023/ivericbioletteragreeme.htm" TargetMode="External"/><Relationship Id="rId122" Type="http://schemas.openxmlformats.org/officeDocument/2006/relationships/hyperlink" Target="https://www.sec.gov/Archives/edgar/data/1410939/000141093920000023/ivericbioamendmenttobe.htm" TargetMode="External"/><Relationship Id="rId123" Type="http://schemas.openxmlformats.org/officeDocument/2006/relationships/hyperlink" Target="https://www.sec.gov/Archives/edgar/data/1410939/000110465920075248/tm2022716d6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2020-08-06T15:51:52Z</dcterms:created>
  <dcterms:modified xsi:type="dcterms:W3CDTF">2020-08-06T15:51:52Z</dcterms:modified>
</cp:coreProperties>
</file>