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540" w:type="dxa"/>
            <w:vAlign w:val="bottom"/>
            <w:gridSpan w:val="7"/>
          </w:tcPr>
          <w:p>
            <w:pPr>
              <w:spacing w:after="0"/>
              <w:rPr>
                <w:sz w:val="20"/>
                <w:szCs w:val="20"/>
                <w:color w:val="auto"/>
              </w:rPr>
            </w:pPr>
            <w:r>
              <w:rPr>
                <w:rFonts w:ascii="Arial" w:cs="Arial" w:eastAsia="Arial" w:hAnsi="Arial"/>
                <w:sz w:val="21"/>
                <w:szCs w:val="21"/>
                <w:color w:val="auto"/>
              </w:rPr>
              <w:t>SEC Form 4</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40" w:type="dxa"/>
            <w:vAlign w:val="bottom"/>
            <w:gridSpan w:val="3"/>
          </w:tcPr>
          <w:p>
            <w:pPr>
              <w:ind w:left="60"/>
              <w:spacing w:after="0" w:line="268" w:lineRule="exact"/>
              <w:rPr>
                <w:sz w:val="20"/>
                <w:szCs w:val="20"/>
                <w:color w:val="auto"/>
              </w:rPr>
            </w:pPr>
            <w:r>
              <w:rPr>
                <w:rFonts w:ascii="Arial" w:cs="Arial" w:eastAsia="Arial" w:hAnsi="Arial"/>
                <w:sz w:val="24"/>
                <w:szCs w:val="24"/>
                <w:b w:val="1"/>
                <w:bCs w:val="1"/>
                <w:color w:val="auto"/>
              </w:rPr>
              <w:t>FORM 4</w:t>
            </w:r>
          </w:p>
        </w:tc>
        <w:tc>
          <w:tcPr>
            <w:tcW w:w="6140" w:type="dxa"/>
            <w:vAlign w:val="bottom"/>
            <w:gridSpan w:val="20"/>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5"/>
            <w:vMerge w:val="restart"/>
          </w:tcPr>
          <w:p>
            <w:pPr>
              <w:jc w:val="center"/>
              <w:ind w:left="319"/>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120"/>
              <w:spacing w:after="0"/>
              <w:rPr>
                <w:sz w:val="20"/>
                <w:szCs w:val="20"/>
                <w:color w:val="auto"/>
              </w:rPr>
            </w:pPr>
            <w:r>
              <w:rPr>
                <w:rFonts w:ascii="Arial" w:cs="Arial" w:eastAsia="Arial" w:hAnsi="Arial"/>
                <w:sz w:val="12"/>
                <w:szCs w:val="12"/>
                <w:color w:val="auto"/>
              </w:rPr>
              <w:t>Check this box if no longer subject to</w:t>
            </w:r>
          </w:p>
        </w:tc>
        <w:tc>
          <w:tcPr>
            <w:tcW w:w="614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140" w:type="dxa"/>
            <w:vAlign w:val="bottom"/>
            <w:gridSpan w:val="20"/>
            <w:vMerge w:val="continue"/>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gridSpan w:val="4"/>
            <w:vMerge w:val="restart"/>
          </w:tcPr>
          <w:p>
            <w:pPr>
              <w:ind w:left="12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gridSpan w:val="3"/>
            <w:vMerge w:val="restart"/>
          </w:tcPr>
          <w:p>
            <w:pPr>
              <w:ind w:left="20"/>
              <w:spacing w:after="0" w:line="189" w:lineRule="exact"/>
              <w:rPr>
                <w:sz w:val="20"/>
                <w:szCs w:val="20"/>
                <w:color w:val="auto"/>
              </w:rPr>
            </w:pPr>
            <w:r>
              <w:rPr>
                <w:rFonts w:ascii="Arial" w:cs="Arial" w:eastAsia="Arial" w:hAnsi="Arial"/>
                <w:sz w:val="17"/>
                <w:szCs w:val="17"/>
                <w:color w:val="0000FF"/>
                <w:highlight w:val="white"/>
              </w:rPr>
              <w:t>X</w:t>
            </w:r>
          </w:p>
        </w:tc>
        <w:tc>
          <w:tcPr>
            <w:tcW w:w="230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2C2C2C"/>
            </w:tcBorders>
            <w:gridSpan w:val="3"/>
            <w:vMerge w:val="continue"/>
          </w:tcPr>
          <w:p>
            <w:pPr>
              <w:spacing w:after="0"/>
              <w:rPr>
                <w:sz w:val="10"/>
                <w:szCs w:val="10"/>
                <w:color w:val="auto"/>
              </w:rPr>
            </w:pPr>
          </w:p>
        </w:tc>
        <w:tc>
          <w:tcPr>
            <w:tcW w:w="2300" w:type="dxa"/>
            <w:vAlign w:val="bottom"/>
            <w:gridSpan w:val="4"/>
          </w:tcPr>
          <w:p>
            <w:pPr>
              <w:ind w:left="120"/>
              <w:spacing w:after="0" w:line="111"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3"/>
          </w:tcPr>
          <w:p>
            <w:pPr>
              <w:jc w:val="right"/>
              <w:ind w:right="176"/>
              <w:spacing w:after="0" w:line="111"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0"/>
                <w:szCs w:val="10"/>
                <w:color w:val="auto"/>
              </w:rPr>
            </w:pPr>
          </w:p>
        </w:tc>
        <w:tc>
          <w:tcPr>
            <w:tcW w:w="620" w:type="dxa"/>
            <w:vAlign w:val="bottom"/>
          </w:tcPr>
          <w:p>
            <w:pPr>
              <w:jc w:val="right"/>
              <w:ind w:right="1"/>
              <w:spacing w:after="0" w:line="111"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2"/>
            <w:vMerge w:val="restart"/>
          </w:tcPr>
          <w:p>
            <w:pPr>
              <w:ind w:left="120"/>
              <w:spacing w:after="0" w:line="85" w:lineRule="exact"/>
              <w:rPr>
                <w:sz w:val="20"/>
                <w:szCs w:val="20"/>
                <w:color w:val="auto"/>
              </w:rPr>
            </w:pPr>
            <w:r>
              <w:rPr>
                <w:rFonts w:ascii="Arial" w:cs="Arial" w:eastAsia="Arial" w:hAnsi="Arial"/>
                <w:sz w:val="9"/>
                <w:szCs w:val="9"/>
                <w:color w:val="auto"/>
              </w:rPr>
              <w:t>Instruction 1(b).</w:t>
            </w: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0" w:type="dxa"/>
            <w:vAlign w:val="bottom"/>
            <w:gridSpan w:val="19"/>
            <w:vMerge w:val="restart"/>
          </w:tcPr>
          <w:p>
            <w:pPr>
              <w:jc w:val="center"/>
              <w:ind w:left="430"/>
              <w:spacing w:after="0" w:line="85" w:lineRule="exact"/>
              <w:rPr>
                <w:sz w:val="20"/>
                <w:szCs w:val="20"/>
                <w:color w:val="auto"/>
              </w:rPr>
            </w:pPr>
            <w:r>
              <w:rPr>
                <w:rFonts w:ascii="Arial" w:cs="Arial" w:eastAsia="Arial" w:hAnsi="Arial"/>
                <w:sz w:val="9"/>
                <w:szCs w:val="9"/>
                <w:color w:val="auto"/>
              </w:rPr>
              <w:t>Filed pursuant to Section 16(a) of the Securities Exchange Act of 1934</w:t>
            </w: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60" w:type="dxa"/>
            <w:vAlign w:val="bottom"/>
            <w:gridSpan w:val="10"/>
          </w:tcPr>
          <w:p>
            <w:pPr>
              <w:jc w:val="center"/>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gridSpan w:val="8"/>
          </w:tcPr>
          <w:p>
            <w:pPr>
              <w:ind w:left="2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Miller Christine Ann</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IVERIC 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ISEE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8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1200" w:type="dxa"/>
            <w:vAlign w:val="bottom"/>
            <w:gridSpan w:val="4"/>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600" w:type="dxa"/>
            <w:vAlign w:val="bottom"/>
            <w:gridSpan w:val="8"/>
          </w:tcPr>
          <w:p>
            <w:pPr>
              <w:ind w:left="240"/>
              <w:spacing w:after="0"/>
              <w:rPr>
                <w:sz w:val="20"/>
                <w:szCs w:val="20"/>
                <w:color w:val="auto"/>
              </w:rPr>
            </w:pPr>
            <w:r>
              <w:rPr>
                <w:rFonts w:ascii="Arial" w:cs="Arial" w:eastAsia="Arial" w:hAnsi="Arial"/>
                <w:sz w:val="17"/>
                <w:szCs w:val="17"/>
                <w:color w:val="0000FF"/>
              </w:rPr>
              <w:t>07/11/2023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IVERIC BIO,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gridSpan w:val="11"/>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300" w:type="dxa"/>
            <w:vAlign w:val="bottom"/>
            <w:gridSpan w:val="11"/>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gridSpan w:val="4"/>
          </w:tcPr>
          <w:p>
            <w:pPr>
              <w:ind w:left="20"/>
              <w:spacing w:after="0" w:line="183" w:lineRule="exact"/>
              <w:rPr>
                <w:sz w:val="20"/>
                <w:szCs w:val="20"/>
                <w:color w:val="auto"/>
              </w:rPr>
            </w:pPr>
            <w:r>
              <w:rPr>
                <w:rFonts w:ascii="Arial" w:cs="Arial" w:eastAsia="Arial" w:hAnsi="Arial"/>
                <w:sz w:val="17"/>
                <w:szCs w:val="17"/>
                <w:color w:val="0000FF"/>
              </w:rPr>
              <w:t>8 SYLVAN WAY</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restart"/>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4"/>
            <w:vMerge w:val="restart"/>
          </w:tcPr>
          <w:p>
            <w:pPr>
              <w:ind w:left="20"/>
              <w:spacing w:after="0" w:line="164" w:lineRule="exact"/>
              <w:rPr>
                <w:sz w:val="20"/>
                <w:szCs w:val="20"/>
                <w:color w:val="auto"/>
              </w:rPr>
            </w:pPr>
            <w:r>
              <w:rPr>
                <w:rFonts w:ascii="Arial" w:cs="Arial" w:eastAsia="Arial" w:hAnsi="Arial"/>
                <w:sz w:val="17"/>
                <w:szCs w:val="17"/>
                <w:color w:val="0000FF"/>
                <w:w w:val="97"/>
              </w:rPr>
              <w:t>PARSIPPANY   NJ</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07054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184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58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4"/>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gridSpan w:val="7"/>
          </w:tcPr>
          <w:p>
            <w:pPr>
              <w:ind w:left="2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gridSpan w:val="5"/>
          </w:tcPr>
          <w:p>
            <w:pPr>
              <w:ind w:left="2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20" w:type="dxa"/>
            <w:vAlign w:val="bottom"/>
            <w:gridSpan w:val="7"/>
          </w:tcPr>
          <w:p>
            <w:pPr>
              <w:ind w:left="860"/>
              <w:spacing w:after="0"/>
              <w:rPr>
                <w:sz w:val="20"/>
                <w:szCs w:val="20"/>
                <w:color w:val="auto"/>
              </w:rPr>
            </w:pPr>
            <w:r>
              <w:rPr>
                <w:rFonts w:ascii="Arial" w:cs="Arial" w:eastAsia="Arial" w:hAnsi="Arial"/>
                <w:sz w:val="17"/>
                <w:szCs w:val="17"/>
                <w:color w:val="0000FF"/>
              </w:rPr>
              <w:t>07/11/2023</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3"/>
                <w:szCs w:val="13"/>
                <w:color w:val="0000FF"/>
              </w:rPr>
              <w:t>D</w:t>
            </w:r>
          </w:p>
        </w:tc>
        <w:tc>
          <w:tcPr>
            <w:tcW w:w="32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7"/>
                <w:szCs w:val="17"/>
                <w:color w:val="0000FF"/>
              </w:rPr>
              <w:t>13,075</w:t>
            </w:r>
          </w:p>
        </w:tc>
        <w:tc>
          <w:tcPr>
            <w:tcW w:w="220" w:type="dxa"/>
            <w:vAlign w:val="bottom"/>
          </w:tcPr>
          <w:p>
            <w:pPr>
              <w:spacing w:after="0"/>
              <w:rPr>
                <w:sz w:val="20"/>
                <w:szCs w:val="20"/>
                <w:color w:val="auto"/>
              </w:rPr>
            </w:pPr>
            <w:r>
              <w:rPr>
                <w:rFonts w:ascii="Arial" w:cs="Arial" w:eastAsia="Arial" w:hAnsi="Arial"/>
                <w:sz w:val="17"/>
                <w:szCs w:val="17"/>
                <w:color w:val="0000FF"/>
              </w:rPr>
              <w:t>D</w:t>
            </w:r>
          </w:p>
        </w:tc>
        <w:tc>
          <w:tcPr>
            <w:tcW w:w="540" w:type="dxa"/>
            <w:vAlign w:val="bottom"/>
            <w:gridSpan w:val="2"/>
          </w:tcPr>
          <w:p>
            <w:pPr>
              <w:jc w:val="right"/>
              <w:ind w:right="9"/>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440" w:type="dxa"/>
            <w:vAlign w:val="bottom"/>
            <w:tcBorders>
              <w:bottom w:val="single" w:sz="8" w:color="2C2C2C"/>
            </w:tcBorders>
            <w:gridSpan w:val="6"/>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80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4"/>
          </w:tcPr>
          <w:p>
            <w:pPr>
              <w:ind w:left="6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540" w:type="dxa"/>
            <w:vAlign w:val="bottom"/>
          </w:tcPr>
          <w:p>
            <w:pPr>
              <w:spacing w:after="0"/>
              <w:rPr>
                <w:sz w:val="11"/>
                <w:szCs w:val="11"/>
                <w:color w:val="auto"/>
              </w:rPr>
            </w:pPr>
          </w:p>
        </w:tc>
        <w:tc>
          <w:tcPr>
            <w:tcW w:w="6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540" w:type="dxa"/>
            <w:vAlign w:val="bottom"/>
          </w:tcPr>
          <w:p>
            <w:pPr>
              <w:spacing w:after="0"/>
              <w:rPr>
                <w:sz w:val="11"/>
                <w:szCs w:val="11"/>
                <w:color w:val="auto"/>
              </w:rPr>
            </w:pPr>
          </w:p>
        </w:tc>
        <w:tc>
          <w:tcPr>
            <w:tcW w:w="6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3"/>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w w:val="99"/>
              </w:rPr>
              <w:t>Restricted</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right"/>
              <w:ind w:right="9"/>
              <w:spacing w:after="0"/>
              <w:rPr>
                <w:sz w:val="20"/>
                <w:szCs w:val="20"/>
                <w:color w:val="auto"/>
              </w:rPr>
            </w:pPr>
            <w:r>
              <w:rPr>
                <w:rFonts w:ascii="Arial" w:cs="Arial" w:eastAsia="Arial" w:hAnsi="Arial"/>
                <w:sz w:val="17"/>
                <w:szCs w:val="17"/>
                <w:color w:val="0000FF"/>
                <w:w w:val="84"/>
              </w:rPr>
              <w:t>10,000</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tcPr>
          <w:p>
            <w:pPr>
              <w:ind w:left="20"/>
              <w:spacing w:after="0" w:line="139" w:lineRule="exact"/>
              <w:rPr>
                <w:sz w:val="20"/>
                <w:szCs w:val="20"/>
                <w:color w:val="auto"/>
              </w:rPr>
            </w:pPr>
            <w:r>
              <w:rPr>
                <w:rFonts w:ascii="Arial" w:cs="Arial" w:eastAsia="Arial" w:hAnsi="Arial"/>
                <w:sz w:val="13"/>
                <w:szCs w:val="13"/>
                <w:color w:val="0000FF"/>
              </w:rPr>
              <w:t>Stock</w:t>
            </w:r>
          </w:p>
        </w:tc>
        <w:tc>
          <w:tcPr>
            <w:tcW w:w="86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98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4"/>
          </w:tcPr>
          <w:p>
            <w:pPr>
              <w:ind w:left="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820" w:type="dxa"/>
            <w:vAlign w:val="bottom"/>
          </w:tcPr>
          <w:p>
            <w:pPr>
              <w:jc w:val="center"/>
              <w:ind w:left="199"/>
              <w:spacing w:after="0" w:line="139" w:lineRule="exact"/>
              <w:rPr>
                <w:sz w:val="20"/>
                <w:szCs w:val="20"/>
                <w:color w:val="auto"/>
              </w:rPr>
            </w:pPr>
            <w:r>
              <w:rPr>
                <w:rFonts w:ascii="Arial" w:cs="Arial" w:eastAsia="Arial" w:hAnsi="Arial"/>
                <w:sz w:val="13"/>
                <w:szCs w:val="13"/>
                <w:color w:val="0000FF"/>
                <w:w w:val="90"/>
              </w:rPr>
              <w:t>10,000</w:t>
            </w:r>
          </w:p>
        </w:tc>
        <w:tc>
          <w:tcPr>
            <w:tcW w:w="700" w:type="dxa"/>
            <w:vAlign w:val="bottom"/>
            <w:gridSpan w:val="3"/>
          </w:tcPr>
          <w:p>
            <w:pPr>
              <w:ind w:left="30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2"/>
                <w:szCs w:val="12"/>
                <w:color w:val="auto"/>
              </w:rPr>
            </w:pPr>
          </w:p>
        </w:tc>
        <w:tc>
          <w:tcPr>
            <w:tcW w:w="480" w:type="dxa"/>
            <w:vAlign w:val="bottom"/>
          </w:tcPr>
          <w:p>
            <w:pPr>
              <w:jc w:val="center"/>
              <w:ind w:right="239"/>
              <w:spacing w:after="0"/>
              <w:rPr>
                <w:sz w:val="20"/>
                <w:szCs w:val="20"/>
                <w:color w:val="auto"/>
              </w:rPr>
            </w:pPr>
            <w:r>
              <w:rPr>
                <w:rFonts w:ascii="Arial" w:cs="Arial" w:eastAsia="Arial" w:hAnsi="Arial"/>
                <w:sz w:val="11"/>
                <w:szCs w:val="11"/>
                <w:color w:val="008000"/>
              </w:rPr>
              <w:t>(3)</w:t>
            </w:r>
          </w:p>
        </w:tc>
        <w:tc>
          <w:tcPr>
            <w:tcW w:w="66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140"/>
              <w:spacing w:after="0"/>
              <w:rPr>
                <w:sz w:val="20"/>
                <w:szCs w:val="20"/>
                <w:color w:val="auto"/>
              </w:rPr>
            </w:pPr>
            <w:r>
              <w:rPr>
                <w:rFonts w:ascii="Arial" w:cs="Arial" w:eastAsia="Arial" w:hAnsi="Arial"/>
                <w:sz w:val="11"/>
                <w:szCs w:val="11"/>
                <w:color w:val="008000"/>
              </w:rPr>
              <w:t>(3)</w:t>
            </w:r>
          </w:p>
        </w:tc>
        <w:tc>
          <w:tcPr>
            <w:tcW w:w="660" w:type="dxa"/>
            <w:vAlign w:val="bottom"/>
            <w:gridSpan w:val="3"/>
          </w:tcPr>
          <w:p>
            <w:pPr>
              <w:ind w:left="44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40" w:type="dxa"/>
            <w:vAlign w:val="bottom"/>
          </w:tcPr>
          <w:p>
            <w:pPr>
              <w:jc w:val="right"/>
              <w:ind w:right="156"/>
              <w:spacing w:after="0" w:line="139"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ind w:left="140"/>
              <w:spacing w:after="0" w:line="131" w:lineRule="exact"/>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4"/>
            <w:vMerge w:val="continue"/>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w w:val="99"/>
              </w:rPr>
              <w:t>Restricted</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right"/>
              <w:ind w:right="49"/>
              <w:spacing w:after="0"/>
              <w:rPr>
                <w:sz w:val="20"/>
                <w:szCs w:val="20"/>
                <w:color w:val="auto"/>
              </w:rPr>
            </w:pPr>
            <w:r>
              <w:rPr>
                <w:rFonts w:ascii="Arial" w:cs="Arial" w:eastAsia="Arial" w:hAnsi="Arial"/>
                <w:sz w:val="17"/>
                <w:szCs w:val="17"/>
                <w:color w:val="0000FF"/>
                <w:w w:val="93"/>
              </w:rPr>
              <w:t>7,500</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4"/>
          </w:tcPr>
          <w:p>
            <w:pPr>
              <w:ind w:left="20"/>
              <w:spacing w:after="0" w:line="126" w:lineRule="exact"/>
              <w:rPr>
                <w:sz w:val="20"/>
                <w:szCs w:val="20"/>
                <w:color w:val="auto"/>
              </w:rPr>
            </w:pPr>
            <w:r>
              <w:rPr>
                <w:rFonts w:ascii="Arial" w:cs="Arial" w:eastAsia="Arial" w:hAnsi="Arial"/>
                <w:sz w:val="13"/>
                <w:szCs w:val="13"/>
                <w:color w:val="0000FF"/>
              </w:rPr>
              <w:t>Stock</w:t>
            </w:r>
          </w:p>
        </w:tc>
        <w:tc>
          <w:tcPr>
            <w:tcW w:w="86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980" w:type="dxa"/>
            <w:vAlign w:val="bottom"/>
            <w:gridSpan w:val="2"/>
          </w:tcPr>
          <w:p>
            <w:pPr>
              <w:jc w:val="center"/>
              <w:spacing w:after="0" w:line="126" w:lineRule="exact"/>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4"/>
          </w:tcPr>
          <w:p>
            <w:pPr>
              <w:ind w:left="40"/>
              <w:spacing w:after="0" w:line="126"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0"/>
                <w:szCs w:val="10"/>
                <w:color w:val="auto"/>
              </w:rPr>
            </w:pPr>
          </w:p>
        </w:tc>
        <w:tc>
          <w:tcPr>
            <w:tcW w:w="820" w:type="dxa"/>
            <w:vAlign w:val="bottom"/>
          </w:tcPr>
          <w:p>
            <w:pPr>
              <w:jc w:val="center"/>
              <w:ind w:left="199"/>
              <w:spacing w:after="0" w:line="126" w:lineRule="exact"/>
              <w:rPr>
                <w:sz w:val="20"/>
                <w:szCs w:val="20"/>
                <w:color w:val="auto"/>
              </w:rPr>
            </w:pPr>
            <w:r>
              <w:rPr>
                <w:rFonts w:ascii="Arial" w:cs="Arial" w:eastAsia="Arial" w:hAnsi="Arial"/>
                <w:sz w:val="13"/>
                <w:szCs w:val="13"/>
                <w:color w:val="0000FF"/>
                <w:w w:val="85"/>
              </w:rPr>
              <w:t>7,500</w:t>
            </w:r>
          </w:p>
        </w:tc>
        <w:tc>
          <w:tcPr>
            <w:tcW w:w="700" w:type="dxa"/>
            <w:vAlign w:val="bottom"/>
            <w:gridSpan w:val="3"/>
          </w:tcPr>
          <w:p>
            <w:pPr>
              <w:ind w:left="30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0"/>
                <w:szCs w:val="10"/>
                <w:color w:val="auto"/>
              </w:rPr>
            </w:pPr>
          </w:p>
        </w:tc>
        <w:tc>
          <w:tcPr>
            <w:tcW w:w="480" w:type="dxa"/>
            <w:vAlign w:val="bottom"/>
          </w:tcPr>
          <w:p>
            <w:pPr>
              <w:jc w:val="center"/>
              <w:ind w:right="239"/>
              <w:spacing w:after="0"/>
              <w:rPr>
                <w:sz w:val="20"/>
                <w:szCs w:val="20"/>
                <w:color w:val="auto"/>
              </w:rPr>
            </w:pPr>
            <w:r>
              <w:rPr>
                <w:rFonts w:ascii="Arial" w:cs="Arial" w:eastAsia="Arial" w:hAnsi="Arial"/>
                <w:sz w:val="11"/>
                <w:szCs w:val="11"/>
                <w:color w:val="008000"/>
              </w:rPr>
              <w:t>(3)</w:t>
            </w:r>
          </w:p>
        </w:tc>
        <w:tc>
          <w:tcPr>
            <w:tcW w:w="66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ind w:left="140"/>
              <w:spacing w:after="0"/>
              <w:rPr>
                <w:sz w:val="20"/>
                <w:szCs w:val="20"/>
                <w:color w:val="auto"/>
              </w:rPr>
            </w:pPr>
            <w:r>
              <w:rPr>
                <w:rFonts w:ascii="Arial" w:cs="Arial" w:eastAsia="Arial" w:hAnsi="Arial"/>
                <w:sz w:val="11"/>
                <w:szCs w:val="11"/>
                <w:color w:val="008000"/>
              </w:rPr>
              <w:t>(3)</w:t>
            </w:r>
          </w:p>
        </w:tc>
        <w:tc>
          <w:tcPr>
            <w:tcW w:w="660" w:type="dxa"/>
            <w:vAlign w:val="bottom"/>
            <w:gridSpan w:val="3"/>
          </w:tcPr>
          <w:p>
            <w:pPr>
              <w:ind w:left="44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40" w:type="dxa"/>
            <w:vAlign w:val="bottom"/>
          </w:tcPr>
          <w:p>
            <w:pPr>
              <w:jc w:val="right"/>
              <w:ind w:right="156"/>
              <w:spacing w:after="0" w:line="126"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4"/>
            <w:vMerge w:val="continue"/>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14.31</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31,000</w:t>
            </w:r>
          </w:p>
        </w:tc>
        <w:tc>
          <w:tcPr>
            <w:tcW w:w="700" w:type="dxa"/>
            <w:vAlign w:val="bottom"/>
            <w:gridSpan w:val="3"/>
          </w:tcPr>
          <w:p>
            <w:pPr>
              <w:ind w:left="300"/>
              <w:spacing w:after="0"/>
              <w:rPr>
                <w:sz w:val="20"/>
                <w:szCs w:val="20"/>
                <w:color w:val="auto"/>
              </w:rPr>
            </w:pPr>
            <w:r>
              <w:rPr>
                <w:rFonts w:ascii="Arial" w:cs="Arial" w:eastAsia="Arial" w:hAnsi="Arial"/>
                <w:sz w:val="11"/>
                <w:szCs w:val="11"/>
                <w:color w:val="008000"/>
              </w:rPr>
              <w:t>(4)</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01/04/2032</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31,000</w:t>
            </w:r>
          </w:p>
        </w:tc>
        <w:tc>
          <w:tcPr>
            <w:tcW w:w="140" w:type="dxa"/>
            <w:vAlign w:val="bottom"/>
          </w:tcPr>
          <w:p>
            <w:pPr>
              <w:spacing w:after="0"/>
              <w:rPr>
                <w:sz w:val="17"/>
                <w:szCs w:val="17"/>
                <w:color w:val="auto"/>
              </w:rPr>
            </w:pPr>
          </w:p>
        </w:tc>
        <w:tc>
          <w:tcPr>
            <w:tcW w:w="540" w:type="dxa"/>
            <w:vAlign w:val="bottom"/>
          </w:tcPr>
          <w:p>
            <w:pPr>
              <w:ind w:left="140"/>
              <w:spacing w:after="0"/>
              <w:rPr>
                <w:sz w:val="20"/>
                <w:szCs w:val="20"/>
                <w:color w:val="auto"/>
              </w:rPr>
            </w:pPr>
            <w:r>
              <w:rPr>
                <w:rFonts w:ascii="Arial" w:cs="Arial" w:eastAsia="Arial" w:hAnsi="Arial"/>
                <w:sz w:val="11"/>
                <w:szCs w:val="11"/>
                <w:color w:val="008000"/>
              </w:rPr>
              <w:t>(4)</w:t>
            </w:r>
          </w:p>
        </w:tc>
        <w:tc>
          <w:tcPr>
            <w:tcW w:w="660" w:type="dxa"/>
            <w:vAlign w:val="bottom"/>
            <w:gridSpan w:val="3"/>
          </w:tcPr>
          <w:p>
            <w:pPr>
              <w:ind w:left="44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9.94</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12,835</w:t>
            </w:r>
          </w:p>
        </w:tc>
        <w:tc>
          <w:tcPr>
            <w:tcW w:w="700" w:type="dxa"/>
            <w:vAlign w:val="bottom"/>
            <w:gridSpan w:val="3"/>
          </w:tcPr>
          <w:p>
            <w:pPr>
              <w:ind w:left="300"/>
              <w:spacing w:after="0"/>
              <w:rPr>
                <w:sz w:val="20"/>
                <w:szCs w:val="20"/>
                <w:color w:val="auto"/>
              </w:rPr>
            </w:pPr>
            <w:r>
              <w:rPr>
                <w:rFonts w:ascii="Arial" w:cs="Arial" w:eastAsia="Arial" w:hAnsi="Arial"/>
                <w:sz w:val="11"/>
                <w:szCs w:val="11"/>
                <w:color w:val="008000"/>
              </w:rPr>
              <w:t>(4)</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05/11/2032</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12,835</w:t>
            </w:r>
          </w:p>
        </w:tc>
        <w:tc>
          <w:tcPr>
            <w:tcW w:w="140" w:type="dxa"/>
            <w:vAlign w:val="bottom"/>
          </w:tcPr>
          <w:p>
            <w:pPr>
              <w:spacing w:after="0"/>
              <w:rPr>
                <w:sz w:val="17"/>
                <w:szCs w:val="17"/>
                <w:color w:val="auto"/>
              </w:rPr>
            </w:pPr>
          </w:p>
        </w:tc>
        <w:tc>
          <w:tcPr>
            <w:tcW w:w="540" w:type="dxa"/>
            <w:vAlign w:val="bottom"/>
          </w:tcPr>
          <w:p>
            <w:pPr>
              <w:ind w:left="140"/>
              <w:spacing w:after="0"/>
              <w:rPr>
                <w:sz w:val="20"/>
                <w:szCs w:val="20"/>
                <w:color w:val="auto"/>
              </w:rPr>
            </w:pPr>
            <w:r>
              <w:rPr>
                <w:rFonts w:ascii="Arial" w:cs="Arial" w:eastAsia="Arial" w:hAnsi="Arial"/>
                <w:sz w:val="11"/>
                <w:szCs w:val="11"/>
                <w:color w:val="008000"/>
              </w:rPr>
              <w:t>(4)</w:t>
            </w:r>
          </w:p>
        </w:tc>
        <w:tc>
          <w:tcPr>
            <w:tcW w:w="660" w:type="dxa"/>
            <w:vAlign w:val="bottom"/>
            <w:gridSpan w:val="3"/>
          </w:tcPr>
          <w:p>
            <w:pPr>
              <w:ind w:left="44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4"/>
          </w:tcPr>
          <w:p>
            <w:pPr>
              <w:ind w:left="20"/>
              <w:spacing w:after="0" w:line="93" w:lineRule="exact"/>
              <w:rPr>
                <w:sz w:val="20"/>
                <w:szCs w:val="20"/>
                <w:color w:val="auto"/>
              </w:rPr>
            </w:pPr>
            <w:r>
              <w:rPr>
                <w:rFonts w:ascii="Arial" w:cs="Arial" w:eastAsia="Arial" w:hAnsi="Arial"/>
                <w:sz w:val="10"/>
                <w:szCs w:val="10"/>
                <w:color w:val="0000FF"/>
              </w:rPr>
              <w:t>(Right to</w:t>
            </w: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-7045960</wp:posOffset>
            </wp:positionV>
            <wp:extent cx="7045960" cy="7199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71996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60" w:firstLine="4"/>
        <w:spacing w:after="0" w:line="265"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(R)pursuant to the Agreement and Plan of Merger (the "Merger Agreement"), dated April 28, 2023, by and among IVERIC bio, Inc. ("IVERIC"), Astellas US Holding, Inc., Berry Merger Sub, Inc. ("Merger Sub") and, solely as provided by Section 8.10(b) of the Merger Agreement, Astellas Pharma Inc. ("Astellas"), Merger Sub merged with and into IVERIC, with IVERIC surviving the merger and becoming an indirect wholly owned subsidiary of Astellas (the "Merger"). At the effective time of the Merger (the "Effective Time"), each share of IVERIC common stock ("Common Stock") reported in this Form 4 was automatically cancelled and was converted into the right to receive $40.00 in cash, without interest and less any applicable withholding taxes.</w:t>
      </w:r>
    </w:p>
    <w:p>
      <w:pPr>
        <w:spacing w:after="0" w:line="1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IVERIC restricted stock unit ("RSU") represented the contingent right to receive one share of Common Stock upon vesting of the RSU.</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RSU reported in this Form 4 was cancelled and converted into the right to receive a cash payment (subject to any applicable tax withholding) equal to (1) $40.00, multiplied by (2) the number of shares of Common Stock subject to such RSU.</w:t>
      </w:r>
    </w:p>
    <w:p>
      <w:pPr>
        <w:spacing w:after="0" w:line="23" w:lineRule="exact"/>
        <w:rPr>
          <w:rFonts w:ascii="Arial" w:cs="Arial" w:eastAsia="Arial" w:hAnsi="Arial"/>
          <w:sz w:val="13"/>
          <w:szCs w:val="13"/>
          <w:color w:val="008000"/>
        </w:rPr>
      </w:pPr>
    </w:p>
    <w:p>
      <w:pPr>
        <w:ind w:left="40" w:right="200" w:firstLine="4"/>
        <w:spacing w:after="0" w:line="265"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each option to acquire Common Stock ("IVERIC Option") reported in this Form 4 which had a per share exercise price less than $40.00 was cancelled and converted into the right to receive a cash payment (subject to any applicable tax withholding) equal to (1) the excess of $40.00 over the exercise price per share of Common Stock underlying such IVERIC Option, multiplied by (2) the total number of shares of Common Stock subject to such IVERIC Option immediately prior to the Effective Time (without regard to vesting). Each IVERIC Option reported in this Form 4 which had a per share exercise price $40.00 or greater was cancelled with no consideration payable in respect thereof.</w:t>
      </w:r>
    </w:p>
    <w:p>
      <w:pPr>
        <w:spacing w:after="0" w:line="44"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Todd D.C. Anderman,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1976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Christine</w:t>
      </w:r>
      <w:r>
        <w:rPr>
          <w:sz w:val="20"/>
          <w:szCs w:val="20"/>
          <w:color w:val="auto"/>
        </w:rPr>
        <w:tab/>
      </w: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269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36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903530" TargetMode="External"/><Relationship Id="rId9"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2023-07-13T13:04:18Z</dcterms:created>
  <dcterms:modified xsi:type="dcterms:W3CDTF">2023-07-13T13:04:18Z</dcterms:modified>
</cp:coreProperties>
</file>