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90805</wp:posOffset>
            </wp:positionV>
            <wp:extent cx="13290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35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72"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(Mark One)</w:t>
      </w:r>
    </w:p>
    <w:p>
      <w:pPr>
        <w:spacing w:after="0" w:line="42" w:lineRule="exact"/>
        <w:rPr>
          <w:sz w:val="24"/>
          <w:szCs w:val="24"/>
          <w:color w:val="auto"/>
        </w:rPr>
      </w:pPr>
    </w:p>
    <w:p>
      <w:pPr>
        <w:jc w:val="center"/>
        <w:ind w:left="4320" w:right="2040" w:hanging="3333"/>
        <w:spacing w:after="0" w:line="379" w:lineRule="auto"/>
        <w:tabs>
          <w:tab w:leader="none" w:pos="197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2019</w:t>
      </w:r>
    </w:p>
    <w:p>
      <w:pPr>
        <w:spacing w:after="0" w:line="126" w:lineRule="exact"/>
        <w:rPr>
          <w:sz w:val="24"/>
          <w:szCs w:val="24"/>
          <w:color w:val="auto"/>
        </w:rPr>
      </w:pPr>
    </w:p>
    <w:p>
      <w:pPr>
        <w:ind w:left="1980" w:hanging="961"/>
        <w:spacing w:after="0"/>
        <w:tabs>
          <w:tab w:leader="none" w:pos="19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40" w:type="dxa"/>
            <w:vAlign w:val="bottom"/>
          </w:tcPr>
          <w:p>
            <w:pPr>
              <w:ind w:left="720"/>
              <w:spacing w:after="0"/>
              <w:rPr>
                <w:sz w:val="20"/>
                <w:szCs w:val="20"/>
                <w:color w:val="auto"/>
              </w:rPr>
            </w:pPr>
            <w:r>
              <w:rPr>
                <w:rFonts w:ascii="Arial" w:cs="Arial" w:eastAsia="Arial" w:hAnsi="Arial"/>
                <w:sz w:val="14"/>
                <w:szCs w:val="14"/>
                <w:b w:val="1"/>
                <w:bCs w:val="1"/>
                <w:color w:val="auto"/>
              </w:rPr>
              <w:t>For the transition period from</w:t>
            </w:r>
          </w:p>
        </w:tc>
        <w:tc>
          <w:tcPr>
            <w:tcW w:w="2820" w:type="dxa"/>
            <w:vAlign w:val="bottom"/>
            <w:gridSpan w:val="2"/>
          </w:tcPr>
          <w:p>
            <w:pPr>
              <w:ind w:left="28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2"/>
              </w:rPr>
              <w:t>Commission file number: 001-36080</w:t>
            </w:r>
          </w:p>
        </w:tc>
        <w:tc>
          <w:tcPr>
            <w:tcW w:w="0" w:type="dxa"/>
            <w:vAlign w:val="bottom"/>
          </w:tcPr>
          <w:p>
            <w:pPr>
              <w:spacing w:after="0"/>
              <w:rPr>
                <w:sz w:val="1"/>
                <w:szCs w:val="1"/>
                <w:color w:val="auto"/>
              </w:rPr>
            </w:pPr>
          </w:p>
        </w:tc>
      </w:tr>
      <w:tr>
        <w:trPr>
          <w:trHeight w:val="449"/>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right="1360"/>
              <w:spacing w:after="0"/>
              <w:rPr>
                <w:sz w:val="20"/>
                <w:szCs w:val="20"/>
                <w:color w:val="auto"/>
              </w:rPr>
            </w:pPr>
            <w:r>
              <w:rPr>
                <w:rFonts w:ascii="Arial" w:cs="Arial" w:eastAsia="Arial" w:hAnsi="Arial"/>
                <w:sz w:val="29"/>
                <w:szCs w:val="29"/>
                <w:b w:val="1"/>
                <w:bCs w:val="1"/>
                <w:color w:val="auto"/>
                <w:w w:val="98"/>
              </w:rPr>
              <w:t>IVERIC bio, Inc.</w:t>
            </w: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560" w:type="dxa"/>
            <w:vAlign w:val="bottom"/>
            <w:gridSpan w:val="3"/>
          </w:tcPr>
          <w:p>
            <w:pPr>
              <w:jc w:val="center"/>
              <w:ind w:right="1380"/>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439"/>
        </w:trPr>
        <w:tc>
          <w:tcPr>
            <w:tcW w:w="1680" w:type="dxa"/>
            <w:vAlign w:val="bottom"/>
          </w:tcPr>
          <w:p>
            <w:pPr>
              <w:spacing w:after="0"/>
              <w:rPr>
                <w:sz w:val="24"/>
                <w:szCs w:val="24"/>
                <w:color w:val="auto"/>
              </w:rPr>
            </w:pPr>
          </w:p>
        </w:tc>
        <w:tc>
          <w:tcPr>
            <w:tcW w:w="3620" w:type="dxa"/>
            <w:vAlign w:val="bottom"/>
            <w:gridSpan w:val="2"/>
          </w:tcPr>
          <w:p>
            <w:pPr>
              <w:jc w:val="center"/>
              <w:ind w:right="2318"/>
              <w:spacing w:after="0"/>
              <w:rPr>
                <w:sz w:val="20"/>
                <w:szCs w:val="20"/>
                <w:color w:val="auto"/>
              </w:rPr>
            </w:pPr>
            <w:r>
              <w:rPr>
                <w:rFonts w:ascii="Arial" w:cs="Arial" w:eastAsia="Arial" w:hAnsi="Arial"/>
                <w:sz w:val="14"/>
                <w:szCs w:val="14"/>
                <w:b w:val="1"/>
                <w:bCs w:val="1"/>
                <w:color w:val="auto"/>
                <w:w w:val="94"/>
              </w:rPr>
              <w:t>Delaware</w:t>
            </w:r>
          </w:p>
        </w:tc>
        <w:tc>
          <w:tcPr>
            <w:tcW w:w="28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182"/>
        </w:trPr>
        <w:tc>
          <w:tcPr>
            <w:tcW w:w="5300" w:type="dxa"/>
            <w:vAlign w:val="bottom"/>
            <w:gridSpan w:val="3"/>
          </w:tcPr>
          <w:p>
            <w:pPr>
              <w:jc w:val="center"/>
              <w:ind w:right="61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820" w:type="dxa"/>
            <w:vAlign w:val="bottom"/>
            <w:gridSpan w:val="2"/>
          </w:tcPr>
          <w:p>
            <w:pPr>
              <w:jc w:val="center"/>
              <w:ind w:left="50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86"/>
        </w:trPr>
        <w:tc>
          <w:tcPr>
            <w:tcW w:w="5300" w:type="dxa"/>
            <w:vAlign w:val="bottom"/>
            <w:gridSpan w:val="3"/>
          </w:tcPr>
          <w:p>
            <w:pPr>
              <w:jc w:val="center"/>
              <w:ind w:right="618"/>
              <w:spacing w:after="0"/>
              <w:rPr>
                <w:sz w:val="20"/>
                <w:szCs w:val="20"/>
                <w:color w:val="auto"/>
              </w:rPr>
            </w:pPr>
            <w:r>
              <w:rPr>
                <w:rFonts w:ascii="Arial" w:cs="Arial" w:eastAsia="Arial" w:hAnsi="Arial"/>
                <w:sz w:val="14"/>
                <w:szCs w:val="14"/>
                <w:b w:val="1"/>
                <w:bCs w:val="1"/>
                <w:color w:val="auto"/>
                <w:w w:val="93"/>
              </w:rPr>
              <w:t>One Penn Plaza, 35th Floor</w:t>
            </w:r>
          </w:p>
        </w:tc>
        <w:tc>
          <w:tcPr>
            <w:tcW w:w="28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10119</w:t>
            </w:r>
          </w:p>
        </w:tc>
        <w:tc>
          <w:tcPr>
            <w:tcW w:w="0" w:type="dxa"/>
            <w:vAlign w:val="bottom"/>
          </w:tcPr>
          <w:p>
            <w:pPr>
              <w:spacing w:after="0"/>
              <w:rPr>
                <w:sz w:val="1"/>
                <w:szCs w:val="1"/>
                <w:color w:val="auto"/>
              </w:rPr>
            </w:pPr>
          </w:p>
        </w:tc>
      </w:tr>
      <w:tr>
        <w:trPr>
          <w:trHeight w:val="153"/>
        </w:trPr>
        <w:tc>
          <w:tcPr>
            <w:tcW w:w="1680" w:type="dxa"/>
            <w:vAlign w:val="bottom"/>
          </w:tcPr>
          <w:p>
            <w:pPr>
              <w:spacing w:after="0"/>
              <w:rPr>
                <w:sz w:val="13"/>
                <w:szCs w:val="13"/>
                <w:color w:val="auto"/>
              </w:rPr>
            </w:pPr>
          </w:p>
        </w:tc>
        <w:tc>
          <w:tcPr>
            <w:tcW w:w="3620" w:type="dxa"/>
            <w:vAlign w:val="bottom"/>
            <w:gridSpan w:val="2"/>
          </w:tcPr>
          <w:p>
            <w:pPr>
              <w:jc w:val="center"/>
              <w:ind w:right="2298"/>
              <w:spacing w:after="0" w:line="153" w:lineRule="exact"/>
              <w:rPr>
                <w:sz w:val="20"/>
                <w:szCs w:val="20"/>
                <w:color w:val="auto"/>
              </w:rPr>
            </w:pPr>
            <w:r>
              <w:rPr>
                <w:rFonts w:ascii="Arial" w:cs="Arial" w:eastAsia="Arial" w:hAnsi="Arial"/>
                <w:sz w:val="14"/>
                <w:szCs w:val="14"/>
                <w:b w:val="1"/>
                <w:bCs w:val="1"/>
                <w:color w:val="auto"/>
                <w:w w:val="96"/>
              </w:rPr>
              <w:t>New York, NY</w:t>
            </w:r>
          </w:p>
        </w:tc>
        <w:tc>
          <w:tcPr>
            <w:tcW w:w="2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300" w:type="dxa"/>
            <w:vAlign w:val="bottom"/>
            <w:gridSpan w:val="3"/>
          </w:tcPr>
          <w:p>
            <w:pPr>
              <w:jc w:val="center"/>
              <w:ind w:right="618"/>
              <w:spacing w:after="0"/>
              <w:rPr>
                <w:sz w:val="20"/>
                <w:szCs w:val="20"/>
                <w:color w:val="auto"/>
              </w:rPr>
            </w:pPr>
            <w:r>
              <w:rPr>
                <w:rFonts w:ascii="Arial" w:cs="Arial" w:eastAsia="Arial" w:hAnsi="Arial"/>
                <w:sz w:val="14"/>
                <w:szCs w:val="14"/>
                <w:color w:val="auto"/>
                <w:w w:val="95"/>
              </w:rPr>
              <w:t>(Address of principal executive offices)</w:t>
            </w:r>
          </w:p>
        </w:tc>
        <w:tc>
          <w:tcPr>
            <w:tcW w:w="2820" w:type="dxa"/>
            <w:vAlign w:val="bottom"/>
            <w:gridSpan w:val="2"/>
          </w:tcPr>
          <w:p>
            <w:pPr>
              <w:jc w:val="center"/>
              <w:ind w:left="50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31"/>
        </w:trPr>
        <w:tc>
          <w:tcPr>
            <w:tcW w:w="1680" w:type="dxa"/>
            <w:vAlign w:val="bottom"/>
          </w:tcPr>
          <w:p>
            <w:pPr>
              <w:spacing w:after="0"/>
              <w:rPr>
                <w:sz w:val="24"/>
                <w:szCs w:val="24"/>
                <w:color w:val="auto"/>
              </w:rPr>
            </w:pPr>
          </w:p>
        </w:tc>
        <w:tc>
          <w:tcPr>
            <w:tcW w:w="3620" w:type="dxa"/>
            <w:vAlign w:val="bottom"/>
            <w:gridSpan w:val="2"/>
          </w:tcPr>
          <w:p>
            <w:pPr>
              <w:jc w:val="center"/>
              <w:ind w:left="2248"/>
              <w:spacing w:after="0"/>
              <w:rPr>
                <w:sz w:val="20"/>
                <w:szCs w:val="20"/>
                <w:color w:val="auto"/>
              </w:rPr>
            </w:pPr>
            <w:r>
              <w:rPr>
                <w:rFonts w:ascii="Arial" w:cs="Arial" w:eastAsia="Arial" w:hAnsi="Arial"/>
                <w:sz w:val="14"/>
                <w:szCs w:val="14"/>
                <w:b w:val="1"/>
                <w:bCs w:val="1"/>
                <w:color w:val="auto"/>
                <w:w w:val="93"/>
              </w:rPr>
              <w:t>(212) 845-8200</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560" w:type="dxa"/>
            <w:vAlign w:val="bottom"/>
            <w:gridSpan w:val="3"/>
          </w:tcPr>
          <w:p>
            <w:pPr>
              <w:jc w:val="center"/>
              <w:ind w:right="1360"/>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316"/>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tcBorders>
              <w:bottom w:val="single" w:sz="8" w:color="auto"/>
            </w:tcBorders>
            <w:gridSpan w:val="2"/>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560" w:type="dxa"/>
            <w:vAlign w:val="bottom"/>
            <w:gridSpan w:val="3"/>
          </w:tcPr>
          <w:p>
            <w:pPr>
              <w:jc w:val="center"/>
              <w:ind w:right="136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351"/>
        </w:trPr>
        <w:tc>
          <w:tcPr>
            <w:tcW w:w="168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718"/>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69"/>
        </w:trPr>
        <w:tc>
          <w:tcPr>
            <w:tcW w:w="5300" w:type="dxa"/>
            <w:vAlign w:val="bottom"/>
            <w:gridSpan w:val="3"/>
          </w:tcPr>
          <w:p>
            <w:pPr>
              <w:jc w:val="center"/>
              <w:ind w:right="3278"/>
              <w:spacing w:after="0"/>
              <w:rPr>
                <w:sz w:val="20"/>
                <w:szCs w:val="20"/>
                <w:color w:val="auto"/>
              </w:rPr>
            </w:pPr>
            <w:r>
              <w:rPr>
                <w:rFonts w:ascii="Arial" w:cs="Arial" w:eastAsia="Arial" w:hAnsi="Arial"/>
                <w:sz w:val="14"/>
                <w:szCs w:val="14"/>
                <w:color w:val="auto"/>
                <w:w w:val="93"/>
              </w:rPr>
              <w:t>Common Stock, $0.001 par value</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80" w:type="dxa"/>
            <w:vAlign w:val="bottom"/>
          </w:tcPr>
          <w:p>
            <w:pPr>
              <w:jc w:val="center"/>
              <w:ind w:left="168"/>
              <w:spacing w:after="0"/>
              <w:rPr>
                <w:sz w:val="20"/>
                <w:szCs w:val="20"/>
                <w:color w:val="auto"/>
              </w:rPr>
            </w:pPr>
            <w:r>
              <w:rPr>
                <w:rFonts w:ascii="Arial" w:cs="Arial" w:eastAsia="Arial" w:hAnsi="Arial"/>
                <w:sz w:val="14"/>
                <w:szCs w:val="14"/>
                <w:color w:val="auto"/>
                <w:w w:val="87"/>
              </w:rPr>
              <w:t>per share</w:t>
            </w:r>
          </w:p>
        </w:tc>
        <w:tc>
          <w:tcPr>
            <w:tcW w:w="880" w:type="dxa"/>
            <w:vAlign w:val="bottom"/>
          </w:tcPr>
          <w:p>
            <w:pPr>
              <w:spacing w:after="0"/>
              <w:rPr>
                <w:sz w:val="15"/>
                <w:szCs w:val="15"/>
                <w:color w:val="auto"/>
              </w:rPr>
            </w:pPr>
          </w:p>
        </w:tc>
        <w:tc>
          <w:tcPr>
            <w:tcW w:w="2740" w:type="dxa"/>
            <w:vAlign w:val="bottom"/>
          </w:tcPr>
          <w:p>
            <w:pPr>
              <w:jc w:val="center"/>
              <w:ind w:right="1598"/>
              <w:spacing w:after="0"/>
              <w:rPr>
                <w:sz w:val="20"/>
                <w:szCs w:val="20"/>
                <w:color w:val="auto"/>
              </w:rPr>
            </w:pPr>
            <w:r>
              <w:rPr>
                <w:rFonts w:ascii="Arial" w:cs="Arial" w:eastAsia="Arial" w:hAnsi="Arial"/>
                <w:sz w:val="14"/>
                <w:szCs w:val="14"/>
                <w:color w:val="auto"/>
                <w:w w:val="93"/>
              </w:rPr>
              <w:t>ISEE</w:t>
            </w:r>
          </w:p>
        </w:tc>
        <w:tc>
          <w:tcPr>
            <w:tcW w:w="28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spacing w:after="0" w:line="26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35"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o No</w:t>
      </w:r>
    </w:p>
    <w:p>
      <w:pPr>
        <w:spacing w:after="0" w:line="262" w:lineRule="exact"/>
        <w:rPr>
          <w:sz w:val="24"/>
          <w:szCs w:val="24"/>
          <w:color w:val="auto"/>
        </w:rPr>
      </w:pPr>
    </w:p>
    <w:p>
      <w:pPr>
        <w:ind w:right="520"/>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480"/>
        <w:spacing w:after="0" w:line="161" w:lineRule="exact"/>
        <w:tabs>
          <w:tab w:leader="none" w:pos="2820" w:val="left"/>
          <w:tab w:leader="none" w:pos="4680" w:val="left"/>
          <w:tab w:leader="none" w:pos="6820" w:val="left"/>
          <w:tab w:leader="none" w:pos="92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x</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 x</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80" w:lineRule="exact"/>
        <w:rPr>
          <w:sz w:val="24"/>
          <w:szCs w:val="24"/>
          <w:color w:val="auto"/>
        </w:rPr>
      </w:pPr>
    </w:p>
    <w:p>
      <w:pPr>
        <w:ind w:left="40" w:righ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7"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o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310" w:lineRule="exact"/>
        <w:rPr>
          <w:sz w:val="24"/>
          <w:szCs w:val="24"/>
          <w:color w:val="auto"/>
        </w:rPr>
      </w:pPr>
    </w:p>
    <w:p>
      <w:pPr>
        <w:spacing w:after="0"/>
        <w:rPr>
          <w:sz w:val="20"/>
          <w:szCs w:val="20"/>
          <w:color w:val="auto"/>
        </w:rPr>
      </w:pPr>
      <w:r>
        <w:rPr>
          <w:rFonts w:ascii="Arial" w:cs="Arial" w:eastAsia="Arial" w:hAnsi="Arial"/>
          <w:sz w:val="14"/>
          <w:szCs w:val="14"/>
          <w:color w:val="auto"/>
        </w:rPr>
        <w:t>As of July 29, 2019 there were 41,562,695 shares of Common Stock, $0.001 par value per share, outstanding.</w:t>
      </w:r>
    </w:p>
    <w:p>
      <w:pPr>
        <w:sectPr>
          <w:pgSz w:w="11900" w:h="16838" w:orient="portrait"/>
          <w:cols w:equalWidth="0" w:num="1">
            <w:col w:w="11320"/>
          </w:cols>
          <w:pgMar w:left="24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60" w:type="dxa"/>
            <w:vAlign w:val="bottom"/>
            <w:gridSpan w:val="9"/>
          </w:tcPr>
          <w:p>
            <w:pPr>
              <w:jc w:val="center"/>
              <w:ind w:right="434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gridSpan w:val="12"/>
          </w:tcPr>
          <w:p>
            <w:pPr>
              <w:jc w:val="center"/>
              <w:ind w:right="30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262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160" w:type="dxa"/>
            <w:vAlign w:val="bottom"/>
            <w:tcBorders>
              <w:top w:val="single" w:sz="8" w:color="0000EE"/>
            </w:tcBorders>
            <w:gridSpan w:val="9"/>
          </w:tcPr>
          <w:p>
            <w:pPr>
              <w:spacing w:after="0"/>
              <w:rPr>
                <w:sz w:val="21"/>
                <w:szCs w:val="21"/>
                <w:color w:val="auto"/>
              </w:rPr>
            </w:pPr>
          </w:p>
        </w:tc>
        <w:tc>
          <w:tcPr>
            <w:tcW w:w="3920" w:type="dxa"/>
            <w:vAlign w:val="bottom"/>
            <w:gridSpan w:val="2"/>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Operations and Comprehensive Loss</w:t>
              </w:r>
            </w:hyperlink>
          </w:p>
        </w:tc>
        <w:tc>
          <w:tcPr>
            <w:tcW w:w="40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Stockholders' Equity</w:t>
              </w:r>
            </w:hyperlink>
          </w:p>
        </w:tc>
        <w:tc>
          <w:tcPr>
            <w:tcW w:w="52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Statements of Cash Flows</w:t>
              </w:r>
            </w:hyperlink>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70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28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70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280" w:type="dxa"/>
            <w:vAlign w:val="bottom"/>
            <w:tcBorders>
              <w:left w:val="single" w:sz="8" w:color="0000EE"/>
            </w:tcBorders>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70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35</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0"/>
          </w:tcPr>
          <w:p>
            <w:pPr>
              <w:jc w:val="center"/>
              <w:ind w:right="4080"/>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II—OTHER INFORMATION</w:t>
              </w:r>
            </w:hyperlink>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74"/>
        </w:trPr>
        <w:tc>
          <w:tcPr>
            <w:tcW w:w="148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276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2860" w:type="dxa"/>
            <w:vAlign w:val="bottom"/>
            <w:tcBorders>
              <w:top w:val="single" w:sz="8" w:color="0000EE"/>
            </w:tcBorders>
            <w:gridSpan w:val="6"/>
          </w:tcPr>
          <w:p>
            <w:pPr>
              <w:spacing w:after="0"/>
              <w:rPr>
                <w:sz w:val="24"/>
                <w:szCs w:val="24"/>
                <w:color w:val="auto"/>
              </w:rPr>
            </w:pPr>
          </w:p>
        </w:tc>
        <w:tc>
          <w:tcPr>
            <w:tcW w:w="4080" w:type="dxa"/>
            <w:vAlign w:val="bottom"/>
            <w:gridSpan w:val="4"/>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8"/>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Item 1A.</w:t>
              </w:r>
            </w:hyperlink>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2.</w:t>
              </w:r>
            </w:hyperlink>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8"/>
            <w:shd w:val="clear" w:color="auto" w:fill="0000EE"/>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5.</w:t>
              </w:r>
            </w:hyperlink>
          </w:p>
        </w:tc>
        <w:tc>
          <w:tcPr>
            <w:tcW w:w="9700" w:type="dxa"/>
            <w:vAlign w:val="bottom"/>
            <w:gridSpan w:val="1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38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6.</w:t>
              </w:r>
            </w:hyperlink>
          </w:p>
        </w:tc>
        <w:tc>
          <w:tcPr>
            <w:tcW w:w="9700" w:type="dxa"/>
            <w:vAlign w:val="bottom"/>
            <w:gridSpan w:val="1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4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70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98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85" w:lineRule="exact"/>
        <w:rPr>
          <w:sz w:val="20"/>
          <w:szCs w:val="20"/>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our gene therapy and therapeutic product candidates and programs and pursue our collaborative gene therapy sponsored research programs;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of and completion of these activities, and the costs to obtain and timing of receipt of results from, and the completion of, such activities;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clinical trials, including statements regarding the timing of the completion of such trials, and the costs to obtain and timing of receipt of initial results from, and the completion of, such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our product candidates;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in-license or acquire additional product candidates or technologies to treat retinal diseases;</w:t>
      </w:r>
    </w:p>
    <w:p>
      <w:pPr>
        <w:spacing w:after="0" w:line="225"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the advantages and limitations of gene therapy, including use of minigenes, inhibition of the complement system and HtrA1, and other mechanisms of action with which we are pursuing development of our product candidates;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36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could cause actual results or events to differ materially from the forward-looking statements that we make. Our forward-</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looking statements do not reflect the potential impact of any future acquisitions, mergers, licenses, dispositions, joint ventures or investments we may make.</w:t>
      </w:r>
    </w:p>
    <w:p>
      <w:pPr>
        <w:spacing w:after="0" w:line="3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131,201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receivable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110,591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Right-of-use asset,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137,165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Preferred stock—$0.001 par value, 5,000,000 shares authorized, no shares issued or outstanding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Common stock—$0.001 par value, 200,000,000 shares authorized, 41,477,420 and 41,397,197 shares issued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 at June 30, 2019 and December 31,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550,303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545,585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(421,667)</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101,733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123,959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113,608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137,165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Operations and Comprehensive Loss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48"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10,009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17,694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16,202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10,679</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15,207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28,373</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28,179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1,287</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Loss before income tax provision (benefit)</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(14,443)</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(26,944)</w:t>
            </w:r>
          </w:p>
        </w:tc>
        <w:tc>
          <w:tcPr>
            <w:tcW w:w="5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(26,282)</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(26,944)</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41,477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36,188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41,452</w:t>
            </w: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36,171</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640" w:type="dxa"/>
            <w:vAlign w:val="bottom"/>
            <w:gridSpan w:val="5"/>
          </w:tcPr>
          <w:p>
            <w:pPr>
              <w:ind w:left="340"/>
              <w:spacing w:after="0"/>
              <w:rPr>
                <w:sz w:val="20"/>
                <w:szCs w:val="20"/>
                <w:color w:val="auto"/>
              </w:rPr>
            </w:pPr>
            <w:r>
              <w:rPr>
                <w:rFonts w:ascii="Arial" w:cs="Arial" w:eastAsia="Arial" w:hAnsi="Arial"/>
                <w:sz w:val="13"/>
                <w:szCs w:val="13"/>
                <w:b w:val="1"/>
                <w:bCs w:val="1"/>
                <w:color w:val="auto"/>
              </w:rPr>
              <w:t>Preferred Stock</w:t>
            </w:r>
          </w:p>
        </w:tc>
        <w:tc>
          <w:tcPr>
            <w:tcW w:w="16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2"/>
                <w:szCs w:val="2"/>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0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41,397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545,585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(421,667)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123,959</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(12,501)</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March 31, 2019</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548,096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113,969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2,207</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(14,443)</w:t>
            </w: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June 30, 2019</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41,477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550,303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(448,611)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101,733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640" w:type="dxa"/>
            <w:vAlign w:val="bottom"/>
            <w:gridSpan w:val="5"/>
          </w:tcPr>
          <w:p>
            <w:pPr>
              <w:ind w:left="340"/>
              <w:spacing w:after="0"/>
              <w:rPr>
                <w:sz w:val="20"/>
                <w:szCs w:val="20"/>
                <w:color w:val="auto"/>
              </w:rPr>
            </w:pPr>
            <w:r>
              <w:rPr>
                <w:rFonts w:ascii="Arial" w:cs="Arial" w:eastAsia="Arial" w:hAnsi="Arial"/>
                <w:sz w:val="13"/>
                <w:szCs w:val="13"/>
                <w:b w:val="1"/>
                <w:bCs w:val="1"/>
                <w:color w:val="auto"/>
              </w:rPr>
              <w:t>Preferred Stock</w:t>
            </w:r>
          </w:p>
        </w:tc>
        <w:tc>
          <w:tcPr>
            <w:tcW w:w="162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40" w:type="dxa"/>
            <w:vAlign w:val="bottom"/>
          </w:tcPr>
          <w:p>
            <w:pPr>
              <w:spacing w:after="0"/>
              <w:rPr>
                <w:sz w:val="2"/>
                <w:szCs w:val="2"/>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0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522,759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(484,754)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38,041</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3,082</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(13,073)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(13,073)</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March 31, 2018</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525,868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28,077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3"/>
                <w:szCs w:val="13"/>
                <w:color w:val="auto"/>
              </w:rPr>
              <w:t>Issuance of common stock under employee stock compensation plans</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2,662</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loss</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(13,209)</w:t>
            </w: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June 30, 2018</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528,530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(511,036)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17,530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IVERIC bio, Inc.</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356"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23495</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21"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79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2018</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(26,282)</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Depreciation and other expense</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w:t>
            </w:r>
          </w:p>
        </w:tc>
      </w:tr>
      <w:tr>
        <w:trPr>
          <w:trHeight w:val="243"/>
        </w:trPr>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980" w:type="dxa"/>
            <w:vAlign w:val="bottom"/>
          </w:tcPr>
          <w:p>
            <w:pPr>
              <w:ind w:left="260"/>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(21,008)</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Proceeds from employee stock plan purchases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7980" w:type="dxa"/>
            <w:vAlign w:val="bottom"/>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(20,981)</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131,201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166,972</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145,991</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paid</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refunds received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r>
      <w:tr>
        <w:trPr>
          <w:trHeight w:val="27"/>
        </w:trPr>
        <w:tc>
          <w:tcPr>
            <w:tcW w:w="7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125" w:right="6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28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IVERIC bio, Inc. (the “Company”), formerly Ophthotech Corporation, was incorporated on January 5, 2007, in Delaware. The Company is a science-driven biopharmaceutical company with a focus on discovering and developing novel gene therapy solutions to treat orphan inherited retinal diseases ("IRDs") with unmet medical needs. In April 2019, the Company changed its name from Ophthotech Corporation to IVERIC bio, Inc. to reflect the transition of its business to focus principally on gene therapies. The Company believes that gene therapy as a treatment modality, especially gene therapies using adeno-associated virus ("AAV") for gene delivery, holds tremendous promise for retinal diseases. The Company also continues to develop its therapeutic programs, including its ongoing clinical trials for its C5 complement inhibitor Zimura® (avacincaptad pegol) for an age-related retinal disease and for an orphan IRD.</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gene therapy portfolio consists of several ongoing research and preclinical development programs that use AAV for gene delivery.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AAV gene therapy programs are targeting the following orphan IRDs:</w:t>
      </w:r>
    </w:p>
    <w:p>
      <w:pPr>
        <w:spacing w:after="0" w:line="265" w:lineRule="exact"/>
        <w:rPr>
          <w:sz w:val="20"/>
          <w:szCs w:val="20"/>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224"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IRDs associated with mutations in the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including Best vitelliform macular dystrophy ("Best disease"), which is generally characterized by bilateral egg yolk-like lesions in the central portion of the retina (the "macula") that, over time, progress to atrophy and loss of vision;</w:t>
      </w:r>
    </w:p>
    <w:p>
      <w:pPr>
        <w:spacing w:after="0" w:line="177"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279"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autosomal recessive Stargardt disease, which is characterized by progressive damage to the macula and retina, leading to loss of vision in children and young adults; and</w:t>
      </w:r>
    </w:p>
    <w:p>
      <w:pPr>
        <w:spacing w:after="0" w:line="22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therapeutics portfolio consists of Zimura and its program of High temperature requirement A serine peptidase 1 protein ("HtrA1")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inhibitors. The Company has Phase 2b clinical trials ongoing evaluating Zimura for the treatment of:</w:t>
      </w:r>
    </w:p>
    <w:p>
      <w:pPr>
        <w:spacing w:after="0" w:line="265" w:lineRule="exact"/>
        <w:rPr>
          <w:sz w:val="20"/>
          <w:szCs w:val="20"/>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geographic atrophy ("GA"), which is a late-stage form of dry age-related macular degeneration ("AMD") characterized by retinal cell death and degeneration of tissue in the macula, and which may result in loss of vision;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autosomal recessive Stargardt disease.</w:t>
      </w:r>
    </w:p>
    <w:p>
      <w:pPr>
        <w:spacing w:after="0" w:line="2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previously also evaluated Zimura in combination with Lucentis® (ranibizumab), an anti-vascular endothelial growth factor ("anti-VEGF") agent, for the treatment of wet AMD, for which it completed a Phase 2a clinical trial during the fourth quarter of 2018. The Company does not currently have plans to develop Zimura further in wet AMD. The Company's HtrA1 inhibitor program, which it is developing for GA secondary to dry AMD and potentially other age-related retinal diseases, is in the preclinical stage of development.</w:t>
      </w:r>
    </w:p>
    <w:p>
      <w:pPr>
        <w:spacing w:after="0" w:line="24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The Company's business development efforts have resulted in the expansion of its research and development pipeline and the transition of the Company to focus principally on gene therapy. The Company initiated multiple gene therapy sponsored research programs with the University of Massachusetts Medical School ("UMMS") in February 2018 and initiated an additional gene therapy sponsored research program with UMMS for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in July 2019. Additionally, the Company in-licensed its novel AAV gene therapy product candidate for the treatment of RHO-adRP ("IC-100") from the University of Florida Research Foundation ("UFRF") and the University of Pennsylvania ("Penn") in June 2018, in-licensed its novel AAV gene therapy product candidate for the treatment of </w:t>
      </w:r>
      <w:r>
        <w:rPr>
          <w:rFonts w:ascii="Arial" w:cs="Arial" w:eastAsia="Arial" w:hAnsi="Arial"/>
          <w:sz w:val="18"/>
          <w:szCs w:val="18"/>
          <w:i w:val="1"/>
          <w:iCs w:val="1"/>
          <w:color w:val="auto"/>
        </w:rPr>
        <w:t>BEST1-</w:t>
      </w:r>
      <w:r>
        <w:rPr>
          <w:rFonts w:ascii="Arial" w:cs="Arial" w:eastAsia="Arial" w:hAnsi="Arial"/>
          <w:sz w:val="18"/>
          <w:szCs w:val="18"/>
          <w:color w:val="auto"/>
        </w:rPr>
        <w:t>related IRDs, including Best disease ("IC-200") from Penn and UFRF in April 2019 and in-licensed its minigene sponsored research program for LCA10 from the University of Massachusetts in July 2019 (See "Note 10—Subsequent Event" for a description of this in-license transaction). The Company also acquired its HtrA1 inhibitor program through the acquisition of Inception 4, Inc. ("Inception 4") in October 2018.</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for the year ended December 31, 2018 filed with the Securities and Exchange Commission ("SEC") on February 28,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("GAAP") and include all adjustments necessary for the fair presentation of the Company's financial position for the periods presented. The consolidated financial statements include the accounts of the Company and its subsidiaries. All intercompany balances and transactions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83"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reporting segment.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8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revenue recognition, accounting for share-based compensation and accounting for income taxes.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2019, the Company had cash and cash equivalents of approximately $106.9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and cash equivalents. The Company maintains its cash in bank accounts, the balances of which generally exceed federally insured limits. The Company maintains its cash equivalents in investments in money market funds and, at times, in U.S. Treasury securities and investment-grade corporate debt securities with original maturities of 90 days or less.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28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 currently relies exclusively upon a single third-party contract manufacturer for IC-100 and IC-200, and expects to rely on sole-source suppliers for certain starting materials to be used in the manufacture of such product candidates. The Company currently relies exclusively upon a single third-party manufacturer to provide supplies of the drug substance for Zimura on a purchase order basis. The Company also engages a single third-party manufacturer to provide fill/finish services for clinical supplies of Zimura. In addition, the Company currently relies upon a single third-party supplier to supply it with the polyethylene glycol reagent used to manufacture Zimura on a purchase order basis. Furthermore, the Company and its contract manufacturers currently rely upon sole-source suppliers of certain raw materials and other specialized components of production used in the manufacture and fill/finish of its product candidates. The Company currently relies upon a single third-party contract manufacturer to produce small quantities of the active pharmaceutical ingredient for its HtrA1 inhibitors for preclinical development purposes. If the Company’s third-party manufacturers or fill/finish service providers should become unavailable to the Company for any reason, including as a result of capacity constraints, financial difficulties or insolvency, the Company believes that there are a limited number of potential replacement manufacturers, and the Company likely would incur added costs and delays in identifying or qualifying such replacements.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8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w:t>
      </w:r>
    </w:p>
    <w:p>
      <w:pPr>
        <w:sectPr>
          <w:pgSz w:w="11900" w:h="16838" w:orient="portrait"/>
          <w:cols w:equalWidth="0" w:num="1">
            <w:col w:w="11380"/>
          </w:cols>
          <w:pgMar w:left="240" w:top="125" w:right="279" w:bottom="1440" w:gutter="0" w:footer="0" w:header="0"/>
        </w:sect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125" w:right="2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8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83" w:lineRule="exact"/>
        <w:rPr>
          <w:sz w:val="20"/>
          <w:szCs w:val="20"/>
          <w:color w:val="auto"/>
        </w:rPr>
      </w:pPr>
    </w:p>
    <w:p>
      <w:pPr>
        <w:ind w:right="80" w:firstLine="392"/>
        <w:spacing w:after="0" w:line="273" w:lineRule="auto"/>
        <w:rPr>
          <w:sz w:val="20"/>
          <w:szCs w:val="20"/>
          <w:color w:val="auto"/>
        </w:rPr>
      </w:pPr>
      <w:r>
        <w:rPr>
          <w:rFonts w:ascii="Arial" w:cs="Arial" w:eastAsia="Arial" w:hAnsi="Arial"/>
          <w:sz w:val="17"/>
          <w:szCs w:val="17"/>
          <w:color w:val="auto"/>
        </w:rPr>
        <w:t xml:space="preserve">The Company has leased its office space and has entered into various other agreements in conducting its business. At inception, the Company determines whether an agreement represents a lease and at commencement evaluates each lease agreement to determine whether the lease is an operating or financing lease. Some of the Company's lease agreements have contained renewal options, tenant improvement allowances, rent holidays and rent escalation clauses, although its remaining outstanding lease for its principal offices has no further options, allowances, holidays or clauses. As described below under "Recently Adopted Accounting Pronouncements," the Company adopted the Financial Accounting Standards Board (“FASB”)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 of January 1, 2019.</w:t>
      </w:r>
    </w:p>
    <w:p>
      <w:pPr>
        <w:spacing w:after="0" w:line="233" w:lineRule="exact"/>
        <w:rPr>
          <w:sz w:val="20"/>
          <w:szCs w:val="20"/>
          <w:color w:val="auto"/>
        </w:rPr>
      </w:pPr>
    </w:p>
    <w:p>
      <w:pPr>
        <w:ind w:firstLine="378"/>
        <w:spacing w:after="0" w:line="287" w:lineRule="auto"/>
        <w:rPr>
          <w:sz w:val="20"/>
          <w:szCs w:val="20"/>
          <w:color w:val="auto"/>
        </w:rPr>
      </w:pPr>
      <w:r>
        <w:rPr>
          <w:rFonts w:ascii="Arial" w:cs="Arial" w:eastAsia="Arial" w:hAnsi="Arial"/>
          <w:sz w:val="16"/>
          <w:szCs w:val="16"/>
          <w:color w:val="auto"/>
        </w:rPr>
        <w:t>Pursuant to ASU 2016-02, all of the Company's leases outstanding on January 1, 2019 continued to be classified as operating leases. With the adoption of ASU 2016-02, the Company recorded an operating lease right-of-use asset and an operating lease liability on its Consolidated Balance Sheet. Right-of-use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The right-of-use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227"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Prior to the adoption of ASU 2016-02, when the Company's lease agreements contained renewal options, tenant improvement allowances, rent holidays and rent escalation clauses, the Company recorded a deferred rent asset or liability equal to the difference between the rent expense and the future minimum lease payments due. The lease expense related to operating leases was recognized on a straight-line basis in the Company's Consolidated Statements of Operations over the term of each lease. In cases where the lessor granted the Company leasehold improvement allowances that reduced the Company's lease expense, the Company capitalized the improvements as incurred and recognized deferred rent, which was amortized over the shorter of the lease term or the expected useful life of the improvements.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83"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its product candidates and costs associated with its collaborative gene therapy sponsored research programs. The Company's research and development expenses consist of:</w:t>
      </w:r>
    </w:p>
    <w:p>
      <w:pPr>
        <w:spacing w:after="0" w:line="235" w:lineRule="exact"/>
        <w:rPr>
          <w:sz w:val="20"/>
          <w:szCs w:val="20"/>
          <w:color w:val="auto"/>
        </w:rPr>
      </w:pPr>
    </w:p>
    <w:p>
      <w:pPr>
        <w:ind w:left="980" w:right="10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of drug substance and drug product; and</w:t>
      </w:r>
    </w:p>
    <w:p>
      <w:pPr>
        <w:spacing w:after="0" w:line="235"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All research and development expenses are charged to operations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 xml:space="preserve">The Company follows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which requires the measurement and recognition of compensation expense for all share-based payment awards made to 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233"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 xml:space="preserve">Prior to January 1, 2019, share-based compensation awarded to non-employees was subject to revaluation over the vesting term of each award. Subsequent to the adoption of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value of non-employee share-based compensation is measured on the date of grant, similar to share-based compensation granted to employees.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Company estimates the fair value of stock options granted to employees and non-employee directors on the date of grant using the Black-Scholes option-pricing model. Due to the lack of trading history, the Company's computation of stock-price volatility is based on the volatility rates of comparable publicly held companies over a period equal to the expected term of the options granted by the Company. The Company's computation of expected term is determined using the "simplified" method, which is the midpoint between the vesting date and the end of the contractual term. The Company believes that it does not have sufficient reliable exercise data in order to justify the use of a method other than the "simplified" method of estimating the expected exercise term of employee stock option grants.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23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and six months ended June 30,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04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2920" w:type="dxa"/>
            <w:vAlign w:val="bottom"/>
            <w:gridSpan w:val="3"/>
          </w:tcPr>
          <w:p>
            <w:pPr>
              <w:ind w:left="62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2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88%</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2.15%-2.31%</w:t>
            </w:r>
          </w:p>
        </w:tc>
        <w:tc>
          <w:tcPr>
            <w:tcW w:w="1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2.83%-2.83%</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2.15%-2.54%</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2.39%-2.83%</w:t>
            </w:r>
          </w:p>
        </w:tc>
      </w:tr>
      <w:tr>
        <w:trPr>
          <w:trHeight w:val="27"/>
        </w:trPr>
        <w:tc>
          <w:tcPr>
            <w:tcW w:w="4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5.3</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estimates the fair value of RSUs granted to employees using the closing market price of the Company's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ectPr>
          <w:pgSz w:w="11900" w:h="16838" w:orient="portrait"/>
          <w:cols w:equalWidth="0" w:num="1">
            <w:col w:w="11420"/>
          </w:cols>
          <w:pgMar w:left="240" w:top="125"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79" w:lineRule="exact"/>
        <w:rPr>
          <w:sz w:val="20"/>
          <w:szCs w:val="20"/>
          <w:color w:val="auto"/>
        </w:rPr>
      </w:pPr>
    </w:p>
    <w:p>
      <w:pPr>
        <w:jc w:val="both"/>
        <w:ind w:right="300" w:firstLine="405"/>
        <w:spacing w:after="0" w:line="312" w:lineRule="auto"/>
        <w:rPr>
          <w:sz w:val="20"/>
          <w:szCs w:val="20"/>
          <w:color w:val="auto"/>
        </w:rPr>
      </w:pPr>
      <w:r>
        <w:rPr>
          <w:rFonts w:ascii="Arial" w:cs="Arial" w:eastAsia="Arial" w:hAnsi="Arial"/>
          <w:sz w:val="16"/>
          <w:szCs w:val="16"/>
          <w:color w:val="auto"/>
        </w:rPr>
        <w:t>In April 2016, the board of directors adopted the ESPP pursuant to which the Company may sell up to an aggregate of 1,000,000 shares of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 xml:space="preserve">In February 2016, the FASB issued ASU No.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Under the new guidance, lessees will be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new lease guidance simplified the accounting for sale and leaseback transactions primarily because lessees must recognize lease assets and lease liabilities. Lessees will no longer be provided with a source of off-balance sheet financing. Publicly-traded business entities should apply the amendments in ASU 2016-2 for fiscal years beginning after December 15, 2018, including interim periods within those fiscal years (i.e., January 1, 2019, for a calendar year entity). Early application is permitted for all publicly-traded business entities and all nonpublicly-traded business entities upon issuance.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On January 1, 2019 the Company adopted this guidance utilizing the simplified transition option that allows companies to initially apply the new lease standard at the adoption date and recognize a cumulative-effect adjustment to the opening balance of retained earnings in the period of adoption. The Company elected to adopt the package of practical expedients permitted in Accounting Standards Codification Topic 842, or ASC</w:t>
      </w:r>
    </w:p>
    <w:p>
      <w:pPr>
        <w:spacing w:after="0" w:line="1" w:lineRule="exact"/>
        <w:rPr>
          <w:sz w:val="20"/>
          <w:szCs w:val="20"/>
          <w:color w:val="auto"/>
        </w:rPr>
      </w:pPr>
    </w:p>
    <w:p>
      <w:pPr>
        <w:ind w:right="20" w:firstLine="8"/>
        <w:spacing w:after="0" w:line="290"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Accordingly, the Company continues to account for its existing operating leases as operating leases under the new guidance, without reassessing whether the contracts contain a lease under ASC 842 or whether classification of the operating leases would be different under ASC Topic 842.</w:t>
      </w:r>
    </w:p>
    <w:p>
      <w:pPr>
        <w:spacing w:after="0" w:line="21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 a result of the adoption, the Company recognized, as of the beginning of the period of adoption, right-of-use assets and lease liabilities of approximately $1.5 million, which represents the present value of its remaining lease payments using a weighted average estimated incremental borrowing rate of 6%, on its Consolidated Balance Sheet. The adoption of this standard did not have a material impact on the Company’s results of operations for the period ended June 30, 2019.</w:t>
      </w:r>
    </w:p>
    <w:p>
      <w:pPr>
        <w:spacing w:after="0" w:line="24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which supersedes ASC 505-50 and expands the scope of ASC 718 to include all share-based payments arrangements related to the acquisition of goods and services from both employees and nonemployees. For public companies, the amendments are effective for annual reporting periods beginning after December 15, 2018, including interim periods within those annual periods. During the three months ended March 31, 2019, the Company adopted this guidance. The adoption did not have a material impact on its financial statements for the period ended and as of June 30,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modifies the disclosure requirements on fair value measurements in Topic 820, Fair Value Measurement, including, among other changes, the consideration of costs and benefits when evaluating disclosure requirements. For public companies, the amendments are effective for annual reporting periods beginning after December 15, 2019, including interim periods within those annual periods. Early adoption is permitted. The Company is currently assessing the impact that adopting this new accounting guidance will have on its financial statements and footnote disclosures.</w:t>
      </w:r>
    </w:p>
    <w:p>
      <w:pPr>
        <w:spacing w:after="0" w:line="24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(Subtopic 350-40):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 consensus of the FASB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Task Force).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is effective for fiscal years beginning after December 15, 2019, and for interim periods within those fiscal years, with early adoption permitted. The Company is currently evaluating the potential effects of this guidance on its consolidated financial statements.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which clarifies the interaction between the guidance for collaborative arrangements (Topic 808) and the new revenue recognition standard (Topic 606). For public companies, the amendments are effective for annual reporting periods beginning after December 15, 2019, including interim periods within those annual periods. Early adoption is permitted. The Company is currently assessing the impact that adopting this new accounting guidance will have on its financial statements and footnote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283"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Basic and diluted net loss per common share is determined by dividing net loss by the weighted average common shares outstanding during the period. For the periods where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 The following table sets forth the computation of basic and diluted net loss per common share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(14,443)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(26,282)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outstanding - basic and dilutive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41,477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41,452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36,171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Net loss per share of common stock -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outstanding</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5,690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4,818</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199</w:t>
            </w:r>
          </w:p>
        </w:tc>
      </w:tr>
      <w:tr>
        <w:trPr>
          <w:trHeight w:val="27"/>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6,325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5,017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6,325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5,017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283"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the date of purchase to be cash equivalents. As of June 30, 2019 and December 31, 2018, the Company had cash and cash equivalents of approximately $106.9 million and $131.2 million, respectively. Cash and cash equivalents included cash of $2.3 million at June 30, 2019 and $4.4 million at December 31, 2018. Cash and cash equivalents at June 30, 2019 and December 31, 2018 included $104.6 million and $126.8 million, respectively, of investments in money market funds and certain investment-grade corporate debt securities with original maturities of 90 days or less.</w:t>
      </w:r>
    </w:p>
    <w:p>
      <w:pPr>
        <w:spacing w:after="0" w:line="22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Company considers securities with original maturities of greater than 90 days at the date of purchase to be available for sale securities. The Company held no available for sale securities at June 30, 2019 or at December 31, 2018, respectively.</w:t>
      </w:r>
    </w:p>
    <w:p>
      <w:pPr>
        <w:spacing w:after="0" w:line="22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believes that its existing cash and cash equivalents as of June 30, 2019 will be sufficient to fund its operations and capital expenditure requirements as currently planned for at least the next 12 months.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w:t>
      </w:r>
    </w:p>
    <w:p>
      <w:pPr>
        <w:spacing w:after="0" w:line="28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Pursuant to the evergreen provisions of the Company's 2013 stock incentive plan (the "2013 Plan"), annual increases have resulted in the addition of an aggregate of approximately 8,554,000 additional shares to the 2013 Plan, including for 2019, an increase of approximately 1,656,000 shares, or approximately 4% of the total number of shares of the Company's common stock outstanding as of January 1, 2019. As of June 30, 2019, the Company had approximately 2,704,000 shares available for grant under the 2013 Plan.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ind w:firstLine="648"/>
        <w:spacing w:after="0" w:line="264"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1,765</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2,207</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2,662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5,744</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allocated stock-based compensation expense in the Company’s Consolidated Statements of Operations and Comprehensive Loss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1,218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3,198</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2,207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5,744</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exercisable and expected to vest as of June 30, 2019 is as follows (in thousands except weighted average exercise price):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4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Underlying Options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(89)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June 30, 2019</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5,690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and exercisable, June 30, 2019</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2,850</w:t>
            </w:r>
          </w:p>
        </w:tc>
        <w:tc>
          <w:tcPr>
            <w:tcW w:w="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51"/>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June 30, 2019</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5,463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As of June 30, 2019, there were approximately $6.4 million of unrecognized compensation costs, net of estimated forfeitures, related to stock option awards grants, which are expected to be recognized over a remaining weighted average period of 1.8 years.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0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RSUs</w:t>
      </w:r>
    </w:p>
    <w:p>
      <w:pPr>
        <w:spacing w:after="0" w:line="27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June 30, 2019 (in thousands except weighted average grant-date fair value):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340" w:type="dxa"/>
            <w:vAlign w:val="bottom"/>
          </w:tcPr>
          <w:p>
            <w:pPr>
              <w:jc w:val="center"/>
              <w:ind w:left="408"/>
              <w:spacing w:after="0"/>
              <w:rPr>
                <w:sz w:val="20"/>
                <w:szCs w:val="20"/>
                <w:color w:val="auto"/>
              </w:rPr>
            </w:pPr>
            <w:r>
              <w:rPr>
                <w:rFonts w:ascii="Arial" w:cs="Arial" w:eastAsia="Arial" w:hAnsi="Arial"/>
                <w:sz w:val="14"/>
                <w:szCs w:val="14"/>
                <w:b w:val="1"/>
                <w:bCs w:val="1"/>
                <w:color w:val="auto"/>
                <w:w w:val="90"/>
              </w:rPr>
              <w:t>Restricted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7640" w:type="dxa"/>
            <w:vAlign w:val="bottom"/>
          </w:tcPr>
          <w:p>
            <w:pPr>
              <w:spacing w:after="0"/>
              <w:rPr>
                <w:sz w:val="12"/>
                <w:szCs w:val="12"/>
                <w:color w:val="auto"/>
              </w:rPr>
            </w:pPr>
          </w:p>
        </w:tc>
        <w:tc>
          <w:tcPr>
            <w:tcW w:w="134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9"/>
              </w:rPr>
              <w:t>Grant-Date</w:t>
            </w:r>
          </w:p>
        </w:tc>
      </w:tr>
      <w:tr>
        <w:trPr>
          <w:trHeight w:val="192"/>
        </w:trPr>
        <w:tc>
          <w:tcPr>
            <w:tcW w:w="76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7"/>
              </w:rPr>
              <w:t>Units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5"/>
              </w:rPr>
              <w:t>Fair Value</w:t>
            </w: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15.61</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Awarded</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1.38</w:t>
            </w:r>
          </w:p>
        </w:tc>
      </w:tr>
      <w:tr>
        <w:trPr>
          <w:trHeight w:val="27"/>
        </w:trPr>
        <w:tc>
          <w:tcPr>
            <w:tcW w:w="7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52.83</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38.98</w:t>
            </w:r>
          </w:p>
        </w:tc>
      </w:tr>
      <w:tr>
        <w:trPr>
          <w:trHeight w:val="27"/>
        </w:trPr>
        <w:tc>
          <w:tcPr>
            <w:tcW w:w="7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June 30, 2019</w:t>
            </w:r>
          </w:p>
        </w:tc>
        <w:tc>
          <w:tcPr>
            <w:tcW w:w="13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12.40</w:t>
            </w:r>
          </w:p>
        </w:tc>
      </w:tr>
      <w:tr>
        <w:trPr>
          <w:trHeight w:val="20"/>
        </w:trPr>
        <w:tc>
          <w:tcPr>
            <w:tcW w:w="76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1"/>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Outstanding, Expected to vest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6.58</w:t>
            </w:r>
          </w:p>
        </w:tc>
      </w:tr>
      <w:tr>
        <w:trPr>
          <w:trHeight w:val="20"/>
        </w:trPr>
        <w:tc>
          <w:tcPr>
            <w:tcW w:w="76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of June 30, 2019, there were approximately $2.1 million of unrecognized compensation costs, net of estimated forfeitures, related to RSUs grants, which are expected to be recognized over a remaining weighted average period of 1.5 years.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of June 30, 2019, there were 920,707 shares available for future purchases under the ESPP. There were no shares of common stock issued under the ESPP during the three months ended June 30, 2019 and 2018. There were 31,522 shares of common stock issued under the ESPP during the six months ended June 30, 2019. Cash proceeds from ESPP purchases were $41 thousand during the six months ended June 30, 2019. There were 12,229 shares of common stock issued under the ESPP during the six months ended June 30, 2018. Cash proceeds from ESPP purchases were $27 thousand during the six months ended June 30,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the three and six months ended June 30, 2019, the Company recorded a de minimis provision for income taxes. For the three and six months ended June 30, 2018, the Company recorded a benefit for income taxes of $1.0 million and $0.8 million, respectively. The benefit for income taxes recorded during the three months ended June 30, 2018 was to reflect the settlement of a local tax audit. The income tax benefit for the six months ended June 30, 2018 includes the provision for income taxes recorded by the Company for the three months ended March 31, 2018 to reflect the impact of sequestration on the Company's estimate of refundable AMT credits.</w:t>
      </w:r>
    </w:p>
    <w:p>
      <w:pPr>
        <w:spacing w:after="0" w:line="24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quarterly basis and will adjust such amounts in light of changing facts and circumstances including, but not limited to, future projections of taxable income, tax legislation, rulings by relevant tax authorities, the progress of ongoing tax audits and the regulatory approval of products currently under development. Any additional changes to the valuation allowance recorded on deferred tax assets in the future would impact the Company’s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24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0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224" w:lineRule="exact"/>
        <w:rPr>
          <w:sz w:val="20"/>
          <w:szCs w:val="20"/>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224"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23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2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June 30,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 other</w:t>
            </w:r>
          </w:p>
        </w:tc>
        <w:tc>
          <w:tcPr>
            <w:tcW w:w="260" w:type="dxa"/>
            <w:vAlign w:val="bottom"/>
          </w:tcPr>
          <w:p>
            <w:pPr>
              <w:spacing w:after="0"/>
              <w:rPr>
                <w:sz w:val="13"/>
                <w:szCs w:val="13"/>
                <w:color w:val="auto"/>
              </w:rPr>
            </w:pPr>
          </w:p>
        </w:tc>
        <w:tc>
          <w:tcPr>
            <w:tcW w:w="14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4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Investments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87,572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in investment-grade corporate debt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17,031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Quoted prices in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 other</w:t>
            </w:r>
          </w:p>
        </w:tc>
        <w:tc>
          <w:tcPr>
            <w:tcW w:w="260" w:type="dxa"/>
            <w:vAlign w:val="bottom"/>
          </w:tcPr>
          <w:p>
            <w:pPr>
              <w:spacing w:after="0"/>
              <w:rPr>
                <w:sz w:val="13"/>
                <w:szCs w:val="13"/>
                <w:color w:val="auto"/>
              </w:rPr>
            </w:pPr>
          </w:p>
        </w:tc>
        <w:tc>
          <w:tcPr>
            <w:tcW w:w="14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2"/>
                <w:szCs w:val="12"/>
                <w:color w:val="auto"/>
              </w:rPr>
            </w:pPr>
          </w:p>
        </w:tc>
        <w:tc>
          <w:tcPr>
            <w:tcW w:w="144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4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Investments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97,402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investment-grade corporate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29,425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220" w:type="dxa"/>
            <w:vAlign w:val="bottom"/>
            <w:tcBorders>
              <w:bottom w:val="single" w:sz="8" w:color="auto"/>
            </w:tcBorders>
          </w:tcPr>
          <w:p>
            <w:pPr>
              <w:spacing w:after="0"/>
              <w:rPr>
                <w:sz w:val="11"/>
                <w:szCs w:val="11"/>
                <w:color w:val="auto"/>
              </w:rPr>
            </w:pPr>
          </w:p>
        </w:tc>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money market funds and investment-grade corporate debt securities with maturities less than 90 days are reflected in cash and cash equivalents in the accompanying Consolidated Balance Sheets.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transfer of assets between Level 1 and Level 2 of the fair value measurement hierarchy occurred during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held no available for sale securities at June 30, 2019 or at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Operating Leases</w:t>
      </w:r>
    </w:p>
    <w:p>
      <w:pPr>
        <w:spacing w:after="0" w:line="28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leases office space located in New York, New York and Princeton, New Jersey under non-cancelable operating lease arrangements. The lease for the Company's New York office space expires at the end of June 2020, whereas the sublease for the Company's Princeton office space expires in March 2020. As of January 1, 2019, the Company recognized right-of-use assets and lease liabilities of approximately $1.5 million, which represents the present value of its remaining lease payments using a weighted average estimated incremental borrowing rate of 6%.</w:t>
      </w:r>
    </w:p>
    <w:p>
      <w:pPr>
        <w:spacing w:after="0" w:line="20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and six months ended June 30, 2019, lease and rent expense was $0.3 million and $0.6 million. Cash paid from operating cash flows for amounts included in the measurement of lease liabilities was $0.3 million and $0.6 million for the three and six months ended June 30, 2019. At June 30, 2019, the Company's operating leases had a weighted average remaining lease term of 1.0 year.</w:t>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5" w:right="2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615"/>
        </w:trPr>
        <w:tc>
          <w:tcPr>
            <w:tcW w:w="8700" w:type="dxa"/>
            <w:vAlign w:val="bottom"/>
            <w:gridSpan w:val="2"/>
          </w:tcPr>
          <w:p>
            <w:pPr>
              <w:ind w:left="660"/>
              <w:spacing w:after="0"/>
              <w:rPr>
                <w:sz w:val="20"/>
                <w:szCs w:val="20"/>
                <w:color w:val="auto"/>
              </w:rPr>
            </w:pPr>
            <w:r>
              <w:rPr>
                <w:rFonts w:ascii="Arial" w:cs="Arial" w:eastAsia="Arial" w:hAnsi="Arial"/>
                <w:sz w:val="18"/>
                <w:szCs w:val="18"/>
                <w:color w:val="auto"/>
              </w:rPr>
              <w:t>The following presents the maturity of the Company's operating lease liabilities as of June 30, 2019:</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color w:val="auto"/>
              </w:rPr>
              <w:t>June 30, 2019</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7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remaining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12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Present value of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0"/>
        </w:trPr>
        <w:tc>
          <w:tcPr>
            <w:tcW w:w="12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27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payments to Archemix of up to an aggregate of $57.5 million if the Company achieves specified development, clinical and regulatory milestones, with $30.5 million of such payments relating to a first indication, $24.5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2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Under its exclusive license agreement with UFRF and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U.S. Food and Drug Administration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08"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HtrA1 Inhibitors - Former Equityholders of Inception 4</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agreement and plan of merger pursuant to which the Company acquired Inception 4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27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27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That motion is fully briefed.</w:t>
      </w:r>
    </w:p>
    <w:p>
      <w:pPr>
        <w:spacing w:after="0" w:line="22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February 7, 2018, a shareholder derivative action was filed against the members of the Company’s Board of Directors in the New York Supreme Court Commercial Division, captioned Cano v. Guyer, et al., No. 650601/2018. The complaint alleges that the defendants breached their fiduciary duties to the Company by adopting a compensation plan that overcompensates the non-employee members of the Company's board relative to boards of companies of comparable market capitalization and size. The complaint also alleges that the defendants were unjustly enriched as a result of the alleged conduct. The complaint purports to seek unspecified damages, on behalf of the Company, attorneys’ fees, and other costs, as well as an order directing the Company to reform and improve its corporate governance and internal procedures to comply with applicable laws. The Company filed a motion to dismiss this case on May 14, 2018. On June 4, 2018, the plaintiff filed an amended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complaint. On June 25, 2018, the Company filed a renewed motion to dismiss this case. On December 3, 2018, the parties filed a stipulation of settlement that contemplates that the Company will adopt certain compensation-related governance reforms and does not obligate the defendants or the Company to pay any monetary damages. The court approved the settlement at a hearing on March 12, 2019. As part of the settlement, in April 2019 the Company paid $300,000 in fees and costs to plaintiff's counsel. As contemplated by the settlement, the Company's board of directors adopted certain compensation-related governance reforms, including a non-employee director compensation policy, which the Company's stockholders approved on May 15, 2019 at its 2019 annual meeting.</w:t>
      </w:r>
    </w:p>
    <w:p>
      <w:pPr>
        <w:spacing w:after="0" w:line="21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That motion is fully briefed.</w:t>
      </w:r>
    </w:p>
    <w:p>
      <w:pPr>
        <w:spacing w:after="0" w:line="23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w:t>
      </w:r>
    </w:p>
    <w:p>
      <w:pPr>
        <w:spacing w:after="0" w:line="21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miniCEP290 License Agreement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On July 22, 2019, the Company entered into an Exclusive License Agreement (the “miniCEP290 License Agreement”) with the University of Massachusetts (“UMass”). The Company entered into the miniCEP290 License Agreement by exercising its exclusive option rights under an option agreement and a sponsored research agreement that the Company previously entered into with UMass in February 2018. Under the miniCEP290 License Agreement, UMass granted the Company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including LCA10. The Company may grant sublicenses of the licensed patent rights and know-how without the consent of UMass.</w:t>
      </w:r>
    </w:p>
    <w:p>
      <w:pPr>
        <w:spacing w:after="0" w:line="18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Company has agreed to use diligent efforts to develop licensed products and to introduce such licensed products into the commercial market. Subject to obtaining marketing approval, the Company agreed to make any approved licensed product reasonably available to the public. In addition, the Company has agreed to meet specified development and regulatory milestones with respect to a licensed product by specified dates, as the same may be extended under the terms of the miniCEP290 License Agreement.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has agreed to pay UMass a $0.4 million upfront license fee upon execution of the miniCEP290 License Agreement. In addition, the Company has agreed to issue to UMass 75,000 shares of common stock of the Company, par value $0.001 per share (“Common Stock”), promptly following execution of the miniCEP290 License Agreement pursuant to an exemption from registration afforded by Section 4(a)(2) of the Securities Act of 1933, as amended.</w:t>
      </w:r>
    </w:p>
    <w:p>
      <w:pPr>
        <w:spacing w:after="0" w:line="18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has also agreed to pay UMass an annual license maintenance fee in the low double-digit thousands of dollars, which fee will be payable on an annual basis until the expiration of the royalty term for the licensed products. Furthermore, the Company has agreed to reimburse UMass for the costs and expenses of patent prosecution and maintenance related to the licensed patent rights.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has further agreed to pay UMass up to an aggregate of $14.75 million in cash and issue up to 75,000 shares of Common Stock if the Company achieves specified clinical and regulatory milestones with respect to a licensed product. In addition, the Company has agreed to pay UMass up to an aggregate of $48.0 million if the Company achieves specified commercial sales milestones with respect to a licensed product.</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is also obligated to pay UMass royalties at a low single-digit percentage of net sales of licensed products. The Company's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the Company is also obligated to pay certain minimum royalties, not to exceed an amount in the mid-double-digit thousands of dollars on an annual basis, which minimum royalties are creditable against the Company’s royalty obligation with respect to net sales of licensed products due in the year the minimum royalty is paid.</w:t>
      </w:r>
    </w:p>
    <w:p>
      <w:pPr>
        <w:spacing w:after="0" w:line="18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the Company receives a rare pediatric disease priority review voucher (a “priority review voucher”) from the FDA in connection with obtaining marketing approval for a licensed product, and the Company subsequently uses such priority review voucher in connection with a different product candidate outside the scope of the miniCEP290 License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Termination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miniCEP290 License Agreement, unless earlier terminated by the Company or UMass, will expire upon the expiration of the Company's obligation to pay royalties to UMass on net sales of licensed products. The Company may terminate the miniCEP290 License Agreement at any time for any reason upon prior written notice to UMass. The Company may also terminate the miniCEP290 License Agreement if UMass materially breaches the miniCEP290 License Agreement and does not cure such breach within a specified cure period.</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UMass may terminate the miniCEP290 License Agreement if the Company materially breaches the miniCEP290 License Agreement and does not cure such breach within a specified cure period.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Following any termination of the miniCEP290 License Agreement prior to expiration of the term of the miniCEP290 License Agreement, all rights to the licensed patent rights and know-how that UMass granted to the Company will revert to UMass.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miniCEP290 License Agreement contains patent prosecution and maintenance, indemnification and dispute resolution provisions that are customary for agreements of this kind.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2018 included in our Annual Report on Form 10-K filed with the Securities and Exchange Commission on February 28, 2019.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are a science-driven biopharmaceutical company with a focus on discovering and developing novel gene therapy solutions to treat orphan inherited retinal diseases, or IRDs, with unmet medical needs. In April 2019, we changed our name from Ophthotech Corporation to IVERIC bio, Inc. to reflect the transition of our business to focus principally on gene therapies. We believe that gene therapy as a treatment modality, especially gene therapies using adeno-associated virus, or AAV, for gene delivery, holds tremendous promise for retinal diseases. We also continue to develop our therapeutic programs, including our ongoing clinical trials for our C5 complement inhibitor Zimura® (avacincaptad pegol) for an age-related retinal disease and for an orphan IRD. If data from either of our Zimura clinical trials are positive, we plan to seek partnering opportunities for further clinical development of Zimura.</w:t>
      </w:r>
    </w:p>
    <w:p>
      <w:pPr>
        <w:spacing w:after="0" w:line="21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team has significant drug development experience in retinal diseases, including designing and executing investigational new drug, or IND, - enabling studies and clinical trials, and we are continuing to build our internal and external capabilities, especially in the preclinical development, clinical development and manufacture of gene therapies. We also have deep relationships with global ophthalmology thought leaders, including those at a number of leading academic research institutions with which we have developed collaborative relationships, and an extensive network of ophthalmic clinical trial sites. We will seek to leverage these existing relationships as we prepare for potential clinical trials for our gene therapy product candidates. We believe that the combination of these factors provide us a competitive advantage in retinal drug development.</w:t>
      </w:r>
    </w:p>
    <w:p>
      <w:pPr>
        <w:spacing w:after="0" w:line="23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gene therapy portfolio consists of several ongoing research and preclinical development programs that use AAV for gene delivery. These AAV gene therapy programs are targeting the following orphan IRDs:</w:t>
      </w:r>
    </w:p>
    <w:p>
      <w:pPr>
        <w:spacing w:after="0" w:line="224"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224"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including Best vitelliform macular dystrophy, or Best disease, which is generally characterized by bilateral egg yolk-like lesions in the central portion of the retina, referred to as the macula, which, over time, progress to atrophy and loss of vision;</w:t>
      </w:r>
    </w:p>
    <w:p>
      <w:pPr>
        <w:spacing w:after="0" w:line="23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7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characterized by progressive damage to the macula and retina, leading to loss of vision in children and young adults; and</w:t>
      </w:r>
    </w:p>
    <w:p>
      <w:pPr>
        <w:spacing w:after="0" w:line="224"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or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therapeutics portfolio consists of Zimura and our program of High temperature requirement A serine peptidase 1 protein, or HtrA1, inhibitors.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Phase 2b clinical trials ongoing evaluating Zimura for the treatment of:</w:t>
      </w:r>
    </w:p>
    <w:p>
      <w:pPr>
        <w:spacing w:after="0" w:line="265" w:lineRule="exact"/>
        <w:rPr>
          <w:sz w:val="20"/>
          <w:szCs w:val="20"/>
          <w:color w:val="auto"/>
        </w:rPr>
      </w:pPr>
    </w:p>
    <w:p>
      <w:pPr>
        <w:ind w:left="660" w:right="4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geographic atrophy, or GA, which is a late-stage form of dry age-related macular degeneration, or AMD, characterized by retinal cell death and degeneration of tissue in the macula, and which may result in loss of vision;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autosomal recessive Stargardt disease.</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previously also evaluated Zimura in combination with Lucentis® (ranibizumab), an anti-vascular endothelial growth factor, or anti-VEGF, agent for the treatment of wet AMD, for which we completed a Phase 2a clinical trial, which we refer to as the OPH2007 trial, during the fourth quarter of 2018. We do not currently have plans to develop Zimura further in wet AMD. Our</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HtrA1 inhibitor program, which we are developing for GA secondary to dry AMD and potentially other age-related retinal diseases, is in the preclinical stage of development.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27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pursuing the preclinical development of IC-100, our novel AAV gene therapy product candidate for the treatment of RHO-adRP, to which we acquired exclusive development and commercialization rights through a June 2018 license agreement with the University of Florida Research Foundation, or UFRF, and the University of Pennsylvania, or Penn. We and Penn are conducting additional preclinical studies of IC-100 and a natural history study of RHO-adRP patients. In parallel, we have engaged a gene therapy contract development and manufacturing organization, or CDMO, as the manufacturer for preclinical and Phase 1/2 clinical supply of IC-100. Process development, manufacturing and other IND-enabling activities are ongoing. Based on current timelines and subject to regulatory review, we expect to initiate a Phase 1/2 clinical trial for IC-100 during the second half of 2020.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2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We are pursuing the preclinical development of IC-200, our novel AAV gene therapy product candidate for the treatment of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IRDs, including Best disease, to which we acquired exclusive development and commercialization rights through an April 2019 license agreement with Penn and UFRF. We and Penn are conducting additional preclinical studies of IC-200 and natural history studies of patients with </w:t>
      </w:r>
      <w:r>
        <w:rPr>
          <w:rFonts w:ascii="Arial" w:cs="Arial" w:eastAsia="Arial" w:hAnsi="Arial"/>
          <w:sz w:val="18"/>
          <w:szCs w:val="18"/>
          <w:i w:val="1"/>
          <w:iCs w:val="1"/>
          <w:color w:val="auto"/>
        </w:rPr>
        <w:t>BEST1-</w:t>
      </w:r>
      <w:r>
        <w:rPr>
          <w:rFonts w:ascii="Arial" w:cs="Arial" w:eastAsia="Arial" w:hAnsi="Arial"/>
          <w:sz w:val="18"/>
          <w:szCs w:val="18"/>
          <w:color w:val="auto"/>
        </w:rPr>
        <w:t>related IRDs. In parallel, we have engaged a gene therapy CDMO as the manufacturer for pre-clinical and Phase 1/2 clinical supply of IC-200 and have commenced process development, manufacturing and other IND-enabling activities. Based on current timelines and subject to regulatory review, we expect to initiate a Phase 1/2 clinical trial for IC-200 during the first half of 2021.</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Minigene Therapy Research Programs</w:t>
      </w:r>
    </w:p>
    <w:p>
      <w:pPr>
        <w:spacing w:after="0" w:line="27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predominant or standard, non-mutated form of a gene is referred to as the wildtype form, and the protein resulting from expression of the wildtype gene is referred to as wildtype protein. The goal of minigene therapy is to deliver a gene expressing a protein that, although different from the wildtype protein, is nonetheless functional for purposes of treating the associated disease.</w:t>
      </w:r>
    </w:p>
    <w:p>
      <w:pPr>
        <w:spacing w:after="0" w:line="22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funding multiple sponsored research programs at the University of Massachusetts Medical School, or UMMS, seeking to use a minigene approach to develop new gene therapies for orphan IRDs. We refer to each of these programs by reference to the gene of interest for which we are seeking to create a minigene therapy. We refer to these programs collectively as our collaborative gene therapy sponsored research programs. We receive research results from these programs as they become available. UMMS has granted us an option to obtain an exclusive license to any patents or patent applications that result from these programs.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miniCEP290 Program for LCA10</w:t>
      </w:r>
    </w:p>
    <w:p>
      <w:pPr>
        <w:spacing w:after="0" w:line="27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One of the minigene research programs, which we refer to as the miniCEP290 program, is targeting LCA10, which is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The naturally occurring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is approximately 8,000 base pairs. In a 2018 publication in </w:t>
      </w:r>
      <w:r>
        <w:rPr>
          <w:rFonts w:ascii="Arial" w:cs="Arial" w:eastAsia="Arial" w:hAnsi="Arial"/>
          <w:sz w:val="18"/>
          <w:szCs w:val="18"/>
          <w:i w:val="1"/>
          <w:iCs w:val="1"/>
          <w:color w:val="auto"/>
        </w:rPr>
        <w:t>Human Gene Therapy</w:t>
      </w:r>
      <w:r>
        <w:rPr>
          <w:rFonts w:ascii="Arial" w:cs="Arial" w:eastAsia="Arial" w:hAnsi="Arial"/>
          <w:sz w:val="18"/>
          <w:szCs w:val="18"/>
          <w:color w:val="auto"/>
        </w:rPr>
        <w:t xml:space="preserve">, researchers at UMMS presented their findings that injection of a </w:t>
      </w:r>
      <w:r>
        <w:rPr>
          <w:rFonts w:ascii="Arial" w:cs="Arial" w:eastAsia="Arial" w:hAnsi="Arial"/>
          <w:sz w:val="18"/>
          <w:szCs w:val="18"/>
          <w:i w:val="1"/>
          <w:iCs w:val="1"/>
          <w:color w:val="auto"/>
        </w:rPr>
        <w:t>CEP290</w:t>
      </w:r>
      <w:r>
        <w:rPr>
          <w:rFonts w:ascii="Arial" w:cs="Arial" w:eastAsia="Arial" w:hAnsi="Arial"/>
          <w:sz w:val="18"/>
          <w:szCs w:val="18"/>
          <w:color w:val="auto"/>
        </w:rPr>
        <w:t xml:space="preserve"> minigene into a newborn mouse model for LCA10 resulted in rescue of photoreceptor cells, as evidenced by both anatomical and functional measures. The goal of the sponsored research was to create and evaluate other </w:t>
      </w:r>
      <w:r>
        <w:rPr>
          <w:rFonts w:ascii="Arial" w:cs="Arial" w:eastAsia="Arial" w:hAnsi="Arial"/>
          <w:sz w:val="18"/>
          <w:szCs w:val="18"/>
          <w:i w:val="1"/>
          <w:iCs w:val="1"/>
          <w:color w:val="auto"/>
        </w:rPr>
        <w:t>CEP290</w:t>
      </w:r>
      <w:r>
        <w:rPr>
          <w:rFonts w:ascii="Arial" w:cs="Arial" w:eastAsia="Arial" w:hAnsi="Arial"/>
          <w:sz w:val="18"/>
          <w:szCs w:val="18"/>
          <w:color w:val="auto"/>
        </w:rPr>
        <w:t xml:space="preserve"> minigene constructs in the mouse model and optimize the effect observed in that publication.</w:t>
      </w:r>
    </w:p>
    <w:p>
      <w:pPr>
        <w:spacing w:after="0" w:line="242"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auto"/>
        </w:rPr>
        <w:t xml:space="preserve">Encouraged by the results of the sponsored research we received to date, through which we have identified what we believe are multiple promising minigene constructs, we exercised our option and in July 2019 entered into a license agreement for exclusive development and commercialization rights to patent rights and know-how for this program. The sponsored research is ongoing and UMMS is continuing to test additional </w:t>
      </w:r>
      <w:r>
        <w:rPr>
          <w:rFonts w:ascii="Arial" w:cs="Arial" w:eastAsia="Arial" w:hAnsi="Arial"/>
          <w:sz w:val="16"/>
          <w:szCs w:val="16"/>
          <w:i w:val="1"/>
          <w:iCs w:val="1"/>
          <w:color w:val="auto"/>
        </w:rPr>
        <w:t>CEP290</w:t>
      </w:r>
      <w:r>
        <w:rPr>
          <w:rFonts w:ascii="Arial" w:cs="Arial" w:eastAsia="Arial" w:hAnsi="Arial"/>
          <w:sz w:val="16"/>
          <w:szCs w:val="16"/>
          <w:color w:val="auto"/>
        </w:rPr>
        <w:t xml:space="preserve"> minigene constructs.</w:t>
      </w:r>
    </w:p>
    <w:p>
      <w:pPr>
        <w:spacing w:after="0" w:line="261" w:lineRule="auto"/>
        <w:rPr>
          <w:sz w:val="20"/>
          <w:szCs w:val="20"/>
          <w:color w:val="auto"/>
        </w:rPr>
      </w:pPr>
      <w:r>
        <w:rPr>
          <w:rFonts w:ascii="Arial" w:cs="Arial" w:eastAsia="Arial" w:hAnsi="Arial"/>
          <w:sz w:val="18"/>
          <w:szCs w:val="18"/>
          <w:color w:val="auto"/>
        </w:rPr>
        <w:t>We plan to continue to advance our miniCEP290 program with the constructs that appear most promising with the goal of identifying a lead product candidate to advance into preclinical development and IND-enabling activities.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miniABCA4 Program for STGD1</w:t>
      </w:r>
    </w:p>
    <w:p>
      <w:pPr>
        <w:spacing w:after="0" w:line="27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Another of the minigene research programs, which we refer to as the miniABCA4 program, is targeting STGD1, which is associated with mutations in the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UMMS is constructing and evaluating several </w:t>
      </w:r>
      <w:r>
        <w:rPr>
          <w:rFonts w:ascii="Arial" w:cs="Arial" w:eastAsia="Arial" w:hAnsi="Arial"/>
          <w:sz w:val="18"/>
          <w:szCs w:val="18"/>
          <w:i w:val="1"/>
          <w:iCs w:val="1"/>
          <w:color w:val="auto"/>
        </w:rPr>
        <w:t>ABCA4</w:t>
      </w:r>
      <w:r>
        <w:rPr>
          <w:rFonts w:ascii="Arial" w:cs="Arial" w:eastAsia="Arial" w:hAnsi="Arial"/>
          <w:sz w:val="18"/>
          <w:szCs w:val="18"/>
          <w:color w:val="auto"/>
        </w:rPr>
        <w:t xml:space="preserve"> minigene constructs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We expect to receive results from the miniABCA4 program in 2020.</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miniUSH2A Program for USH2A-Related IRDs</w:t>
      </w:r>
    </w:p>
    <w:p>
      <w:pPr>
        <w:spacing w:after="0" w:line="27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 xml:space="preserve">In July 2019, we entered into a sponsored research agreement with UMMS for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refer to this program as the miniUSH2A program. This program will employ the minigene approach for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encodes a protein called usherin. Usherin is believed to be important in the development and maintenance of cells in the retina and the inner ear. Usher 2A is an autosomal recessive genetic condition characterized by hearing loss from birth and progressive vision loss, due to retinitis pigmentosa, that begins in adolescence or adulthood. </w:t>
      </w:r>
      <w:r>
        <w:rPr>
          <w:rFonts w:ascii="Arial" w:cs="Arial" w:eastAsia="Arial" w:hAnsi="Arial"/>
          <w:sz w:val="18"/>
          <w:szCs w:val="18"/>
          <w:i w:val="1"/>
          <w:iCs w:val="1"/>
          <w:color w:val="auto"/>
        </w:rPr>
        <w:t>USH2A</w:t>
      </w:r>
      <w:r>
        <w:rPr>
          <w:rFonts w:ascii="Arial" w:cs="Arial" w:eastAsia="Arial" w:hAnsi="Arial"/>
          <w:sz w:val="18"/>
          <w:szCs w:val="18"/>
          <w:color w:val="auto"/>
        </w:rPr>
        <w:t xml:space="preserve">-associated nonsyndromatic autosomal recessive retinitis pigmentosa is a genetic condition that manifests as vision loss without associated hearing loss. The miniUSH2A program seeks to develop an AAV deliverable, mutation independent, minigene therapy option for the vision loss associated with </w:t>
      </w:r>
      <w:r>
        <w:rPr>
          <w:rFonts w:ascii="Arial" w:cs="Arial" w:eastAsia="Arial" w:hAnsi="Arial"/>
          <w:sz w:val="18"/>
          <w:szCs w:val="18"/>
          <w:i w:val="1"/>
          <w:iCs w:val="1"/>
          <w:color w:val="auto"/>
        </w:rPr>
        <w:t>USH2A</w:t>
      </w:r>
      <w:r>
        <w:rPr>
          <w:rFonts w:ascii="Arial" w:cs="Arial" w:eastAsia="Arial" w:hAnsi="Arial"/>
          <w:sz w:val="18"/>
          <w:szCs w:val="18"/>
          <w:color w:val="auto"/>
        </w:rPr>
        <w:t xml:space="preserve"> mutations. There are currently no FDA- or European Medicines Agency, or EMA, approved therapies to treat Usher 2A or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27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Although we are principally focused on gene therapies, we continue to believe therapeutics will serve an important role in drug development for retinal diseases, particularly as treatments with novel mechanisms of action are developed and brought to market and as the long-term effects of these treatments continue to be understood.</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Zimura Clinical Programs</w:t>
      </w:r>
    </w:p>
    <w:p>
      <w:pPr>
        <w:spacing w:after="0" w:line="279"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Zimura, our C5 complement inhibitor, is a chemically-synthesized, pegylated RNA aptamer. We currently have two clinical trials for Zimura ongoing. These clinical trials are designed to obtain data to guide potential future development efforts and are not intended to be pivotal studies. The following is a brief description of our ongoing trials and their current status:</w:t>
      </w:r>
    </w:p>
    <w:p>
      <w:pPr>
        <w:spacing w:after="0" w:line="231" w:lineRule="exact"/>
        <w:rPr>
          <w:sz w:val="20"/>
          <w:szCs w:val="20"/>
          <w:color w:val="auto"/>
        </w:rPr>
      </w:pPr>
    </w:p>
    <w:p>
      <w:pPr>
        <w:ind w:left="980" w:right="14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OPH2003 (geographic atrophy (GA) secondary to dry AMD)</w:t>
      </w:r>
      <w:r>
        <w:rPr>
          <w:rFonts w:ascii="Arial" w:cs="Arial" w:eastAsia="Arial" w:hAnsi="Arial"/>
          <w:sz w:val="18"/>
          <w:szCs w:val="18"/>
          <w:color w:val="auto"/>
        </w:rPr>
        <w:t>: an ongoing, randomized, double-masked, sham controlled,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Phase 2b clinical trial evaluating the safety and efficacy of Zimura monotherapy in patients with GA secondary to dry AMD. We completed enrollment for this clinical trial in October 2018 with a total of 286 patients enrolled. We expect that initial, top-line data from this clinical trial will be available during the fourth quarter of 2019.</w:t>
      </w:r>
    </w:p>
    <w:p>
      <w:pPr>
        <w:spacing w:after="0" w:line="234"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OPH2005 (autosomal recessive Stargardt disease (STGD1))</w:t>
      </w:r>
      <w:r>
        <w:rPr>
          <w:rFonts w:ascii="Arial" w:cs="Arial" w:eastAsia="Arial" w:hAnsi="Arial"/>
          <w:sz w:val="18"/>
          <w:szCs w:val="18"/>
          <w:color w:val="auto"/>
        </w:rPr>
        <w:t>: an ongoing, randomized, double-masked, sham controlled, multi-center Phase</w:t>
      </w:r>
      <w:r>
        <w:rPr>
          <w:rFonts w:ascii="Arial" w:cs="Arial" w:eastAsia="Arial" w:hAnsi="Arial"/>
          <w:sz w:val="18"/>
          <w:szCs w:val="18"/>
          <w:b w:val="1"/>
          <w:bCs w:val="1"/>
          <w:color w:val="auto"/>
        </w:rPr>
        <w:t xml:space="preserve"> </w:t>
      </w:r>
      <w:r>
        <w:rPr>
          <w:rFonts w:ascii="Arial" w:cs="Arial" w:eastAsia="Arial" w:hAnsi="Arial"/>
          <w:sz w:val="18"/>
          <w:szCs w:val="18"/>
          <w:color w:val="auto"/>
        </w:rPr>
        <w:t>2b clinical trial evaluating the safety and efficacy of Zimura monotherapy for the treatment of STGD1. We completed enrollment for this clinical trial in February 2019 with a total of 95 patients enrolled. We expect that initial, top-line data from this clinical trial will be available during the second half of 2020.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HtrA1 Inhibitor Program</w:t>
      </w:r>
    </w:p>
    <w:p>
      <w:pPr>
        <w:spacing w:after="0" w:line="27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are pursuing the preclinical development of certain HtrA1 inhibitors, to which we acquired rights through our October 2018 acquisition of Inception 4, Inc., or Inception 4, for the treatment of GA secondary to dry AMD. Our HtrA1 inhibitor program includes a number of lead small molecule compounds that show high affinity and specificity for HtrA1 when tested</w:t>
      </w:r>
      <w:r>
        <w:rPr>
          <w:rFonts w:ascii="Arial" w:cs="Arial" w:eastAsia="Arial" w:hAnsi="Arial"/>
          <w:sz w:val="18"/>
          <w:szCs w:val="18"/>
          <w:i w:val="1"/>
          <w:iCs w:val="1"/>
          <w:color w:val="auto"/>
        </w:rPr>
        <w:t>,</w:t>
      </w:r>
      <w:r>
        <w:rPr>
          <w:rFonts w:ascii="Arial" w:cs="Arial" w:eastAsia="Arial" w:hAnsi="Arial"/>
          <w:sz w:val="18"/>
          <w:szCs w:val="18"/>
          <w:color w:val="auto"/>
        </w:rPr>
        <w:t xml:space="preserve"> as well as a number of backup compounds. We are pursuing formulation development studies with the goal of identifying a formulation for intravitreal application in the eye. If we are successful in identifying and formulating a product candidate from this program, we plan to initiate IND-enabling activities for the selected product candidate. Based on current timelines and subject to successful completion of preclinical development, we are targeting submission of an IND to the U.S. Food and Drug Administration, or FDA, for a product candidate from this program by late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2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summarized the current status of our ongoing research and development programs in the table below. We have given an IC number (IC-100 and IC-200) to our preclinical gene therapy product candidates. In the future, we intend to give an IC number to other gene therapy product candidates that advance to preclinical development from our collaborative gene therapy sponsored research programs or that we in-license or acquire, in each case, once a lead product candidate is identified for a particular program.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5848985" cy="3207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Activities</w:t>
      </w:r>
    </w:p>
    <w:p>
      <w:pPr>
        <w:spacing w:after="0" w:line="2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Since early 2017, we have been pursuing a business development strategy to evaluate available technologies to treat ophthalmic diseases, particularly those in the back of the eye, and to explore opportunities to obtain rights to additional products and product candidates employing these technologies. As we evaluated numerous potential opportunities, we have come to believe that gene therapy is a promising treatment modality for retina diseases for which there are significant unmet medical needs. Our efforts have resulted in the expansion of our research and development pipeline and the transition of our company to focus principally on gene therapy. We expect to continue to evaluate, on a selective basis, opportunities to potentially obtain rights to additional gene therapy product candidates and technologies for retinal diseases. We intend to continue to focus on opportunities that present a compelling scientific rationale, have the potential to address an unmet medical need and present a meaningful commercial opportunity. To the extent feasible, we plan to target opportunities where we believe third-party funding for specific programs or technologies may be available.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of June 30, 2019, we had cash and cash equivalents of $106.9 million. We believe that our cash and cash equivalents will be sufficient to fund our operations and capital expenditure requirements as currently planned for at least the next 12 months. After taking into account our recent in-licensing transaction for our miniCEP290 program and sponsored research agreement for our miniUSH2A program, we reaffirm our estimate that year-end 2019 cash and cash equivalents will range between $80 million and $85 million. This estimate is based on our current business plan, including the continuation of our current research and development programs. This estimate does not reflect any additional expenditures, including associated development costs, in the event we in-license or acquire any new product candidates or commence any new sponsored research programs. We have based this estimate on assumptions that may prove to be wrong, and we could use our available capital resources sooner than we currently expect.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agreements with third parties, we may generate revenue from product sales or from such third parties.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Our research and development expenses primarily consist of costs associated with the manufacturing, development, and preclinical and clinical testing of our product candidates and costs associated with our collaborative gene therapy sponsored research programs. Our research and development expenses consist of:</w:t>
      </w:r>
    </w:p>
    <w:p>
      <w:pPr>
        <w:spacing w:after="0" w:line="235" w:lineRule="exact"/>
        <w:rPr>
          <w:sz w:val="20"/>
          <w:szCs w:val="20"/>
          <w:color w:val="auto"/>
        </w:rPr>
      </w:pPr>
    </w:p>
    <w:p>
      <w:pPr>
        <w:ind w:left="1300" w:right="160" w:hanging="644"/>
        <w:spacing w:after="0" w:line="342" w:lineRule="auto"/>
        <w:tabs>
          <w:tab w:leader="none" w:pos="9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and CDMOs and other vendors for the production of drug substance and drug product; and</w:t>
      </w:r>
    </w:p>
    <w:p>
      <w:pPr>
        <w:spacing w:after="0" w:line="177" w:lineRule="exact"/>
        <w:rPr>
          <w:rFonts w:ascii="Arial" w:cs="Arial" w:eastAsia="Arial" w:hAnsi="Arial"/>
          <w:sz w:val="16"/>
          <w:szCs w:val="16"/>
          <w:color w:val="auto"/>
        </w:rPr>
      </w:pPr>
    </w:p>
    <w:p>
      <w:pPr>
        <w:ind w:left="1300" w:right="620" w:hanging="644"/>
        <w:spacing w:after="0" w:line="277" w:lineRule="auto"/>
        <w:tabs>
          <w:tab w:leader="none" w:pos="9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22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or ASC 730</w:t>
      </w:r>
      <w:r>
        <w:rPr>
          <w:rFonts w:ascii="Arial" w:cs="Arial" w:eastAsia="Arial" w:hAnsi="Arial"/>
          <w:sz w:val="16"/>
          <w:szCs w:val="16"/>
          <w:i w:val="1"/>
          <w:iCs w:val="1"/>
          <w:color w:val="auto"/>
        </w:rPr>
        <w:t>.</w:t>
      </w:r>
      <w:r>
        <w:rPr>
          <w:rFonts w:ascii="Arial" w:cs="Arial" w:eastAsia="Arial" w:hAnsi="Arial"/>
          <w:sz w:val="16"/>
          <w:szCs w:val="16"/>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all research and development expenses to individual projects or product candidates, although we do allocate some portion of these expenses by project or product candidate, as shown below.</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research and development expenses for the three and six months ended June 30, 2019 and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4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196"/>
        </w:trPr>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Zimura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HtrA1</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IC-100: RHO-adRP</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IC-200: BEST1-related IRDs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gene therapy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Prior product candidate Fovista</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Personnel-related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1,106</w:t>
            </w:r>
          </w:p>
        </w:tc>
        <w:tc>
          <w:tcPr>
            <w:tcW w:w="5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2,546</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7"/>
        </w:trPr>
        <w:tc>
          <w:tcPr>
            <w:tcW w:w="48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17,694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16,202</w:t>
            </w:r>
          </w:p>
        </w:tc>
      </w:tr>
      <w:tr>
        <w:trPr>
          <w:trHeight w:val="27"/>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expect our research and development expenses to increase as we continue to pursue our research and development programs. Our research and development expenses may also increase if we in-license or acquire any new product candidates or commence any new sponsored research programs.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the future development of our product candidates is highly uncertain, we expect we will require substantial, additional funding in order to complete the activities necessary to develop and commercialize one or more of our product candidates.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2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224" w:lineRule="exact"/>
        <w:rPr>
          <w:sz w:val="20"/>
          <w:szCs w:val="20"/>
          <w:color w:val="auto"/>
        </w:rPr>
      </w:pPr>
    </w:p>
    <w:p>
      <w:pPr>
        <w:ind w:left="5620" w:right="2080" w:hanging="4883"/>
        <w:spacing w:after="0" w:line="716" w:lineRule="auto"/>
        <w:tabs>
          <w:tab w:leader="none" w:pos="9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 24</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279" w:lineRule="exact"/>
        <w:rPr>
          <w:rFonts w:ascii="Arial" w:cs="Arial" w:eastAsia="Arial" w:hAnsi="Arial"/>
          <w:sz w:val="18"/>
          <w:szCs w:val="18"/>
          <w:color w:val="auto"/>
        </w:rPr>
      </w:pPr>
    </w:p>
    <w:p>
      <w:pPr>
        <w:ind w:left="980" w:hanging="243"/>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279" w:lineRule="exact"/>
        <w:rPr>
          <w:rFonts w:ascii="Arial" w:cs="Arial" w:eastAsia="Arial" w:hAnsi="Arial"/>
          <w:sz w:val="18"/>
          <w:szCs w:val="18"/>
          <w:color w:val="auto"/>
        </w:rPr>
      </w:pPr>
    </w:p>
    <w:p>
      <w:pPr>
        <w:ind w:left="980" w:right="520" w:hanging="243"/>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2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w:t>
      </w:r>
    </w:p>
    <w:p>
      <w:pPr>
        <w:spacing w:after="0" w:line="2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costs may exceed our expectations due to unforeseen or other reasons. For example, our costs may exceed our expectations if we experience any unforeseen issue in our ongoing clinical trials, such as issues with the retention of enrolled patients or with the availability of drug supply, or in our preclinical development programs, such as if we experience issues with manufacturing or inability to develop formulations,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As a result, we may need or may seek to obtain additional funding for our continuing operations sooner or in greater amounts than expected.</w:t>
      </w:r>
    </w:p>
    <w:p>
      <w:pPr>
        <w:spacing w:after="0" w:line="23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the “Liquidity and Capital Resources” section on page 29 of this Quarterly Report on Form 10-Q for more information regarding our current and future financial resources and our expectations regarding our research and development expenses and funding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currently have invested our cash and cash equivalents in money market funds and investment-grade corporate debt securities, which generate a nominal amount of interest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8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3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quotations and contracts, identifying services that have been performed on our behalf and</w:t>
      </w:r>
    </w:p>
    <w:p>
      <w:pPr>
        <w:sectPr>
          <w:pgSz w:w="11900" w:h="16838" w:orient="portrait"/>
          <w:cols w:equalWidth="0" w:num="1">
            <w:col w:w="11400"/>
          </w:cols>
          <w:pgMar w:left="240" w:top="125" w:right="25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incurred with respect to academic research collaborators, CROs, CDMOs and other vendors in connection with research and development and manufacturing activities.</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7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the related services are rendered.</w:t>
      </w:r>
    </w:p>
    <w:p>
      <w:pPr>
        <w:spacing w:after="0" w:line="21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We apply the fair value recognition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we make this determination. Calculating the fair value of share-based awards requires us to make highly subjective assumptions.</w:t>
      </w:r>
    </w:p>
    <w:p>
      <w:pPr>
        <w:spacing w:after="0" w:line="232"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 xml:space="preserve">Prior to January 1, 2019, share-based compensation awarded to non-employees was subject to revaluation over the vesting term of each award. Subsequent to the adoption of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value of non-employee share-based compensation is measured on the date of grant, similar to share-based compensation granted to employees.</w:t>
      </w:r>
    </w:p>
    <w:p>
      <w:pPr>
        <w:spacing w:after="0" w:line="22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the risk-free interest rate for a period that approximates the expected term of our stock options and the expected dividend yield of our common stock. As a recent public company, we do not have sufficient history to estimate the volatility of our common stock price or the expected life of the options. We calculate expected volatility based on reported data for similar publicly traded companies for which historical information is available and will continue to do so until the historical volatility of our common stock is sufficient to measure expected volatility for future option grants.</w:t>
      </w:r>
    </w:p>
    <w:p>
      <w:pPr>
        <w:spacing w:after="0" w:line="23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We use the simplified method as prescribed by the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of stock option grants to employees as we do not have sufficient historical exercise data to provide a reasonable basis upon which to estimate the expected term of stock options granted to employees.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three and six months ended</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3"/>
          </w:tcPr>
          <w:p>
            <w:pPr>
              <w:ind w:left="7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common stock price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2.15%-2.31%</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2.83%-2.83%</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2.15%-2.54%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2.39%-2.83%</w:t>
            </w: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of options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65"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the estimates were revised.</w:t>
      </w:r>
    </w:p>
    <w:p>
      <w:pPr>
        <w:spacing w:after="0" w:line="20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Share-based compensation expense for equity grants to employees, non-employee directors and consultants was $2.2 million and $2.6 million for the three months ended June 30, 2019 and 2018, respectively, net of expected forfeitures. Share-based compensation expense for equity grants to employees, non-employee directors and consultants was $4.7 million and $5.7 million for the six months ended June 30, 2019 and 2018, respectively, net of expected forfeitures.</w:t>
      </w:r>
    </w:p>
    <w:p>
      <w:pPr>
        <w:spacing w:after="0" w:line="24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As of June 30, 2019, we had $8.5 million of total unrecognized share-based compensation expense, which we expect to recognize over a weighted-average remaining vesting period of approximately 1.7 years. We expect our share-based compensation expense for our equity awards to employees, non-employee directors and consultants to decrease in future periods as a result of a decrease in the fair value of our common stock.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2019 and 2018, we allocated share-based compensation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5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1,106</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1,218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1,556</w:t>
            </w:r>
          </w:p>
        </w:tc>
        <w:tc>
          <w:tcPr>
            <w:tcW w:w="5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3,198</w:t>
            </w:r>
          </w:p>
        </w:tc>
      </w:tr>
      <w:tr>
        <w:trPr>
          <w:trHeight w:val="27"/>
        </w:trPr>
        <w:tc>
          <w:tcPr>
            <w:tcW w:w="5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2,207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2,662</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5,744</w:t>
            </w: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three and six months ended June 30, 2019, we recorded a de minimis provision for income taxes. For the three and six months ended June 30, 2018, we recorded a benefit for income taxes of $1.0 million and $0.8 million, respectively. The benefit for income taxes recorded during the three months ended June 30, 2018 was to reflect the settlement of a local tax audit. The income tax benefit for the six months ended June 30, 2018 includes the provision for income taxes that we recorded for the three months ended March 31, 2018 to reflect the impact of sequestration on our estimate of refundable AMT credits.</w:t>
      </w:r>
    </w:p>
    <w:p>
      <w:pPr>
        <w:spacing w:after="0" w:line="24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deferred tax assets associated with our losses incurred in 2018 and to date in 2019 have a full valuation allowance recorded against them due to our history of losses and the lack of other positive evidence to support future taxable income against which these losses could be applied. See Note 6 to our financial statements in Part I-Item 1 of this Quarterly Report on Form 10-Q for further information regarding our expectations with respect to our income tax provision.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June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15,207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provision (benefit)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research and development expenses were $10.0 million for the three months ended June 30, 2019, an increase of $1.5 million compared to $8.5 million for the three months ended June 30, 2018. The increase in research and development expenses for the three months ended June 30, 2019 was primarily due to a $1.7 million increase in costs resulting from the initiation and expansion of our gene therapy programs and a $0.2 million increase in costs resulting from the initiation of our HtrA1 inhibitor program. This increase was partially offset by a decrease in professional consulting costs. The costs for our Zimura programs were relatively unchanged during the three months ended June 30, 2019 compared to the three months ended June 30, 2018 as a result of decreased clinical trial costs relating to the completion of the OPH2007 wet AMD trial during the fourth quarter of 2018, which were primarily offset by an increase in clinical trial costs related to increased patient enrollment in the OPH2003 dry AMD trial and the OPH2005 STGD1 trial.</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general and administrative expenses were $5.2 million for the three months ended June 30, 2019, a decrease of $1.1 million, compared to $6.3 million for the three months ended June 30, 2018. The decrease in general and administrative expenses for the three months ended June 30, 2019 was primarily due to a decrease in costs to support our operations and infrastructure.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Interest income for the three months ended June 30, 2019 was $0.6 million compared to interest income of $0.6 million for the three months ended June 30, 2018.</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7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For the three months ended June 30, 2019, we recorded a de minimis provision for income taxes. For the three months ended June 30, 2018, we recorded an income tax benefit of $1.0 million, which was primarily to reflect a settlement of a local tax audit.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 Periods Ended June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4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53"/>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11,977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provision (benefit)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research and development expenses were $17.7 million for the six months ended June 30, 2019, an increase of $1.5 million compared to $16.2 million for the six months ended June 30, 2018. The increase in research and development expenses for the six months ended June 30, 2019 was primarily due to a $2.9 million increase in costs resulting from the initiation and expansion of our gene therapy programs and a $0.2 million increase in costs resulting from the initiation of our HtrA1 inhibitor program. This increase was offset by a $0.8 million decrease in costs associated with our Zimura programs, a $0.4 million decrease in personnel expenses and a $0.5 million decrease in professional and consulting fees. The decreased costs for our Zimura programs included lower costs related to a decrease in Zimura manufacturing activities and lower clinical trial costs as a result of the completion of the OPH2007 wet AMD trial during the fourth quarter of 2018 and the completion of patient recruitment for our OPH2003 dry AMD trial during the fourth quarter of 2018 and the associated reduction in site initiation costs.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Our general and administrative expenses were $10.7 million for the six months ended June 30, 2019, a decrease of $1.3 million, compared to $12.0 million for the six months ended June 30, 2018. The decrease in general and administrative expenses for the six months ended June 30, 2019 was primarily due to a decrease in costs to support our operations and infrastructure.</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7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Interest income for the six months ended June 30, 2019 was $1.3 million compared to interest income of $1.1 million for the six months ended June 30, 2018. The increase in interest income was the result of an increase in interest rates and a change in the mix of our investment portfolio, which previously only included investments in money market funds and now includes investment in certain investment-grade corporate debt securities with original maturities of 90 days or less, partially offset by a decrease in cash balances available for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the six months ended June 30, 2019, we recorded a de minimis provision for income taxes. For the six months ended June 30, 2018, we recorded an income taxes benefit of $0.8 million primarily to reflect a settlement of a local tax audit offset by a reduction in the amount of deferred tax assets that we expect will be realized in the future.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7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Since inception, we have financed our operations primarily through private placements of our preferred stock, venture debt borrowings, funding we received under our prior Fovista royalty purchase and sale agreement with Novo Holdings A/S, our initial public offering of common stock, which we closed in September 2013, our follow-on public offering of common</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stock, which we closed in February 2014, funds we received under a prior licensing and commercialization agreement with Novartis Pharma, AG for Fovista, and the approximately $6.1 million in cash that we received in connection with our acquisition of Inception 4 in October 2018. We do not have any committed external source of funds.</w:t>
      </w:r>
    </w:p>
    <w:p>
      <w:pPr>
        <w:spacing w:after="0" w:line="23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currently have an effective universal shelf registration statement on Form S-3 with the Securities and Exchange Commission, to register for sale from time to time up to $150.0 million of common stock, preferred stock, debt securities, depositary shares, warrants and/or units in one or more registered offerings, of which $50.0 million may be offered, issued and sold under an “at-the-market” Sales Agreement, or the ATM Agreement, with Cowen and Company, LLC. We have not yet issued and sold any shares of our common stock under the ATM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79" w:lineRule="exact"/>
        <w:rPr>
          <w:sz w:val="20"/>
          <w:szCs w:val="20"/>
          <w:color w:val="auto"/>
        </w:rPr>
      </w:pPr>
    </w:p>
    <w:p>
      <w:pPr>
        <w:ind w:right="860" w:firstLine="648"/>
        <w:spacing w:after="0" w:line="342" w:lineRule="auto"/>
        <w:rPr>
          <w:sz w:val="20"/>
          <w:szCs w:val="20"/>
          <w:color w:val="auto"/>
        </w:rPr>
      </w:pPr>
      <w:r>
        <w:rPr>
          <w:rFonts w:ascii="Arial" w:cs="Arial" w:eastAsia="Arial" w:hAnsi="Arial"/>
          <w:sz w:val="16"/>
          <w:szCs w:val="16"/>
          <w:color w:val="auto"/>
        </w:rPr>
        <w:t>As of June 30, 2019, we had cash and cash equivalents totaling $106.9 million and no debt. We currently have invested our cash and cash equivalents in money market funds and certain investment-grade corporate debt securities with original maturities of 90 days or less.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six months ended June 30, 2019 and 2018:</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(24,353)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Net cash used in operating activities in the six months ended June 30, 2019 related primarily to net cash used to fund our research and development activities for Zimura, IC-100 and IC-200 and our collaborative gene therapy sponsored research programs and to support our general and administrative operations. Net cash used in operating activities in the six months ended June 30, 2018 related primarily to net cash used to fund our research and development activities for Zimura and to support our general and administrative operations.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"—Funding Requirements" below for a description of how we expect to use our cash for operating activities in future periods.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net cash provided by investing activities for the six months ended June 30, 2019 and June 30, 2018.</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7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cash provided by financing activities was $41 thousand for the six months ended June 30, 2019 and $27 thousand for the six months ended June 30, 2018 and related to purchases made under our employee stock purchase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gene therapy product candidates IC-100 and IC-200 and our HtrA1 inhibitor program are each in preclinical development, Zimura is in clinical development, and we are funding collaborative gene therapy sponsored research programs that are ongoing. We expect our research and development expenses to increase as we pursue these programs as currently planned.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UFRF and Penn with respect to IC-100 and IC-200, UMMS with respect to any potential product candidates from our miniCEP290 program, Archemix Corp. with respect to Zimura and the former equityholders of Inception 4 with respect to our HtrA1 inhibitor program, in each case, that impose significant milestone payment obligations on us in connection with our achievement of specified clinical, regulatory and commercial milestones with respect to these product candidates or programs, as well as certain royalties on net</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development of IC-100 and IC-200 and 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clinical development of Zimura;</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preclinical development of our HtrA1 inhibitor program;</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of June 30, 2019, we had cash and cash equivalents of $106.9 million. We believe that our cash and cash equivalents will be sufficient to fund our operations and capital expenditure requirements as currently planned for at least the next 12 months. After taking into account our recent in-licensing transaction for our miniCEP290 program and sponsored research agreement for our miniUSH2A program, we reaffirm our estimate that year-end 2019 cash and cash equivalents will range between $80 million and $85 million. This estimate is based on our current business plan, including the continuation of our current research and development programs. This estimate does not reflect any additional expenditures, including associated development costs, in the event we in-license or acquire any new product candidates or commence any new sponsored research programs. We have based this estimate on assumptions that may prove to be wrong, and we could use our available capital resources sooner than we currently expect.</w:t>
      </w:r>
    </w:p>
    <w:p>
      <w:pPr>
        <w:spacing w:after="0" w:line="23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the future development of our product candidates is highly uncertain, we expect we will require substantial, additional funding in order to complete the activities necessary to develop and commercialize one or more of our product candidates.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IC-100 and IC-200, including activities to establish manufacturing capabilities and preclinical testing to enable us to file INDs for these product candidates;</w:t>
      </w:r>
    </w:p>
    <w:p>
      <w:pPr>
        <w:spacing w:after="0" w:line="224" w:lineRule="exact"/>
        <w:rPr>
          <w:rFonts w:ascii="Arial" w:cs="Arial" w:eastAsia="Arial" w:hAnsi="Arial"/>
          <w:sz w:val="18"/>
          <w:szCs w:val="18"/>
          <w:color w:val="auto"/>
        </w:rPr>
      </w:pPr>
    </w:p>
    <w:p>
      <w:pPr>
        <w:ind w:left="980" w:right="12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200" w:lineRule="exact"/>
        <w:rPr>
          <w:rFonts w:ascii="Arial" w:cs="Arial" w:eastAsia="Arial" w:hAnsi="Arial"/>
          <w:sz w:val="17"/>
          <w:szCs w:val="17"/>
          <w:color w:val="auto"/>
        </w:rPr>
      </w:pPr>
    </w:p>
    <w:p>
      <w:pPr>
        <w:ind w:left="980" w:right="74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scope, progress, costs and results of our ongoing Zimura clinical programs, as well as our ability to secure external funding for any additional clinical trials we may undertake to obtain data sufficient to seek marketing approval for Zimura in any indication;</w:t>
      </w:r>
    </w:p>
    <w:p>
      <w:pPr>
        <w:spacing w:after="0" w:line="177" w:lineRule="exact"/>
        <w:rPr>
          <w:rFonts w:ascii="Arial" w:cs="Arial" w:eastAsia="Arial" w:hAnsi="Arial"/>
          <w:sz w:val="16"/>
          <w:szCs w:val="16"/>
          <w:color w:val="auto"/>
        </w:rPr>
      </w:pPr>
    </w:p>
    <w:p>
      <w:pPr>
        <w:ind w:left="980" w:right="5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formulation development and other preclinical development activities;</w:t>
      </w:r>
    </w:p>
    <w:p>
      <w:pPr>
        <w:spacing w:after="0" w:line="224"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progress and timing of process development, manufacturing scale-up and validation activities and stability studies associated with our product candidates;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additional product candidates or technologies;</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79"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24"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2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The size of our company and our status as a company listed on The Nasdaq Stock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w:t>
      </w:r>
    </w:p>
    <w:p>
      <w:pPr>
        <w:spacing w:after="0" w:line="24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 In addition, we may issue equity securities as consideration for business development transactions, which may also dilute our existing stockholders' ownership interests.</w:t>
      </w:r>
    </w:p>
    <w:p>
      <w:pPr>
        <w:spacing w:after="0" w:line="2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24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 miniCEP290 License Agreement</w:t>
      </w:r>
    </w:p>
    <w:p>
      <w:pPr>
        <w:spacing w:after="0" w:line="14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On July 22, 2019, we entered into an Exclusive License Agreement, which we refer to as the miniCEP290 License Agreement, with the University of Massachusetts, or UMass. We entered into the miniCEP290 License Agreement by exercising our exclusive option rights under an option agreement and a sponsored research agreement that we previously entered into with UMass in February 2018. Under the miniCEP290 License Agreement, UMass granted us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including LCA10. We may grant sublicenses of the licensed patent rights and know-how without the consent of UMass.</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agreed to use diligent efforts to develop licensed products and to introduce such licensed products into the commercial market. Subject to obtaining marketing approval, we agreed to make any approved licensed product reasonably available to the public. In addition, we have agreed to meet specified development and regulatory milestones with respect to a licensed product by specified dates, as the same may be extended under the terms of the miniCEP290 License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Terms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have agreed to pay UMass a $400,000 upfront license fee upon execution of the miniCEP290 License Agreement. In addition, we have agreed to issue to UMass 75,000 shares of our common stock, par value $0.001 per share promptly following execution of the miniCEP290 License Agreement pursuant to an exemption from registration afforded by Section 4(a)(2) of the Securities Act of 1933, as amended.</w:t>
      </w:r>
    </w:p>
    <w:p>
      <w:pPr>
        <w:spacing w:after="0" w:line="166"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165"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miniCEP290 License Agreement, unless earlier terminated by us or UMass, will expire upon the expiration of our obligation to pay royalties to UMass on net sales of licensed products. We may terminate the miniCEP290 License Agreement at any time for any reason upon prior written notice to UMass. We may also terminate the miniCEP290 License Agreement if UMass materially breaches the miniCEP290 License Agreement and does not cure such breach within a specified cure period.</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UMass may terminate the miniCEP290 License Agreement if we materially breach the miniCEP290 License Agreement and do not cure such breach within a specified cure period.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Following any termination of the miniCEP290 License Agreement prior to expiration of the term of the miniCEP290 License Agreement, all rights to the licensed patent rights and know-how that UMass granted to us will revert to UMass.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miniCEP290 License Agreement contains patent prosecution and maintenance, indemnification and dispute resolution provisions that are customary for agreements of this kind.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June 30,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jc w:val="center"/>
              <w:ind w:right="80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3"/>
                <w:szCs w:val="13"/>
                <w:color w:val="auto"/>
              </w:rPr>
            </w:pPr>
          </w:p>
        </w:tc>
        <w:tc>
          <w:tcPr>
            <w:tcW w:w="8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Sponsored Research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Operating Leases (2)</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6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500" w:hanging="328"/>
        <w:spacing w:after="0" w:line="381"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table above includes our contracted obligations under our sponsored research agreements. Because we entered into the sponsored research agreement for our miniUSH2A program after June 30, 2019, the above table does not reflect contractual obligations under that agreement.</w:t>
      </w:r>
    </w:p>
    <w:p>
      <w:pPr>
        <w:spacing w:after="0" w:line="154" w:lineRule="exact"/>
        <w:rPr>
          <w:rFonts w:ascii="Arial" w:cs="Arial" w:eastAsia="Arial" w:hAnsi="Arial"/>
          <w:sz w:val="15"/>
          <w:szCs w:val="15"/>
          <w:color w:val="auto"/>
        </w:rPr>
      </w:pPr>
    </w:p>
    <w:p>
      <w:pPr>
        <w:ind w:left="660" w:right="3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above includes our continuing rent obligations through June 2020, which is when our lease at One Penn Plaza is currently scheduled to expire.</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279" w:lineRule="exact"/>
        <w:rPr>
          <w:rFonts w:ascii="Arial" w:cs="Arial" w:eastAsia="Arial" w:hAnsi="Arial"/>
          <w:sz w:val="18"/>
          <w:szCs w:val="18"/>
          <w:color w:val="auto"/>
        </w:rPr>
      </w:pPr>
    </w:p>
    <w:p>
      <w:pPr>
        <w:ind w:left="980" w:right="4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29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In addition to the amounts set forth in the table above, we may be required, under the miniCEP290 License Agreement and the other agreements under which we acquired rights to our product candidates, to make milestone payments and/or pay royalties. Payments for any potential product candidates that we may develop under the miniCEP290 License Agreement are described above. Payments for IC-100, IC-200, Zimura and our HtrA1 program are described in "Note 9—Commitments and Contingencies" in our unaudited consolidated financial statements appearing elsewhere in this Quarterly Report.</w:t>
      </w:r>
    </w:p>
    <w:p>
      <w:pPr>
        <w:spacing w:after="0" w:line="20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statement on Schedule 14A for our 2019 annual meeting of stockholders, as filed with the SEC on April 18, 2019.</w:t>
      </w:r>
    </w:p>
    <w:p>
      <w:pPr>
        <w:spacing w:after="0" w:line="27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 even long-term commitments of cash.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exposed to market risk related to changes in interest rates. We had cash and cash equivalents of $106.9 million as of June 30, 2019, consisting of cash and investments in money market funds and certain investment-grade corporate debt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242"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We contract with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June 30, 2019, substantially all of our total liabilities were denominated in the U.S. dollar.</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1"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June 30, 2019 that have materially affected, or are reasonably likely to materially affect, our internal control over financial reporting.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January 11, 2017, a putative class action lawsuit was filed against us and certain of our current and former executive officers in the United States District Court for the Southern District of New York, captioned Frank Micholle v. Ophthotech Corporation, et al., No. 1:17-cv-00210. On March 9, 2017, a related putative class action lawsuit was filed against us and the same group of our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our common stock between March 2, 2015 and December 12, 2016. The CAC generally alleges that we and certain of our officers violated Sections 10(b) and/or 20(a) of the Securities Exchange Act of 1934 and Rule 10b-5 promulgated thereunder by making allegedly false and/or misleading statements concerning the results of our Phase 2b trial and the prospects of our Phase 3 trials for Fovista in combination with anti-VEGF agents for the treatment of wet AMD. The CAC seeks unspecified damages, attorneys' fees, and other costs. We and the individual defendants filed a motion to dismiss the CAC on July 27, 2018. That motion is fully briefed.</w:t>
      </w:r>
    </w:p>
    <w:p>
      <w:pPr>
        <w:spacing w:after="0" w:line="23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February 7, 2018, a shareholder derivative action was filed against the members of our board of directors in the New York Supreme Court Commercial Division, captioned Cano v. Guyer, et al., No. 650601/2018. The complaint alleges that the defendants breached their fiduciary duties to our company by adopting a compensation plan that overcompensates the non-employee members of our board relative to boards of companies of comparable market capitalization and size. The complaint also alleges that the defendants were unjustly enriched as a result of the alleged conduct. The complaint purports to seek unspecified damages on our behalf, attorneys’ fees, and other costs, as well as an order directing us to reform and improve our corporate governance and internal procedures to comply with applicable laws. We filed a motion to dismiss this case on May 14, 2018. On June 4, 2018, the plaintiff filed an amended complaint. On June 25, 2018, we filed a renewed motion to dismiss this case. On December 3, 2018, the parties filed a stipulation of settlement that contemplates that we will adopt certain compensation-related governance reforms and does not obligate the defendants or us to pay any monetary damages. The court approved the settlement at a hearing on March 12, 2019. As part of the settlement, in April 2019 we paid $300,000 in fees and costs to plaintiff's counsel. As contemplated by the settlement, our board adopted certain compensation-related governance reforms, including a non-employee director compensation policy, which our stockholders approved on May 15, 2019 at our 2019 annual meeting.</w:t>
      </w:r>
    </w:p>
    <w:p>
      <w:pPr>
        <w:spacing w:after="0" w:line="22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August 31, 2018, a shareholder derivative action was filed against current and former members of our board of directors and certain of our current and former officers in the United States District Court for the Southern District of New York, captioned Luis Pacheco v. David R. Guyer, et al., Case No. 1:18-cv-07999. The complaint, which is based substantially on the facts alleged in the CAC, alleges that the defendants breached their fiduciary duties to our company and wasted our corporate assets by failing to oversee our business, and also alleges that the defendants were unjustly enriched as a result of the alleged conduct, including through receipt of bonuses, stock options and similar compensation from us, and through sales of our stock between March 2, 2015 and December 12, 2016. The complaint purports to seek unspecified damages on our behalf, attorneys’ fees, and other costs, as well as an order directing us to reform and improve our corporate governance and internal procedures to comply with applicable laws, including submitting certain proposed amendments to our corporate charter, bylaws and corporate governance policies for vote by our stockholders. On December 14, 2018, we filed a motion to dismiss the complaint. That motion is fully briefed.</w:t>
      </w:r>
    </w:p>
    <w:p>
      <w:pPr>
        <w:spacing w:after="0" w:line="23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October 16, 2018, our board of directors received a shareholder demand to investigate and commence legal proceedings against certain members of our board of directors. The demand alleges facts that are substantially similar to the facts alleged in the CAC and the Pacheco complaint and asserts claims that are substantially similar to the claims asserted in the Pacheco complaint. On January 30, 2019, our board of directors received a second shareholder demand from a different shareholder to investigate and commence legal proceedings against certain current and former members of our board of directors based on allegations that are substantially similar to the allegations contained in the first demand letter.</w:t>
      </w:r>
    </w:p>
    <w:p>
      <w:pPr>
        <w:spacing w:after="0" w:line="22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283"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85"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We are a development-stage company without any approved products. Our growth prospects and the future value of our company are highly dependent on the progress of our research and development programs, including our preclinical development programs for IC-100 and IC-200, our collaborative gene therapy sponsored research programs, our ongoing clinical trials for Zimura and our ongoing preclinical development program for our HtrA1 inhibitors. Drug development is a highly uncertain undertaking and carries significant scientific and other risks.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supporting commercial activities. We may not be successful in such a transition, as our company has never conducted the sales, marketing and distribution activities necessary for successful product commercialization.</w:t>
      </w:r>
    </w:p>
    <w:p>
      <w:pPr>
        <w:spacing w:after="0" w:line="22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For example, we expect to receive initial top-line data from OPH2003, our ongoing Phase 2b clinical trial of Zimura for the treatment of GA secondary to dry AMD, during the fourth quarter of 2019. If such data are negative or do not support further development of Zimura in GA, or if we are to cease development of Zimura in STGD1 as a result of such data or for other reasons, the value of our common stock could be negatively impacted. In addition, because a number of our product candidates are in an early, preclinical stage, even if we are successful in advancing the research and development of those product candidates, the value of our common stock may not rise in a meaningful way, which could affect our ability to raise additional finances. As we continue to invest in these research and development programs to generate data to support further development, the amount of our available cash will continue to decline until such time as we raise additional finances.</w:t>
      </w:r>
    </w:p>
    <w:p>
      <w:pPr>
        <w:spacing w:after="0" w:line="23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224"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Since inception, we have experienced significant cash outflows in funding our operations. To date, we have not generated any revenues from commercial product sales and have financed our operations primarily through private placements of our preferred stock, venture debt borrowings, funds received under our prior Fovista royalty purchase and sale agreement with Novo Holdings A/S, our initial public offering, which we closed in September 2013, our follow-on public offering, which we closed in February 2014, funds we received under our prior Fovista licensing and commercialization agreement with Novartis Pharma, AG, and funds we received in connection with our acquisition of Inception 4 in October 2018. As of June 30,</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8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2019, we had an accumulated deficit of $448.6 million. Our net loss was $26.9 million for the six months ended June 30, 2019 and we expect to continue to incur significant operating losses for the foreseeable future.</w:t>
      </w:r>
    </w:p>
    <w:p>
      <w:pPr>
        <w:spacing w:after="0" w:line="2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gene therapy product candidates IC-100 and IC-200 and our HtrA1 inhibitor program are each in preclinical development, Zimura is in clinical development, and we are funding collaborative gene therapy sponsored research programs that are ongoing. We expect our research and development expenses to increase as we pursue these programs as currently planned. We could also incur additional research and development expenses as we evaluate and potentially in-license or acquire, and undertake development of additional product candidates, including any promising product candidates that emerge from our collaborative gene therapy sponsored research programs. Furthermore, if we successfully develop and obtain marketing approval for any of our product candidates, we expect to incur significant commercialization expenses related to product sales, marketing, distribution and manufacturing. We are party to agreements with UFRF and Penn with respect to IC-100 and IC-200, UMMS with respect to any potential product candidates from our miniCEP290 program, Archemix Corp. with respect to Zimura and the former equityholders of Inception 4 with respect to our HtrA1 inhibitor program, in each case, that impose significant milestone payment obligations on us in connection with our achievement of specified clinical, regulatory and commercial milestones with respect to these product candidates or programs,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79"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development of IC-100 and IC-200 and pursue our collaborative gene therapy sponsored research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clinical development of Zimura;</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preclinical development of our HtrA1 inhibitor program;</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79"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quality assurance and scientific personnel, especially as we increase our internal gene therapy capabilities;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79"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ability to become and remain profitable depends on our ability to generate revenue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2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our product development programs or commercialization efforts. We may require additional funding beyond what we currently expect.</w:t>
      </w:r>
    </w:p>
    <w:p>
      <w:pPr>
        <w:spacing w:after="0" w:line="22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June 30, 2019, we had cash and cash equivalents of $106.9 million. We believe that our cash and cash equivalents will be sufficient to fund our operations and capital expenditure requirements as currently planned for at least the next 12 months. After taking into account our recent in-licensing transaction for our miniCEP290 program and sponsored research agreement for our miniUSH2A program, we reaffirm our estimate that year-end 2019 cash and cash equivalents will range between $80 million and $85 million. This estimate is based on our current business plan, including the continuation of our current research and development programs. This estimate does not reflect any additional expenditures, including</w:t>
      </w:r>
    </w:p>
    <w:p>
      <w:pPr>
        <w:sectPr>
          <w:pgSz w:w="11900" w:h="16838" w:orient="portrait"/>
          <w:cols w:equalWidth="0" w:num="1">
            <w:col w:w="11400"/>
          </w:cols>
          <w:pgMar w:left="240" w:top="125" w:right="25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5"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associated development costs, in the event we in-license or acquire any new product candidates or commence any new sponsored research programs. We have based this estimate on assumptions that may prove to be wrong, and we could use our available capital resources sooner than we currently expect.</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the future development of our product candidates is highly uncertain, we expect we will require substantial, additional funding in order to complete the activities necessary to develop and commercialize one or more of our product candidates. We expect the development of our product candidates will continue for at least the next several years. At this time, we cannot reasonably estimate the remaining costs necessary to complete development, to complete process development and manufacturing scale-up and validation activities and to potentially seek marketing approval with respect to our product candidates.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79"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IC-100 and IC-200, including activities to establish manufacturing capabilities and preclinical testing to enable us to file INDs for these product candidates;</w:t>
      </w:r>
    </w:p>
    <w:p>
      <w:pPr>
        <w:spacing w:after="0" w:line="224" w:lineRule="exact"/>
        <w:rPr>
          <w:rFonts w:ascii="Arial" w:cs="Arial" w:eastAsia="Arial" w:hAnsi="Arial"/>
          <w:sz w:val="18"/>
          <w:szCs w:val="18"/>
          <w:color w:val="auto"/>
        </w:rPr>
      </w:pPr>
    </w:p>
    <w:p>
      <w:pPr>
        <w:ind w:left="980" w:right="12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200" w:lineRule="exact"/>
        <w:rPr>
          <w:rFonts w:ascii="Arial" w:cs="Arial" w:eastAsia="Arial" w:hAnsi="Arial"/>
          <w:sz w:val="17"/>
          <w:szCs w:val="17"/>
          <w:color w:val="auto"/>
        </w:rPr>
      </w:pPr>
    </w:p>
    <w:p>
      <w:pPr>
        <w:ind w:left="980" w:right="74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costs and results of our ongoing Zimura clinical programs, as well as our ability to secure external funding for any additional clinical trials we may undertake to obtain data sufficient to seek marketing approval for Zimura in any indication;</w:t>
      </w:r>
    </w:p>
    <w:p>
      <w:pPr>
        <w:spacing w:after="0" w:line="177" w:lineRule="exact"/>
        <w:rPr>
          <w:rFonts w:ascii="Arial" w:cs="Arial" w:eastAsia="Arial" w:hAnsi="Arial"/>
          <w:sz w:val="16"/>
          <w:szCs w:val="16"/>
          <w:color w:val="auto"/>
        </w:rPr>
      </w:pPr>
    </w:p>
    <w:p>
      <w:pPr>
        <w:ind w:left="980" w:right="5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our HtrA1 inhibitor program, including formulation development and other preclinical development activities;</w:t>
      </w:r>
    </w:p>
    <w:p>
      <w:pPr>
        <w:spacing w:after="0" w:line="224"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progress and timing of process development, manufacturing scale-up and validation activities and stability studies associated with our product candidates;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extent to which we in-license or acquire rights to, and undertake research or development of, additional product candidates or technologies;</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79"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224"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22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2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These factors may make raising capital difficult, and may result in us accepting terms that are unfavorable to us, especially if we are in need of financing at the particular time. The size of our company and our status as a company listed on The Nasdaq Stock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our product candidates, our collaborative gene therapy sponsored research programs, or our future commercialization efforts.</w:t>
      </w:r>
    </w:p>
    <w:p>
      <w:pPr>
        <w:spacing w:after="0" w:line="22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addition, we may require additional funding beyond what we currently expect due to unforeseen or other reasons. For example, our costs may exceed our expectations if we experience any unforeseen issue in our ongoing clinical trials, such as issues with the retention of enrolled patients or the availability of drug supply, or in our preclinical development programs,</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such as inability to develop formulations or if we experience issues with manufacturing, or if we further expand the scope of our clinical trials, preclinical development programs or collaborative gene therapy sponsored research programs. Our costs may also exceed our expectations for other reasons, for example, if we are required by the FDA, the EMA or regulatory authorities in other jurisdictions to perform clinical or nonclinical trials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or build internal research capabilities or pursue internal research efforts. As a result, we may need or may seek to obtain additional funding for our continuing operations sooner or in greater amounts than expected.</w:t>
      </w:r>
    </w:p>
    <w:p>
      <w:pPr>
        <w:spacing w:after="0" w:line="24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22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capital raises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3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addition, we may issue equity securities as consideration for business development transactions, which may also dilute our existing stockholders' ownership interests. For example, under the Inception 4 Merger Agreement pursuant to which we acquired Inception 4 and our HtrA1 inhibitor program,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UMMS as partial upfront consideration for the in-license of our miniCEP290 program, and are obligated to issue up to 75,000 additional shares to UMMS upon the achievement of certain regulatory milestones.</w:t>
      </w:r>
    </w:p>
    <w:p>
      <w:pPr>
        <w:spacing w:after="0" w:line="22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August 2018, we entered into an agreement with Cowen and Company, LLC, or Cowen, as agent, pursuant to which we may offer and sell shares of our common stock for aggregate gross sale proceeds of up to $50.0 million from time to time through Cowen under an “at-the-market” offering program, subject to the terms and conditions described in the agreement and SEC rules and regulations. We have not yet issued and sold any shares of common stock under our “at-the-market” offering program. If we make sales under our “at-the-market” offering program, the sales could dilute our stockholders, reduce the trading price of our common stock or impede our ability to raise future capital.</w:t>
      </w:r>
    </w:p>
    <w:p>
      <w:pPr>
        <w:spacing w:after="0" w:line="24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strategy of obtaining additional rights to gene therapy product candidates or technologies for the treatment of retinal diseases may not be successful.</w:t>
      </w:r>
    </w:p>
    <w:p>
      <w:pPr>
        <w:spacing w:after="0" w:line="3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An element of our strategy has been to expand our pipeline through potentially in-licensing or acquiring the rights to products, product candidates or technologies that would complement our strategic goals. Since early 2018, we have completed multiple acquisition, in-license, exclusive option and sponsored research arrangements. As we have transitioned our strategy to focus principally on gene therapy opportunities, we have decided to focus our business development efforts on obtaining rights to additional gene therapy product candidates and technologies, which we will continue to evaluate on a selective basis. Because we expect generally that we will not engage directly in internal early stage research and drug discovery efforts, the future growth of our business beyond our current product portfolio will depend on our ability to obtain those rights to additional gene therapy product candidates, including any promising product candidates that may emerge from our collaborative gene therapy sponsored research programs. We may also continue to consider other alternatives, including mergers or other transactions involving our company as a whole or other collaboration transactions, including, if data from either of our Zimura clinical trials are positive, partnering opportunities for further clinical development of Zimura. Our business development efforts may fail to result in our acquiring rights to additional gene therapy product candidates or technologies, or may result in our consummating transactions with which you do not agree.</w:t>
      </w:r>
    </w:p>
    <w:p>
      <w:pPr>
        <w:spacing w:after="0" w:line="23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may be unable to in-license or acquire the rights to any such gene therapy product candidates or technologies from third parties for several reasons. The success of this strategy depends partly upon our ability to identify, select and acquire or in-license promising product candidates and technologies, which is especially difficult for gene therapies. There are currently a limited number of available gene therapy product candidates or technologies for the retina and the competition for those assets is intense. Although we are planning to target opportunities where we believe third-party funding for specific programs or technologies may be available, funding may not in fact be available for any number of reasons. The process of proposing, negotiating and implementing a license or acquisition of a product candidate is lengthy and complex. For potential product candidates or technologies to which we have entered into option agreements or sponsored research agreements where we have option rights, those agreements generally do not have fixed economic or other key terms for definitive agreements, and we may not obtain favorable terms if and when we choose to exercise our option to acquire or in-license any promising product candidates or technologies.</w:t>
      </w:r>
    </w:p>
    <w:p>
      <w:pPr>
        <w:spacing w:after="0" w:line="23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in-licensing and acquisition of pharmaceutical products, especially in gene therapy,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22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2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79" w:lineRule="exact"/>
        <w:rPr>
          <w:sz w:val="20"/>
          <w:szCs w:val="20"/>
          <w:color w:val="auto"/>
        </w:rPr>
      </w:pPr>
    </w:p>
    <w:p>
      <w:pPr>
        <w:ind w:left="980" w:right="2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79"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 to the amount that must be amortized over the appropriate life of the asset;</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90" w:lineRule="exact"/>
        <w:rPr>
          <w:rFonts w:ascii="Arial" w:cs="Arial" w:eastAsia="Arial" w:hAnsi="Arial"/>
          <w:sz w:val="17"/>
          <w:szCs w:val="17"/>
          <w:color w:val="auto"/>
        </w:rPr>
      </w:pPr>
    </w:p>
    <w:p>
      <w:pPr>
        <w:ind w:left="980" w:right="4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partners integral to an in-licensed or acquired product candidate or technology;</w:t>
      </w:r>
    </w:p>
    <w:p>
      <w:pPr>
        <w:spacing w:after="0" w:line="224"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without limitation, problems, liabilities or other shortcomings or challenges with respect to intellectual property, product quality, revenue recognition or other accounting practices, partner disputes or issues and other legal and financial contingencies and known and unknown liabilities; and</w:t>
      </w:r>
    </w:p>
    <w:p>
      <w:pPr>
        <w:spacing w:after="0" w:line="24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entry into therapeutic modalities, indications or markets in which we have no or limited direct prior development or commercial experience and where competitors in such markets have stronger market positions.</w:t>
      </w:r>
    </w:p>
    <w:p>
      <w:pPr>
        <w:spacing w:after="0" w:line="22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22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Fovista in combination with anti-VEGF agents for the treatment of wet AMD. Certain current and former members of our board of directors and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We and the defendants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passed in December 2017 could adversely affect our business and financial condition.</w:t>
      </w:r>
    </w:p>
    <w:p>
      <w:pPr>
        <w:spacing w:after="0" w:line="2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December 2017, United States President Donald J. Trump signed into law new legislation that significantly revised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The United States Department of Treasury and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Internal Revenue Service are continuing to issue new guidance and interpretations of various provisions of the new tax law. In addition, various states have responded in different ways to the new federal tax law. The impact of this new tax law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9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224" w:lineRule="exact"/>
        <w:rPr>
          <w:sz w:val="20"/>
          <w:szCs w:val="20"/>
          <w:color w:val="auto"/>
        </w:rPr>
      </w:pPr>
    </w:p>
    <w:p>
      <w:pPr>
        <w:ind w:left="980" w:right="3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 in in-licensing or acquiring, including those that we may evaluate as part of our collaborative gene therapy sponsored research programs;</w:t>
      </w:r>
    </w:p>
    <w:p>
      <w:pPr>
        <w:spacing w:after="0" w:line="235" w:lineRule="exact"/>
        <w:rPr>
          <w:rFonts w:ascii="Arial" w:cs="Arial" w:eastAsia="Arial" w:hAnsi="Arial"/>
          <w:sz w:val="18"/>
          <w:szCs w:val="18"/>
          <w:color w:val="auto"/>
        </w:rPr>
      </w:pPr>
    </w:p>
    <w:p>
      <w:pPr>
        <w:ind w:left="980" w:right="580" w:hanging="324"/>
        <w:spacing w:after="0" w:line="28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219"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79"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applying for and receiving marketing approvals from applicable regulatory authorities for the marketing and sale of our product candidates;</w:t>
      </w:r>
    </w:p>
    <w:p>
      <w:pPr>
        <w:spacing w:after="0" w:line="290" w:lineRule="exact"/>
        <w:rPr>
          <w:rFonts w:ascii="Arial" w:cs="Arial" w:eastAsia="Arial" w:hAnsi="Arial"/>
          <w:sz w:val="17"/>
          <w:szCs w:val="17"/>
          <w:color w:val="auto"/>
        </w:rPr>
      </w:pPr>
    </w:p>
    <w:p>
      <w:pPr>
        <w:ind w:left="980" w:right="14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scale-up and commercial manufacturing, receiving regulatory approval of our manufacturing processes and our third-party manufacturers’ facilities and ensuring adequate supply of drug product and starting materials used for the manufacture of drug product;</w:t>
      </w:r>
    </w:p>
    <w:p>
      <w:pPr>
        <w:spacing w:after="0" w:line="23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achieving acceptance of the product candidate, if and when approved, by patients, the medical community and third-party payors;</w:t>
      </w:r>
    </w:p>
    <w:p>
      <w:pPr>
        <w:spacing w:after="0" w:line="279" w:lineRule="exact"/>
        <w:rPr>
          <w:rFonts w:ascii="Arial" w:cs="Arial" w:eastAsia="Arial" w:hAnsi="Arial"/>
          <w:sz w:val="18"/>
          <w:szCs w:val="18"/>
          <w:color w:val="auto"/>
        </w:rPr>
      </w:pPr>
    </w:p>
    <w:p>
      <w:pPr>
        <w:ind w:left="980" w:right="48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200"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79" w:lineRule="exact"/>
        <w:rPr>
          <w:rFonts w:ascii="Arial" w:cs="Arial" w:eastAsia="Arial" w:hAnsi="Arial"/>
          <w:sz w:val="18"/>
          <w:szCs w:val="18"/>
          <w:color w:val="auto"/>
        </w:rPr>
      </w:pPr>
    </w:p>
    <w:p>
      <w:pPr>
        <w:ind w:left="980" w:right="30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79"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all applicable regulatory requirements, including FDA Good Laboratory Practices, or GLP, FDA Good Clinical Practices, or GCP, current Good Manufacturing Practices, or cGMP, and standards, rules and regulations governing promotional and other marketing activities.</w:t>
      </w:r>
    </w:p>
    <w:p>
      <w:pPr>
        <w:spacing w:after="0" w:line="23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research and development efforts, diversify our product offerings or continue our operations. A decrease in the value of our company would also cause our stockholders to lose all or part of their investment.</w:t>
      </w:r>
    </w:p>
    <w:p>
      <w:pPr>
        <w:spacing w:after="0" w:line="2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Drug development is a highly uncertain undertaking. Our research and development efforts may not be successful or may be delayed for any number of reasons, in which case potential marketing approval or commercialization of our product candidates could be prevented or delayed.</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candidates in humans. Prior to initiating clinical trials, a sponsor must complete extensive preclinical testing of a product candidate, including, in most cases, preclinical efficacy experiments as well as IND-enabling toxicology studies. Drug research, including the gene therapy research we are sponsoring with UMMS, may never yield a product candidate for preclinical or clinical development. Early stage and later stage research experiments and preclinical studies may fail at any point for any number of reasons, and even if completed, may be time-consuming and expensive. As a result of these risks, a potentially promising product candidate may never be tested in humans.</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Furthermore, our Phase 2a OPH2007 trial of Zimura in wet AMD did not replicate the results of our Phase 1/2a OPH2000 trial, following which we decided not to proceed with further development of Zimura in wet AMD.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23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224" w:lineRule="exact"/>
        <w:rPr>
          <w:sz w:val="20"/>
          <w:szCs w:val="20"/>
          <w:color w:val="auto"/>
        </w:rPr>
      </w:pPr>
    </w:p>
    <w:p>
      <w:pPr>
        <w:ind w:left="980" w:right="2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 for any preclinical product candidates that we are developing or may wish to in-license or acquire;</w:t>
      </w:r>
    </w:p>
    <w:p>
      <w:pPr>
        <w:spacing w:after="0" w:line="224"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agree with our study design, including our selection of endpoints, or may not authorize us or our investigators to commence a clinical trial or conduct a clinical trial at a prospective trial site;</w:t>
      </w:r>
    </w:p>
    <w:p>
      <w:pPr>
        <w:spacing w:after="0" w:line="224"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3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77" w:lineRule="exact"/>
        <w:rPr>
          <w:rFonts w:ascii="Arial" w:cs="Arial" w:eastAsia="Arial" w:hAnsi="Arial"/>
          <w:sz w:val="16"/>
          <w:szCs w:val="16"/>
          <w:color w:val="auto"/>
        </w:rPr>
      </w:pPr>
    </w:p>
    <w:p>
      <w:pPr>
        <w:ind w:left="980" w:right="10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35" w:lineRule="exact"/>
        <w:rPr>
          <w:rFonts w:ascii="Arial" w:cs="Arial" w:eastAsia="Arial" w:hAnsi="Arial"/>
          <w:sz w:val="18"/>
          <w:szCs w:val="18"/>
          <w:color w:val="auto"/>
        </w:rPr>
      </w:pPr>
    </w:p>
    <w:p>
      <w:pPr>
        <w:ind w:left="980" w:right="34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research for various reasons, including noncompliance with regulatory requirements, including GCPs, or a finding that the participants are being exposed to unacceptable health risks;</w:t>
      </w:r>
    </w:p>
    <w:p>
      <w:pPr>
        <w:spacing w:after="0" w:line="235" w:lineRule="exact"/>
        <w:rPr>
          <w:rFonts w:ascii="Arial" w:cs="Arial" w:eastAsia="Arial" w:hAnsi="Arial"/>
          <w:sz w:val="18"/>
          <w:szCs w:val="18"/>
          <w:color w:val="auto"/>
        </w:rPr>
      </w:pPr>
    </w:p>
    <w:p>
      <w:pPr>
        <w:jc w:val="both"/>
        <w:ind w:left="980" w:right="36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there are no therapies approved for many of the indications we are seeking to treat, in either the United States or the European Union, the regulatory pathway for product candidates in those indications, including the selection of the primary efficacy endpoint for a pivotal clinical trial, is highly uncertain;</w:t>
      </w:r>
    </w:p>
    <w:p>
      <w:pPr>
        <w:spacing w:after="0" w:line="23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there may be changes in the standard of care on which a clinical development plan was based, which may require new or additional trials;</w:t>
      </w:r>
    </w:p>
    <w:p>
      <w:pPr>
        <w:sectPr>
          <w:pgSz w:w="11900" w:h="16838" w:orient="portrait"/>
          <w:cols w:equalWidth="0" w:num="1">
            <w:col w:w="11420"/>
          </w:cols>
          <w:pgMar w:left="240" w:top="125"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1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beyond those we currently contemplate or to abandon product development programs;</w:t>
      </w:r>
    </w:p>
    <w:p>
      <w:pPr>
        <w:spacing w:after="0" w:line="224"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enrollment in these clinical trials may be slower than we anticipate or participants may drop out of these clinical trials at a higher rate than we anticipate. These risks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w:t>
      </w:r>
    </w:p>
    <w:p>
      <w:pPr>
        <w:spacing w:after="0" w:line="24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79"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contract manufacturers may be unable to develop a viable manufacturing process for any product candidates that we are developing; and</w:t>
      </w:r>
    </w:p>
    <w:p>
      <w:pPr>
        <w:spacing w:after="0" w:line="224" w:lineRule="exact"/>
        <w:rPr>
          <w:rFonts w:ascii="Arial" w:cs="Arial" w:eastAsia="Arial" w:hAnsi="Arial"/>
          <w:sz w:val="18"/>
          <w:szCs w:val="18"/>
          <w:color w:val="auto"/>
        </w:rPr>
      </w:pPr>
    </w:p>
    <w:p>
      <w:pPr>
        <w:ind w:left="980" w:right="20" w:hanging="324"/>
        <w:spacing w:after="0" w:line="27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preclinical development and clinical trials of our product candidates or other research activities may be insufficient or inadequate or we may face delays in the manufacture and supply of our product candidates as a result of a decision to transfer manufacturing between contract manufacturers or on account of interruptions in our supply chain, including in relation to the procurement of starting materials, such as plasmids used for the manufacture of our gene therapy product candidates, and the packaging and distribution or import/export of materials and products.</w:t>
      </w:r>
    </w:p>
    <w:p>
      <w:pPr>
        <w:spacing w:after="0" w:line="22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are unable to successfully complete clinical trials of our product candidates or other testing, if the results of these trials or tests are not positive or are only modestly positive or if there are safety concerns, we may:</w:t>
      </w:r>
    </w:p>
    <w:p>
      <w:pPr>
        <w:spacing w:after="0" w:line="23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limitations, distribution restrictions or safety warnings, including boxed warnings;</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Despite our current development plans and ongoing efforts, we may not complete any of our ongoing or planned clinical trials for our product candidates. The timing of the completion of, and the availability of results from, clinical trials is difficult to predict. We do not know whether clinical trials will begin as planned, will need to be restructured or will be completed on schedule, or at all. Furthermore, our development plans may change based on feedback we may receive from regulatory authorities throughout the development process. If we experience delays in manufacturing, testing or marketing approvals, our product development costs would increase. Significant clinical trial delays also could allow our competitors to bring products to market before we do,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23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Gene therapy is an emerging field of drug development that poses many scientific and other risks. We have only limited prior experience in gene therapy research and manufacturing and no prior experience in gene therapy clinical development. Our lack of experience may limit our ability to be successful or may delay our development efforts.</w:t>
      </w:r>
    </w:p>
    <w:p>
      <w:pPr>
        <w:spacing w:after="0" w:line="23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ectPr>
          <w:pgSz w:w="11900" w:h="16838" w:orient="portrait"/>
          <w:cols w:equalWidth="0" w:num="1">
            <w:col w:w="11380"/>
          </w:cols>
          <w:pgMar w:left="240" w:top="125" w:right="279" w:bottom="1440" w:gutter="0" w:footer="0" w:header="0"/>
        </w:sect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125" w:right="27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For example, while there are more than 200 known mutations to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the different types of mutations and their association with various </w:t>
      </w:r>
      <w:r>
        <w:rPr>
          <w:rFonts w:ascii="Arial" w:cs="Arial" w:eastAsia="Arial" w:hAnsi="Arial"/>
          <w:sz w:val="17"/>
          <w:szCs w:val="17"/>
          <w:i w:val="1"/>
          <w:iCs w:val="1"/>
          <w:color w:val="auto"/>
        </w:rPr>
        <w:t>BEST1-</w:t>
      </w:r>
      <w:r>
        <w:rPr>
          <w:rFonts w:ascii="Arial" w:cs="Arial" w:eastAsia="Arial" w:hAnsi="Arial"/>
          <w:sz w:val="17"/>
          <w:szCs w:val="17"/>
          <w:color w:val="auto"/>
        </w:rPr>
        <w:t>related IRDs are still not well-understood. Our product candidate for these diseases, IC-200, may only be effective in treating retinal diseases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associated with certain mutations in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and not other mutations. Additionally, we decided to in-license and pursue the development of IC-200 based on results observed in an autosomal recessive canine disease model. A majority of humans with </w:t>
      </w:r>
      <w:r>
        <w:rPr>
          <w:rFonts w:ascii="Arial" w:cs="Arial" w:eastAsia="Arial" w:hAnsi="Arial"/>
          <w:sz w:val="17"/>
          <w:szCs w:val="17"/>
          <w:i w:val="1"/>
          <w:iCs w:val="1"/>
          <w:color w:val="auto"/>
        </w:rPr>
        <w:t>BEST1-</w:t>
      </w:r>
      <w:r>
        <w:rPr>
          <w:rFonts w:ascii="Arial" w:cs="Arial" w:eastAsia="Arial" w:hAnsi="Arial"/>
          <w:sz w:val="17"/>
          <w:szCs w:val="17"/>
          <w:color w:val="auto"/>
        </w:rPr>
        <w:t>related IRDs, however, have the autosomal dominant form of the disease, commonly referred to as Best disease. If we choose to develop IC-200 for this patient population, using a construct previously studied in an autosomal recessive canine disease model, this approach may ultimately prove ineffective.</w:t>
      </w:r>
    </w:p>
    <w:p>
      <w:pPr>
        <w:spacing w:after="0" w:line="23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For our miniCEP290 program and other minigene programs, we are sponsoring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sponsored research may not fully elucidate all of the physiological risks associated with a particular minigene and the associated expressed protein. For these and other reasons, promising minigene candidates that emerge from our sponsored research programs with UMMS may not succeed in later stage preclinical and clinical development.</w:t>
      </w:r>
    </w:p>
    <w:p>
      <w:pPr>
        <w:spacing w:after="0" w:line="23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particularly focused on adeno-associated virus, or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23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Although we believe gene therapy is a promising area for retinal drug development, our gene therapy research and development experience is limited to only a few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miniCEP290 program or our other collaborative gene therapy sponsored research programs, which would limit our prospects for future growth.</w:t>
      </w:r>
    </w:p>
    <w:p>
      <w:pPr>
        <w:spacing w:after="0" w:line="23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w:t>
      </w:r>
      <w:r>
        <w:rPr>
          <w:rFonts w:ascii="Arial" w:cs="Arial" w:eastAsia="Arial" w:hAnsi="Arial"/>
          <w:sz w:val="18"/>
          <w:szCs w:val="18"/>
          <w:color w:val="auto"/>
        </w:rPr>
        <w:t xml:space="preserve"> </w:t>
      </w:r>
      <w:r>
        <w:rPr>
          <w:rFonts w:ascii="Arial" w:cs="Arial" w:eastAsia="Arial" w:hAnsi="Arial"/>
          <w:sz w:val="18"/>
          <w:szCs w:val="18"/>
          <w:i w:val="1"/>
          <w:iCs w:val="1"/>
          <w:color w:val="auto"/>
        </w:rPr>
        <w:t>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8"/>
          <w:szCs w:val="18"/>
          <w:color w:val="auto"/>
        </w:rPr>
        <w:t>".</w:t>
      </w:r>
    </w:p>
    <w:p>
      <w:pPr>
        <w:spacing w:after="0" w:line="24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Our development of Zimura is based on a novel mechanism of action that is unproven and poses a number of scientific and other risks, and we may not be successful in developing Zimura in the indications we are pursuing. Our ongoing and any future clinical trials for Zimura may not provide sufficient safety and efficacy data to support future development efforts or seeking and obtaining marketing approval.</w:t>
      </w:r>
    </w:p>
    <w:p>
      <w:pPr>
        <w:spacing w:after="0" w:line="20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targeting GA, an advanced form of dry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for selective molecular targets, including complement C5, as potential pharmaceutical treatments for AMD, this approach may not prove successful for treating AMD in a clinically meaningful way. Similarly, although there is non-clinical scientific literature supporting the potential use of inhibitors of the complement system for the treatment of STGD1, this approach may not prove clinically successful as well.</w:t>
      </w:r>
    </w:p>
    <w:p>
      <w:pPr>
        <w:spacing w:after="0" w:line="23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Zimura is designed to inhibit complement C5. There are no FDA or EMA approved products that utilize C5 inhibition as a mechanism of action to treat GA or STGD1, and this mechanism of action may not prove safe and effective for these diseases. Moreover, the failure of prior clinical trials evaluating complement inhibition in GA, including a competitor's two Phase 3 clinical trials evaluating an investigational anti-complement factor D antibody administered via intravitreal injections, a</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second competitor's Phase 2 clinical trial evaluating an investigational anti-C5 antibody administered via intravitreal injections and a third competitor's Phase 2 clinical trial evaluating an anti-C5 antibody administered systemically, may call into question the hypothesis underlying the use of a complement inhibitor as a method for treating GA.</w:t>
      </w:r>
    </w:p>
    <w:p>
      <w:pPr>
        <w:spacing w:after="0" w:line="23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only very limited data from a small, uncontrolled clinical trial regarding the safety and efficacy of Zimura as a monotherapy for the treatment of GA, and we have no human clinical data regarding the safety and efficacy of Zimura as a treatment for STGD1. Our prior Zimura trials were not powered to demonstrate the efficacy of Zimura therapy with statistical significance. Our ongoing and any future clinical trials for Zimura that we or a potential future partner may undertake may fail to demonstrate sufficient safety or efficacy to justify further development or to ultimately seek or obtain marketing approval. Any negative results from our ongoing or any future clinical trials for Zimura, including from our OPH2003 trial for which we expect initial top-line data to be available during the fourth quarter of 2019, could adversely affect our business and the value of your investment in our company.</w:t>
      </w:r>
    </w:p>
    <w:p>
      <w:pPr>
        <w:spacing w:after="0" w:line="232" w:lineRule="exact"/>
        <w:rPr>
          <w:sz w:val="20"/>
          <w:szCs w:val="20"/>
          <w:color w:val="auto"/>
        </w:rPr>
      </w:pPr>
    </w:p>
    <w:p>
      <w:pPr>
        <w:ind w:firstLine="648"/>
        <w:spacing w:after="0" w:line="284" w:lineRule="auto"/>
        <w:rPr>
          <w:sz w:val="20"/>
          <w:szCs w:val="20"/>
          <w:color w:val="auto"/>
        </w:rPr>
      </w:pPr>
      <w:r>
        <w:rPr>
          <w:rFonts w:ascii="Arial" w:cs="Arial" w:eastAsia="Arial" w:hAnsi="Arial"/>
          <w:sz w:val="17"/>
          <w:szCs w:val="17"/>
          <w:color w:val="auto"/>
        </w:rPr>
        <w:t>The statistical analysis of a clinical trial outcome is primarily determined based on three factors: variability in the measured endpoint among the patient population, the magnitude of the drug effect observed in relation to that variability and the number of patients from whom data is collected in the clinical trial. Given that we have limited data regarding the effect of Zimura in GA, we determined the size of the OPH2003 trial in GA based on our best estimates of the size of trial required to demonstrate a potential clinical benefit for Zimura. This estimate incorporates our assumptions regarding the potential performance of Zimura in this indication based in part on available third-party clinical trial data and our statistical analysis of this data, as well as our assumptions regarding the number of patients that will continue to participate in the trial and from whom we will be able to collect data through the 12-month timepoint. In addition, although we initially determined the size of the OPH2005 trial in STGD1 based on the number of patients with STGD1 that we believed could potentially be enrolled within a reasonable period of time, we decided to cease patient enrollment during the first quarter of 2019 in light of the 18-month endpoint and our goal of providing initial top-line data from this trial by the end of 2020. As STGD1 is an orphan indication, to our knowledge there is only very limited natural history data currently available regarding the variability for our planned primary efficacy endpoint in the STGD1 patient population we enrolled in this trial. Moreover, because both GA and Stargardt disease are degenerative diseases, and in many cases, the rate of degeneration is slow, and because we are seeking to slow the progression of degeneration with Zimura, and not necessarily to reverse prior degeneration or restore visual function, patients participating in our trials may not perceive a benefit from continuing to participate and therefore may drop out of the trial. Although we and the investigators participating in our trials and their staff take efforts to encourage continued patient participation, the drop-out rate for our Zimura trials may exceed our expectations. A higher than expected drop-out rate would reduce the number of patients from whom data is available for analyzing the primary endpoint for these trials. Given the information above, these trials could be underpowered to demonstrate a potential clinical benefit for Zimura in these indications.</w:t>
      </w:r>
    </w:p>
    <w:p>
      <w:pPr>
        <w:spacing w:after="0" w:line="22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Furthermore, our ongoing Zimura clinical trials are evaluating </w:t>
      </w:r>
      <w:r>
        <w:rPr>
          <w:rFonts w:ascii="Arial" w:cs="Arial" w:eastAsia="Arial" w:hAnsi="Arial"/>
          <w:sz w:val="18"/>
          <w:szCs w:val="18"/>
          <w:color w:val="auto"/>
          <w:highlight w:val="white"/>
        </w:rPr>
        <w:t>Zimura dosing levels and regimens that we have studied previously only in a small</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number of patients, and this approach </w:t>
      </w:r>
      <w:r>
        <w:rPr>
          <w:rFonts w:ascii="Arial" w:cs="Arial" w:eastAsia="Arial" w:hAnsi="Arial"/>
          <w:sz w:val="18"/>
          <w:szCs w:val="18"/>
          <w:color w:val="auto"/>
        </w:rPr>
        <w:t>may increase the risk that patients in our ongoing trials experience adverse events and/or serious adverse events (either</w:t>
      </w:r>
      <w:r>
        <w:rPr>
          <w:rFonts w:ascii="Arial" w:cs="Arial" w:eastAsia="Arial" w:hAnsi="Arial"/>
          <w:sz w:val="18"/>
          <w:szCs w:val="18"/>
          <w:color w:val="auto"/>
          <w:highlight w:val="white"/>
        </w:rPr>
        <w:t xml:space="preserve"> </w:t>
      </w:r>
      <w:r>
        <w:rPr>
          <w:rFonts w:ascii="Arial" w:cs="Arial" w:eastAsia="Arial" w:hAnsi="Arial"/>
          <w:sz w:val="18"/>
          <w:szCs w:val="18"/>
          <w:color w:val="auto"/>
        </w:rPr>
        <w:t>ocular, systemic or both) that we have not observed or at rates that we have not observed in prior trials. Although we did not observe adverse events or serious adverse events attributable to the drug product in our recently completed OPH2007 trial, previously unobserved adverse events and/or serious adverse events may manifest in our current Zimura clinical trials. For a further discussion of the safety risks in our trials, see the risk factor herein entitled "</w:t>
      </w:r>
      <w:r>
        <w:rPr>
          <w:rFonts w:ascii="Arial" w:cs="Arial" w:eastAsia="Arial" w:hAnsi="Arial"/>
          <w:sz w:val="18"/>
          <w:szCs w:val="18"/>
          <w:i w:val="1"/>
          <w:iCs w:val="1"/>
          <w:color w:val="auto"/>
        </w:rPr>
        <w:t>If serious adverse</w:t>
      </w:r>
      <w:r>
        <w:rPr>
          <w:rFonts w:ascii="Arial" w:cs="Arial" w:eastAsia="Arial" w:hAnsi="Arial"/>
          <w:sz w:val="18"/>
          <w:szCs w:val="18"/>
          <w:color w:val="auto"/>
        </w:rPr>
        <w:t xml:space="preserve"> </w:t>
      </w:r>
      <w:r>
        <w:rPr>
          <w:rFonts w:ascii="Arial" w:cs="Arial" w:eastAsia="Arial" w:hAnsi="Arial"/>
          <w:sz w:val="18"/>
          <w:szCs w:val="18"/>
          <w:i w:val="1"/>
          <w:iCs w:val="1"/>
          <w:color w:val="auto"/>
        </w:rPr>
        <w:t>or unacceptable side effects are identified during the development of our product candidates, we may need to abandon or limit our development of such product candidates.</w:t>
      </w:r>
      <w:r>
        <w:rPr>
          <w:rFonts w:ascii="Arial" w:cs="Arial" w:eastAsia="Arial" w:hAnsi="Arial"/>
          <w:sz w:val="18"/>
          <w:szCs w:val="18"/>
          <w:color w:val="auto"/>
        </w:rPr>
        <w:t>"</w:t>
      </w:r>
    </w:p>
    <w:p>
      <w:pPr>
        <w:spacing w:after="0" w:line="2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development of our HtrA1 inhibitor program is also based on a novel mechanism of action that is unproven and poses a number of scientific and other risks. We may not be able to successfully formulate a product candidate from our HtrA1 inhibitors.</w:t>
      </w:r>
    </w:p>
    <w:p>
      <w:pPr>
        <w:spacing w:after="0" w:line="224"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Our HtrA1 inhibitor program is in preclinical development. There are no FDA or EMA approved products that utilize HtrA1 inhibition as a mechanism of action for treating ophthalmic diseases, including GA and other age-related retinal diseases for which we may develop our HtrA1 inhibitor program, and this mechanism of action may not prove safe and effective for these diseases. We made the decision to acquire this program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is in the same region of the 10q26 chromosome as the </w:t>
      </w:r>
      <w:r>
        <w:rPr>
          <w:rFonts w:ascii="Arial" w:cs="Arial" w:eastAsia="Arial" w:hAnsi="Arial"/>
          <w:sz w:val="17"/>
          <w:szCs w:val="17"/>
          <w:i w:val="1"/>
          <w:iCs w:val="1"/>
          <w:color w:val="auto"/>
        </w:rPr>
        <w:t>age-related maculopathy susceptibility 2</w:t>
      </w:r>
      <w:r>
        <w:rPr>
          <w:rFonts w:ascii="Arial" w:cs="Arial" w:eastAsia="Arial" w:hAnsi="Arial"/>
          <w:sz w:val="17"/>
          <w:szCs w:val="17"/>
          <w:color w:val="auto"/>
        </w:rPr>
        <w:t xml:space="preserve">, or </w:t>
      </w:r>
      <w:r>
        <w:rPr>
          <w:rFonts w:ascii="Arial" w:cs="Arial" w:eastAsia="Arial" w:hAnsi="Arial"/>
          <w:sz w:val="17"/>
          <w:szCs w:val="17"/>
          <w:i w:val="1"/>
          <w:iCs w:val="1"/>
          <w:color w:val="auto"/>
        </w:rPr>
        <w:t>ARMS2</w:t>
      </w:r>
      <w:r>
        <w:rPr>
          <w:rFonts w:ascii="Arial" w:cs="Arial" w:eastAsia="Arial" w:hAnsi="Arial"/>
          <w:sz w:val="17"/>
          <w:szCs w:val="17"/>
          <w:color w:val="auto"/>
        </w:rPr>
        <w:t xml:space="preserve">, gene. The </w:t>
      </w:r>
      <w:r>
        <w:rPr>
          <w:rFonts w:ascii="Arial" w:cs="Arial" w:eastAsia="Arial" w:hAnsi="Arial"/>
          <w:sz w:val="17"/>
          <w:szCs w:val="17"/>
          <w:i w:val="1"/>
          <w:iCs w:val="1"/>
          <w:color w:val="auto"/>
        </w:rPr>
        <w:t>ARMS2</w:t>
      </w:r>
      <w:r>
        <w:rPr>
          <w:rFonts w:ascii="Arial" w:cs="Arial" w:eastAsia="Arial" w:hAnsi="Arial"/>
          <w:sz w:val="17"/>
          <w:szCs w:val="17"/>
          <w:color w:val="auto"/>
        </w:rPr>
        <w:t xml:space="preserve"> and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genes are linked, and variants in, or expression of, the </w:t>
      </w:r>
      <w:r>
        <w:rPr>
          <w:rFonts w:ascii="Arial" w:cs="Arial" w:eastAsia="Arial" w:hAnsi="Arial"/>
          <w:sz w:val="17"/>
          <w:szCs w:val="17"/>
          <w:i w:val="1"/>
          <w:iCs w:val="1"/>
          <w:color w:val="auto"/>
        </w:rPr>
        <w:t xml:space="preserve">ARMS2 </w:t>
      </w:r>
      <w:r>
        <w:rPr>
          <w:rFonts w:ascii="Arial" w:cs="Arial" w:eastAsia="Arial" w:hAnsi="Arial"/>
          <w:sz w:val="17"/>
          <w:szCs w:val="17"/>
          <w:color w:val="auto"/>
        </w:rPr>
        <w:t>gene may also be associated with the risk for AMD. The risk for AMD associated with</w:t>
      </w:r>
      <w:r>
        <w:rPr>
          <w:rFonts w:ascii="Arial" w:cs="Arial" w:eastAsia="Arial" w:hAnsi="Arial"/>
          <w:sz w:val="17"/>
          <w:szCs w:val="17"/>
          <w:i w:val="1"/>
          <w:iCs w:val="1"/>
          <w:color w:val="auto"/>
        </w:rPr>
        <w:t xml:space="preserve"> ARMS2 </w:t>
      </w:r>
      <w:r>
        <w:rPr>
          <w:rFonts w:ascii="Arial" w:cs="Arial" w:eastAsia="Arial" w:hAnsi="Arial"/>
          <w:sz w:val="17"/>
          <w:szCs w:val="17"/>
          <w:color w:val="auto"/>
        </w:rPr>
        <w:t>may ultimately prove to be greater than the risk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associated with </w:t>
      </w:r>
      <w:r>
        <w:rPr>
          <w:rFonts w:ascii="Arial" w:cs="Arial" w:eastAsia="Arial" w:hAnsi="Arial"/>
          <w:sz w:val="17"/>
          <w:szCs w:val="17"/>
          <w:i w:val="1"/>
          <w:iCs w:val="1"/>
          <w:color w:val="auto"/>
        </w:rPr>
        <w:t>HtrA1</w:t>
      </w:r>
      <w:r>
        <w:rPr>
          <w:rFonts w:ascii="Arial" w:cs="Arial" w:eastAsia="Arial" w:hAnsi="Arial"/>
          <w:sz w:val="17"/>
          <w:szCs w:val="17"/>
          <w:color w:val="auto"/>
        </w:rPr>
        <w:t>. In addition, even though genetic and histologic findings correlate HtrA1 with AMD, the development and progression of AMD may not be affected by HtrA1. Our assumption that targeting inhibition of HtrA1 as a method of treating AMD may be incorrect, which would likely adversely affect the value of our HtrA1 inhibitor program and its continued development.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Before we can commence IND-enabling studies for our HtrA1 inhibitor program, we need to conduct pre-formulation and formulation studies with our lead compounds in this program to determine whether we can formulate a product candidate for intravitreal administration that is safe to advance into preclinical studies and, depending on the outcome of such studies, into clinical trials. As part of this work, we need to determine which inactive formulation components should be used in the preparation of the product candidate, and derive a preparation that includes an adequate amount of drug substance with the necessary inactive ingredients to achieve the desired safety profile for intravitreal injection into the eye while providing for sufficient pharmacological activity. Formulation development is inherently uncertain, and it is possible we may not be able to formulate any of our lead compounds into a preparation that is safe to advance into preclinical studies or clinical trials in the eye or that provides sufficient pharmacological activity, which would hinder our ability to pursue development of this program. Formulation development can be time-consuming and our anticipated timelines for the development of this program may be delayed.</w:t>
      </w:r>
    </w:p>
    <w:p>
      <w:pPr>
        <w:spacing w:after="0" w:line="2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w:t>
      </w:r>
    </w:p>
    <w:p>
      <w:pPr>
        <w:spacing w:after="0" w:line="224"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side effects that prevented further development of the compound.</w:t>
      </w:r>
    </w:p>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particular, we have limited data regarding the safety, tolerability and efficacy of Zimura administered for the treatment of GA and no data regarding the safety, tolerability and efficacy of Zimura administered for the treatment of STGD1. In our completed clinical trials for Zimura, we have observed only a single adverse event, mild subcapsular cataract, from our OPH2000 trial, assessed to be drug-related by participating investigators. We have no human data regarding IC-100, IC-200 or any of our HtrA1 inhibitors.</w:t>
      </w:r>
    </w:p>
    <w:p>
      <w:pPr>
        <w:spacing w:after="0" w:line="24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In addition,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Because we currently have only one product candidate in clinical development, it is possible that a safety issue in any of our ongoing clinical trials for Zimura could impact all of our then-ongoing clinical trials.</w:t>
      </w:r>
    </w:p>
    <w:p>
      <w:pPr>
        <w:spacing w:after="0" w:line="23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modality may present potentially unknown safety risks when tested in clinical trials that could not have been anticipated based on preclinical toxicology studies. In addition, if we are successful in formulating an HtrA1 product candidate, we intend to administer the product candidate by intravitreal injection, which poses the same safety risks outlined above with respect to intravitreal injections of Zimura.</w:t>
      </w:r>
    </w:p>
    <w:p>
      <w:pPr>
        <w:spacing w:after="0" w:line="24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ocular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In order to avoid accelerating damage to a subject's retina, subretinal injection for RHO-adRP patients in particular must be conducted under extremely low light levels using infrared technology, further complicating the surgical procedure. The margin for error with subretinal injections is extremely low and there are a limited number of retinal surgeons with experience in performing subretinal injections in the eye. In the event that we progress into clinical development with IC-100, IC-200 or any other gene therapy product candidate we may in-license or acquire, we may experience delays or other challenges for our gene therapy development programs as a result of safety issues. For example, in order to generate useful clinical data for any of those gene therapy clinical trials, a retinal surgeon must repeat the same subretinal injection process multiple times and with consistency.</w:t>
      </w:r>
    </w:p>
    <w:p>
      <w:pPr>
        <w:spacing w:after="0" w:line="22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to the currently known safety risks, there may be unknown risks to human health from gene therapies. Because gene therapy involves the introduction of concentrated quantities of AAV, as well as the introduction of persistent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development or commercialization, if any.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Manufacturing issues, including technical or quality issues or issues with scaling up and building our capabilities for later-stage clinical manufacturing or for commercial manufacturing, may arise that could cause delays in our development programs or increase costs. We may experience delays in regulatory approval of our product candidates if we or our contract manufacturers do not satisfy applicable manufacturing regulatory requirements.</w:t>
      </w:r>
    </w:p>
    <w:p>
      <w:pPr>
        <w:spacing w:after="0" w:line="24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do not have internal manufacturing facilities and use or plan to use outside contract manufacturers to manufacture IC-100, IC-200, Zimura, our HtrA1 inhibitors and any other product candidates that we may acquire or in-license. We have a limited number of personnel hired to supervise these outside vendors. Manufacturing for these product candidates could be complicated or present novel technical challenges. Problems with the manufacturing process, even minor deviations from the established process, could result in product defects or manufacturing failures that result in lot failures,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w:t>
      </w:r>
    </w:p>
    <w:p>
      <w:pPr>
        <w:spacing w:after="0" w:line="23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and manufacturing personnel needed to oversee our manufacturing process, which could result in delays in our production or difficulties in maintaining compliance with applicable regulatory requirements. As we or any manufacturer we engage scales up manufacturing of any product candidate, we may encounter unexpected issues relating to the manufacturing processes or the quality, purity or stability of the product, and we may be required to refine or alter our manufacturing processes to address these issues.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22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Our third-party drug substance manufacturer for Zimura has undergone only two pre-approval inspections by the FDA, and has not yet gone through a pre-approval inspection for Zimura.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236"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Any problems in our manufacturing process or our third-party contract manufacturers’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our products.</w:t>
      </w:r>
    </w:p>
    <w:p>
      <w:pPr>
        <w:spacing w:after="0" w:line="20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For a further discussion of the risks associated with our reliance on third-party manufacturers, see the risk factor herein entitled, "</w:t>
      </w:r>
      <w:r>
        <w:rPr>
          <w:rFonts w:ascii="Arial" w:cs="Arial" w:eastAsia="Arial" w:hAnsi="Arial"/>
          <w:sz w:val="17"/>
          <w:szCs w:val="17"/>
          <w:i w:val="1"/>
          <w:iCs w:val="1"/>
          <w:color w:val="auto"/>
        </w:rPr>
        <w:t>We contract with</w:t>
      </w:r>
      <w:r>
        <w:rPr>
          <w:rFonts w:ascii="Arial" w:cs="Arial" w:eastAsia="Arial" w:hAnsi="Arial"/>
          <w:sz w:val="17"/>
          <w:szCs w:val="17"/>
          <w:color w:val="auto"/>
        </w:rPr>
        <w:t xml:space="preserve"> </w:t>
      </w:r>
      <w:r>
        <w:rPr>
          <w:rFonts w:ascii="Arial" w:cs="Arial" w:eastAsia="Arial" w:hAnsi="Arial"/>
          <w:sz w:val="17"/>
          <w:szCs w:val="17"/>
          <w:i w:val="1"/>
          <w:iCs w:val="1"/>
          <w:color w:val="auto"/>
        </w:rPr>
        <w:t>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We have limited experience with gene therapy manufacturing and are dependent on our third-party contract manufacturers and sole source suppliers.</w:t>
      </w:r>
    </w:p>
    <w:p>
      <w:pPr>
        <w:spacing w:after="0" w:line="22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process development may result in unanticipated delays to our timelines, including delays attributable to securing additional manufacturing slots. There may also be long lead times to manufacture or procure starting materials such as plasmids and cell lines, especially for high-quality starting materials that are cGMP compliant. In particular, plasmids, cell lines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25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 number of factors common to the manufacturing of biologics and drugs could also cause production issues or interruptions for gene therapies, including raw material or starting material variability in terms of quality, cell line viability, productivity or stability issues, shortages of any kind, shipping, distribution and supply chain failures, growth media contamination, equipment malfunctions, facility contamination, labor problems, natural disasters, disruption in utility services, terrorist activities,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we and our contract manufacturers are developing our own manufacturing processes, which differ from those originally used by our university collaborators, for example, by using different starting materials. We may not be able to successfully translate the manufacturing process and our manufactured materials may not match the safety and efficacy profile of those used by the universities.</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 important part of manufacturing drug products is performing analytical testing. Analytical testing of gene therapies involves tests that are more numerous, more complex in scope and take a longer time to develop and to conduct as compared to traditional drugs. We and our contract manufacturers need to expend considerable time and resources to develop assays and other analytical tests for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our manufactured materials. If the results of the testing fail to meet our expectations, we may need to delay or repeat certain manufacturing and development activities.</w:t>
      </w:r>
    </w:p>
    <w:p>
      <w:pPr>
        <w:spacing w:after="0" w:line="24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because manufacturing for early stage research is often done under different conditions, using different starting materials and on a smaller scale than what is required for manufacturing for clinical supplies, we may face challenges in adapting the manufacturing processes that were used by our licensors and other academic collaborators and scaling up these processes as necessary to support supply for clinical trials. In order to progress the development of IC-100, IC-200 or any other gene therapy product candidate we may in-license or acquire, we will need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 therapy product candidates, our development plans may be delayed or stalled and our business may be materially harmed.</w:t>
      </w:r>
    </w:p>
    <w:p>
      <w:pPr>
        <w:spacing w:after="0" w:line="23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experience manufacturing Zimura is limited. We and our third-party contract manufacturers have not scaled up or validated the manufacturing process for Zimura for later-stage clinical or commercial manufacturing. We are only in the early stages of establishing manufacturing capabilities for our HtrA1 inhibitor program.</w:t>
      </w:r>
    </w:p>
    <w:p>
      <w:pPr>
        <w:spacing w:after="0" w:line="23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currently use a single third-party manufacturer, Agilent Technologies, to supply us with the chemically synthesized drug substance for Zimura and a different, single third-party manufacturer, Ajinomoto Bio-Pharma Services, to provide fill/finish services for Zimura. In order to obtain and maintain regulatory approval for Zimura, our third-party manufacturers will be required to consistently produce the drug substance used in Zimura in commercial quantities and of specified quality and to execute fill/finish services on a repeated basis and document their ability to do so. If the third-party manufacturers are unable to satisfy this requirement, our business would be materially and adversely affected. To date, we have not yet scaled up the</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process for Zimura beyond the scale used for developmental clinical batches, nor have we validated the manufacturing process.</w:t>
      </w:r>
    </w:p>
    <w:p>
      <w:pPr>
        <w:spacing w:after="0" w:line="27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no established generally accepted manufacturing or quality standards for the production of Zimura. The lack of uniform manufacturing and quality standards among regulatory agencies may delay regulatory approval of Zimura.</w:t>
      </w:r>
    </w:p>
    <w:p>
      <w:pPr>
        <w:spacing w:after="0" w:line="208"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For our HtrA1 inhibitor program, we have engaged a CDMO to produce small quantities of the active pharmaceutical ingredient, or API, of our HtrA1 inhibitors for preclinical development purposes. The time and efforts required for us to fully establish manufacturing capabilities for our HtrA1 inhibitor program may delay or impair our ability to develop this program in accordance with our expected timelines.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30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There are a number of pharmaceutical and biotechnology companies that are currently developing product candidates for the treatment of RHO-adRP, LCA10, Stargardt disease,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and GA, and there is at least one biotechnology company that is currently developing a product candidate for the treatment of </w:t>
      </w:r>
      <w:r>
        <w:rPr>
          <w:rFonts w:ascii="Arial" w:cs="Arial" w:eastAsia="Arial" w:hAnsi="Arial"/>
          <w:sz w:val="18"/>
          <w:szCs w:val="18"/>
          <w:i w:val="1"/>
          <w:iCs w:val="1"/>
          <w:color w:val="auto"/>
        </w:rPr>
        <w:t>BEST1-</w:t>
      </w:r>
      <w:r>
        <w:rPr>
          <w:rFonts w:ascii="Arial" w:cs="Arial" w:eastAsia="Arial" w:hAnsi="Arial"/>
          <w:sz w:val="18"/>
          <w:szCs w:val="18"/>
          <w:color w:val="auto"/>
        </w:rPr>
        <w:t>related IRDs.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 In particular, many companies are pursuing gene therapy approaches for orphan and age-related retinal diseases.</w:t>
      </w:r>
    </w:p>
    <w:p>
      <w:pPr>
        <w:spacing w:after="0" w:line="24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commercial opportunity could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method of administration, however, might have a competitive advantage over one administered by intravitreal injection, depending on the relative safety of the other method of administration.</w:t>
      </w:r>
    </w:p>
    <w:p>
      <w:pPr>
        <w:spacing w:after="0" w:line="21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competitors also may obtain FDA or other regulatory approval for their products more rapidly than we may obtain approval for ours, which could result in our competitors establishing a strong market position before we are able to enter the relevant market. Furthermore, our ability to compete may be affected in many cases by insurers or other third-party payors, particularly Medicare, seeking to encourage the use of less expensive or more convenient products.</w:t>
      </w:r>
    </w:p>
    <w:p>
      <w:pPr>
        <w:spacing w:after="0" w:line="2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case of orphan diseases such as the IRDs for which we are researching and developing potential treatments, should we be successful in development, our commercialization efforts may rely on non-patent market exclusivity periods under the Orphan Drug Act and the Hatch-Waxman Act. The Orphan Drug Act only provides exclusivity periods for the specific drug granted orphan drug designation for a specific indication. In addition, there are limited circumstances under each of the Orphan Drug Act and the Hatch-Waxman Act that could result in our loss of data and marketing exclusivity, which could allow a competitor to enter the market. Failure to maintain either data or market exclusivity period could have a material adverse effect on our ability to commercialize our product candidates.</w:t>
      </w:r>
    </w:p>
    <w:p>
      <w:pPr>
        <w:spacing w:after="0" w:line="24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enrollment for clinical trials, as well as in acquiring technologies complementary to, or necessary for, our development programs.</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79" w:lineRule="exact"/>
        <w:rPr>
          <w:sz w:val="20"/>
          <w:szCs w:val="20"/>
          <w:color w:val="auto"/>
        </w:rPr>
      </w:pPr>
    </w:p>
    <w:p>
      <w:pPr>
        <w:ind w:left="660" w:right="20" w:hanging="328"/>
        <w:spacing w:after="0" w:line="259" w:lineRule="auto"/>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There are a number of products in preclinical research by third parties to treat RHO-adRP. We are aware that multiple academic institutions have early stage gene therapy development programs in RHO-adRP. In addition, prior to its acquisition by Biogen Inc., Nightstar Therapeutics plc had a preclinical AAV gene therapy program in RHO-adRP. ProQR Therapeutics N.V. is developing an early stage RNA-based therapeutic for RHO-adRP. Editas Medicine, Inc. is also exploring a potential program in this disease.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79" w:lineRule="exact"/>
        <w:rPr>
          <w:sz w:val="20"/>
          <w:szCs w:val="20"/>
          <w:color w:val="auto"/>
        </w:rPr>
      </w:pPr>
    </w:p>
    <w:p>
      <w:pPr>
        <w:ind w:left="660" w:right="5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We are aware that, prior to its acquisition by Biogen, Nightstar Therapeutics plc had a preclinical AAV gene therapy program for one or more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79" w:lineRule="exact"/>
        <w:rPr>
          <w:sz w:val="20"/>
          <w:szCs w:val="20"/>
          <w:color w:val="auto"/>
        </w:rPr>
      </w:pPr>
    </w:p>
    <w:p>
      <w:pPr>
        <w:ind w:left="660" w:hanging="328"/>
        <w:spacing w:after="0" w:line="27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are aware that Editas Medicine has a CRISPR gene editing program for LCA10, an IND for which was submitted in late 2018, ProQR Therapeutics N.V. is developing an RNA-based therapeutic for LCA10 that is currently in clinical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79" w:lineRule="exact"/>
        <w:rPr>
          <w:sz w:val="20"/>
          <w:szCs w:val="20"/>
          <w:color w:val="auto"/>
        </w:rPr>
      </w:pPr>
    </w:p>
    <w:p>
      <w:pPr>
        <w:ind w:left="660" w:right="80" w:hanging="328"/>
        <w:spacing w:after="0" w:line="272"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are a number of products in preclinical research and clinical development by third parties to treat Stargardt disease. We are aware that Sanofi, Acucela Inc., Alkeus Pharmaceuticals, Inc., Lin BioScience, Inc., Nightstar Therapeutics plc (prior to its acquisition by Biogen), ProQR Therapeutics N.V., Spark Therapeutics and Generation Bio Co. each have research or development programs in Stargardt disease. Three of these programs, Acucela, Alkeus and Lin BioScience, are exploring the use of oral therapeutics, while Sanofi, with technology provided by Oxford BioMedica plc, Nightstar and Spark are each using a gene therapy approach and ProQR is using an RNA based approach. Acucela’s product candidate is in Phase 3 development while Alkeus’s and Sanofi’s product candidates are each in Phase 2 development. Spark's program is in the research phase. In addition, several academic organizations have early stage programs in Stargardt disease.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w:t>
      </w:r>
      <w:r>
        <w:rPr>
          <w:rFonts w:ascii="Arial" w:cs="Arial" w:eastAsia="Arial" w:hAnsi="Arial"/>
          <w:sz w:val="18"/>
          <w:szCs w:val="18"/>
          <w:color w:val="auto"/>
        </w:rPr>
        <w:t>related IRDs</w:t>
      </w:r>
      <w:r>
        <w:rPr>
          <w:rFonts w:ascii="Arial" w:cs="Arial" w:eastAsia="Arial" w:hAnsi="Arial"/>
          <w:sz w:val="18"/>
          <w:szCs w:val="18"/>
          <w:i w:val="1"/>
          <w:iCs w:val="1"/>
          <w:color w:val="auto"/>
        </w:rPr>
        <w:t>:</w:t>
      </w:r>
    </w:p>
    <w:p>
      <w:pPr>
        <w:spacing w:after="0" w:line="279" w:lineRule="exact"/>
        <w:rPr>
          <w:sz w:val="20"/>
          <w:szCs w:val="20"/>
          <w:color w:val="auto"/>
        </w:rPr>
      </w:pPr>
    </w:p>
    <w:p>
      <w:pPr>
        <w:ind w:left="660" w:right="40" w:hanging="328"/>
        <w:spacing w:after="0" w:line="259" w:lineRule="auto"/>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Therapeutics N.V.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Dry AMD and GA:</w:t>
      </w:r>
    </w:p>
    <w:p>
      <w:pPr>
        <w:spacing w:after="0" w:line="279" w:lineRule="exact"/>
        <w:rPr>
          <w:sz w:val="20"/>
          <w:szCs w:val="20"/>
          <w:color w:val="auto"/>
        </w:rPr>
      </w:pPr>
    </w:p>
    <w:p>
      <w:pPr>
        <w:ind w:left="660" w:hanging="328"/>
        <w:spacing w:after="0" w:line="28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dry AMD, including several that are in development for GA secondary to dry AMD. In general, these product candidates can be categorized based on their proposed mechanisms of action. The mechanisms of action for these product candidates include inflammation suppression, such as complement system inhibitors and corticosteroids, visual cycle modulators, antioxidants and neuroprotectants, cell and gene therapies and vascular perfusion enhancers. We are aware that Apellis Pharmaceuticals, Inc., Roche AG, Novartis AG and MorphoSys AG, Hemera Biosciences, Inc., Gyroscope Therapeutics, Achillion Pharmaceuticals, Inc., and Catalyst Biosciences, Inc. each have complement inhibitors in development for dry AMD. We believe that the most advanced of these programs is Apellis's pegylated, synthetic peptide targeting complement protein C3. Following positive Phase 2 results for its C3 complement inhibitor product candidate, Apellis announced in September 2018 that it had dosed the first patient in a Phase 3 program for this product candidate. If Apellis's Phase 3 program for its C3 complement inhibitor product candidate is successful, it is likely that Apellis may obtain marketing approval for its product candidate in advance of when we could reasonably expect marketing approval for Zimura in GA or a product candidate from our HtrA1 inhibitor program in GA, if at all. Moreover, we are aware that several other companies have announced development programs for the treatment of dry AMD or GA targeting different mechanisms of action outside of the complement system.</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15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a company, we have no experience in the sale, marketing or distribution of pharmaceutical products. We currently do not have any sales, marketing or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candidate is approved, the territories in which the product candidate may be marketed and the commercial potential for such product candidate. Our gene therapy programs are currently being developed for orphan IRDs with a limited number of affected individuals. In contrast, we are developing Zimura and our HtrA1 inhibitor program for GA secondary to dry AMD, which is a condition affecting a relatively large number of individuals. If any of our product candidates are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w:t>
      </w:r>
    </w:p>
    <w:p>
      <w:pPr>
        <w:spacing w:after="0" w:line="22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79"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79"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7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would not be successful in commercializing our product candidates.</w:t>
      </w:r>
    </w:p>
    <w:p>
      <w:pPr>
        <w:spacing w:after="0" w:line="2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products and product candidates may be smaller than we estimate.</w:t>
      </w:r>
    </w:p>
    <w:p>
      <w:pPr>
        <w:spacing w:after="0" w:line="23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224"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by a subgroup of patients;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in the label imposing a waiting period in between intravitreal or subretinal injections;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79"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200" w:lineRule="exact"/>
        <w:rPr>
          <w:rFonts w:ascii="Arial" w:cs="Arial" w:eastAsia="Arial" w:hAnsi="Arial"/>
          <w:sz w:val="17"/>
          <w:szCs w:val="17"/>
          <w:color w:val="auto"/>
        </w:rPr>
      </w:pPr>
    </w:p>
    <w:p>
      <w:pPr>
        <w:ind w:left="980" w:right="40" w:hanging="324"/>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177" w:lineRule="exact"/>
        <w:rPr>
          <w:rFonts w:ascii="Arial" w:cs="Arial" w:eastAsia="Arial" w:hAnsi="Arial"/>
          <w:sz w:val="16"/>
          <w:szCs w:val="16"/>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modalities such as gene therapy; and</w:t>
      </w:r>
    </w:p>
    <w:p>
      <w:pPr>
        <w:spacing w:after="0" w:line="302" w:lineRule="exact"/>
        <w:rPr>
          <w:rFonts w:ascii="Arial" w:cs="Arial" w:eastAsia="Arial" w:hAnsi="Arial"/>
          <w:sz w:val="16"/>
          <w:szCs w:val="16"/>
          <w:color w:val="auto"/>
        </w:rPr>
      </w:pPr>
    </w:p>
    <w:p>
      <w:pPr>
        <w:ind w:left="980" w:right="30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whether co-formulated alternatives, alternatives that can be co-administered in a single syringe or alternatives that offer a less invasive method of administration than intravitreal injection or subretinal injection come to market.</w:t>
      </w:r>
    </w:p>
    <w:p>
      <w:pPr>
        <w:spacing w:after="0" w:line="23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each of our Zimura trials where patients will receive multiple intravitreal injections on the same day, we have provided for a delay in the second intravitreal injection to minimize the risk of an unacceptable increase in intraocular pressure as a result of the volume of the multiple injections. In addition, certain of the Zimura dosing regimens we are evaluating require injections more frequently than once per month. If Zimura receives marketing approval for a particular indication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247"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our industry knowledge, industry publications, market response to Spark Therapeutics's Luxturna®, Novartis AG's Zolgensma® and anti-VEGF agents currently approved for treatment of wet AMD, third-party research reports and other surveys. While we believe that our internal assumptions are reasonable, no independent source has verified such assumptions and any of these assumptions could prove to be inaccurate, and the actual market for such product candidates could be smaller than our estimates of our potential market opportunity.</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are several factors that could contribute to the actual number of patients who receive an approved therapy being less than our current estimate of the potentially addressable market. 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Further, the severity of the progression of a disease up to the time of treatment, especially in certain degenerative conditions such as IRDs, likely will diminish the therapeutic benefit conferred by a gene therapy due to irreversible cell death. Certain patients’ immune systems and prior exposure to the virus used to deliver a gene therapy might inhibit the successful delivery of certain gene therapy products to the target tissue, thereby limiting eligibility for treatment or limiting treatment outcomes. If the number of patients that may benefit from the treatments we are seeking to develop is lower than we expect, our business, financial condition, results of operations and prospects may be adversely affected.</w:t>
      </w:r>
    </w:p>
    <w:p>
      <w:pPr>
        <w:spacing w:after="0" w:line="236"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product candidates, even if our product candidates obtain marketing approval and are widely accepted and prescribed or used by physicians.</w:t>
      </w:r>
    </w:p>
    <w:p>
      <w:pPr>
        <w:spacing w:after="0" w:line="27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one of which began commercial sales in 2018 and the other of which was only recently launched in the United States,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 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Moreover, if we obtain marketing approval for a product candidate, such as Zimura, in more than one indication, including, for example in an orphan indication such as STGD1 and a non-orphan indication such as GA secondary to dry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Trump Administration and many states. For example, the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CMS is considering issuing a proposed rule that would describe the model in more detail, with the goal of starting the model in spring 2020. The Trump Administration has also expressed an interest in authorizing and/or directing CMS or other agencies of the U.S. government to negotiate prices for drugs covered by Medicare directly with pharmaceutical companies. If this were to occur,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Moreover, increasingly, third-party payors are requiring that drug companies provide them with predetermined discounts from list prices and are challenging the prices charged for pharmaceutical products. We cannot be sure that coverage and reimbursement will be available for any product that we commercialize or any commercialization partner commercializes on our behalf, and, even if these are available, the level of reimbursement may not be satisfactory.</w:t>
      </w:r>
    </w:p>
    <w:p>
      <w:pPr>
        <w:spacing w:after="0" w:line="11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24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 policy that President Trump and certain members of the U.S. Congress have expressed interest in pursuing.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For a further discussion of health care reform and other political factors affecting drug prices, see the risk factor herein entitled "</w:t>
      </w:r>
      <w:r>
        <w:rPr>
          <w:rFonts w:ascii="Arial" w:cs="Arial" w:eastAsia="Arial" w:hAnsi="Arial"/>
          <w:sz w:val="18"/>
          <w:szCs w:val="18"/>
          <w:i w:val="1"/>
          <w:iCs w:val="1"/>
          <w:color w:val="auto"/>
        </w:rPr>
        <w:t>Current and future</w:t>
      </w:r>
      <w:r>
        <w:rPr>
          <w:rFonts w:ascii="Arial" w:cs="Arial" w:eastAsia="Arial" w:hAnsi="Arial"/>
          <w:sz w:val="18"/>
          <w:szCs w:val="18"/>
          <w:color w:val="auto"/>
        </w:rPr>
        <w:t xml:space="preserve"> </w:t>
      </w:r>
      <w:r>
        <w:rPr>
          <w:rFonts w:ascii="Arial" w:cs="Arial" w:eastAsia="Arial" w:hAnsi="Arial"/>
          <w:sz w:val="18"/>
          <w:szCs w:val="18"/>
          <w:i w:val="1"/>
          <w:iCs w:val="1"/>
          <w:color w:val="auto"/>
        </w:rPr>
        <w:t>legislation and regulations may increase the difficulty and cost for us and any future collaborators to obtain marketing approval of and commercialize our product candidates and affect the prices we or they may charge for such products, when and if approved.</w:t>
      </w:r>
      <w:r>
        <w:rPr>
          <w:rFonts w:ascii="Arial" w:cs="Arial" w:eastAsia="Arial" w:hAnsi="Arial"/>
          <w:sz w:val="18"/>
          <w:szCs w:val="18"/>
          <w:color w:val="auto"/>
        </w:rPr>
        <w:t>"</w:t>
      </w:r>
    </w:p>
    <w:p>
      <w:pPr>
        <w:spacing w:after="0" w:line="1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Genetic tests for assessing a person’s likelihood of developing a chronic disease have focused public attention on the need to protect the privacy of genetic information. For example, concerns have been expressed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Any of these scenarios could decrease the pool of patients willing to participate in a clinical trial for a gene therapy and the demand for a gene therapy once it is approved.</w:t>
      </w:r>
    </w:p>
    <w:p>
      <w:pPr>
        <w:spacing w:after="0" w:line="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2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4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8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20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23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have engaged a gene therapy CDMO for preclinical and Phase 1/2 clinical supply of IC-100 and IC-200. For our HtrA1 inhibitor program, we have engaged a CDMO to produce small quantities of the API for our HtrA1 inhibitors for preclinical development purposes.</w:t>
      </w:r>
    </w:p>
    <w:p>
      <w:pPr>
        <w:spacing w:after="0" w:line="2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currently rely exclusively upon, and purchase on a purchase order basis, a single third-party manufacturer to provide Zimura drug substance and a different single third-party manufacturer to provide fill/finish services for Zimura. We do not currently have any contractual commitments for the supply of Zimura drug substance. We also do not currently have arrangements in place for redundant supply or a second source for drug substance for Zimura or a second source for fill/finish services for Zimura. We purchase the polyethylene glycol, or PEG, reagent used to modify the chemically synthesized aptamer in Zimura on a purchase order basis from a single third-party supplier. We do not currently have any contractual commitments for supply of the PEG reagent we use for Zimura. The prices for manufacturing activities that are not yet contractually committed may vary substantially over time and adversely affect our financial results.</w:t>
      </w:r>
    </w:p>
    <w:p>
      <w:pPr>
        <w:spacing w:after="0" w:line="24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2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the extent that we or our third party manufacturers rely on materials that are sourced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79" w:lineRule="exact"/>
        <w:rPr>
          <w:sz w:val="20"/>
          <w:szCs w:val="20"/>
          <w:color w:val="auto"/>
        </w:rPr>
      </w:pPr>
    </w:p>
    <w:p>
      <w:pPr>
        <w:ind w:left="980" w:right="5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2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w:t>
      </w:r>
    </w:p>
    <w:p>
      <w:pPr>
        <w:spacing w:after="0" w:line="2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in the past and expect in the future to rely upon third parties, such as contract research organizations, or CROs, clinical data management organizations, biostatisticians, academic research collaborators, medical institutions (including reading centers) and clinical investigators, in conducting our preclinical testing and clinical trials for our product candidates.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24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reliance on these third parties for preclinical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within specified timeframes. Failure to do so can result in fines, adverse publicity and civil and criminal sanctions.</w:t>
      </w:r>
    </w:p>
    <w:p>
      <w:pPr>
        <w:spacing w:after="0" w:line="23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 Furthermore, these third parties may also have relationships with other entities, some of which may be our competitors.</w:t>
      </w:r>
    </w:p>
    <w:p>
      <w:pPr>
        <w:spacing w:after="0" w:line="24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also rely upon other third parties to store, package, label and distribute drug supplies for our clinical trials and to store materials and drug substance for our preclinical development activities.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20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rely upon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23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enter into for these programs generally provide that any inventions resulting from the research will be owned by the research institution performing the research, and that we have an option to negotiate for a license to develop and commercialize any such inventions. Confidential information and new inventions derived from these research efforts may be disclosed through publications or other means prior to our third-party research partners being able to protect such intellectual property through the filing of patent applications. Our third-party research partners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to advance our development programs, we may have to alter our development and commercialization plans.</w:t>
      </w:r>
    </w:p>
    <w:p>
      <w:pPr>
        <w:spacing w:after="0" w:line="31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In addition, the commercialization of a product candidate in markets outside of the United States requires regulatory expertise and commercial capabilities that are specific to the local market. For some of our product candidates, we may seek to collaborate with pharmaceutical and biotechnology companies for the development and potential commercialization of those product candidates. In particular, if data from either of our Zimura clinical trials are positive, we plan to seek partnering opportunities for further clinical development of Zimura.</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5"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pharmaceutical and biotechnology companies that have resulted in a reduced number of potential future collaborators.</w:t>
      </w:r>
    </w:p>
    <w:p>
      <w:pPr>
        <w:spacing w:after="0" w:line="237"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w:t>
      </w:r>
    </w:p>
    <w:p>
      <w:pPr>
        <w:spacing w:after="0" w:line="232"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or commercialization of our product candidates. These collaborations carry numerous risks. If any of our collaborations are not successful, we may not be able to capitalize on the market potential of these product candidates.</w:t>
      </w:r>
    </w:p>
    <w:p>
      <w:pPr>
        <w:spacing w:after="0" w:line="15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do enter into any additional arrangements with third parties in the future,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79" w:lineRule="exact"/>
        <w:rPr>
          <w:sz w:val="20"/>
          <w:szCs w:val="20"/>
          <w:color w:val="auto"/>
        </w:rPr>
      </w:pPr>
    </w:p>
    <w:p>
      <w:pPr>
        <w:ind w:left="980" w:right="2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224" w:lineRule="exact"/>
        <w:rPr>
          <w:rFonts w:ascii="Arial" w:cs="Arial" w:eastAsia="Arial" w:hAnsi="Arial"/>
          <w:sz w:val="18"/>
          <w:szCs w:val="18"/>
          <w:color w:val="auto"/>
        </w:rPr>
      </w:pPr>
    </w:p>
    <w:p>
      <w:pPr>
        <w:ind w:left="980" w:right="260" w:hanging="324"/>
        <w:spacing w:after="0" w:line="259"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40" w:lineRule="exact"/>
        <w:rPr>
          <w:rFonts w:ascii="Arial" w:cs="Arial" w:eastAsia="Arial" w:hAnsi="Arial"/>
          <w:sz w:val="18"/>
          <w:szCs w:val="18"/>
          <w:color w:val="auto"/>
        </w:rPr>
      </w:pPr>
    </w:p>
    <w:p>
      <w:pPr>
        <w:ind w:left="980" w:right="680" w:hanging="324"/>
        <w:spacing w:after="0" w:line="308"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rFonts w:ascii="Arial" w:cs="Arial" w:eastAsia="Arial" w:hAnsi="Arial"/>
          <w:sz w:val="17"/>
          <w:szCs w:val="17"/>
          <w:color w:val="auto"/>
        </w:rPr>
      </w:pPr>
    </w:p>
    <w:p>
      <w:pPr>
        <w:ind w:left="980" w:right="10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79" w:lineRule="exact"/>
        <w:rPr>
          <w:rFonts w:ascii="Arial" w:cs="Arial" w:eastAsia="Arial" w:hAnsi="Arial"/>
          <w:sz w:val="18"/>
          <w:szCs w:val="18"/>
          <w:color w:val="auto"/>
        </w:rPr>
      </w:pPr>
    </w:p>
    <w:p>
      <w:pPr>
        <w:jc w:val="both"/>
        <w:ind w:left="980" w:right="4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might cause delays or termination of the research, development or commercialization of products or product candidates, might lead to additional responsibilities for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right="80"/>
        <w:spacing w:after="0" w:line="324" w:lineRule="auto"/>
        <w:rPr>
          <w:sz w:val="20"/>
          <w:szCs w:val="20"/>
          <w:color w:val="auto"/>
        </w:rPr>
      </w:pPr>
      <w:r>
        <w:rPr>
          <w:rFonts w:ascii="Arial" w:cs="Arial" w:eastAsia="Arial" w:hAnsi="Arial"/>
          <w:sz w:val="18"/>
          <w:szCs w:val="18"/>
          <w:color w:val="auto"/>
        </w:rPr>
        <w:t>us with respect to product candidates or might result in litigation or arbitration, any of which would divert management attention and resources, be time-consuming and be expensive;</w:t>
      </w:r>
    </w:p>
    <w:p>
      <w:pPr>
        <w:spacing w:after="0" w:line="197" w:lineRule="exact"/>
        <w:rPr>
          <w:sz w:val="20"/>
          <w:szCs w:val="20"/>
          <w:color w:val="auto"/>
        </w:rPr>
      </w:pPr>
    </w:p>
    <w:p>
      <w:pPr>
        <w:ind w:left="980" w:right="160" w:hanging="324"/>
        <w:spacing w:after="0" w:line="286"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 and</w:t>
      </w:r>
    </w:p>
    <w:p>
      <w:pPr>
        <w:spacing w:after="0" w:line="219" w:lineRule="exact"/>
        <w:rPr>
          <w:rFonts w:ascii="Arial" w:cs="Arial" w:eastAsia="Arial" w:hAnsi="Arial"/>
          <w:sz w:val="17"/>
          <w:szCs w:val="17"/>
          <w:color w:val="auto"/>
        </w:rPr>
      </w:pPr>
    </w:p>
    <w:p>
      <w:pPr>
        <w:jc w:val="both"/>
        <w:ind w:left="980" w:right="26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9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IC-100, IC-200, our miniCEP290 program and Zimura.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227"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We are party to two different license agreements, each with UFRF and Penn, on which we depend for rights to IC-100 and IC-200. We are also party to a license agreement with UMMS for our miniCEP290 program and to a license agreement with Archemix on which we depend for rights to Zimura. These agreements generally impose diligence, development and commercialization timelines, milestone payment, royalty, insurance and other obligations on us.</w:t>
      </w:r>
    </w:p>
    <w:p>
      <w:pPr>
        <w:ind w:right="40"/>
        <w:spacing w:after="0" w:line="288" w:lineRule="auto"/>
        <w:rPr>
          <w:sz w:val="20"/>
          <w:szCs w:val="20"/>
          <w:color w:val="auto"/>
        </w:rPr>
      </w:pPr>
      <w:r>
        <w:rPr>
          <w:rFonts w:ascii="Arial" w:cs="Arial" w:eastAsia="Arial" w:hAnsi="Arial"/>
          <w:sz w:val="16"/>
          <w:szCs w:val="16"/>
          <w:color w:val="auto"/>
        </w:rPr>
        <w:t>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our HtrA1 inhibitor program, also imposes specified diligence and milestone payment obligations on us. We may enter into acquisition or licensing agreements in the future that would impose similar obligations on us.</w:t>
      </w:r>
    </w:p>
    <w:p>
      <w:pPr>
        <w:spacing w:after="0" w:line="22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IC-100, IC-200, our miniCEP290 program, Zimura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 million.</w:t>
      </w:r>
    </w:p>
    <w:p>
      <w:pPr>
        <w:spacing w:after="0" w:line="22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21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Moreover, the license agreements for IC-100, IC-200 and our miniCEP290 program reserve for the licensing academic institutions the right to continue to practice for research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83" w:lineRule="exact"/>
        <w:rPr>
          <w:sz w:val="20"/>
          <w:szCs w:val="20"/>
          <w:color w:val="auto"/>
        </w:rPr>
      </w:pPr>
    </w:p>
    <w:p>
      <w:pPr>
        <w:ind w:right="400"/>
        <w:spacing w:after="0" w:line="340" w:lineRule="auto"/>
        <w:rPr>
          <w:sz w:val="20"/>
          <w:szCs w:val="20"/>
          <w:color w:val="auto"/>
        </w:rPr>
      </w:pPr>
      <w:r>
        <w:rPr>
          <w:rFonts w:ascii="Arial" w:cs="Arial" w:eastAsia="Arial" w:hAnsi="Arial"/>
          <w:sz w:val="15"/>
          <w:szCs w:val="15"/>
          <w:b w:val="1"/>
          <w:bCs w:val="1"/>
          <w:i w:val="1"/>
          <w:iCs w:val="1"/>
          <w:color w:val="auto"/>
        </w:rPr>
        <w:t>If we are unable to obtain and maintain or do not maintain patent protection for our technology and products during the period of their commercialization,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currently rely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If data from ongoing clinical trials are positive,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our miniCEP290 program and our HtrA1 inhibitors are not expected to expire until 2037 or after, we face the same risk with those product candidates and programs and any future product candidates that we may develop.</w:t>
      </w:r>
    </w:p>
    <w:p>
      <w:pPr>
        <w:spacing w:after="0" w:line="22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product candidate IC-200 is not currently covered by a patent or pending patent application. In developing and advancing this product candidate, we may seek to rely on the prospect of generating new intellectual property during development of the product candidate or the potential for non-patent market exclusivity, including regulatory exclusivity as a result of the Orphan Drug Act. If we, together with Penn and UFRF, are unable to generate data to support a patent or patent application to cover this product candidate or if we are unable to obtain non-patent market exclusivity, we may not be able to exclude competitors from marketing an identical or substantially similar product.</w:t>
      </w:r>
    </w:p>
    <w:p>
      <w:pPr>
        <w:spacing w:after="0" w:line="24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 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232"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Certain of our licensed patent rights for Zimura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Zimura or any other product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candidates we may develop would limit our ability to generate revenue from the sale of Zimura or such other product candidates, if approved for commercial sale. In addition, European patent law generally makes the issuance and enforcement of patents that cover methods of treatment of the human body difficult. Further, once the composition-of-matter patents relating to Zimura or any other product candidate in a particular jurisdiction, if any, expire, competitors will be able to make, offer and sell products containing the same drug substance as Zimura or such other product candidate in that jurisdiction so long as these competitors do not infringe any of our other patents covering Zimura’s composition of matter or method of use or manufacture, do not violate the terms of any marketing or data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even if such use infringes any of our method-of-treatment patents.</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22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under which we are licensed without infringing such patents. This might enable our competitors to develop during the lifetime of these patents drugs that compete with our product candidates.</w:t>
      </w:r>
    </w:p>
    <w:p>
      <w:pPr>
        <w:spacing w:after="0" w:line="24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 We could also fail to take the required actions and pay the necessary governmental fees to maintain our patents.</w:t>
      </w:r>
    </w:p>
    <w:p>
      <w:pPr>
        <w:spacing w:after="0" w:line="242"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23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2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23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validity, term, enforceability and commercial value of our patent rights are highly uncertain.</w:t>
      </w:r>
    </w:p>
    <w:p>
      <w:pPr>
        <w:spacing w:after="0" w:line="22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23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was signed into law in September 2011, and many of the substantive changes became effective in March 2013. The Leahy-Smith Act revised United States patent law in part by changing the standard for patent approval from a “first to invent” standard to a “first to file” standard and developing a post-grant review system. This legislation changed United States patent law in a way that may weaken our ability to obtain patent protection in the United States for those applications filed after March 2013. For example, if we are the first to invent a new product or its use, but another party is the first to file a patent application on this invention, under the new law the other party may be entitled to the patent rights on the invention.</w:t>
      </w:r>
    </w:p>
    <w:p>
      <w:pPr>
        <w:spacing w:after="0" w:line="24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Moreover, we may be subject to a third-party preissuance submission of prior art to the USPTO, or become involved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addition, if the breadth or strength of protection provided by our patents and patent applications is threatened, it could dissuade companies from collaborating with us to develop or commercialize current or future product candidates.</w:t>
      </w:r>
    </w:p>
    <w:p>
      <w:pPr>
        <w:spacing w:after="0" w:line="2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22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3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201" w:lineRule="exact"/>
        <w:rPr>
          <w:sz w:val="20"/>
          <w:szCs w:val="20"/>
          <w:color w:val="auto"/>
        </w:rPr>
      </w:pPr>
    </w:p>
    <w:p>
      <w:pPr>
        <w:ind w:right="660"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any future collaboration and commercialization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24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There is considerable intellectual property litigation in the biotechnology and pharmaceutical industries. We or any future collaboration and commercialization partners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cancellation or similar proceedings before the USPTO or its foreign counterparts. The risks of being involved in such litigation and proceedings may increase as our product candidates near commercialization.</w:t>
      </w:r>
    </w:p>
    <w:p>
      <w:pPr>
        <w:spacing w:after="0" w:line="24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Third parties may assert infringement claims against us or our collaboration or commercialization partners based on existing or future intellectual property rights. We or they may not be aware of all such intellectual property rights potentially relating to our product candidates and their manufacture and uses.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commercialization thereof, does not and will not infringe or otherwise violate any third party’s intellectual property.</w:t>
      </w:r>
    </w:p>
    <w:p>
      <w:pPr>
        <w:spacing w:after="0" w:line="23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or any of our future collaboration or commercialization partners is found to infringe or otherwise violate a third party’s intellectual property rights, we or they could be required to obtain a license from such third party to continue developing and marketing our product candidates or products or to continue using a trademark. However, we or our future collaboration and commercialization partners may not be able to obtain any required license on commercially reasonable terms or at all. Even if we or they were able to obtain a license, it could be non-exclusive, thereby giving our competitors access to the same technologies licensed to us or our collaboration and commercialization partners and could require us or them to make substantial licensing and royalty payments. We or our future collaboration and commercialization partners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future collaboration and commercialization partners from commercializing our product candidates or force us or them to cease some of our business operations, which could materially harm our business. Claims that we or our future collaboration and commercialization partners have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misappropriated the confidential information or trade secrets of third parties could expose us or them to similar liabilities and have a similar negative impact on our business.</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2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any such employee’s or contractor’s former employer. Litigation may be necessary to defend against these claims.</w:t>
      </w:r>
    </w:p>
    <w:p>
      <w:pPr>
        <w:spacing w:after="0" w:line="20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rights to our product candidates from third parties, we must rely upon these third parties and their successors' practices, and those of their predecessors, with regard to the assignment of intellectual property therein, including the intellectual property rights protecting the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3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30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20"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5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7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advisors and other third parties. We also enter into confidentiality and invention or patent assignment agreements with our employees and consultants. We cannot guarantee that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executed such agreements with each party that may have or have had access to our trade secrets. Moreover, because we acquired our HtrA1 inhibitor program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 able to obtain adequate remedies for such breaches. Our proprietary information may also be obtained by third parties by other means, such as breaches of our physical or computer security systems.</w:t>
      </w:r>
    </w:p>
    <w:p>
      <w:pPr>
        <w:spacing w:after="0" w:line="24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w:t>
      </w:r>
    </w:p>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significantly upon information technology systems and any failure, inadequacy, interruption or security lapse of these systems could harm our ability to operate our business effectively.</w:t>
      </w:r>
    </w:p>
    <w:p>
      <w:pPr>
        <w:spacing w:after="0" w:line="2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the ordinary course of our business, we and our third-party contractors maintain personal and other sensitive data on our and their respective networks, including our intellectual property and proprietary or confidential information relating to our business and that of our clinical trial participants, business partners and employees. In particular, we rely on contract research organizations and other third parties to store and manage data generated from our preclinical research and development activities and information from our clinical trials. The secure maintenance of this sensitive information is critical to our business and reputation.</w:t>
      </w:r>
    </w:p>
    <w:p>
      <w:pPr>
        <w:spacing w:after="0" w:line="24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implemented a number of measures to protect our information technology systems. These measures include, among others, creation of a cyber-security governance team and standard operating procedures for responding to any cyber-security breaches, mandatory cyber-security training for our employees and consultants with access to our information technology systems and engagement of a third-party vendor to assess our informational technology systems and potential vulnerabilities.</w:t>
      </w:r>
    </w:p>
    <w:p>
      <w:pPr>
        <w:spacing w:after="0" w:line="2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contractors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security incidents, cyber-attacks,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or those of our third-party contractors.</w:t>
      </w:r>
    </w:p>
    <w:p>
      <w:pPr>
        <w:spacing w:after="0" w:line="24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For information stored with our third-party contractors, we rely upon, and the integrity and confidentiality of such information is dependent upon, the risk mitigation efforts such third-party contractors have in place. In the recent past, cyber-attacks have become more prevalent and much harder to detect and defend against. Our and our third-party contractors’ respective network and storage applications may be subject to unauthorized access by hackers or breached due to operator error, malfeasance or other system disruptions. We might not anticipate or immediately detect such incidents and the damage caused by such incidents. System failures, data breaches and any unauthorized access or disclosure of our information or intellectual property could compromise our intellectual property and expose sensitive business information. System failures or accidents or security breaches could cause interruptions in our operations, and could result in a material disruption of our research and development activities and business operations, in addition to possibly requiring substantial expenditures of resources to remedy. Moreover, if a breach of our security or that of our vendors occurs, the market perception of the effectiveness of our security measures could be harmed and our reputation and credibility could be damaged.</w:t>
      </w:r>
    </w:p>
    <w:p>
      <w:pPr>
        <w:spacing w:after="0" w:line="2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data security breach could also lead to public or unauthorized exposure of personal information of our clinical trial patients, our employees or others. Cyber-attacks and the measures we implement to prevent, detect, and respond to them could cause us to incur significant remediation costs, result in product development delays, disrupt key business operations, expose us to contractual damages and/or regulatory liability, require us to make certain breach notifications, divert the attention of our management and key information technology resources, harm our reputation and deter patients, clinical investigators or other business partners from participating in our clinical trials or otherwise working with us. Any loss of preclinical data or clinical trial data could result in delays in our regulatory approval efforts and significantly increase our costs to recover or reproduce the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data. To the extent that any disruption or security breach were to result in a loss of, or damage to, our data or applications, or inappropriate public disclosure of confidential or proprietary information, we could incur liability and our product development and commercialization efforts could be delayed. In addition, we may not have adequate insurance coverage to provide compensation for any losses associated with such events.</w:t>
      </w:r>
    </w:p>
    <w:p>
      <w:pPr>
        <w:spacing w:after="0" w:line="22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235"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We are aware that several states have enacted or are considering legislation similar to the GDPR. The GDPR and other changes in laws or regulations associated with the enhanced protection of certain types of sensitive data, such as healthcare data or other personal information from our clinical trials, could require us to change our business practices, and any non-compliance by us or our employees, consultants or contractors could lead to government enforcement actions, private litigation, significant fines and penalties, or reputational harm and could have a material adverse effect on our business, financial condition or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24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and import and export, are subject to comprehensive regulation by the FDA, the EMA and comparable regulatory agencies in other countries.</w:t>
      </w:r>
    </w:p>
    <w:p>
      <w:pPr>
        <w:spacing w:after="0" w:line="23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23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23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 date. This lack of experience may lengthen the regulatory review process, require us to conduct additional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232"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2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22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preclinical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w:t>
      </w:r>
    </w:p>
    <w:p>
      <w:pPr>
        <w:spacing w:after="0" w:line="23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Additionally, in June 2016 the electorate in the United Kingdom voted in favor of leaving the European Union, commonly referred to as Brexit. The process for withdrawal has been and remains uncertain and convoluted, with the United Kingdom currently scheduled to withdraw from the European Union on October 31, 2019, and currently, no effective withdrawal agreement has been concluded between the European Union and the United Kingdom. 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 It remains to be seen how, if at all, Brexit will actually occur and how, if at all, Brexit will impact regulatory requirements for the approval of pharmaceutical product candidates and the sale of pharmaceutical products in the United Kingdom and the European Union.</w:t>
      </w:r>
    </w:p>
    <w:p>
      <w:pPr>
        <w:spacing w:after="0" w:line="24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We currently do not have orphan drug designations or orphan drug exclusivity for any product candidate. If our competitors are able to obtain orphan drug exclusivity for products that constitute the same drug and treat the same indications as our product candidates, we may not be able to have our product candidates approved by the applicable regulatory authority for a significant period of time.</w:t>
      </w:r>
    </w:p>
    <w:p>
      <w:pPr>
        <w:spacing w:after="0" w:line="22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2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2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during that marketing exclusivity period from approving another marketing application for a product that constitutes the same drug treating the same indication, except in limited circumstances. If another sponsor receives such approval before we do, regardless of our orphan drug designation, we will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23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is unclear in the context of gene therapies, and the FDA has issued draft guidance suggesting minor variations in the construct of a gene therapy that lead to improvements in safety or efficacy may result in the determination that a drug is a "different drug". In the European Union, marketing authorization may be granted to a similar medicinal product for the same orphan indication if:</w:t>
      </w:r>
    </w:p>
    <w:p>
      <w:pPr>
        <w:spacing w:after="0" w:line="232" w:lineRule="exact"/>
        <w:rPr>
          <w:sz w:val="20"/>
          <w:szCs w:val="20"/>
          <w:color w:val="auto"/>
        </w:rPr>
      </w:pPr>
    </w:p>
    <w:p>
      <w:pPr>
        <w:ind w:left="980" w:right="6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224"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224"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22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w:t>
      </w:r>
    </w:p>
    <w:p>
      <w:pPr>
        <w:spacing w:after="0" w:line="23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FDA has broad discretion whether or not to grant fast track designation or priority review status, so even if we believe a particular product candidate is eligible for such designation or status the FDA could decide not to grant it. Even though a product has received fast track designation and may be eligible for priority review status, a sponsor may not ultimately experience a faster development process, review or approval compared to conventional FDA procedures.</w:t>
      </w:r>
    </w:p>
    <w:p>
      <w:pPr>
        <w:spacing w:after="0" w:line="24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20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24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2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requirement to implement a risk evaluation and mitigation strategy.</w:t>
      </w:r>
    </w:p>
    <w:p>
      <w:pPr>
        <w:spacing w:after="0" w:line="233"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23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224"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ectPr>
          <w:pgSz w:w="11900" w:h="16838" w:orient="portrait"/>
          <w:cols w:equalWidth="0" w:num="1">
            <w:col w:w="11380"/>
          </w:cols>
          <w:pgMar w:left="240" w:top="125" w:right="27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80"/>
          </w:cols>
          <w:pgMar w:left="240" w:top="125" w:right="2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such as the GDPR, can also lead to significant penalties and sanctions.</w:t>
      </w:r>
    </w:p>
    <w:p>
      <w:pPr>
        <w:spacing w:after="0" w:line="2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23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Healthcare providers, physicians and third-party payors play a primary role in the recommendation and prescription of any product candidates for which we obtain marketing approval. Our future arrangements with healthcare providers, physicians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12" w:lineRule="exact"/>
        <w:rPr>
          <w:sz w:val="20"/>
          <w:szCs w:val="20"/>
          <w:color w:val="auto"/>
        </w:rPr>
      </w:pPr>
    </w:p>
    <w:p>
      <w:pPr>
        <w:ind w:left="980" w:right="100" w:hanging="324"/>
        <w:spacing w:after="0" w:line="25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40" w:lineRule="exact"/>
        <w:rPr>
          <w:rFonts w:ascii="Arial" w:cs="Arial" w:eastAsia="Arial" w:hAnsi="Arial"/>
          <w:sz w:val="18"/>
          <w:szCs w:val="18"/>
          <w:color w:val="auto"/>
        </w:rPr>
      </w:pPr>
    </w:p>
    <w:p>
      <w:pPr>
        <w:ind w:left="980" w:right="80" w:hanging="324"/>
        <w:spacing w:after="0" w:line="25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$10,781 and a maximum of $20,563 per false claim;</w:t>
      </w:r>
    </w:p>
    <w:p>
      <w:pPr>
        <w:spacing w:after="0" w:line="24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224"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235" w:lineRule="exact"/>
        <w:rPr>
          <w:rFonts w:ascii="Arial" w:cs="Arial" w:eastAsia="Arial" w:hAnsi="Arial"/>
          <w:sz w:val="18"/>
          <w:szCs w:val="18"/>
          <w:color w:val="auto"/>
        </w:rPr>
      </w:pPr>
    </w:p>
    <w:p>
      <w:pPr>
        <w:ind w:left="980" w:right="40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ectPr>
          <w:pgSz w:w="11900" w:h="16838" w:orient="portrait"/>
          <w:cols w:equalWidth="0" w:num="1">
            <w:col w:w="11340"/>
          </w:cols>
          <w:pgMar w:left="240" w:top="125" w:right="319" w:bottom="1440" w:gutter="0" w:footer="0" w:header="0"/>
        </w:sect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40"/>
          </w:cols>
          <w:pgMar w:left="240" w:top="125" w:right="31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6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23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4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our product candidates advance in clinical development, we plan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4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exclusion of products from government funded healthcare programs, such as Medicare and Medicaid, and the curtailment or restructuring of our or their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3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23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may rely is subject to the political process, which is inherently fluid and unpredictable.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In addition, the Trump Administration has taken several executive actions, including the issuance of a number of executive orders, that could affect federal agencies, including the FDA. Those executive actions, some of which are still being implemented, may impose significant burdens on, or otherwise materially delay, the FDA’s ability to engage in routine regulatory and oversight activities, which could negatively impact our business.</w:t>
      </w:r>
    </w:p>
    <w:p>
      <w:pPr>
        <w:spacing w:after="0" w:line="23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Current and future legislation and regulations may increase the difficulty and cost for us and any future collaborators to obtain marketing approval of and commercialize our product candidates and affect the prices we or they may charge for such products, when and if approved.</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collaborators, to profitably sell any products for which we, or they, obtain marketing approval. We expect that current laws, as well as other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healthcare reform measures that may be adopted in the future, may result in more rigorous coverage criteria and in additional downward pressure on the price that we, or any future collaborators, may charge for any approved products.</w:t>
      </w:r>
    </w:p>
    <w:p>
      <w:pPr>
        <w:spacing w:after="0" w:line="2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March 2010, President Barack H.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235" w:lineRule="exact"/>
        <w:rPr>
          <w:sz w:val="20"/>
          <w:szCs w:val="20"/>
          <w:color w:val="auto"/>
        </w:rPr>
      </w:pPr>
    </w:p>
    <w:p>
      <w:pPr>
        <w:ind w:left="880" w:hanging="359"/>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products and biologic agents;</w:t>
      </w:r>
    </w:p>
    <w:p>
      <w:pPr>
        <w:spacing w:after="0" w:line="290" w:lineRule="exact"/>
        <w:rPr>
          <w:rFonts w:ascii="Arial" w:cs="Arial" w:eastAsia="Arial" w:hAnsi="Arial"/>
          <w:sz w:val="17"/>
          <w:szCs w:val="17"/>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79" w:lineRule="exact"/>
        <w:rPr>
          <w:rFonts w:ascii="Arial" w:cs="Arial" w:eastAsia="Arial" w:hAnsi="Arial"/>
          <w:sz w:val="18"/>
          <w:szCs w:val="18"/>
          <w:color w:val="auto"/>
        </w:rPr>
      </w:pPr>
    </w:p>
    <w:p>
      <w:pPr>
        <w:ind w:left="880" w:right="500" w:hanging="359"/>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224" w:lineRule="exact"/>
        <w:rPr>
          <w:rFonts w:ascii="Arial" w:cs="Arial" w:eastAsia="Arial" w:hAnsi="Arial"/>
          <w:sz w:val="18"/>
          <w:szCs w:val="18"/>
          <w:color w:val="auto"/>
        </w:rPr>
      </w:pPr>
    </w:p>
    <w:p>
      <w:pPr>
        <w:ind w:left="880" w:right="160" w:hanging="359"/>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originally 50% and as of 2019, 70%, point-of-sale discounts off negotiated prices;</w:t>
      </w:r>
    </w:p>
    <w:p>
      <w:pPr>
        <w:spacing w:after="0" w:line="224"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279"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new requirement to annually report product samples that manufacturers and distributors provide to physicians; and</w:t>
      </w:r>
    </w:p>
    <w:p>
      <w:pPr>
        <w:spacing w:after="0" w:line="279" w:lineRule="exact"/>
        <w:rPr>
          <w:rFonts w:ascii="Arial" w:cs="Arial" w:eastAsia="Arial" w:hAnsi="Arial"/>
          <w:sz w:val="18"/>
          <w:szCs w:val="18"/>
          <w:color w:val="auto"/>
        </w:rPr>
      </w:pPr>
    </w:p>
    <w:p>
      <w:pPr>
        <w:ind w:left="880" w:right="280" w:hanging="359"/>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22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For example, with enactment of the Tax Cuts and Jobs Act of 2017, Congress repealed the “individual mandate.” The repeal of this provision, which required most Americans to carry a minimal level of health insurance, became effective in 2019. According to the Congressional Budget Office, the repeal of the individual mandate will cause 13 million fewer Americans to be insured in 2027 and premiums in insurance markets may rise.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amend or replace elements of the ACA during the current congressional session.</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which has lead to numerous legal challenges to the ACA and the Trump Administration's actions. Since January 2017, President Trump has signed at least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 second executive order terminated the cost-sharing subsidies that reimburse insurers under the ACA, which has lead some states attorneys general and some insurers</w:t>
      </w:r>
    </w:p>
    <w:p>
      <w:pPr>
        <w:sectPr>
          <w:pgSz w:w="11900" w:h="16838" w:orient="portrait"/>
          <w:cols w:equalWidth="0" w:num="1">
            <w:col w:w="11400"/>
          </w:cols>
          <w:pgMar w:left="240" w:top="125" w:right="25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125" w:right="25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to sue the Trump Administration for such payments and a number of those lawsuits remain pending. Further, in June 2018, the U.S. Court of Appeals for the Federal Circuit ruled that the federal government was not required to pay more than $12 billion in ACA risk corridor payments to third-party payors who argued the payments were owed to them, which the U.S. Supreme Court plans to review in its next term. In addition, in October 2018 CMS promulgated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22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will continue to evaluate the effect that the ACA, its possible amendment or repeal and the actions of the Trump Administration in relation to the ACA could have on our business. It is possible that amendment or repeal initiatives, if enacted into law, could ultimately result in fewer individuals having health insurance coverage or in individuals having insurance coverage with less generous benefits.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 While the timing and scope of any potential future legislation to amend or repeal ACA provisions is highly uncertain in many respects, including the possibility that any such amendment or repeal is brought about by a court ruling rather than legislative action, it is also possible that some of the ACA provisions that generally are not favorable for the research-based pharmaceutical industry could also be amended or repealed.</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costs of prescription pharmaceuticals in the United States has also been the subject of considerable discussion in the United States, and members of Congress and the Trump Administration have stated that they will address such costs through new legislative and administrative measures. In May 2018, the Trump Administration announced a plan that would include several initiatives designed to lower drug prices and additional similar proposals from HHS and CMS have followed. At the state level, individual states are increasingly passing legislation and implementing regulations designed to control pharmaceutical and biological product pricing. Additionally, third party payors, regional health care authorities and individual hospitals are increasingly using bidding procedures to determine what pharmaceutical products and which suppliers will be included in their prescription drug and other health care programs. We expect additional measures addressing pharmaceutical pricing to be proposed and may be adopted in the future, which could reduce the ultimate demand for our products, once approved, or put pressure on our product pricing.</w:t>
      </w:r>
    </w:p>
    <w:p>
      <w:pPr>
        <w:spacing w:after="0" w:line="23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as those in the United States may affect our ability to profitably commercialize our products, if approved.</w:t>
      </w:r>
    </w:p>
    <w:p>
      <w:pPr>
        <w:spacing w:after="0" w:line="23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commercialization of our product candidates, if any, may be.</w:t>
      </w:r>
    </w:p>
    <w:p>
      <w:pPr>
        <w:spacing w:after="0" w:line="22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firstLine="8"/>
        <w:spacing w:after="0" w:line="252" w:lineRule="auto"/>
        <w:tabs>
          <w:tab w:leader="none" w:pos="1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246"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22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21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23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3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development-stage company with a limited number of employees and we may experience difficulties in retaining key employees and consultants.</w:t>
      </w:r>
    </w:p>
    <w:p>
      <w:pPr>
        <w:spacing w:after="0" w:line="31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are a development-stage company with a total of 33 full-time employees as of July 29, 2019. These employees support key areas of our business and operations, including clinical operations, regulatory affairs, drug safety, data management, outsourced manufacturing and supply chain management, analytical development and quality assurance, as well as all of our general and administrative functions and public company infrastructure.</w:t>
      </w:r>
    </w:p>
    <w:p>
      <w:pPr>
        <w:spacing w:after="0" w:line="20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that we expect to retain to assist with the growth of our business may choose not to remain employees. In addition, we may experience difficulties in retaining key employees for any number of reasons. The loss of the services of our executive officers or other key employees could impede the achievement of our research, development and commercialization objectives and seriously harm our ability to successfully implement our business plan.</w:t>
      </w:r>
    </w:p>
    <w:p>
      <w:pPr>
        <w:spacing w:after="0" w:line="23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Furthermore, replacing any such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including, in particular, personnel with gene therapy experience. We also experience competition for the hiring of scientific and clinical personnel from universities and research institutions. In addition, we rely on consultants and advisors, including scientific and clinical advisors, to assist us in formulating our research and development, pipeline expansion and commercialization strategies, including engaging and retaining key consultants with gene therapy experience. Our consultants and advisors may be employed by employers other than us and may have commitments under consulting or advisory contracts with other entities that may limit</w:t>
      </w:r>
    </w:p>
    <w:p>
      <w:pPr>
        <w:sectPr>
          <w:pgSz w:w="11900" w:h="16838" w:orient="portrait"/>
          <w:cols w:equalWidth="0" w:num="1">
            <w:col w:w="11420"/>
          </w:cols>
          <w:pgMar w:left="240" w:top="125"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their availability to us. If we are unable to attract or retain high quality personnel as we implement our business plan, our ability to pursue our strategy would be limited.</w:t>
      </w:r>
    </w:p>
    <w:p>
      <w:pPr>
        <w:spacing w:after="0" w:line="2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2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July 2015, our management concluded that we experienced a material weakness in internal controls related to technical accounting expertise over the accounting for deferred tax assets and income tax accounting in general during certain prior financial reporting periods. The deficiency in the application of our controls relating to technical accounting expertise over the accounting for deferred tax assets and income tax accounting in general resulted in the audit committee of our board of directors concluding that the relevant financial statements should not be relied upon, and our subsequent restatement of the relevant financial statements.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2015, we took the following steps to remediate the identified material weakness: we added staffing within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finance department and engaged a nationally recognized accounting firm, in each case, with technical expertise in the area of tax accounting and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Our management concluded that the identified material weakness in internal control over financial reporting was fully remediated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Although we have remediated this deficiency in internal control over financial reporting, we cannot be certain that the remedial measures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took in the past or other measures we take in the future, especially in light of our decreased size as a result of the implementation of our reduction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during the year ended on December 31, 2017, and the associated decrease in staffing in our accounting and finance areas, will ensure that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maintain adequate controls over our financial reporting going forward and, accordingly, additional material weaknesses could occur or be identified.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material weaknesses or combination of deficiencies could materially and adversely affect our ability to provide timely and accurate financial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information, and any future deficiencies may impact investors’ confidence in our internal controls and our company, which could cause our stock price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decline.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5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33"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79"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224"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79"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44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2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stockholders.</w:t>
      </w:r>
    </w:p>
    <w:p>
      <w:pPr>
        <w:spacing w:after="0" w:line="2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42"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results of research, preclinical development activities and clinical trials for our product candidates and the timing of the receipt of such results;</w:t>
      </w:r>
    </w:p>
    <w:p>
      <w:pPr>
        <w:spacing w:after="0" w:line="302"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results of our efforts to in-license or acquire the rights to other product candidates and technologies for the treatment of retinal diseases;</w:t>
      </w:r>
    </w:p>
    <w:p>
      <w:pPr>
        <w:spacing w:after="0" w:line="302" w:lineRule="exact"/>
        <w:rPr>
          <w:rFonts w:ascii="Arial" w:cs="Arial" w:eastAsia="Arial" w:hAnsi="Arial"/>
          <w:sz w:val="16"/>
          <w:szCs w:val="16"/>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political, regulatory or legal developments in the United States and other countries;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example, following our announcement of initial, top-line results from our OPH2007 Phase 2a clinical trial for Zimura in combination with the anti-VEGF agent Lucentis for the treatment of wet AMD, the closing price of our common stock declined from $2.22 on November 9, 2018 to $1.92 on November 14, 2018 and declined further thereafter. The closing price of our common stock was $1.17 on July 29, 2019. Following periods of volatility in the market price of a company’s stock, securities class-action litigation has often been instituted against that company. For example, we and certain of our current and former executive officers have been named as defendants in purported class action lawsuits following our announcement in December 2016 of the initial, top-line results from the first two of our Phase 3 Fovista trials for the treatment of wet AMD. See Part II, Item 1 of this Quarterly Report on Form 10-Q and in this "Risk Factors" section, “</w:t>
      </w:r>
      <w:r>
        <w:rPr>
          <w:rFonts w:ascii="Arial" w:cs="Arial" w:eastAsia="Arial" w:hAnsi="Arial"/>
          <w:sz w:val="17"/>
          <w:szCs w:val="17"/>
          <w:i w:val="1"/>
          <w:iCs w:val="1"/>
          <w:color w:val="auto"/>
        </w:rPr>
        <w:t>Risks Related to Our Business Plan, Financial Position and Need for Additional Capital—We and certain of our current and</w:t>
      </w:r>
      <w:r>
        <w:rPr>
          <w:rFonts w:ascii="Arial" w:cs="Arial" w:eastAsia="Arial" w:hAnsi="Arial"/>
          <w:sz w:val="17"/>
          <w:szCs w:val="17"/>
          <w:color w:val="auto"/>
        </w:rPr>
        <w:t xml:space="preserve"> </w:t>
      </w:r>
      <w:r>
        <w:rPr>
          <w:rFonts w:ascii="Arial" w:cs="Arial" w:eastAsia="Arial" w:hAnsi="Arial"/>
          <w:sz w:val="17"/>
          <w:szCs w:val="17"/>
          <w:i w:val="1"/>
          <w:iCs w:val="1"/>
          <w:color w:val="auto"/>
        </w:rPr>
        <w:t>former executive officers have been named as defendants in lawsuits that could result in substantial costs and divert management’s attention</w:t>
      </w:r>
      <w:r>
        <w:rPr>
          <w:rFonts w:ascii="Arial" w:cs="Arial" w:eastAsia="Arial" w:hAnsi="Arial"/>
          <w:sz w:val="17"/>
          <w:szCs w:val="17"/>
          <w:color w:val="auto"/>
        </w:rPr>
        <w:t>.” These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and other similar litigation, if instituted against us, could cause us to incur substantial costs to defend such claims and divert management’s attention and resources, which could seriously harm our business.</w:t>
      </w:r>
    </w:p>
    <w:p>
      <w:pPr>
        <w:sectPr>
          <w:pgSz w:w="11900" w:h="16838" w:orient="portrait"/>
          <w:cols w:equalWidth="0" w:num="1">
            <w:col w:w="11420"/>
          </w:cols>
          <w:pgMar w:left="240" w:top="125"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2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5,174,727 shares of our common stock to the former equityholders of Inception 4 as upfront consideration for our acquisition of Inception 4. These shares are subject to lock-up restrictions, which expired at the end of April 2019 with respect to 50% of such shares, and will expire at the end of October 2019 with respect to the remaining 50% of such shares, following which such shares may be freely sold and traded pursuant to a registration statement on Form S-3 (File No. 333-229978) that was declared effective by the Securities and Exchange Commission on April 25, 2019. If the holders of these shares sell, or the market perceives that these holders will sell, the shares currently held by them, the price of our common stock may decline.</w:t>
      </w:r>
    </w:p>
    <w:p>
      <w:pPr>
        <w:spacing w:after="0" w:line="23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23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2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We are also required to include with our annual report an attestation report on internal control over financial reporting issued by our independent registered public accounting firm.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23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22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may enter into may preclude us from paying dividends. As a result, capital appreciation, if any, of our common stock will be our stockholders’ sole source of gain for the foreseeable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900" w:type="dxa"/>
            <w:vAlign w:val="bottom"/>
            <w:gridSpan w:val="6"/>
            <w:vMerge w:val="restart"/>
          </w:tcPr>
          <w:p>
            <w:pPr>
              <w:ind w:left="4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99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40" w:type="dxa"/>
            <w:vAlign w:val="bottom"/>
            <w:tcBorders>
              <w:top w:val="single" w:sz="8" w:color="auto"/>
            </w:tcBorders>
            <w:gridSpan w:val="2"/>
          </w:tcPr>
          <w:p>
            <w:pPr>
              <w:jc w:val="right"/>
              <w:spacing w:after="0" w:line="202" w:lineRule="exact"/>
              <w:rPr>
                <w:rFonts w:ascii="Arial" w:cs="Arial" w:eastAsia="Arial" w:hAnsi="Arial"/>
                <w:sz w:val="18"/>
                <w:szCs w:val="18"/>
                <w:color w:val="0000FF"/>
              </w:rPr>
            </w:pPr>
            <w:hyperlink r:id="rId14">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00" w:type="dxa"/>
            <w:vAlign w:val="bottom"/>
            <w:tcBorders>
              <w:top w:val="single" w:sz="8" w:color="auto"/>
            </w:tcBorders>
            <w:gridSpan w:val="6"/>
          </w:tcPr>
          <w:p>
            <w:pPr>
              <w:spacing w:after="0" w:line="202"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Restated Certificate of Incorporation of the Registrant (incorporated by reference to Exhibit 3.3 to Amendment No. 2 of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Registration Statement on Form S-1 (File No. 333-190643) filed with the SEC on September 9, 2013)</w:t>
              </w:r>
            </w:hyperlink>
          </w:p>
        </w:tc>
        <w:tc>
          <w:tcPr>
            <w:tcW w:w="2440" w:type="dxa"/>
            <w:vAlign w:val="bottom"/>
            <w:tcBorders>
              <w:top w:val="single" w:sz="8" w:color="0000FF"/>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jc w:val="right"/>
              <w:spacing w:after="0"/>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6"/>
              </w:rPr>
            </w:pPr>
            <w:hyperlink r:id="rId15">
              <w:r>
                <w:rPr>
                  <w:rFonts w:ascii="Arial" w:cs="Arial" w:eastAsia="Arial" w:hAnsi="Arial"/>
                  <w:sz w:val="18"/>
                  <w:szCs w:val="18"/>
                  <w:color w:val="0000FF"/>
                  <w:w w:val="96"/>
                </w:rPr>
                <w:t>Certificate of Amendment to Restated Certificate of Incorporation of the Registrant (incorporated by reference to Exhibit 3.1 of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Registrant's Current Report on Form 8-K filed with the SEC on April 16, 2019)</w:t>
              </w:r>
            </w:hyperlink>
          </w:p>
        </w:tc>
        <w:tc>
          <w:tcPr>
            <w:tcW w:w="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2"/>
          </w:tcPr>
          <w:p>
            <w:pPr>
              <w:jc w:val="right"/>
              <w:spacing w:after="0"/>
              <w:rPr>
                <w:rFonts w:ascii="Arial" w:cs="Arial" w:eastAsia="Arial" w:hAnsi="Arial"/>
                <w:sz w:val="18"/>
                <w:szCs w:val="18"/>
                <w:color w:val="0000FF"/>
              </w:rPr>
            </w:pPr>
            <w:hyperlink r:id="rId16">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6"/>
          </w:tcPr>
          <w:p>
            <w:pPr>
              <w:spacing w:after="0"/>
              <w:rPr>
                <w:rFonts w:ascii="Arial" w:cs="Arial" w:eastAsia="Arial" w:hAnsi="Arial"/>
                <w:sz w:val="18"/>
                <w:szCs w:val="18"/>
                <w:color w:val="0000FF"/>
                <w:w w:val="95"/>
              </w:rPr>
            </w:pPr>
            <w:hyperlink r:id="rId16">
              <w:r>
                <w:rPr>
                  <w:rFonts w:ascii="Arial" w:cs="Arial" w:eastAsia="Arial" w:hAnsi="Arial"/>
                  <w:sz w:val="18"/>
                  <w:szCs w:val="18"/>
                  <w:color w:val="0000FF"/>
                  <w:w w:val="95"/>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Registration Statement on Form S-1 (File No. 333-190643) filed with the SEC on September 9, 2013)</w:t>
              </w:r>
            </w:hyperlink>
          </w:p>
        </w:tc>
        <w:tc>
          <w:tcPr>
            <w:tcW w:w="2060" w:type="dxa"/>
            <w:vAlign w:val="bottom"/>
            <w:tcBorders>
              <w:top w:val="single" w:sz="8" w:color="0000FF"/>
            </w:tcBorders>
          </w:tcPr>
          <w:p>
            <w:pPr>
              <w:spacing w:after="0"/>
              <w:rPr>
                <w:sz w:val="17"/>
                <w:szCs w:val="17"/>
                <w:color w:val="auto"/>
              </w:rPr>
            </w:pPr>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520" w:right="580" w:hanging="597"/>
        <w:spacing w:after="0" w:line="298" w:lineRule="auto"/>
        <w:rPr>
          <w:rFonts w:ascii="Arial" w:cs="Arial" w:eastAsia="Arial" w:hAnsi="Arial"/>
          <w:sz w:val="17"/>
          <w:szCs w:val="17"/>
          <w:u w:val="single" w:color="auto"/>
          <w:color w:val="0000FF"/>
        </w:rPr>
      </w:pPr>
      <w:hyperlink w:anchor="page83">
        <w:r>
          <w:rPr>
            <w:rFonts w:ascii="Arial" w:cs="Arial" w:eastAsia="Arial" w:hAnsi="Arial"/>
            <w:sz w:val="17"/>
            <w:szCs w:val="17"/>
            <w:u w:val="single" w:color="auto"/>
            <w:color w:val="0000FF"/>
          </w:rPr>
          <w:t>10.1</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w:anchor="page83">
        <w:r>
          <w:rPr>
            <w:rFonts w:ascii="Arial" w:cs="Arial" w:eastAsia="Arial" w:hAnsi="Arial"/>
            <w:sz w:val="17"/>
            <w:szCs w:val="17"/>
            <w:u w:val="single" w:color="auto"/>
            <w:color w:val="0000FF"/>
          </w:rPr>
          <w:t>Exclusive License Agreement with Know-How, by and among The Trustees of the University of Pennsylvania, The University of</w:t>
        </w:r>
      </w:hyperlink>
      <w:r>
        <w:rPr>
          <w:rFonts w:ascii="Arial" w:cs="Arial" w:eastAsia="Arial" w:hAnsi="Arial"/>
          <w:sz w:val="17"/>
          <w:szCs w:val="17"/>
          <w:color w:val="0000FF"/>
        </w:rPr>
        <w:t xml:space="preserve"> </w:t>
      </w:r>
      <w:hyperlink w:anchor="page83">
        <w:r>
          <w:rPr>
            <w:rFonts w:ascii="Arial" w:cs="Arial" w:eastAsia="Arial" w:hAnsi="Arial"/>
            <w:sz w:val="17"/>
            <w:szCs w:val="17"/>
            <w:u w:val="single" w:color="auto"/>
            <w:color w:val="0000FF"/>
          </w:rPr>
          <w:t>Florida Research Foundation, Incorporated, acting as a single party, and Registrant, dated April 10, 2019</w:t>
        </w:r>
      </w:hyperlink>
    </w:p>
    <w:p>
      <w:pPr>
        <w:spacing w:after="0" w:line="1" w:lineRule="exact"/>
        <w:rPr>
          <w:rFonts w:ascii="Arial" w:cs="Arial" w:eastAsia="Arial" w:hAnsi="Arial"/>
          <w:sz w:val="17"/>
          <w:szCs w:val="17"/>
          <w:color w:val="0000FF"/>
        </w:rPr>
      </w:pPr>
    </w:p>
    <w:p>
      <w:pPr>
        <w:ind w:left="920"/>
        <w:spacing w:after="0"/>
        <w:rPr>
          <w:rFonts w:ascii="Arial" w:cs="Arial" w:eastAsia="Arial" w:hAnsi="Arial"/>
          <w:sz w:val="16"/>
          <w:szCs w:val="16"/>
          <w:color w:val="0000FF"/>
        </w:rPr>
      </w:pPr>
      <w:hyperlink w:anchor="page124">
        <w:r>
          <w:rPr>
            <w:rFonts w:ascii="Arial" w:cs="Arial" w:eastAsia="Arial" w:hAnsi="Arial"/>
            <w:sz w:val="16"/>
            <w:szCs w:val="16"/>
            <w:u w:val="single" w:color="auto"/>
            <w:color w:val="0000FF"/>
          </w:rPr>
          <w:t>10.2</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w:anchor="page124">
        <w:r>
          <w:rPr>
            <w:rFonts w:ascii="Arial" w:cs="Arial" w:eastAsia="Arial" w:hAnsi="Arial"/>
            <w:sz w:val="16"/>
            <w:szCs w:val="16"/>
            <w:u w:val="single" w:color="auto"/>
            <w:color w:val="0000FF"/>
          </w:rPr>
          <w:t>Master Sponsored Research Agreement, by and between The Trustees of the University of Pennsylvania and Registrant, dated October</w:t>
        </w:r>
      </w:hyperlink>
    </w:p>
    <w:p>
      <w:pPr>
        <w:spacing w:after="0" w:line="46" w:lineRule="exact"/>
        <w:rPr>
          <w:sz w:val="20"/>
          <w:szCs w:val="20"/>
          <w:color w:val="auto"/>
        </w:rPr>
      </w:pPr>
    </w:p>
    <w:p>
      <w:pPr>
        <w:ind w:left="152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30, 2018</w:t>
        </w:r>
      </w:hyperlink>
    </w:p>
    <w:p>
      <w:pPr>
        <w:spacing w:after="0" w:line="49" w:lineRule="exact"/>
        <w:rPr>
          <w:sz w:val="20"/>
          <w:szCs w:val="20"/>
          <w:color w:val="auto"/>
        </w:rPr>
      </w:pPr>
    </w:p>
    <w:p>
      <w:pPr>
        <w:ind w:left="920"/>
        <w:spacing w:after="0"/>
        <w:rPr>
          <w:rFonts w:ascii="Arial" w:cs="Arial" w:eastAsia="Arial" w:hAnsi="Arial"/>
          <w:sz w:val="18"/>
          <w:szCs w:val="18"/>
          <w:color w:val="0000FF"/>
        </w:rPr>
      </w:pPr>
      <w:hyperlink w:anchor="page136">
        <w:r>
          <w:rPr>
            <w:rFonts w:ascii="Arial" w:cs="Arial" w:eastAsia="Arial" w:hAnsi="Arial"/>
            <w:sz w:val="18"/>
            <w:szCs w:val="18"/>
            <w:u w:val="single" w:color="auto"/>
            <w:color w:val="0000FF"/>
          </w:rPr>
          <w:t>10.3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136">
        <w:r>
          <w:rPr>
            <w:rFonts w:ascii="Arial" w:cs="Arial" w:eastAsia="Arial" w:hAnsi="Arial"/>
            <w:sz w:val="18"/>
            <w:szCs w:val="18"/>
            <w:u w:val="single" w:color="auto"/>
            <w:color w:val="0000FF"/>
          </w:rPr>
          <w:t>Non-Employee Director Compensation Policy of the Registrant</w:t>
        </w:r>
      </w:hyperlink>
    </w:p>
    <w:p>
      <w:pPr>
        <w:spacing w:after="0" w:line="4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320" w:type="dxa"/>
            <w:vAlign w:val="bottom"/>
          </w:tcPr>
          <w:p>
            <w:pPr>
              <w:jc w:val="right"/>
              <w:spacing w:after="0"/>
              <w:rPr>
                <w:rFonts w:ascii="Arial" w:cs="Arial" w:eastAsia="Arial" w:hAnsi="Arial"/>
                <w:sz w:val="18"/>
                <w:szCs w:val="18"/>
                <w:color w:val="0000FF"/>
                <w:w w:val="85"/>
              </w:rPr>
            </w:pPr>
            <w:hyperlink w:anchor="page13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80" w:type="dxa"/>
            <w:vAlign w:val="bottom"/>
          </w:tcPr>
          <w:p>
            <w:pPr>
              <w:spacing w:after="0"/>
              <w:rPr>
                <w:sz w:val="18"/>
                <w:szCs w:val="18"/>
                <w:color w:val="auto"/>
              </w:rPr>
            </w:pPr>
          </w:p>
        </w:tc>
        <w:tc>
          <w:tcPr>
            <w:tcW w:w="9840" w:type="dxa"/>
            <w:vAlign w:val="bottom"/>
            <w:gridSpan w:val="6"/>
          </w:tcPr>
          <w:p>
            <w:pPr>
              <w:spacing w:after="0"/>
              <w:rPr>
                <w:rFonts w:ascii="Arial" w:cs="Arial" w:eastAsia="Arial" w:hAnsi="Arial"/>
                <w:sz w:val="18"/>
                <w:szCs w:val="18"/>
                <w:color w:val="0000FF"/>
                <w:w w:val="93"/>
              </w:rPr>
            </w:pPr>
            <w:hyperlink w:anchor="page139">
              <w:r>
                <w:rPr>
                  <w:rFonts w:ascii="Arial" w:cs="Arial" w:eastAsia="Arial" w:hAnsi="Arial"/>
                  <w:sz w:val="18"/>
                  <w:szCs w:val="18"/>
                  <w:color w:val="0000FF"/>
                  <w:w w:val="93"/>
                </w:rPr>
                <w:t>Certification of principal executive officer pursuant to Rule 13a-14(a)/15d-14(a) of the Securities Exchange Act of 1934, as amended</w:t>
              </w:r>
            </w:hyperlink>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9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4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80" w:type="dxa"/>
            <w:vAlign w:val="bottom"/>
          </w:tcPr>
          <w:p>
            <w:pPr>
              <w:spacing w:after="0"/>
              <w:rPr>
                <w:sz w:val="21"/>
                <w:szCs w:val="21"/>
                <w:color w:val="auto"/>
              </w:rPr>
            </w:pPr>
          </w:p>
        </w:tc>
        <w:tc>
          <w:tcPr>
            <w:tcW w:w="9840" w:type="dxa"/>
            <w:vAlign w:val="bottom"/>
            <w:gridSpan w:val="6"/>
          </w:tcPr>
          <w:p>
            <w:pPr>
              <w:spacing w:after="0"/>
              <w:rPr>
                <w:rFonts w:ascii="Arial" w:cs="Arial" w:eastAsia="Arial" w:hAnsi="Arial"/>
                <w:sz w:val="18"/>
                <w:szCs w:val="18"/>
                <w:color w:val="0000FF"/>
                <w:w w:val="94"/>
              </w:rPr>
            </w:pPr>
            <w:hyperlink w:anchor="page140">
              <w:r>
                <w:rPr>
                  <w:rFonts w:ascii="Arial" w:cs="Arial" w:eastAsia="Arial" w:hAnsi="Arial"/>
                  <w:sz w:val="18"/>
                  <w:szCs w:val="18"/>
                  <w:color w:val="0000FF"/>
                  <w:w w:val="94"/>
                </w:rPr>
                <w:t>Certification of principal financial officer pursuant to Rule 13a-14(a)/15d-14(a) of the Securities Exchange Act of 1934, as amended</w:t>
              </w:r>
            </w:hyperlink>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9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4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80" w:type="dxa"/>
            <w:vAlign w:val="bottom"/>
          </w:tcPr>
          <w:p>
            <w:pPr>
              <w:spacing w:after="0"/>
              <w:rPr>
                <w:sz w:val="21"/>
                <w:szCs w:val="21"/>
                <w:color w:val="auto"/>
              </w:rPr>
            </w:pPr>
          </w:p>
        </w:tc>
        <w:tc>
          <w:tcPr>
            <w:tcW w:w="9840" w:type="dxa"/>
            <w:vAlign w:val="bottom"/>
            <w:gridSpan w:val="6"/>
          </w:tcPr>
          <w:p>
            <w:pPr>
              <w:spacing w:after="0"/>
              <w:rPr>
                <w:rFonts w:ascii="Arial" w:cs="Arial" w:eastAsia="Arial" w:hAnsi="Arial"/>
                <w:sz w:val="18"/>
                <w:szCs w:val="18"/>
                <w:color w:val="0000FF"/>
                <w:w w:val="92"/>
              </w:rPr>
            </w:pPr>
            <w:hyperlink w:anchor="page141">
              <w:r>
                <w:rPr>
                  <w:rFonts w:ascii="Arial" w:cs="Arial" w:eastAsia="Arial" w:hAnsi="Arial"/>
                  <w:sz w:val="18"/>
                  <w:szCs w:val="18"/>
                  <w:color w:val="0000FF"/>
                  <w:w w:val="92"/>
                </w:rPr>
                <w:t>Certification of principal executive officer pursuant to 18 U.S.C. §1350, as adopted pursuant to Section 906 of the Sarbanes-Oxley Act</w:t>
              </w:r>
            </w:hyperlink>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141">
              <w:r>
                <w:rPr>
                  <w:rFonts w:ascii="Arial" w:cs="Arial" w:eastAsia="Arial" w:hAnsi="Arial"/>
                  <w:sz w:val="18"/>
                  <w:szCs w:val="18"/>
                  <w:color w:val="0000FF"/>
                  <w:w w:val="89"/>
                </w:rPr>
                <w:t>of 2002</w:t>
              </w:r>
            </w:hyperlink>
          </w:p>
        </w:tc>
        <w:tc>
          <w:tcPr>
            <w:tcW w:w="9280" w:type="dxa"/>
            <w:vAlign w:val="bottom"/>
            <w:gridSpan w:val="3"/>
          </w:tcPr>
          <w:p>
            <w:pPr>
              <w:spacing w:after="0"/>
              <w:rPr>
                <w:sz w:val="17"/>
                <w:szCs w:val="17"/>
                <w:color w:val="auto"/>
              </w:rPr>
            </w:pPr>
          </w:p>
        </w:tc>
      </w:tr>
      <w:tr>
        <w:trPr>
          <w:trHeight w:val="250"/>
        </w:trPr>
        <w:tc>
          <w:tcPr>
            <w:tcW w:w="440" w:type="dxa"/>
            <w:vAlign w:val="bottom"/>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0000FF"/>
                <w:w w:val="85"/>
              </w:rPr>
            </w:pPr>
            <w:hyperlink w:anchor="page14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80" w:type="dxa"/>
            <w:vAlign w:val="bottom"/>
          </w:tcPr>
          <w:p>
            <w:pPr>
              <w:spacing w:after="0"/>
              <w:rPr>
                <w:sz w:val="21"/>
                <w:szCs w:val="21"/>
                <w:color w:val="auto"/>
              </w:rPr>
            </w:pPr>
          </w:p>
        </w:tc>
        <w:tc>
          <w:tcPr>
            <w:tcW w:w="9840" w:type="dxa"/>
            <w:vAlign w:val="bottom"/>
            <w:gridSpan w:val="6"/>
          </w:tcPr>
          <w:p>
            <w:pPr>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9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0000FF"/>
            </w:tcBorders>
            <w:gridSpan w:val="2"/>
          </w:tcPr>
          <w:p>
            <w:pPr>
              <w:spacing w:after="0" w:line="196" w:lineRule="exact"/>
              <w:rPr>
                <w:rFonts w:ascii="Arial" w:cs="Arial" w:eastAsia="Arial" w:hAnsi="Arial"/>
                <w:sz w:val="18"/>
                <w:szCs w:val="18"/>
                <w:color w:val="0000FF"/>
                <w:w w:val="84"/>
              </w:rPr>
            </w:pPr>
            <w:hyperlink w:anchor="page142">
              <w:r>
                <w:rPr>
                  <w:rFonts w:ascii="Arial" w:cs="Arial" w:eastAsia="Arial" w:hAnsi="Arial"/>
                  <w:sz w:val="18"/>
                  <w:szCs w:val="18"/>
                  <w:color w:val="0000FF"/>
                  <w:w w:val="84"/>
                </w:rPr>
                <w:t>2002</w:t>
              </w:r>
            </w:hyperlink>
          </w:p>
        </w:tc>
        <w:tc>
          <w:tcPr>
            <w:tcW w:w="20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91"/>
        </w:trPr>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101.SCH*</w:t>
            </w:r>
          </w:p>
        </w:tc>
        <w:tc>
          <w:tcPr>
            <w:tcW w:w="280" w:type="dxa"/>
            <w:vAlign w:val="bottom"/>
          </w:tcPr>
          <w:p>
            <w:pPr>
              <w:spacing w:after="0"/>
              <w:rPr>
                <w:sz w:val="23"/>
                <w:szCs w:val="23"/>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101.CAL*</w:t>
            </w:r>
          </w:p>
        </w:tc>
        <w:tc>
          <w:tcPr>
            <w:tcW w:w="280" w:type="dxa"/>
            <w:vAlign w:val="bottom"/>
          </w:tcPr>
          <w:p>
            <w:pPr>
              <w:spacing w:after="0"/>
              <w:rPr>
                <w:sz w:val="23"/>
                <w:szCs w:val="23"/>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760" w:type="dxa"/>
            <w:vAlign w:val="bottom"/>
            <w:gridSpan w:val="2"/>
          </w:tcPr>
          <w:p>
            <w:pPr>
              <w:jc w:val="right"/>
              <w:spacing w:after="0"/>
              <w:rPr>
                <w:sz w:val="20"/>
                <w:szCs w:val="20"/>
                <w:color w:val="auto"/>
              </w:rPr>
            </w:pPr>
            <w:r>
              <w:rPr>
                <w:rFonts w:ascii="Arial" w:cs="Arial" w:eastAsia="Arial" w:hAnsi="Arial"/>
                <w:sz w:val="18"/>
                <w:szCs w:val="18"/>
                <w:color w:val="auto"/>
                <w:w w:val="94"/>
              </w:rPr>
              <w:t>101.DEF*</w:t>
            </w:r>
          </w:p>
        </w:tc>
        <w:tc>
          <w:tcPr>
            <w:tcW w:w="280" w:type="dxa"/>
            <w:vAlign w:val="bottom"/>
          </w:tcPr>
          <w:p>
            <w:pPr>
              <w:spacing w:after="0"/>
              <w:rPr>
                <w:sz w:val="23"/>
                <w:szCs w:val="23"/>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60" w:type="dxa"/>
            <w:vAlign w:val="bottom"/>
            <w:gridSpan w:val="2"/>
          </w:tcPr>
          <w:p>
            <w:pPr>
              <w:jc w:val="right"/>
              <w:spacing w:after="0"/>
              <w:rPr>
                <w:sz w:val="20"/>
                <w:szCs w:val="20"/>
                <w:color w:val="auto"/>
              </w:rPr>
            </w:pPr>
            <w:r>
              <w:rPr>
                <w:rFonts w:ascii="Arial" w:cs="Arial" w:eastAsia="Arial" w:hAnsi="Arial"/>
                <w:sz w:val="18"/>
                <w:szCs w:val="18"/>
                <w:color w:val="auto"/>
                <w:w w:val="97"/>
              </w:rPr>
              <w:t>101.LAB*</w:t>
            </w:r>
          </w:p>
        </w:tc>
        <w:tc>
          <w:tcPr>
            <w:tcW w:w="280" w:type="dxa"/>
            <w:vAlign w:val="bottom"/>
          </w:tcPr>
          <w:p>
            <w:pPr>
              <w:spacing w:after="0"/>
              <w:rPr>
                <w:sz w:val="23"/>
                <w:szCs w:val="23"/>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760" w:type="dxa"/>
            <w:vAlign w:val="bottom"/>
            <w:gridSpan w:val="2"/>
          </w:tcPr>
          <w:p>
            <w:pPr>
              <w:jc w:val="right"/>
              <w:spacing w:after="0"/>
              <w:rPr>
                <w:sz w:val="20"/>
                <w:szCs w:val="20"/>
                <w:color w:val="auto"/>
              </w:rPr>
            </w:pPr>
            <w:r>
              <w:rPr>
                <w:rFonts w:ascii="Arial" w:cs="Arial" w:eastAsia="Arial" w:hAnsi="Arial"/>
                <w:sz w:val="18"/>
                <w:szCs w:val="18"/>
                <w:color w:val="auto"/>
                <w:w w:val="93"/>
              </w:rPr>
              <w:t>101.PRE*</w:t>
            </w:r>
          </w:p>
        </w:tc>
        <w:tc>
          <w:tcPr>
            <w:tcW w:w="280" w:type="dxa"/>
            <w:vAlign w:val="bottom"/>
          </w:tcPr>
          <w:p>
            <w:pPr>
              <w:spacing w:after="0"/>
              <w:rPr>
                <w:sz w:val="23"/>
                <w:szCs w:val="23"/>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Submitted electronically herewith.</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ind w:left="500"/>
        <w:spacing w:after="0"/>
        <w:rPr>
          <w:sz w:val="20"/>
          <w:szCs w:val="20"/>
          <w:color w:val="auto"/>
        </w:rPr>
      </w:pPr>
      <w:r>
        <w:rPr>
          <w:rFonts w:ascii="Arial" w:cs="Arial" w:eastAsia="Arial" w:hAnsi="Arial"/>
          <w:sz w:val="18"/>
          <w:szCs w:val="18"/>
          <w:color w:val="auto"/>
        </w:rPr>
        <w:t>Portions of this exhibit have been omitted pursuant to Item 601(b)(10)(iv) of Regulation S-K.</w:t>
      </w:r>
    </w:p>
    <w:p>
      <w:pPr>
        <w:spacing w:after="0" w:line="18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Consolidated Balance Sheets at June 30, 2019 (unaudited) and December 31, 2018, (ii) Consolidated Statements of Operations and Comprehensive Loss (unaudited) for the three and six month periods ended June 30, 2019 and 2018, (iii) Consolidated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03"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Statements of Stockholders' Equity (unaudited) for the three and six month periods ended June 30, 2019 and 2018, (iv) Consolidated Statements of Cash Flows (unaudited) for six month periods ended June 30, 2019 and 2018 and (v) Notes to Financial Statements (unaudited).</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IVERIC bio,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20" w:val="left"/>
          <w:tab w:leader="none" w:pos="6420" w:val="left"/>
        </w:tabs>
        <w:rPr>
          <w:sz w:val="20"/>
          <w:szCs w:val="20"/>
          <w:color w:val="auto"/>
        </w:rPr>
      </w:pPr>
      <w:r>
        <w:rPr>
          <w:rFonts w:ascii="Arial" w:cs="Arial" w:eastAsia="Arial" w:hAnsi="Arial"/>
          <w:sz w:val="18"/>
          <w:szCs w:val="18"/>
          <w:color w:val="auto"/>
        </w:rPr>
        <w:t>Date: August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David F. Carroll</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240" w:top="125" w:right="679" w:bottom="1440" w:gutter="0" w:footer="0" w:header="0"/>
        </w:sectPr>
      </w:pPr>
    </w:p>
    <w:bookmarkStart w:id="82" w:name="page83"/>
    <w:bookmarkEnd w:id="82"/>
    <w:p>
      <w:pPr>
        <w:ind w:left="1340" w:hanging="1332"/>
        <w:spacing w:after="0" w:line="287" w:lineRule="auto"/>
        <w:rPr>
          <w:sz w:val="20"/>
          <w:szCs w:val="20"/>
          <w:color w:val="auto"/>
        </w:rPr>
      </w:pPr>
      <w:r>
        <w:rPr>
          <w:rFonts w:ascii="Arial" w:cs="Arial" w:eastAsia="Arial" w:hAnsi="Arial"/>
          <w:sz w:val="21"/>
          <w:szCs w:val="21"/>
          <w:color w:val="auto"/>
        </w:rPr>
        <w:t>Certain identified information has been excluded from the exhibit because it is both (i) not material and (ii) would likely cause competitive harm to the Company, if publicly disclosed.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u w:val="single" w:color="auto"/>
          <w:color w:val="auto"/>
        </w:rPr>
        <w:t>EXCLUSIVE LICENSE AGREEMENT WITH KNOW-HOW</w:t>
      </w:r>
    </w:p>
    <w:p>
      <w:pPr>
        <w:spacing w:after="0" w:line="28"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Agreement No: L2011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By and among</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The Trustees of the University of Pennsylvania</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The University of Florida Research Foundation, Incorporated, acting as a single party</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(the “Licensors”)</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Ophthotech Corporation</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(the “Licensee”)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Dated: April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640" w:top="1320" w:right="319" w:bottom="1440" w:gutter="0" w:footer="0" w:header="0"/>
        </w:sectPr>
      </w:pPr>
    </w:p>
    <w:bookmarkStart w:id="83" w:name="page84"/>
    <w:bookmarkEnd w:id="83"/>
    <w:tbl>
      <w:tblPr>
        <w:tblLayout w:type="fixed"/>
        <w:tblInd w:w="102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tcPr>
          <w:p>
            <w:pPr>
              <w:ind w:left="1060"/>
              <w:spacing w:after="0"/>
              <w:rPr>
                <w:sz w:val="20"/>
                <w:szCs w:val="20"/>
                <w:color w:val="auto"/>
              </w:rPr>
            </w:pPr>
            <w:r>
              <w:rPr>
                <w:rFonts w:ascii="Arial" w:cs="Arial" w:eastAsia="Arial" w:hAnsi="Arial"/>
                <w:sz w:val="22"/>
                <w:szCs w:val="22"/>
                <w:b w:val="1"/>
                <w:bCs w:val="1"/>
                <w:color w:val="auto"/>
              </w:rPr>
              <w:t>TABLE OF CONTENTS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1"/>
        </w:trPr>
        <w:tc>
          <w:tcPr>
            <w:tcW w:w="820" w:type="dxa"/>
            <w:vAlign w:val="bottom"/>
          </w:tcPr>
          <w:p>
            <w:pPr>
              <w:spacing w:after="0"/>
              <w:rPr>
                <w:rFonts w:ascii="Arial" w:cs="Arial" w:eastAsia="Arial" w:hAnsi="Arial"/>
                <w:sz w:val="22"/>
                <w:szCs w:val="22"/>
                <w:color w:val="0000EE"/>
                <w:w w:val="87"/>
              </w:rPr>
            </w:pPr>
            <w:hyperlink w:anchor="page86">
              <w:r>
                <w:rPr>
                  <w:rFonts w:ascii="Arial" w:cs="Arial" w:eastAsia="Arial" w:hAnsi="Arial"/>
                  <w:sz w:val="22"/>
                  <w:szCs w:val="22"/>
                  <w:color w:val="0000EE"/>
                  <w:w w:val="87"/>
                </w:rPr>
                <w:t>Section 1</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Definitions</w:t>
            </w:r>
          </w:p>
        </w:tc>
        <w:tc>
          <w:tcPr>
            <w:tcW w:w="680" w:type="dxa"/>
            <w:vAlign w:val="bottom"/>
            <w:gridSpan w:val="3"/>
          </w:tcPr>
          <w:p>
            <w:pPr>
              <w:jc w:val="right"/>
              <w:spacing w:after="0"/>
              <w:rPr>
                <w:rFonts w:ascii="Arial" w:cs="Arial" w:eastAsia="Arial" w:hAnsi="Arial"/>
                <w:sz w:val="22"/>
                <w:szCs w:val="22"/>
                <w:color w:val="0000EE"/>
              </w:rPr>
            </w:pPr>
            <w:hyperlink w:anchor="page86">
              <w:r>
                <w:rPr>
                  <w:rFonts w:ascii="Arial" w:cs="Arial" w:eastAsia="Arial" w:hAnsi="Arial"/>
                  <w:sz w:val="22"/>
                  <w:szCs w:val="22"/>
                  <w:color w:val="0000EE"/>
                </w:rPr>
                <w:t>3</w:t>
              </w:r>
            </w:hyperlink>
          </w:p>
        </w:tc>
      </w:tr>
      <w:tr>
        <w:trPr>
          <w:trHeight w:val="20"/>
        </w:trPr>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820" w:type="dxa"/>
            <w:vAlign w:val="bottom"/>
          </w:tcPr>
          <w:p>
            <w:pPr>
              <w:spacing w:after="0"/>
              <w:rPr>
                <w:rFonts w:ascii="Arial" w:cs="Arial" w:eastAsia="Arial" w:hAnsi="Arial"/>
                <w:sz w:val="22"/>
                <w:szCs w:val="22"/>
                <w:color w:val="0000EE"/>
                <w:w w:val="87"/>
              </w:rPr>
            </w:pPr>
            <w:hyperlink w:anchor="page91">
              <w:r>
                <w:rPr>
                  <w:rFonts w:ascii="Arial" w:cs="Arial" w:eastAsia="Arial" w:hAnsi="Arial"/>
                  <w:sz w:val="22"/>
                  <w:szCs w:val="22"/>
                  <w:color w:val="0000EE"/>
                  <w:w w:val="87"/>
                </w:rPr>
                <w:t>Section 2</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Grant</w:t>
            </w:r>
          </w:p>
        </w:tc>
        <w:tc>
          <w:tcPr>
            <w:tcW w:w="680" w:type="dxa"/>
            <w:vAlign w:val="bottom"/>
            <w:gridSpan w:val="3"/>
          </w:tcPr>
          <w:p>
            <w:pPr>
              <w:jc w:val="right"/>
              <w:spacing w:after="0"/>
              <w:rPr>
                <w:rFonts w:ascii="Arial" w:cs="Arial" w:eastAsia="Arial" w:hAnsi="Arial"/>
                <w:sz w:val="22"/>
                <w:szCs w:val="22"/>
                <w:color w:val="0000EE"/>
              </w:rPr>
            </w:pPr>
            <w:hyperlink w:anchor="page91">
              <w:r>
                <w:rPr>
                  <w:rFonts w:ascii="Arial" w:cs="Arial" w:eastAsia="Arial" w:hAnsi="Arial"/>
                  <w:sz w:val="22"/>
                  <w:szCs w:val="22"/>
                  <w:color w:val="0000EE"/>
                </w:rPr>
                <w:t>8</w:t>
              </w:r>
            </w:hyperlink>
          </w:p>
        </w:tc>
      </w:tr>
      <w:tr>
        <w:trPr>
          <w:trHeight w:val="20"/>
        </w:trPr>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820" w:type="dxa"/>
            <w:vAlign w:val="bottom"/>
            <w:tcBorders>
              <w:bottom w:val="single" w:sz="8" w:color="0000EE"/>
            </w:tcBorders>
          </w:tcPr>
          <w:p>
            <w:pPr>
              <w:spacing w:after="0"/>
              <w:rPr>
                <w:rFonts w:ascii="Arial" w:cs="Arial" w:eastAsia="Arial" w:hAnsi="Arial"/>
                <w:sz w:val="22"/>
                <w:szCs w:val="22"/>
                <w:color w:val="0000EE"/>
                <w:w w:val="87"/>
              </w:rPr>
            </w:pPr>
            <w:hyperlink w:anchor="page95">
              <w:r>
                <w:rPr>
                  <w:rFonts w:ascii="Arial" w:cs="Arial" w:eastAsia="Arial" w:hAnsi="Arial"/>
                  <w:sz w:val="22"/>
                  <w:szCs w:val="22"/>
                  <w:color w:val="0000EE"/>
                  <w:w w:val="87"/>
                </w:rPr>
                <w:t>Section 3</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Diligence Obligations</w:t>
            </w:r>
          </w:p>
        </w:tc>
        <w:tc>
          <w:tcPr>
            <w:tcW w:w="4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rFonts w:ascii="Arial" w:cs="Arial" w:eastAsia="Arial" w:hAnsi="Arial"/>
                <w:sz w:val="22"/>
                <w:szCs w:val="22"/>
                <w:color w:val="0000EE"/>
                <w:w w:val="81"/>
              </w:rPr>
            </w:pPr>
            <w:hyperlink w:anchor="page95">
              <w:r>
                <w:rPr>
                  <w:rFonts w:ascii="Arial" w:cs="Arial" w:eastAsia="Arial" w:hAnsi="Arial"/>
                  <w:sz w:val="22"/>
                  <w:szCs w:val="22"/>
                  <w:color w:val="0000EE"/>
                  <w:w w:val="81"/>
                </w:rPr>
                <w:t>12</w:t>
              </w:r>
            </w:hyperlink>
          </w:p>
        </w:tc>
      </w:tr>
      <w:tr>
        <w:trPr>
          <w:trHeight w:val="277"/>
        </w:trPr>
        <w:tc>
          <w:tcPr>
            <w:tcW w:w="820" w:type="dxa"/>
            <w:vAlign w:val="bottom"/>
            <w:tcBorders>
              <w:bottom w:val="single" w:sz="8" w:color="0000EE"/>
            </w:tcBorders>
          </w:tcPr>
          <w:p>
            <w:pPr>
              <w:spacing w:after="0"/>
              <w:rPr>
                <w:rFonts w:ascii="Arial" w:cs="Arial" w:eastAsia="Arial" w:hAnsi="Arial"/>
                <w:sz w:val="22"/>
                <w:szCs w:val="22"/>
                <w:color w:val="0000EE"/>
                <w:w w:val="87"/>
              </w:rPr>
            </w:pPr>
            <w:hyperlink w:anchor="page96">
              <w:r>
                <w:rPr>
                  <w:rFonts w:ascii="Arial" w:cs="Arial" w:eastAsia="Arial" w:hAnsi="Arial"/>
                  <w:sz w:val="22"/>
                  <w:szCs w:val="22"/>
                  <w:color w:val="0000EE"/>
                  <w:w w:val="87"/>
                </w:rPr>
                <w:t>Section 4</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Payments</w:t>
            </w:r>
          </w:p>
        </w:tc>
        <w:tc>
          <w:tcPr>
            <w:tcW w:w="4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rFonts w:ascii="Arial" w:cs="Arial" w:eastAsia="Arial" w:hAnsi="Arial"/>
                <w:sz w:val="22"/>
                <w:szCs w:val="22"/>
                <w:color w:val="0000EE"/>
                <w:w w:val="81"/>
              </w:rPr>
            </w:pPr>
            <w:hyperlink w:anchor="page96">
              <w:r>
                <w:rPr>
                  <w:rFonts w:ascii="Arial" w:cs="Arial" w:eastAsia="Arial" w:hAnsi="Arial"/>
                  <w:sz w:val="22"/>
                  <w:szCs w:val="22"/>
                  <w:color w:val="0000EE"/>
                  <w:w w:val="81"/>
                </w:rPr>
                <w:t>13</w:t>
              </w:r>
            </w:hyperlink>
          </w:p>
        </w:tc>
      </w:tr>
      <w:tr>
        <w:trPr>
          <w:trHeight w:val="277"/>
        </w:trPr>
        <w:tc>
          <w:tcPr>
            <w:tcW w:w="820" w:type="dxa"/>
            <w:vAlign w:val="bottom"/>
            <w:tcBorders>
              <w:bottom w:val="single" w:sz="8" w:color="0000EE"/>
            </w:tcBorders>
          </w:tcPr>
          <w:p>
            <w:pPr>
              <w:spacing w:after="0"/>
              <w:rPr>
                <w:rFonts w:ascii="Arial" w:cs="Arial" w:eastAsia="Arial" w:hAnsi="Arial"/>
                <w:sz w:val="22"/>
                <w:szCs w:val="22"/>
                <w:color w:val="0000EE"/>
                <w:w w:val="87"/>
              </w:rPr>
            </w:pPr>
            <w:hyperlink w:anchor="page103">
              <w:r>
                <w:rPr>
                  <w:rFonts w:ascii="Arial" w:cs="Arial" w:eastAsia="Arial" w:hAnsi="Arial"/>
                  <w:sz w:val="22"/>
                  <w:szCs w:val="22"/>
                  <w:color w:val="0000EE"/>
                  <w:w w:val="87"/>
                </w:rPr>
                <w:t>Section 5</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Representations and Disclaimers of Licensors and Licensee.</w:t>
            </w:r>
          </w:p>
        </w:tc>
        <w:tc>
          <w:tcPr>
            <w:tcW w:w="4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rFonts w:ascii="Arial" w:cs="Arial" w:eastAsia="Arial" w:hAnsi="Arial"/>
                <w:sz w:val="22"/>
                <w:szCs w:val="22"/>
                <w:color w:val="0000EE"/>
                <w:w w:val="81"/>
              </w:rPr>
            </w:pPr>
            <w:hyperlink w:anchor="page103">
              <w:r>
                <w:rPr>
                  <w:rFonts w:ascii="Arial" w:cs="Arial" w:eastAsia="Arial" w:hAnsi="Arial"/>
                  <w:sz w:val="22"/>
                  <w:szCs w:val="22"/>
                  <w:color w:val="0000EE"/>
                  <w:w w:val="81"/>
                </w:rPr>
                <w:t>20</w:t>
              </w:r>
            </w:hyperlink>
          </w:p>
        </w:tc>
      </w:tr>
      <w:tr>
        <w:trPr>
          <w:trHeight w:val="277"/>
        </w:trPr>
        <w:tc>
          <w:tcPr>
            <w:tcW w:w="820" w:type="dxa"/>
            <w:vAlign w:val="bottom"/>
            <w:tcBorders>
              <w:bottom w:val="single" w:sz="8" w:color="0000EE"/>
            </w:tcBorders>
          </w:tcPr>
          <w:p>
            <w:pPr>
              <w:spacing w:after="0"/>
              <w:rPr>
                <w:rFonts w:ascii="Arial" w:cs="Arial" w:eastAsia="Arial" w:hAnsi="Arial"/>
                <w:sz w:val="22"/>
                <w:szCs w:val="22"/>
                <w:color w:val="0000EE"/>
                <w:w w:val="87"/>
              </w:rPr>
            </w:pPr>
            <w:hyperlink w:anchor="page104">
              <w:r>
                <w:rPr>
                  <w:rFonts w:ascii="Arial" w:cs="Arial" w:eastAsia="Arial" w:hAnsi="Arial"/>
                  <w:sz w:val="22"/>
                  <w:szCs w:val="22"/>
                  <w:color w:val="0000EE"/>
                  <w:w w:val="87"/>
                </w:rPr>
                <w:t>Section 6</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Record Keeping; Accounting</w:t>
            </w:r>
          </w:p>
        </w:tc>
        <w:tc>
          <w:tcPr>
            <w:tcW w:w="4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rFonts w:ascii="Arial" w:cs="Arial" w:eastAsia="Arial" w:hAnsi="Arial"/>
                <w:sz w:val="22"/>
                <w:szCs w:val="22"/>
                <w:color w:val="0000EE"/>
                <w:w w:val="81"/>
              </w:rPr>
            </w:pPr>
            <w:hyperlink w:anchor="page104">
              <w:r>
                <w:rPr>
                  <w:rFonts w:ascii="Arial" w:cs="Arial" w:eastAsia="Arial" w:hAnsi="Arial"/>
                  <w:sz w:val="22"/>
                  <w:szCs w:val="22"/>
                  <w:color w:val="0000EE"/>
                  <w:w w:val="81"/>
                </w:rPr>
                <w:t>21</w:t>
              </w:r>
            </w:hyperlink>
          </w:p>
        </w:tc>
      </w:tr>
      <w:tr>
        <w:trPr>
          <w:trHeight w:val="277"/>
        </w:trPr>
        <w:tc>
          <w:tcPr>
            <w:tcW w:w="820" w:type="dxa"/>
            <w:vAlign w:val="bottom"/>
            <w:tcBorders>
              <w:bottom w:val="single" w:sz="8" w:color="0000EE"/>
            </w:tcBorders>
          </w:tcPr>
          <w:p>
            <w:pPr>
              <w:spacing w:after="0"/>
              <w:rPr>
                <w:rFonts w:ascii="Arial" w:cs="Arial" w:eastAsia="Arial" w:hAnsi="Arial"/>
                <w:sz w:val="22"/>
                <w:szCs w:val="22"/>
                <w:color w:val="0000EE"/>
                <w:w w:val="87"/>
              </w:rPr>
            </w:pPr>
            <w:hyperlink w:anchor="page106">
              <w:r>
                <w:rPr>
                  <w:rFonts w:ascii="Arial" w:cs="Arial" w:eastAsia="Arial" w:hAnsi="Arial"/>
                  <w:sz w:val="22"/>
                  <w:szCs w:val="22"/>
                  <w:color w:val="0000EE"/>
                  <w:w w:val="87"/>
                </w:rPr>
                <w:t>Section 7</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Patent Prosecution</w:t>
            </w:r>
          </w:p>
        </w:tc>
        <w:tc>
          <w:tcPr>
            <w:tcW w:w="4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rFonts w:ascii="Arial" w:cs="Arial" w:eastAsia="Arial" w:hAnsi="Arial"/>
                <w:sz w:val="22"/>
                <w:szCs w:val="22"/>
                <w:color w:val="0000EE"/>
                <w:w w:val="81"/>
              </w:rPr>
            </w:pPr>
            <w:hyperlink w:anchor="page106">
              <w:r>
                <w:rPr>
                  <w:rFonts w:ascii="Arial" w:cs="Arial" w:eastAsia="Arial" w:hAnsi="Arial"/>
                  <w:sz w:val="22"/>
                  <w:szCs w:val="22"/>
                  <w:color w:val="0000EE"/>
                  <w:w w:val="81"/>
                </w:rPr>
                <w:t>23</w:t>
              </w:r>
            </w:hyperlink>
          </w:p>
        </w:tc>
      </w:tr>
      <w:tr>
        <w:trPr>
          <w:trHeight w:val="277"/>
        </w:trPr>
        <w:tc>
          <w:tcPr>
            <w:tcW w:w="820" w:type="dxa"/>
            <w:vAlign w:val="bottom"/>
            <w:tcBorders>
              <w:bottom w:val="single" w:sz="8" w:color="0000EE"/>
            </w:tcBorders>
          </w:tcPr>
          <w:p>
            <w:pPr>
              <w:spacing w:after="0"/>
              <w:rPr>
                <w:rFonts w:ascii="Arial" w:cs="Arial" w:eastAsia="Arial" w:hAnsi="Arial"/>
                <w:sz w:val="22"/>
                <w:szCs w:val="22"/>
                <w:color w:val="0000EE"/>
                <w:w w:val="87"/>
              </w:rPr>
            </w:pPr>
            <w:hyperlink w:anchor="page108">
              <w:r>
                <w:rPr>
                  <w:rFonts w:ascii="Arial" w:cs="Arial" w:eastAsia="Arial" w:hAnsi="Arial"/>
                  <w:sz w:val="22"/>
                  <w:szCs w:val="22"/>
                  <w:color w:val="0000EE"/>
                  <w:w w:val="87"/>
                </w:rPr>
                <w:t>Section 8</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Infringement and Invalidity</w:t>
            </w:r>
          </w:p>
        </w:tc>
        <w:tc>
          <w:tcPr>
            <w:tcW w:w="4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rFonts w:ascii="Arial" w:cs="Arial" w:eastAsia="Arial" w:hAnsi="Arial"/>
                <w:sz w:val="22"/>
                <w:szCs w:val="22"/>
                <w:color w:val="0000EE"/>
                <w:w w:val="81"/>
              </w:rPr>
            </w:pPr>
            <w:hyperlink w:anchor="page108">
              <w:r>
                <w:rPr>
                  <w:rFonts w:ascii="Arial" w:cs="Arial" w:eastAsia="Arial" w:hAnsi="Arial"/>
                  <w:sz w:val="22"/>
                  <w:szCs w:val="22"/>
                  <w:color w:val="0000EE"/>
                  <w:w w:val="81"/>
                </w:rPr>
                <w:t>25</w:t>
              </w:r>
            </w:hyperlink>
          </w:p>
        </w:tc>
      </w:tr>
      <w:tr>
        <w:trPr>
          <w:trHeight w:val="277"/>
        </w:trPr>
        <w:tc>
          <w:tcPr>
            <w:tcW w:w="820" w:type="dxa"/>
            <w:vAlign w:val="bottom"/>
            <w:tcBorders>
              <w:bottom w:val="single" w:sz="8" w:color="0000EE"/>
            </w:tcBorders>
          </w:tcPr>
          <w:p>
            <w:pPr>
              <w:spacing w:after="0"/>
              <w:rPr>
                <w:rFonts w:ascii="Arial" w:cs="Arial" w:eastAsia="Arial" w:hAnsi="Arial"/>
                <w:sz w:val="22"/>
                <w:szCs w:val="22"/>
                <w:color w:val="0000EE"/>
                <w:w w:val="87"/>
              </w:rPr>
            </w:pPr>
            <w:hyperlink w:anchor="page110">
              <w:r>
                <w:rPr>
                  <w:rFonts w:ascii="Arial" w:cs="Arial" w:eastAsia="Arial" w:hAnsi="Arial"/>
                  <w:sz w:val="22"/>
                  <w:szCs w:val="22"/>
                  <w:color w:val="0000EE"/>
                  <w:w w:val="87"/>
                </w:rPr>
                <w:t>Section 9</w:t>
              </w:r>
            </w:hyperlink>
          </w:p>
        </w:tc>
        <w:tc>
          <w:tcPr>
            <w:tcW w:w="460" w:type="dxa"/>
            <w:vAlign w:val="bottom"/>
            <w:gridSpan w:val="2"/>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Term and Termination</w:t>
            </w:r>
          </w:p>
        </w:tc>
        <w:tc>
          <w:tcPr>
            <w:tcW w:w="460" w:type="dxa"/>
            <w:vAlign w:val="bottom"/>
          </w:tcPr>
          <w:p>
            <w:pPr>
              <w:spacing w:after="0"/>
              <w:rPr>
                <w:sz w:val="24"/>
                <w:szCs w:val="24"/>
                <w:color w:val="auto"/>
              </w:rPr>
            </w:pPr>
          </w:p>
        </w:tc>
        <w:tc>
          <w:tcPr>
            <w:tcW w:w="220" w:type="dxa"/>
            <w:vAlign w:val="bottom"/>
            <w:tcBorders>
              <w:bottom w:val="single" w:sz="8" w:color="0000EE"/>
            </w:tcBorders>
            <w:gridSpan w:val="2"/>
          </w:tcPr>
          <w:p>
            <w:pPr>
              <w:jc w:val="right"/>
              <w:spacing w:after="0"/>
              <w:rPr>
                <w:rFonts w:ascii="Arial" w:cs="Arial" w:eastAsia="Arial" w:hAnsi="Arial"/>
                <w:sz w:val="22"/>
                <w:szCs w:val="22"/>
                <w:color w:val="0000EE"/>
                <w:w w:val="81"/>
              </w:rPr>
            </w:pPr>
            <w:hyperlink w:anchor="page110">
              <w:r>
                <w:rPr>
                  <w:rFonts w:ascii="Arial" w:cs="Arial" w:eastAsia="Arial" w:hAnsi="Arial"/>
                  <w:sz w:val="22"/>
                  <w:szCs w:val="22"/>
                  <w:color w:val="0000EE"/>
                  <w:w w:val="81"/>
                </w:rPr>
                <w:t>27</w:t>
              </w:r>
            </w:hyperlink>
          </w:p>
        </w:tc>
      </w:tr>
      <w:tr>
        <w:trPr>
          <w:trHeight w:val="277"/>
        </w:trPr>
        <w:tc>
          <w:tcPr>
            <w:tcW w:w="1280" w:type="dxa"/>
            <w:vAlign w:val="bottom"/>
            <w:gridSpan w:val="3"/>
          </w:tcPr>
          <w:p>
            <w:pPr>
              <w:spacing w:after="0"/>
              <w:rPr>
                <w:rFonts w:ascii="Arial" w:cs="Arial" w:eastAsia="Arial" w:hAnsi="Arial"/>
                <w:sz w:val="22"/>
                <w:szCs w:val="22"/>
                <w:color w:val="0000EE"/>
              </w:rPr>
            </w:pPr>
            <w:hyperlink w:anchor="page113">
              <w:r>
                <w:rPr>
                  <w:rFonts w:ascii="Arial" w:cs="Arial" w:eastAsia="Arial" w:hAnsi="Arial"/>
                  <w:sz w:val="22"/>
                  <w:szCs w:val="22"/>
                  <w:color w:val="0000EE"/>
                </w:rPr>
                <w:t>Section 10</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No Discrimintion</w:t>
            </w:r>
          </w:p>
        </w:tc>
        <w:tc>
          <w:tcPr>
            <w:tcW w:w="680" w:type="dxa"/>
            <w:vAlign w:val="bottom"/>
            <w:gridSpan w:val="3"/>
          </w:tcPr>
          <w:p>
            <w:pPr>
              <w:jc w:val="right"/>
              <w:spacing w:after="0"/>
              <w:rPr>
                <w:rFonts w:ascii="Arial" w:cs="Arial" w:eastAsia="Arial" w:hAnsi="Arial"/>
                <w:sz w:val="22"/>
                <w:szCs w:val="22"/>
                <w:color w:val="0000EE"/>
              </w:rPr>
            </w:pPr>
            <w:hyperlink w:anchor="page113">
              <w:r>
                <w:rPr>
                  <w:rFonts w:ascii="Arial" w:cs="Arial" w:eastAsia="Arial" w:hAnsi="Arial"/>
                  <w:sz w:val="22"/>
                  <w:szCs w:val="22"/>
                  <w:color w:val="0000EE"/>
                </w:rPr>
                <w:t>30</w:t>
              </w:r>
            </w:hyperlink>
          </w:p>
        </w:tc>
      </w:tr>
      <w:tr>
        <w:trPr>
          <w:trHeight w:val="277"/>
        </w:trPr>
        <w:tc>
          <w:tcPr>
            <w:tcW w:w="920" w:type="dxa"/>
            <w:vAlign w:val="bottom"/>
            <w:tcBorders>
              <w:top w:val="single" w:sz="8" w:color="0000EE"/>
              <w:bottom w:val="single" w:sz="8" w:color="0000EE"/>
            </w:tcBorders>
            <w:gridSpan w:val="2"/>
          </w:tcPr>
          <w:p>
            <w:pPr>
              <w:spacing w:after="0"/>
              <w:rPr>
                <w:rFonts w:ascii="Arial" w:cs="Arial" w:eastAsia="Arial" w:hAnsi="Arial"/>
                <w:sz w:val="22"/>
                <w:szCs w:val="22"/>
                <w:color w:val="0000EE"/>
                <w:w w:val="86"/>
              </w:rPr>
            </w:pPr>
            <w:hyperlink w:anchor="page113">
              <w:r>
                <w:rPr>
                  <w:rFonts w:ascii="Arial" w:cs="Arial" w:eastAsia="Arial" w:hAnsi="Arial"/>
                  <w:sz w:val="22"/>
                  <w:szCs w:val="22"/>
                  <w:color w:val="0000EE"/>
                  <w:w w:val="86"/>
                </w:rPr>
                <w:t>Section 11</w:t>
              </w:r>
            </w:hyperlink>
          </w:p>
        </w:tc>
        <w:tc>
          <w:tcPr>
            <w:tcW w:w="360" w:type="dxa"/>
            <w:vAlign w:val="bottom"/>
          </w:tcPr>
          <w:p>
            <w:pPr>
              <w:spacing w:after="0"/>
              <w:rPr>
                <w:sz w:val="24"/>
                <w:szCs w:val="24"/>
                <w:color w:val="auto"/>
              </w:rPr>
            </w:pPr>
          </w:p>
        </w:tc>
        <w:tc>
          <w:tcPr>
            <w:tcW w:w="7160" w:type="dxa"/>
            <w:vAlign w:val="bottom"/>
          </w:tcPr>
          <w:p>
            <w:pPr>
              <w:ind w:left="200"/>
              <w:spacing w:after="0"/>
              <w:rPr>
                <w:sz w:val="20"/>
                <w:szCs w:val="20"/>
                <w:color w:val="auto"/>
              </w:rPr>
            </w:pPr>
            <w:r>
              <w:rPr>
                <w:rFonts w:ascii="Arial" w:cs="Arial" w:eastAsia="Arial" w:hAnsi="Arial"/>
                <w:sz w:val="22"/>
                <w:szCs w:val="22"/>
                <w:color w:val="auto"/>
              </w:rPr>
              <w:t>Assignability</w:t>
            </w:r>
          </w:p>
        </w:tc>
        <w:tc>
          <w:tcPr>
            <w:tcW w:w="460" w:type="dxa"/>
            <w:vAlign w:val="bottom"/>
          </w:tcPr>
          <w:p>
            <w:pPr>
              <w:spacing w:after="0"/>
              <w:rPr>
                <w:sz w:val="24"/>
                <w:szCs w:val="24"/>
                <w:color w:val="auto"/>
              </w:rPr>
            </w:pPr>
          </w:p>
        </w:tc>
        <w:tc>
          <w:tcPr>
            <w:tcW w:w="220" w:type="dxa"/>
            <w:vAlign w:val="bottom"/>
            <w:tcBorders>
              <w:top w:val="single" w:sz="8" w:color="0000EE"/>
              <w:bottom w:val="single" w:sz="8" w:color="0000EE"/>
            </w:tcBorders>
            <w:gridSpan w:val="2"/>
          </w:tcPr>
          <w:p>
            <w:pPr>
              <w:jc w:val="right"/>
              <w:spacing w:after="0"/>
              <w:rPr>
                <w:rFonts w:ascii="Arial" w:cs="Arial" w:eastAsia="Arial" w:hAnsi="Arial"/>
                <w:sz w:val="22"/>
                <w:szCs w:val="22"/>
                <w:color w:val="0000EE"/>
                <w:w w:val="81"/>
              </w:rPr>
            </w:pPr>
            <w:hyperlink w:anchor="page113">
              <w:r>
                <w:rPr>
                  <w:rFonts w:ascii="Arial" w:cs="Arial" w:eastAsia="Arial" w:hAnsi="Arial"/>
                  <w:sz w:val="22"/>
                  <w:szCs w:val="22"/>
                  <w:color w:val="0000EE"/>
                  <w:w w:val="81"/>
                </w:rPr>
                <w:t>30</w:t>
              </w:r>
            </w:hyperlink>
          </w:p>
        </w:tc>
      </w:tr>
      <w:tr>
        <w:trPr>
          <w:trHeight w:val="277"/>
        </w:trPr>
        <w:tc>
          <w:tcPr>
            <w:tcW w:w="1280" w:type="dxa"/>
            <w:vAlign w:val="bottom"/>
            <w:gridSpan w:val="3"/>
          </w:tcPr>
          <w:p>
            <w:pPr>
              <w:spacing w:after="0"/>
              <w:rPr>
                <w:rFonts w:ascii="Arial" w:cs="Arial" w:eastAsia="Arial" w:hAnsi="Arial"/>
                <w:sz w:val="22"/>
                <w:szCs w:val="22"/>
                <w:color w:val="0000EE"/>
              </w:rPr>
            </w:pPr>
            <w:hyperlink w:anchor="page114">
              <w:r>
                <w:rPr>
                  <w:rFonts w:ascii="Arial" w:cs="Arial" w:eastAsia="Arial" w:hAnsi="Arial"/>
                  <w:sz w:val="22"/>
                  <w:szCs w:val="22"/>
                  <w:color w:val="0000EE"/>
                </w:rPr>
                <w:t>Section 12</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Dispute Resolution</w:t>
            </w:r>
          </w:p>
        </w:tc>
        <w:tc>
          <w:tcPr>
            <w:tcW w:w="680" w:type="dxa"/>
            <w:vAlign w:val="bottom"/>
            <w:gridSpan w:val="3"/>
          </w:tcPr>
          <w:p>
            <w:pPr>
              <w:jc w:val="right"/>
              <w:spacing w:after="0"/>
              <w:rPr>
                <w:rFonts w:ascii="Arial" w:cs="Arial" w:eastAsia="Arial" w:hAnsi="Arial"/>
                <w:sz w:val="22"/>
                <w:szCs w:val="22"/>
                <w:color w:val="0000EE"/>
              </w:rPr>
            </w:pPr>
            <w:hyperlink w:anchor="page114">
              <w:r>
                <w:rPr>
                  <w:rFonts w:ascii="Arial" w:cs="Arial" w:eastAsia="Arial" w:hAnsi="Arial"/>
                  <w:sz w:val="22"/>
                  <w:szCs w:val="22"/>
                  <w:color w:val="0000EE"/>
                </w:rPr>
                <w:t>31</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280" w:type="dxa"/>
            <w:vAlign w:val="bottom"/>
            <w:gridSpan w:val="3"/>
          </w:tcPr>
          <w:p>
            <w:pPr>
              <w:spacing w:after="0"/>
              <w:rPr>
                <w:rFonts w:ascii="Arial" w:cs="Arial" w:eastAsia="Arial" w:hAnsi="Arial"/>
                <w:sz w:val="22"/>
                <w:szCs w:val="22"/>
                <w:color w:val="0000EE"/>
              </w:rPr>
            </w:pPr>
            <w:hyperlink w:anchor="page115">
              <w:r>
                <w:rPr>
                  <w:rFonts w:ascii="Arial" w:cs="Arial" w:eastAsia="Arial" w:hAnsi="Arial"/>
                  <w:sz w:val="22"/>
                  <w:szCs w:val="22"/>
                  <w:color w:val="0000EE"/>
                </w:rPr>
                <w:t>Section 13</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Indemnification; Liability; Insurance</w:t>
            </w:r>
          </w:p>
        </w:tc>
        <w:tc>
          <w:tcPr>
            <w:tcW w:w="680" w:type="dxa"/>
            <w:vAlign w:val="bottom"/>
            <w:gridSpan w:val="3"/>
          </w:tcPr>
          <w:p>
            <w:pPr>
              <w:jc w:val="right"/>
              <w:spacing w:after="0"/>
              <w:rPr>
                <w:rFonts w:ascii="Arial" w:cs="Arial" w:eastAsia="Arial" w:hAnsi="Arial"/>
                <w:sz w:val="22"/>
                <w:szCs w:val="22"/>
                <w:color w:val="0000EE"/>
              </w:rPr>
            </w:pPr>
            <w:hyperlink w:anchor="page115">
              <w:r>
                <w:rPr>
                  <w:rFonts w:ascii="Arial" w:cs="Arial" w:eastAsia="Arial" w:hAnsi="Arial"/>
                  <w:sz w:val="22"/>
                  <w:szCs w:val="22"/>
                  <w:color w:val="0000EE"/>
                </w:rPr>
                <w:t>32</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280" w:type="dxa"/>
            <w:vAlign w:val="bottom"/>
            <w:gridSpan w:val="3"/>
          </w:tcPr>
          <w:p>
            <w:pPr>
              <w:spacing w:after="0"/>
              <w:rPr>
                <w:rFonts w:ascii="Arial" w:cs="Arial" w:eastAsia="Arial" w:hAnsi="Arial"/>
                <w:sz w:val="22"/>
                <w:szCs w:val="22"/>
                <w:color w:val="0000EE"/>
              </w:rPr>
            </w:pPr>
            <w:hyperlink w:anchor="page117">
              <w:r>
                <w:rPr>
                  <w:rFonts w:ascii="Arial" w:cs="Arial" w:eastAsia="Arial" w:hAnsi="Arial"/>
                  <w:sz w:val="22"/>
                  <w:szCs w:val="22"/>
                  <w:color w:val="0000EE"/>
                </w:rPr>
                <w:t>Section 14</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Use of Names</w:t>
            </w:r>
          </w:p>
        </w:tc>
        <w:tc>
          <w:tcPr>
            <w:tcW w:w="680" w:type="dxa"/>
            <w:vAlign w:val="bottom"/>
            <w:gridSpan w:val="3"/>
          </w:tcPr>
          <w:p>
            <w:pPr>
              <w:jc w:val="right"/>
              <w:spacing w:after="0"/>
              <w:rPr>
                <w:rFonts w:ascii="Arial" w:cs="Arial" w:eastAsia="Arial" w:hAnsi="Arial"/>
                <w:sz w:val="22"/>
                <w:szCs w:val="22"/>
                <w:color w:val="0000EE"/>
              </w:rPr>
            </w:pPr>
            <w:hyperlink w:anchor="page117">
              <w:r>
                <w:rPr>
                  <w:rFonts w:ascii="Arial" w:cs="Arial" w:eastAsia="Arial" w:hAnsi="Arial"/>
                  <w:sz w:val="22"/>
                  <w:szCs w:val="22"/>
                  <w:color w:val="0000EE"/>
                </w:rPr>
                <w:t>34</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280" w:type="dxa"/>
            <w:vAlign w:val="bottom"/>
            <w:gridSpan w:val="3"/>
          </w:tcPr>
          <w:p>
            <w:pPr>
              <w:spacing w:after="0"/>
              <w:rPr>
                <w:rFonts w:ascii="Arial" w:cs="Arial" w:eastAsia="Arial" w:hAnsi="Arial"/>
                <w:sz w:val="22"/>
                <w:szCs w:val="22"/>
                <w:color w:val="0000EE"/>
              </w:rPr>
            </w:pPr>
            <w:hyperlink w:anchor="page117">
              <w:r>
                <w:rPr>
                  <w:rFonts w:ascii="Arial" w:cs="Arial" w:eastAsia="Arial" w:hAnsi="Arial"/>
                  <w:sz w:val="22"/>
                  <w:szCs w:val="22"/>
                  <w:color w:val="0000EE"/>
                </w:rPr>
                <w:t>Section 15</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Miscellaneous</w:t>
            </w:r>
          </w:p>
        </w:tc>
        <w:tc>
          <w:tcPr>
            <w:tcW w:w="680" w:type="dxa"/>
            <w:vAlign w:val="bottom"/>
            <w:gridSpan w:val="3"/>
          </w:tcPr>
          <w:p>
            <w:pPr>
              <w:jc w:val="right"/>
              <w:spacing w:after="0"/>
              <w:rPr>
                <w:rFonts w:ascii="Arial" w:cs="Arial" w:eastAsia="Arial" w:hAnsi="Arial"/>
                <w:sz w:val="22"/>
                <w:szCs w:val="22"/>
                <w:color w:val="0000EE"/>
              </w:rPr>
            </w:pPr>
            <w:hyperlink w:anchor="page117">
              <w:r>
                <w:rPr>
                  <w:rFonts w:ascii="Arial" w:cs="Arial" w:eastAsia="Arial" w:hAnsi="Arial"/>
                  <w:sz w:val="22"/>
                  <w:szCs w:val="22"/>
                  <w:color w:val="0000EE"/>
                </w:rPr>
                <w:t>34</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280" w:type="dxa"/>
            <w:vAlign w:val="bottom"/>
            <w:gridSpan w:val="3"/>
          </w:tcPr>
          <w:p>
            <w:pPr>
              <w:spacing w:after="0"/>
              <w:rPr>
                <w:rFonts w:ascii="Arial" w:cs="Arial" w:eastAsia="Arial" w:hAnsi="Arial"/>
                <w:sz w:val="22"/>
                <w:szCs w:val="22"/>
                <w:color w:val="0000EE"/>
              </w:rPr>
            </w:pPr>
            <w:hyperlink w:anchor="page119">
              <w:r>
                <w:rPr>
                  <w:rFonts w:ascii="Arial" w:cs="Arial" w:eastAsia="Arial" w:hAnsi="Arial"/>
                  <w:sz w:val="22"/>
                  <w:szCs w:val="22"/>
                  <w:color w:val="0000EE"/>
                </w:rPr>
                <w:t>Section 16</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Notices</w:t>
            </w:r>
          </w:p>
        </w:tc>
        <w:tc>
          <w:tcPr>
            <w:tcW w:w="680" w:type="dxa"/>
            <w:vAlign w:val="bottom"/>
            <w:gridSpan w:val="3"/>
          </w:tcPr>
          <w:p>
            <w:pPr>
              <w:jc w:val="right"/>
              <w:spacing w:after="0"/>
              <w:rPr>
                <w:rFonts w:ascii="Arial" w:cs="Arial" w:eastAsia="Arial" w:hAnsi="Arial"/>
                <w:sz w:val="22"/>
                <w:szCs w:val="22"/>
                <w:color w:val="0000EE"/>
              </w:rPr>
            </w:pPr>
            <w:hyperlink w:anchor="page119">
              <w:r>
                <w:rPr>
                  <w:rFonts w:ascii="Arial" w:cs="Arial" w:eastAsia="Arial" w:hAnsi="Arial"/>
                  <w:sz w:val="22"/>
                  <w:szCs w:val="22"/>
                  <w:color w:val="0000EE"/>
                </w:rPr>
                <w:t>36</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280" w:type="dxa"/>
            <w:vAlign w:val="bottom"/>
            <w:gridSpan w:val="3"/>
          </w:tcPr>
          <w:p>
            <w:pPr>
              <w:spacing w:after="0"/>
              <w:rPr>
                <w:rFonts w:ascii="Arial" w:cs="Arial" w:eastAsia="Arial" w:hAnsi="Arial"/>
                <w:sz w:val="22"/>
                <w:szCs w:val="22"/>
                <w:color w:val="0000EE"/>
              </w:rPr>
            </w:pPr>
            <w:hyperlink w:anchor="page120">
              <w:r>
                <w:rPr>
                  <w:rFonts w:ascii="Arial" w:cs="Arial" w:eastAsia="Arial" w:hAnsi="Arial"/>
                  <w:sz w:val="22"/>
                  <w:szCs w:val="22"/>
                  <w:color w:val="0000EE"/>
                </w:rPr>
                <w:t>Section 17</w:t>
              </w:r>
            </w:hyperlink>
          </w:p>
        </w:tc>
        <w:tc>
          <w:tcPr>
            <w:tcW w:w="7160" w:type="dxa"/>
            <w:vAlign w:val="bottom"/>
          </w:tcPr>
          <w:p>
            <w:pPr>
              <w:ind w:left="200"/>
              <w:spacing w:after="0"/>
              <w:rPr>
                <w:sz w:val="20"/>
                <w:szCs w:val="20"/>
                <w:color w:val="auto"/>
              </w:rPr>
            </w:pPr>
            <w:r>
              <w:rPr>
                <w:rFonts w:ascii="Arial" w:cs="Arial" w:eastAsia="Arial" w:hAnsi="Arial"/>
                <w:sz w:val="22"/>
                <w:szCs w:val="22"/>
                <w:color w:val="auto"/>
                <w:w w:val="95"/>
              </w:rPr>
              <w:t>United States Government Interests; Foundation Fighting Blindness Rights</w:t>
            </w:r>
          </w:p>
        </w:tc>
        <w:tc>
          <w:tcPr>
            <w:tcW w:w="680" w:type="dxa"/>
            <w:vAlign w:val="bottom"/>
            <w:gridSpan w:val="3"/>
          </w:tcPr>
          <w:p>
            <w:pPr>
              <w:jc w:val="right"/>
              <w:spacing w:after="0"/>
              <w:rPr>
                <w:rFonts w:ascii="Arial" w:cs="Arial" w:eastAsia="Arial" w:hAnsi="Arial"/>
                <w:sz w:val="22"/>
                <w:szCs w:val="22"/>
                <w:color w:val="0000EE"/>
              </w:rPr>
            </w:pPr>
            <w:hyperlink w:anchor="page120">
              <w:r>
                <w:rPr>
                  <w:rFonts w:ascii="Arial" w:cs="Arial" w:eastAsia="Arial" w:hAnsi="Arial"/>
                  <w:sz w:val="22"/>
                  <w:szCs w:val="22"/>
                  <w:color w:val="0000EE"/>
                </w:rPr>
                <w:t>37</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280" w:type="dxa"/>
            <w:vAlign w:val="bottom"/>
            <w:gridSpan w:val="3"/>
          </w:tcPr>
          <w:p>
            <w:pPr>
              <w:spacing w:after="0"/>
              <w:rPr>
                <w:rFonts w:ascii="Arial" w:cs="Arial" w:eastAsia="Arial" w:hAnsi="Arial"/>
                <w:sz w:val="22"/>
                <w:szCs w:val="22"/>
                <w:color w:val="0000EE"/>
              </w:rPr>
            </w:pPr>
            <w:hyperlink w:anchor="page121">
              <w:r>
                <w:rPr>
                  <w:rFonts w:ascii="Arial" w:cs="Arial" w:eastAsia="Arial" w:hAnsi="Arial"/>
                  <w:sz w:val="22"/>
                  <w:szCs w:val="22"/>
                  <w:color w:val="0000EE"/>
                </w:rPr>
                <w:t>Section 18</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Confidentiality</w:t>
            </w:r>
          </w:p>
        </w:tc>
        <w:tc>
          <w:tcPr>
            <w:tcW w:w="680" w:type="dxa"/>
            <w:vAlign w:val="bottom"/>
            <w:gridSpan w:val="3"/>
          </w:tcPr>
          <w:p>
            <w:pPr>
              <w:jc w:val="right"/>
              <w:spacing w:after="0"/>
              <w:rPr>
                <w:rFonts w:ascii="Arial" w:cs="Arial" w:eastAsia="Arial" w:hAnsi="Arial"/>
                <w:sz w:val="22"/>
                <w:szCs w:val="22"/>
                <w:color w:val="0000EE"/>
              </w:rPr>
            </w:pPr>
            <w:hyperlink w:anchor="page121">
              <w:r>
                <w:rPr>
                  <w:rFonts w:ascii="Arial" w:cs="Arial" w:eastAsia="Arial" w:hAnsi="Arial"/>
                  <w:sz w:val="22"/>
                  <w:szCs w:val="22"/>
                  <w:color w:val="0000EE"/>
                </w:rPr>
                <w:t>38</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280" w:type="dxa"/>
            <w:vAlign w:val="bottom"/>
            <w:gridSpan w:val="3"/>
          </w:tcPr>
          <w:p>
            <w:pPr>
              <w:spacing w:after="0"/>
              <w:rPr>
                <w:rFonts w:ascii="Arial" w:cs="Arial" w:eastAsia="Arial" w:hAnsi="Arial"/>
                <w:sz w:val="22"/>
                <w:szCs w:val="22"/>
                <w:color w:val="0000EE"/>
              </w:rPr>
            </w:pPr>
            <w:hyperlink w:anchor="page122">
              <w:r>
                <w:rPr>
                  <w:rFonts w:ascii="Arial" w:cs="Arial" w:eastAsia="Arial" w:hAnsi="Arial"/>
                  <w:sz w:val="22"/>
                  <w:szCs w:val="22"/>
                  <w:color w:val="0000EE"/>
                </w:rPr>
                <w:t>Section 19</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University Rules and Regulations</w:t>
            </w:r>
          </w:p>
        </w:tc>
        <w:tc>
          <w:tcPr>
            <w:tcW w:w="680" w:type="dxa"/>
            <w:vAlign w:val="bottom"/>
            <w:gridSpan w:val="3"/>
          </w:tcPr>
          <w:p>
            <w:pPr>
              <w:jc w:val="right"/>
              <w:spacing w:after="0"/>
              <w:rPr>
                <w:rFonts w:ascii="Arial" w:cs="Arial" w:eastAsia="Arial" w:hAnsi="Arial"/>
                <w:sz w:val="22"/>
                <w:szCs w:val="22"/>
                <w:color w:val="0000EE"/>
              </w:rPr>
            </w:pPr>
            <w:hyperlink w:anchor="page122">
              <w:r>
                <w:rPr>
                  <w:rFonts w:ascii="Arial" w:cs="Arial" w:eastAsia="Arial" w:hAnsi="Arial"/>
                  <w:sz w:val="22"/>
                  <w:szCs w:val="22"/>
                  <w:color w:val="0000EE"/>
                </w:rPr>
                <w:t>39</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277"/>
        </w:trPr>
        <w:tc>
          <w:tcPr>
            <w:tcW w:w="1280" w:type="dxa"/>
            <w:vAlign w:val="bottom"/>
            <w:gridSpan w:val="3"/>
          </w:tcPr>
          <w:p>
            <w:pPr>
              <w:spacing w:after="0"/>
              <w:rPr>
                <w:rFonts w:ascii="Arial" w:cs="Arial" w:eastAsia="Arial" w:hAnsi="Arial"/>
                <w:sz w:val="22"/>
                <w:szCs w:val="22"/>
                <w:color w:val="0000EE"/>
              </w:rPr>
            </w:pPr>
            <w:hyperlink w:anchor="page122">
              <w:r>
                <w:rPr>
                  <w:rFonts w:ascii="Arial" w:cs="Arial" w:eastAsia="Arial" w:hAnsi="Arial"/>
                  <w:sz w:val="22"/>
                  <w:szCs w:val="22"/>
                  <w:color w:val="0000EE"/>
                </w:rPr>
                <w:t>Section 20</w:t>
              </w:r>
            </w:hyperlink>
          </w:p>
        </w:tc>
        <w:tc>
          <w:tcPr>
            <w:tcW w:w="7160" w:type="dxa"/>
            <w:vAlign w:val="bottom"/>
          </w:tcPr>
          <w:p>
            <w:pPr>
              <w:ind w:left="200"/>
              <w:spacing w:after="0"/>
              <w:rPr>
                <w:sz w:val="20"/>
                <w:szCs w:val="20"/>
                <w:color w:val="auto"/>
              </w:rPr>
            </w:pPr>
            <w:r>
              <w:rPr>
                <w:rFonts w:ascii="Arial" w:cs="Arial" w:eastAsia="Arial" w:hAnsi="Arial"/>
                <w:sz w:val="22"/>
                <w:szCs w:val="22"/>
                <w:color w:val="auto"/>
              </w:rPr>
              <w:t>Contract Formation and Authority</w:t>
            </w:r>
          </w:p>
        </w:tc>
        <w:tc>
          <w:tcPr>
            <w:tcW w:w="680" w:type="dxa"/>
            <w:vAlign w:val="bottom"/>
            <w:gridSpan w:val="3"/>
          </w:tcPr>
          <w:p>
            <w:pPr>
              <w:jc w:val="right"/>
              <w:spacing w:after="0"/>
              <w:rPr>
                <w:rFonts w:ascii="Arial" w:cs="Arial" w:eastAsia="Arial" w:hAnsi="Arial"/>
                <w:sz w:val="22"/>
                <w:szCs w:val="22"/>
                <w:color w:val="0000EE"/>
              </w:rPr>
            </w:pPr>
            <w:hyperlink w:anchor="page122">
              <w:r>
                <w:rPr>
                  <w:rFonts w:ascii="Arial" w:cs="Arial" w:eastAsia="Arial" w:hAnsi="Arial"/>
                  <w:sz w:val="22"/>
                  <w:szCs w:val="22"/>
                  <w:color w:val="0000EE"/>
                </w:rPr>
                <w:t>39</w:t>
              </w:r>
            </w:hyperlink>
          </w:p>
        </w:tc>
      </w:tr>
      <w:tr>
        <w:trPr>
          <w:trHeight w:val="20"/>
        </w:trPr>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r>
      <w:tr>
        <w:trPr>
          <w:trHeight w:val="652"/>
        </w:trPr>
        <w:tc>
          <w:tcPr>
            <w:tcW w:w="1280" w:type="dxa"/>
            <w:vAlign w:val="bottom"/>
            <w:gridSpan w:val="3"/>
          </w:tcPr>
          <w:p>
            <w:pPr>
              <w:spacing w:after="0"/>
              <w:rPr>
                <w:sz w:val="20"/>
                <w:szCs w:val="20"/>
                <w:color w:val="auto"/>
              </w:rPr>
            </w:pPr>
            <w:r>
              <w:rPr>
                <w:rFonts w:ascii="Arial" w:cs="Arial" w:eastAsia="Arial" w:hAnsi="Arial"/>
                <w:sz w:val="22"/>
                <w:szCs w:val="22"/>
                <w:color w:val="auto"/>
              </w:rPr>
              <w:t>Appendix A</w:t>
            </w:r>
          </w:p>
        </w:tc>
        <w:tc>
          <w:tcPr>
            <w:tcW w:w="7160" w:type="dxa"/>
            <w:vAlign w:val="bottom"/>
          </w:tcPr>
          <w:p>
            <w:pPr>
              <w:ind w:left="200"/>
              <w:spacing w:after="0"/>
              <w:rPr>
                <w:sz w:val="20"/>
                <w:szCs w:val="20"/>
                <w:color w:val="auto"/>
              </w:rPr>
            </w:pPr>
            <w:r>
              <w:rPr>
                <w:rFonts w:ascii="Arial" w:cs="Arial" w:eastAsia="Arial" w:hAnsi="Arial"/>
                <w:sz w:val="22"/>
                <w:szCs w:val="22"/>
                <w:color w:val="auto"/>
              </w:rPr>
              <w:t>Patent Rights and Know-How</w:t>
            </w: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1280" w:type="dxa"/>
            <w:vAlign w:val="bottom"/>
            <w:gridSpan w:val="3"/>
          </w:tcPr>
          <w:p>
            <w:pPr>
              <w:spacing w:after="0"/>
              <w:rPr>
                <w:sz w:val="20"/>
                <w:szCs w:val="20"/>
                <w:color w:val="auto"/>
              </w:rPr>
            </w:pPr>
            <w:r>
              <w:rPr>
                <w:rFonts w:ascii="Arial" w:cs="Arial" w:eastAsia="Arial" w:hAnsi="Arial"/>
                <w:sz w:val="22"/>
                <w:szCs w:val="22"/>
                <w:color w:val="auto"/>
              </w:rPr>
              <w:t>Appendix B</w:t>
            </w:r>
          </w:p>
        </w:tc>
        <w:tc>
          <w:tcPr>
            <w:tcW w:w="7160" w:type="dxa"/>
            <w:vAlign w:val="bottom"/>
          </w:tcPr>
          <w:p>
            <w:pPr>
              <w:ind w:left="200"/>
              <w:spacing w:after="0"/>
              <w:rPr>
                <w:sz w:val="20"/>
                <w:szCs w:val="20"/>
                <w:color w:val="auto"/>
              </w:rPr>
            </w:pPr>
            <w:r>
              <w:rPr>
                <w:rFonts w:ascii="Arial" w:cs="Arial" w:eastAsia="Arial" w:hAnsi="Arial"/>
                <w:sz w:val="22"/>
                <w:szCs w:val="22"/>
                <w:color w:val="auto"/>
              </w:rPr>
              <w:t>Licensed Information</w:t>
            </w: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1280" w:type="dxa"/>
            <w:vAlign w:val="bottom"/>
            <w:gridSpan w:val="3"/>
          </w:tcPr>
          <w:p>
            <w:pPr>
              <w:spacing w:after="0"/>
              <w:rPr>
                <w:sz w:val="20"/>
                <w:szCs w:val="20"/>
                <w:color w:val="auto"/>
              </w:rPr>
            </w:pPr>
            <w:r>
              <w:rPr>
                <w:rFonts w:ascii="Arial" w:cs="Arial" w:eastAsia="Arial" w:hAnsi="Arial"/>
                <w:sz w:val="22"/>
                <w:szCs w:val="22"/>
                <w:color w:val="auto"/>
              </w:rPr>
              <w:t>Appendix C</w:t>
            </w:r>
          </w:p>
        </w:tc>
        <w:tc>
          <w:tcPr>
            <w:tcW w:w="7160" w:type="dxa"/>
            <w:vAlign w:val="bottom"/>
          </w:tcPr>
          <w:p>
            <w:pPr>
              <w:ind w:left="200"/>
              <w:spacing w:after="0"/>
              <w:rPr>
                <w:sz w:val="20"/>
                <w:szCs w:val="20"/>
                <w:color w:val="auto"/>
              </w:rPr>
            </w:pPr>
            <w:r>
              <w:rPr>
                <w:rFonts w:ascii="Arial" w:cs="Arial" w:eastAsia="Arial" w:hAnsi="Arial"/>
                <w:sz w:val="22"/>
                <w:szCs w:val="22"/>
                <w:color w:val="auto"/>
              </w:rPr>
              <w:t>Initial Development Plan</w:t>
            </w: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280" w:type="dxa"/>
            <w:vAlign w:val="bottom"/>
            <w:gridSpan w:val="3"/>
          </w:tcPr>
          <w:p>
            <w:pPr>
              <w:spacing w:after="0"/>
              <w:rPr>
                <w:sz w:val="20"/>
                <w:szCs w:val="20"/>
                <w:color w:val="auto"/>
              </w:rPr>
            </w:pPr>
            <w:r>
              <w:rPr>
                <w:rFonts w:ascii="Arial" w:cs="Arial" w:eastAsia="Arial" w:hAnsi="Arial"/>
                <w:sz w:val="22"/>
                <w:szCs w:val="22"/>
                <w:color w:val="auto"/>
              </w:rPr>
              <w:t>Appendix D</w:t>
            </w:r>
          </w:p>
        </w:tc>
        <w:tc>
          <w:tcPr>
            <w:tcW w:w="7160" w:type="dxa"/>
            <w:vAlign w:val="bottom"/>
          </w:tcPr>
          <w:p>
            <w:pPr>
              <w:ind w:left="200"/>
              <w:spacing w:after="0"/>
              <w:rPr>
                <w:sz w:val="20"/>
                <w:szCs w:val="20"/>
                <w:color w:val="auto"/>
              </w:rPr>
            </w:pPr>
            <w:r>
              <w:rPr>
                <w:rFonts w:ascii="Arial" w:cs="Arial" w:eastAsia="Arial" w:hAnsi="Arial"/>
                <w:sz w:val="22"/>
                <w:szCs w:val="22"/>
                <w:color w:val="auto"/>
              </w:rPr>
              <w:t>Development Report</w:t>
            </w: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1280" w:type="dxa"/>
            <w:vAlign w:val="bottom"/>
            <w:gridSpan w:val="3"/>
          </w:tcPr>
          <w:p>
            <w:pPr>
              <w:spacing w:after="0"/>
              <w:rPr>
                <w:sz w:val="20"/>
                <w:szCs w:val="20"/>
                <w:color w:val="auto"/>
              </w:rPr>
            </w:pPr>
            <w:r>
              <w:rPr>
                <w:rFonts w:ascii="Arial" w:cs="Arial" w:eastAsia="Arial" w:hAnsi="Arial"/>
                <w:sz w:val="22"/>
                <w:szCs w:val="22"/>
                <w:color w:val="auto"/>
              </w:rPr>
              <w:t>Appendix E</w:t>
            </w:r>
          </w:p>
        </w:tc>
        <w:tc>
          <w:tcPr>
            <w:tcW w:w="7160" w:type="dxa"/>
            <w:vAlign w:val="bottom"/>
          </w:tcPr>
          <w:p>
            <w:pPr>
              <w:ind w:left="200"/>
              <w:spacing w:after="0"/>
              <w:rPr>
                <w:sz w:val="20"/>
                <w:szCs w:val="20"/>
                <w:color w:val="auto"/>
              </w:rPr>
            </w:pPr>
            <w:r>
              <w:rPr>
                <w:rFonts w:ascii="Arial" w:cs="Arial" w:eastAsia="Arial" w:hAnsi="Arial"/>
                <w:sz w:val="22"/>
                <w:szCs w:val="22"/>
                <w:color w:val="auto"/>
              </w:rPr>
              <w:t>Royalty Report</w:t>
            </w: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1280" w:type="dxa"/>
            <w:vAlign w:val="bottom"/>
            <w:gridSpan w:val="3"/>
          </w:tcPr>
          <w:p>
            <w:pPr>
              <w:spacing w:after="0"/>
              <w:rPr>
                <w:sz w:val="20"/>
                <w:szCs w:val="20"/>
                <w:color w:val="auto"/>
              </w:rPr>
            </w:pPr>
            <w:r>
              <w:rPr>
                <w:rFonts w:ascii="Arial" w:cs="Arial" w:eastAsia="Arial" w:hAnsi="Arial"/>
                <w:sz w:val="22"/>
                <w:szCs w:val="22"/>
                <w:color w:val="auto"/>
              </w:rPr>
              <w:t>Appendix F</w:t>
            </w:r>
          </w:p>
        </w:tc>
        <w:tc>
          <w:tcPr>
            <w:tcW w:w="7160" w:type="dxa"/>
            <w:vAlign w:val="bottom"/>
          </w:tcPr>
          <w:p>
            <w:pPr>
              <w:ind w:left="200"/>
              <w:spacing w:after="0"/>
              <w:rPr>
                <w:sz w:val="20"/>
                <w:szCs w:val="20"/>
                <w:color w:val="auto"/>
              </w:rPr>
            </w:pPr>
            <w:r>
              <w:rPr>
                <w:rFonts w:ascii="Arial" w:cs="Arial" w:eastAsia="Arial" w:hAnsi="Arial"/>
                <w:sz w:val="22"/>
                <w:szCs w:val="22"/>
                <w:color w:val="auto"/>
              </w:rPr>
              <w:t>Milestones</w:t>
            </w: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280" w:type="dxa"/>
            <w:vAlign w:val="bottom"/>
            <w:gridSpan w:val="3"/>
          </w:tcPr>
          <w:p>
            <w:pPr>
              <w:spacing w:after="0"/>
              <w:rPr>
                <w:sz w:val="20"/>
                <w:szCs w:val="20"/>
                <w:color w:val="auto"/>
              </w:rPr>
            </w:pPr>
            <w:r>
              <w:rPr>
                <w:rFonts w:ascii="Arial" w:cs="Arial" w:eastAsia="Arial" w:hAnsi="Arial"/>
                <w:sz w:val="22"/>
                <w:szCs w:val="22"/>
                <w:color w:val="auto"/>
              </w:rPr>
              <w:t>Appendix G</w:t>
            </w:r>
          </w:p>
        </w:tc>
        <w:tc>
          <w:tcPr>
            <w:tcW w:w="7160" w:type="dxa"/>
            <w:vAlign w:val="bottom"/>
          </w:tcPr>
          <w:p>
            <w:pPr>
              <w:ind w:left="200"/>
              <w:spacing w:after="0"/>
              <w:rPr>
                <w:sz w:val="20"/>
                <w:szCs w:val="20"/>
                <w:color w:val="auto"/>
              </w:rPr>
            </w:pPr>
            <w:r>
              <w:rPr>
                <w:rFonts w:ascii="Arial" w:cs="Arial" w:eastAsia="Arial" w:hAnsi="Arial"/>
                <w:sz w:val="22"/>
                <w:szCs w:val="22"/>
                <w:color w:val="auto"/>
              </w:rPr>
              <w:t>Subsequently Added Intellectual Property</w:t>
            </w: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280" w:type="dxa"/>
            <w:vAlign w:val="bottom"/>
            <w:gridSpan w:val="3"/>
          </w:tcPr>
          <w:p>
            <w:pPr>
              <w:spacing w:after="0"/>
              <w:rPr>
                <w:sz w:val="20"/>
                <w:szCs w:val="20"/>
                <w:color w:val="auto"/>
              </w:rPr>
            </w:pPr>
            <w:r>
              <w:rPr>
                <w:rFonts w:ascii="Arial" w:cs="Arial" w:eastAsia="Arial" w:hAnsi="Arial"/>
                <w:sz w:val="22"/>
                <w:szCs w:val="22"/>
                <w:color w:val="auto"/>
              </w:rPr>
              <w:t>Appendix H</w:t>
            </w:r>
          </w:p>
        </w:tc>
        <w:tc>
          <w:tcPr>
            <w:tcW w:w="7160" w:type="dxa"/>
            <w:vAlign w:val="bottom"/>
          </w:tcPr>
          <w:p>
            <w:pPr>
              <w:ind w:left="200"/>
              <w:spacing w:after="0"/>
              <w:rPr>
                <w:sz w:val="20"/>
                <w:szCs w:val="20"/>
                <w:color w:val="auto"/>
              </w:rPr>
            </w:pPr>
            <w:r>
              <w:rPr>
                <w:rFonts w:ascii="Arial" w:cs="Arial" w:eastAsia="Arial" w:hAnsi="Arial"/>
                <w:sz w:val="22"/>
                <w:szCs w:val="22"/>
                <w:color w:val="auto"/>
              </w:rPr>
              <w:t>Certain Obligations Under [**] Policy</w:t>
            </w:r>
          </w:p>
        </w:tc>
        <w:tc>
          <w:tcPr>
            <w:tcW w:w="680" w:type="dxa"/>
            <w:vAlign w:val="bottom"/>
            <w:gridSpan w:val="3"/>
          </w:tcPr>
          <w:p>
            <w:pPr>
              <w:jc w:val="right"/>
              <w:spacing w:after="0"/>
              <w:rPr>
                <w:sz w:val="20"/>
                <w:szCs w:val="20"/>
                <w:color w:val="auto"/>
              </w:rPr>
            </w:pPr>
            <w:r>
              <w:rPr>
                <w:rFonts w:ascii="Arial" w:cs="Arial" w:eastAsia="Arial" w:hAnsi="Arial"/>
                <w:sz w:val="22"/>
                <w:szCs w:val="22"/>
                <w:color w:val="auto"/>
              </w:rPr>
              <w:t>53</w:t>
            </w:r>
          </w:p>
        </w:tc>
      </w:tr>
    </w:tbl>
    <w:p>
      <w:pPr>
        <w:spacing w:after="0" w:line="200" w:lineRule="exact"/>
        <w:rPr>
          <w:sz w:val="20"/>
          <w:szCs w:val="20"/>
          <w:color w:val="auto"/>
        </w:rPr>
      </w:pPr>
    </w:p>
    <w:p>
      <w:pPr>
        <w:sectPr>
          <w:pgSz w:w="11900" w:h="16838" w:orient="portrait"/>
          <w:cols w:equalWidth="0" w:num="1">
            <w:col w:w="10140"/>
          </w:cols>
          <w:pgMar w:left="1440" w:top="88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140"/>
          </w:cols>
          <w:pgMar w:left="1440" w:top="882" w:right="319" w:bottom="1440" w:gutter="0" w:footer="0" w:header="0"/>
          <w:type w:val="continuous"/>
        </w:sectPr>
      </w:pPr>
    </w:p>
    <w:bookmarkStart w:id="84" w:name="page85"/>
    <w:bookmarkEnd w:id="84"/>
    <w:p>
      <w:pPr>
        <w:ind w:left="660"/>
        <w:spacing w:after="0"/>
        <w:rPr>
          <w:sz w:val="20"/>
          <w:szCs w:val="20"/>
          <w:color w:val="auto"/>
        </w:rPr>
      </w:pPr>
      <w:r>
        <w:rPr>
          <w:rFonts w:ascii="Arial" w:cs="Arial" w:eastAsia="Arial" w:hAnsi="Arial"/>
          <w:sz w:val="22"/>
          <w:szCs w:val="22"/>
          <w:color w:val="auto"/>
        </w:rPr>
        <w:t>This Agreement is effective as of April 10, 2019 (the “</w:t>
      </w:r>
      <w:r>
        <w:rPr>
          <w:rFonts w:ascii="Arial" w:cs="Arial" w:eastAsia="Arial" w:hAnsi="Arial"/>
          <w:sz w:val="22"/>
          <w:szCs w:val="22"/>
          <w:b w:val="1"/>
          <w:bCs w:val="1"/>
          <w:color w:val="auto"/>
        </w:rPr>
        <w:t>Effective Date</w:t>
      </w:r>
      <w:r>
        <w:rPr>
          <w:rFonts w:ascii="Arial" w:cs="Arial" w:eastAsia="Arial" w:hAnsi="Arial"/>
          <w:sz w:val="22"/>
          <w:szCs w:val="22"/>
          <w:color w:val="auto"/>
        </w:rPr>
        <w:t>”) among the Trustees of the University of</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Pennsylvania, a Pennsylvania nonprofit corporation, with offices located at Penn Center for Innovation, 3160 Chestnut Street, Suite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200, Philadelphia, PA 19104-6283 (hereinafter called “</w:t>
      </w:r>
      <w:r>
        <w:rPr>
          <w:rFonts w:ascii="Arial" w:cs="Arial" w:eastAsia="Arial" w:hAnsi="Arial"/>
          <w:sz w:val="19"/>
          <w:szCs w:val="19"/>
          <w:b w:val="1"/>
          <w:bCs w:val="1"/>
          <w:color w:val="auto"/>
        </w:rPr>
        <w:t>Penn</w:t>
      </w:r>
      <w:r>
        <w:rPr>
          <w:rFonts w:ascii="Arial" w:cs="Arial" w:eastAsia="Arial" w:hAnsi="Arial"/>
          <w:sz w:val="19"/>
          <w:szCs w:val="19"/>
          <w:color w:val="auto"/>
        </w:rPr>
        <w:t>”) and the University of Florida Research Foundation, Incorporated,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nonstock, nonprofit Florida corporation with offices located at 223 Grinter Hall, Gainesville, Florida 32611 (hereinafter called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UFRF</w:t>
      </w:r>
      <w:r>
        <w:rPr>
          <w:rFonts w:ascii="Arial" w:cs="Arial" w:eastAsia="Arial" w:hAnsi="Arial"/>
          <w:sz w:val="19"/>
          <w:szCs w:val="19"/>
          <w:color w:val="auto"/>
        </w:rPr>
        <w:t>” together with Penn, the “</w:t>
      </w:r>
      <w:r>
        <w:rPr>
          <w:rFonts w:ascii="Arial" w:cs="Arial" w:eastAsia="Arial" w:hAnsi="Arial"/>
          <w:sz w:val="19"/>
          <w:szCs w:val="19"/>
          <w:b w:val="1"/>
          <w:bCs w:val="1"/>
          <w:color w:val="auto"/>
        </w:rPr>
        <w:t>Licensors</w:t>
      </w:r>
      <w:r>
        <w:rPr>
          <w:rFonts w:ascii="Arial" w:cs="Arial" w:eastAsia="Arial" w:hAnsi="Arial"/>
          <w:sz w:val="19"/>
          <w:szCs w:val="19"/>
          <w:color w:val="auto"/>
        </w:rPr>
        <w:t>”), and Ophthotech Corporation, a Delaware corporation, having a place of business at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One Penn Plaza, Suite 3520, New York, NY 10119 (hereinafter called “</w:t>
      </w:r>
      <w:r>
        <w:rPr>
          <w:rFonts w:ascii="Arial" w:cs="Arial" w:eastAsia="Arial" w:hAnsi="Arial"/>
          <w:sz w:val="22"/>
          <w:szCs w:val="22"/>
          <w:b w:val="1"/>
          <w:bCs w:val="1"/>
          <w:color w:val="auto"/>
        </w:rPr>
        <w:t>Licensee</w:t>
      </w:r>
      <w:r>
        <w:rPr>
          <w:rFonts w:ascii="Arial" w:cs="Arial" w:eastAsia="Arial" w:hAnsi="Arial"/>
          <w:sz w:val="22"/>
          <w:szCs w:val="22"/>
          <w:color w:val="auto"/>
        </w:rPr>
        <w:t>”).</w:t>
      </w:r>
    </w:p>
    <w:p>
      <w:pPr>
        <w:spacing w:after="0" w:line="202"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WHEREAS, Licensee is engaged in business relating to the development and commercialization of products that can use or incorporate the Patent Rights (as defined below), Know-How (as defined below), Licensed Information (as defined below), and Subsequently Added Intellectual Property (as defined below) that is added to this Agreement pursuant to Section 2.7, and has the capability of developing commercial applications of such intellectual property;</w:t>
      </w:r>
    </w:p>
    <w:p>
      <w:pPr>
        <w:spacing w:after="0" w:line="17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WHEREAS, Penn and UFRF have developed gene therapy technology for treating bestrophinopathies, which are diseases associated with mutations in the BEST1 gene, owned and/or controlled, either wholly or jointly, by Penn and/or UFRF as described in Licensed Information and the [**] Patent (as defined below) and other Patent Rights, and embodied in the Know-How and Subsequently Added Intellectual Property;</w:t>
      </w:r>
    </w:p>
    <w:p>
      <w:pPr>
        <w:spacing w:after="0" w:line="188"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WHEREAS, Penn, UFRF and Licensee entered into an option agreement, dated as of October 30, 2018 (the “</w:t>
      </w:r>
      <w:r>
        <w:rPr>
          <w:rFonts w:ascii="Arial" w:cs="Arial" w:eastAsia="Arial" w:hAnsi="Arial"/>
          <w:sz w:val="22"/>
          <w:szCs w:val="22"/>
          <w:u w:val="single" w:color="auto"/>
          <w:color w:val="auto"/>
        </w:rPr>
        <w:t>Option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pursuant to which Penn and UFRF granted to Licensee an exclusive option to negotiate to acquire a license to the foregoing BEST1 gene therapy technology; and</w:t>
      </w:r>
    </w:p>
    <w:p>
      <w:pPr>
        <w:spacing w:after="0" w:line="186" w:lineRule="exact"/>
        <w:rPr>
          <w:sz w:val="20"/>
          <w:szCs w:val="20"/>
          <w:color w:val="auto"/>
        </w:rPr>
      </w:pPr>
    </w:p>
    <w:p>
      <w:pPr>
        <w:ind w:right="520" w:firstLine="648"/>
        <w:spacing w:after="0" w:line="287" w:lineRule="auto"/>
        <w:rPr>
          <w:sz w:val="20"/>
          <w:szCs w:val="20"/>
          <w:color w:val="auto"/>
        </w:rPr>
      </w:pPr>
      <w:r>
        <w:rPr>
          <w:rFonts w:ascii="Arial" w:cs="Arial" w:eastAsia="Arial" w:hAnsi="Arial"/>
          <w:sz w:val="21"/>
          <w:szCs w:val="21"/>
          <w:color w:val="auto"/>
        </w:rPr>
        <w:t>WHEREAS, Penn and UFRF are willing to grant a license to Licensee under the Patent Rights, Licensed Information, Know-How and Subsequently Added Intellectual Property; and Licensee desires a license under them.</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THEREFORE, Licensee and Licensors agree as follows: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625"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Definitions</w:t>
      </w:r>
    </w:p>
    <w:p>
      <w:pPr>
        <w:spacing w:after="0" w:line="23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9"/>
          <w:szCs w:val="19"/>
          <w:color w:val="auto"/>
        </w:rPr>
        <w:t>1.1 “</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party, (a) any entity which controls at least fifty percent (50%) of the equity or voting stock of such party, (b) any entity fifty percent (50%) of whose equity or voting stock is owned or controlled by such party or (c) any entity of which at least fifty percent (50%) of the equity or voting stock is owned or controlled by the same person or entity owning or controlling at least fifty percent (50%) of such party. A “wholly-owned” Affiliate means with respect to a party,</w:t>
      </w:r>
    </w:p>
    <w:p>
      <w:pPr>
        <w:spacing w:after="0" w:line="2" w:lineRule="exact"/>
        <w:rPr>
          <w:sz w:val="20"/>
          <w:szCs w:val="20"/>
          <w:color w:val="auto"/>
        </w:rPr>
      </w:pPr>
    </w:p>
    <w:p>
      <w:pPr>
        <w:ind w:right="420" w:firstLine="8"/>
        <w:spacing w:after="0" w:line="244" w:lineRule="auto"/>
        <w:tabs>
          <w:tab w:leader="none" w:pos="30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 Affiliate which controls one hundred percent (100%) of the equity or voting stock of such party, (2) any Affiliate one hundred percent (100%) of whose equity or voting stock is owned or controlled by such party or (3) any Affiliate of which one hundred (100%) of the equity or voting stock is owned or controlled by the same person or entity owning or controlling one hundred percent (100%) of such party.</w:t>
      </w:r>
    </w:p>
    <w:p>
      <w:pPr>
        <w:spacing w:after="0" w:line="196" w:lineRule="exact"/>
        <w:rPr>
          <w:sz w:val="20"/>
          <w:szCs w:val="20"/>
          <w:color w:val="auto"/>
        </w:rPr>
      </w:pPr>
    </w:p>
    <w:p>
      <w:pPr>
        <w:ind w:right="160" w:firstLine="648"/>
        <w:spacing w:after="0" w:line="254"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Biosimilar</w:t>
      </w:r>
      <w:r>
        <w:rPr>
          <w:rFonts w:ascii="Arial" w:cs="Arial" w:eastAsia="Arial" w:hAnsi="Arial"/>
          <w:sz w:val="22"/>
          <w:szCs w:val="22"/>
          <w:color w:val="auto"/>
        </w:rPr>
        <w:t>” means any biological product that receives Regulatory Approval (a) under the biosimilarity standard set forth under 42 U.S.C. §§ 262(i)(2) and (k) for the United States, and under any foreign equivalent biosimilarity standards, on a country-by-country basis, and (b) for which the reference product (as defined in 42 U.S.C. § 262(i)(4) and any foreign equivalent thereof, on a country-by-country basis) is a Licensed Product.</w:t>
      </w:r>
    </w:p>
    <w:p>
      <w:pPr>
        <w:spacing w:after="0" w:line="185" w:lineRule="exact"/>
        <w:rPr>
          <w:sz w:val="20"/>
          <w:szCs w:val="20"/>
          <w:color w:val="auto"/>
        </w:rPr>
      </w:pPr>
    </w:p>
    <w:p>
      <w:pPr>
        <w:ind w:right="360" w:firstLine="648"/>
        <w:spacing w:after="0" w:line="307" w:lineRule="auto"/>
        <w:rPr>
          <w:sz w:val="20"/>
          <w:szCs w:val="20"/>
          <w:color w:val="auto"/>
        </w:rPr>
      </w:pPr>
      <w:r>
        <w:rPr>
          <w:rFonts w:ascii="Arial" w:cs="Arial" w:eastAsia="Arial" w:hAnsi="Arial"/>
          <w:sz w:val="19"/>
          <w:szCs w:val="19"/>
          <w:color w:val="auto"/>
        </w:rPr>
        <w:t>1.3 “</w:t>
      </w:r>
      <w:r>
        <w:rPr>
          <w:rFonts w:ascii="Arial" w:cs="Arial" w:eastAsia="Arial" w:hAnsi="Arial"/>
          <w:sz w:val="19"/>
          <w:szCs w:val="19"/>
          <w:u w:val="single" w:color="auto"/>
          <w:color w:val="auto"/>
        </w:rPr>
        <w:t>BLA</w:t>
      </w:r>
      <w:r>
        <w:rPr>
          <w:rFonts w:ascii="Arial" w:cs="Arial" w:eastAsia="Arial" w:hAnsi="Arial"/>
          <w:sz w:val="19"/>
          <w:szCs w:val="19"/>
          <w:color w:val="auto"/>
        </w:rPr>
        <w:t>” means (a) a Biologics License Application (as defined in Title 21 of the United States Code of Federal Regulations, as amended from time to time) filed with the FDA, or any successor application or procedure, and any foreign counterpart of a United States Biologics License Application, and (b) all supplements and amendments, including supplemental Biologics License Applications (and any foreign counterparts), that may be filed with respect to the foregoing.</w:t>
      </w:r>
    </w:p>
    <w:p>
      <w:pPr>
        <w:spacing w:after="0" w:line="138" w:lineRule="exact"/>
        <w:rPr>
          <w:sz w:val="20"/>
          <w:szCs w:val="20"/>
          <w:color w:val="auto"/>
        </w:rPr>
      </w:pPr>
    </w:p>
    <w:p>
      <w:pPr>
        <w:ind w:right="380" w:firstLine="648"/>
        <w:spacing w:after="0" w:line="276" w:lineRule="auto"/>
        <w:rPr>
          <w:sz w:val="20"/>
          <w:szCs w:val="20"/>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Category</w:t>
      </w:r>
      <w:r>
        <w:rPr>
          <w:rFonts w:ascii="Arial" w:cs="Arial" w:eastAsia="Arial" w:hAnsi="Arial"/>
          <w:sz w:val="22"/>
          <w:szCs w:val="22"/>
          <w:color w:val="auto"/>
        </w:rPr>
        <w:t>” means a category consisting of either (a) any and all [**] Products, taken as a whole, or (b) any and all [**] Products, taken as whole.</w:t>
      </w:r>
    </w:p>
    <w:p>
      <w:pPr>
        <w:spacing w:after="0" w:line="161" w:lineRule="exact"/>
        <w:rPr>
          <w:sz w:val="20"/>
          <w:szCs w:val="20"/>
          <w:color w:val="auto"/>
        </w:rPr>
      </w:pPr>
    </w:p>
    <w:p>
      <w:pPr>
        <w:ind w:firstLine="648"/>
        <w:spacing w:after="0" w:line="266" w:lineRule="auto"/>
        <w:rPr>
          <w:sz w:val="20"/>
          <w:szCs w:val="20"/>
          <w:color w:val="auto"/>
        </w:rPr>
      </w:pPr>
      <w:r>
        <w:rPr>
          <w:rFonts w:ascii="Arial" w:cs="Arial" w:eastAsia="Arial" w:hAnsi="Arial"/>
          <w:sz w:val="21"/>
          <w:szCs w:val="21"/>
          <w:color w:val="auto"/>
        </w:rPr>
        <w:t>1.5 “</w:t>
      </w:r>
      <w:r>
        <w:rPr>
          <w:rFonts w:ascii="Arial" w:cs="Arial" w:eastAsia="Arial" w:hAnsi="Arial"/>
          <w:sz w:val="21"/>
          <w:szCs w:val="21"/>
          <w:u w:val="single" w:color="auto"/>
          <w:color w:val="auto"/>
        </w:rPr>
        <w:t>Commercially Reasonable Efforts</w:t>
      </w:r>
      <w:r>
        <w:rPr>
          <w:rFonts w:ascii="Arial" w:cs="Arial" w:eastAsia="Arial" w:hAnsi="Arial"/>
          <w:sz w:val="21"/>
          <w:szCs w:val="21"/>
          <w:color w:val="auto"/>
        </w:rPr>
        <w:t>” means the efforts, level of activity and resources a reasonably prudent and diligent company, similarly situated as at the relevant date, would normally use to accomplish a similar objective under similar circumstances, and in addition, not less than a level of effort made by Licensee with respect to other products, product candidates from their own research efforts or other in-licensed products, at a similar stage of development or in a similar stage of product life, with similar developmental risk profiles and of similar market and commercial potential.</w:t>
      </w:r>
    </w:p>
    <w:p>
      <w:pPr>
        <w:spacing w:after="0" w:line="174" w:lineRule="exact"/>
        <w:rPr>
          <w:sz w:val="20"/>
          <w:szCs w:val="20"/>
          <w:color w:val="auto"/>
        </w:rPr>
      </w:pPr>
    </w:p>
    <w:p>
      <w:pPr>
        <w:ind w:right="20" w:firstLine="648"/>
        <w:spacing w:after="0" w:line="320"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Controlled</w:t>
      </w:r>
      <w:r>
        <w:rPr>
          <w:rFonts w:ascii="Arial" w:cs="Arial" w:eastAsia="Arial" w:hAnsi="Arial"/>
          <w:sz w:val="19"/>
          <w:szCs w:val="19"/>
          <w:color w:val="auto"/>
        </w:rPr>
        <w:t>” means, with respect to any intellectual property right, the possession by a party (whether by ownership, license from an Affiliate or a Third Party, or control over an Affiliate having such possession by ownership or license) of the ability to grant to the other party access or a license (or sublicense, as the case may be) as provided herein.</w:t>
      </w:r>
    </w:p>
    <w:p>
      <w:pPr>
        <w:spacing w:after="0" w:line="125"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Covered</w:t>
      </w:r>
      <w:r>
        <w:rPr>
          <w:rFonts w:ascii="Arial" w:cs="Arial" w:eastAsia="Arial" w:hAnsi="Arial"/>
          <w:sz w:val="22"/>
          <w:szCs w:val="22"/>
          <w:color w:val="auto"/>
        </w:rPr>
        <w:t>” means, with respect to a product, technology, process or method, that in the absence of ownership of or a license granted under a Valid Claim, the manufacture, use, offer for sale, sale or importation of such product or the practice of such technology, process or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method would infringe such Valid Claim (or, in the case of a Valid Claim that has not yet issued, would infringe such Valid Claim if it were to issue).</w:t>
      </w:r>
    </w:p>
    <w:p>
      <w:pPr>
        <w:spacing w:after="0" w:line="175" w:lineRule="exact"/>
        <w:rPr>
          <w:sz w:val="20"/>
          <w:szCs w:val="20"/>
          <w:color w:val="auto"/>
        </w:rPr>
      </w:pPr>
    </w:p>
    <w:p>
      <w:pPr>
        <w:ind w:right="220" w:firstLine="648"/>
        <w:spacing w:after="0" w:line="254"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Development Plan</w:t>
      </w:r>
      <w:r>
        <w:rPr>
          <w:rFonts w:ascii="Arial" w:cs="Arial" w:eastAsia="Arial" w:hAnsi="Arial"/>
          <w:sz w:val="22"/>
          <w:szCs w:val="22"/>
          <w:color w:val="auto"/>
        </w:rPr>
        <w:t>” means the [**] written development plan summarizing the development activities, including regulatory activities, that are to be undertaken by or on behalf of the Licensee to bring Licensed Products to market in at least the United States and two of the Major European Countries, as it may be updated from time to time pursuant to this Agreement. The initial Development Plan for the [**] Products is attached as Appendix C.</w:t>
      </w:r>
    </w:p>
    <w:p>
      <w:pPr>
        <w:spacing w:after="0" w:line="185" w:lineRule="exact"/>
        <w:rPr>
          <w:sz w:val="20"/>
          <w:szCs w:val="20"/>
          <w:color w:val="auto"/>
        </w:rPr>
      </w:pPr>
    </w:p>
    <w:p>
      <w:pPr>
        <w:ind w:right="540" w:firstLine="648"/>
        <w:spacing w:after="0" w:line="276" w:lineRule="auto"/>
        <w:rPr>
          <w:sz w:val="20"/>
          <w:szCs w:val="20"/>
          <w:color w:val="auto"/>
        </w:rPr>
      </w:pPr>
      <w:r>
        <w:rPr>
          <w:rFonts w:ascii="Arial" w:cs="Arial" w:eastAsia="Arial" w:hAnsi="Arial"/>
          <w:sz w:val="22"/>
          <w:szCs w:val="22"/>
          <w:color w:val="auto"/>
        </w:rPr>
        <w:t>1.9 “</w:t>
      </w:r>
      <w:r>
        <w:rPr>
          <w:rFonts w:ascii="Arial" w:cs="Arial" w:eastAsia="Arial" w:hAnsi="Arial"/>
          <w:sz w:val="22"/>
          <w:szCs w:val="22"/>
          <w:u w:val="single" w:color="auto"/>
          <w:color w:val="auto"/>
        </w:rPr>
        <w:t>Development Report</w:t>
      </w:r>
      <w:r>
        <w:rPr>
          <w:rFonts w:ascii="Arial" w:cs="Arial" w:eastAsia="Arial" w:hAnsi="Arial"/>
          <w:sz w:val="22"/>
          <w:szCs w:val="22"/>
          <w:color w:val="auto"/>
        </w:rPr>
        <w:t>” means a written account of Licensee’s progress under the Development Plan for a certain period of time, and that includes at least the information specified on Appendix D.</w:t>
      </w:r>
    </w:p>
    <w:p>
      <w:pPr>
        <w:spacing w:after="0" w:line="161" w:lineRule="exact"/>
        <w:rPr>
          <w:sz w:val="20"/>
          <w:szCs w:val="20"/>
          <w:color w:val="auto"/>
        </w:rPr>
      </w:pPr>
    </w:p>
    <w:p>
      <w:pPr>
        <w:ind w:right="100" w:firstLine="648"/>
        <w:spacing w:after="0" w:line="276"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European Union</w:t>
      </w:r>
      <w:r>
        <w:rPr>
          <w:rFonts w:ascii="Arial" w:cs="Arial" w:eastAsia="Arial" w:hAnsi="Arial"/>
          <w:sz w:val="22"/>
          <w:szCs w:val="22"/>
          <w:color w:val="auto"/>
        </w:rPr>
        <w:t>” means, collectively, the member states of the European Union, as it may be constituted from time to time. For purposes of this Agreement, the European Union includes the United Kingdom.</w:t>
      </w:r>
    </w:p>
    <w:p>
      <w:pPr>
        <w:spacing w:after="0" w:line="16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United States Food and Drug Administration, or any successor agency thereof.</w:t>
      </w:r>
    </w:p>
    <w:p>
      <w:pPr>
        <w:spacing w:after="0" w:line="233"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means the first transfer or sale by Licensee, its Affiliates or a Sublicensee, whether at retail, wholesale or otherwise, of any Licensed Product, following the grant of a valid and enforceable Regulatory Approval, to a Third Party that is not an Affiliate or a Sublicensee.</w:t>
      </w:r>
    </w:p>
    <w:p>
      <w:pPr>
        <w:spacing w:after="0" w:line="17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u w:val="single" w:color="auto"/>
          <w:color w:val="auto"/>
        </w:rPr>
        <w:t>IND</w:t>
      </w:r>
      <w:r>
        <w:rPr>
          <w:rFonts w:ascii="Arial" w:cs="Arial" w:eastAsia="Arial" w:hAnsi="Arial"/>
          <w:sz w:val="22"/>
          <w:szCs w:val="22"/>
          <w:color w:val="auto"/>
        </w:rPr>
        <w:t>” means an investigational new drug application filed with the FDA, or the equivalent application in any foreign jurisdiction filed with another Regulatory Authority.</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 Patent</w:t>
      </w:r>
      <w:r>
        <w:rPr>
          <w:rFonts w:ascii="Arial" w:cs="Arial" w:eastAsia="Arial" w:hAnsi="Arial"/>
          <w:sz w:val="19"/>
          <w:szCs w:val="19"/>
          <w:color w:val="auto"/>
        </w:rPr>
        <w:t>” means the provisional U.S. patent application with filing number [**].</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 Products</w:t>
      </w:r>
      <w:r>
        <w:rPr>
          <w:rFonts w:ascii="Arial" w:cs="Arial" w:eastAsia="Arial" w:hAnsi="Arial"/>
          <w:sz w:val="19"/>
          <w:szCs w:val="19"/>
          <w:color w:val="auto"/>
        </w:rPr>
        <w:t>” has the meaning set forth in Section 1.42.</w:t>
      </w:r>
    </w:p>
    <w:p>
      <w:pPr>
        <w:spacing w:after="0" w:line="233" w:lineRule="exact"/>
        <w:rPr>
          <w:sz w:val="20"/>
          <w:szCs w:val="20"/>
          <w:color w:val="auto"/>
        </w:rPr>
      </w:pPr>
    </w:p>
    <w:p>
      <w:pPr>
        <w:ind w:firstLine="648"/>
        <w:spacing w:after="0" w:line="278" w:lineRule="auto"/>
        <w:rPr>
          <w:sz w:val="20"/>
          <w:szCs w:val="20"/>
          <w:color w:val="auto"/>
        </w:rPr>
      </w:pPr>
      <w:r>
        <w:rPr>
          <w:rFonts w:ascii="Arial" w:cs="Arial" w:eastAsia="Arial" w:hAnsi="Arial"/>
          <w:sz w:val="21"/>
          <w:szCs w:val="21"/>
          <w:color w:val="auto"/>
        </w:rPr>
        <w:t>1.16 “</w:t>
      </w:r>
      <w:r>
        <w:rPr>
          <w:rFonts w:ascii="Arial" w:cs="Arial" w:eastAsia="Arial" w:hAnsi="Arial"/>
          <w:sz w:val="21"/>
          <w:szCs w:val="21"/>
          <w:u w:val="single" w:color="auto"/>
          <w:color w:val="auto"/>
        </w:rPr>
        <w:t>Know-How</w:t>
      </w:r>
      <w:r>
        <w:rPr>
          <w:rFonts w:ascii="Arial" w:cs="Arial" w:eastAsia="Arial" w:hAnsi="Arial"/>
          <w:sz w:val="21"/>
          <w:szCs w:val="21"/>
          <w:color w:val="auto"/>
        </w:rPr>
        <w:t>” means, in each case, to the extent the same are Controlled, whether wholly or jointly, by Penn or UFRF, the information, results, capsid plasmid sequence information, protocols, descriptions, methodologies, methods and standard operating procedures set forth on Appendix A and in existence prior to the Effective Date.</w:t>
      </w:r>
    </w:p>
    <w:p>
      <w:pPr>
        <w:spacing w:after="0" w:line="160" w:lineRule="exact"/>
        <w:rPr>
          <w:sz w:val="20"/>
          <w:szCs w:val="20"/>
          <w:color w:val="auto"/>
        </w:rPr>
      </w:pPr>
    </w:p>
    <w:p>
      <w:pPr>
        <w:ind w:right="220" w:firstLine="648"/>
        <w:spacing w:after="0" w:line="276"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u w:val="single" w:color="auto"/>
          <w:color w:val="auto"/>
        </w:rPr>
        <w:t>Licensed Field</w:t>
      </w:r>
      <w:r>
        <w:rPr>
          <w:rFonts w:ascii="Arial" w:cs="Arial" w:eastAsia="Arial" w:hAnsi="Arial"/>
          <w:sz w:val="22"/>
          <w:szCs w:val="22"/>
          <w:color w:val="auto"/>
        </w:rPr>
        <w:t>” means therapies for the prevention, treatment, control and palliation of human diseases associated with mutations in the BEST1 gene.</w:t>
      </w:r>
    </w:p>
    <w:p>
      <w:pPr>
        <w:spacing w:after="0" w:line="161" w:lineRule="exact"/>
        <w:rPr>
          <w:sz w:val="20"/>
          <w:szCs w:val="20"/>
          <w:color w:val="auto"/>
        </w:rPr>
      </w:pPr>
    </w:p>
    <w:p>
      <w:pPr>
        <w:ind w:right="120" w:firstLine="648"/>
        <w:spacing w:after="0" w:line="260"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“Licensed Information</w:t>
      </w:r>
      <w:r>
        <w:rPr>
          <w:rFonts w:ascii="Arial" w:cs="Arial" w:eastAsia="Arial" w:hAnsi="Arial"/>
          <w:sz w:val="22"/>
          <w:szCs w:val="22"/>
          <w:color w:val="auto"/>
        </w:rPr>
        <w:t>” means, in each case, to the extent the same are Controlled, whether wholly or jointly, by Penn or UFRF, the information, results, vector sequence information (as a composite of elements and not the individual elements), and data set forth on Appendix B and in existence prior to the Effective Date.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40" w:firstLine="648"/>
        <w:spacing w:after="0" w:line="300" w:lineRule="auto"/>
        <w:rPr>
          <w:sz w:val="20"/>
          <w:szCs w:val="20"/>
          <w:color w:val="auto"/>
        </w:rPr>
      </w:pPr>
      <w:r>
        <w:rPr>
          <w:rFonts w:ascii="Arial" w:cs="Arial" w:eastAsia="Arial" w:hAnsi="Arial"/>
          <w:sz w:val="19"/>
          <w:szCs w:val="19"/>
          <w:color w:val="auto"/>
        </w:rPr>
        <w:t>1.19 “</w:t>
      </w:r>
      <w:r>
        <w:rPr>
          <w:rFonts w:ascii="Arial" w:cs="Arial" w:eastAsia="Arial" w:hAnsi="Arial"/>
          <w:sz w:val="19"/>
          <w:szCs w:val="19"/>
          <w:u w:val="single" w:color="auto"/>
          <w:color w:val="auto"/>
        </w:rPr>
        <w:t>Licensed Product</w:t>
      </w:r>
      <w:r>
        <w:rPr>
          <w:rFonts w:ascii="Arial" w:cs="Arial" w:eastAsia="Arial" w:hAnsi="Arial"/>
          <w:sz w:val="19"/>
          <w:szCs w:val="19"/>
          <w:color w:val="auto"/>
        </w:rPr>
        <w:t>” means any product or part thereof that (i) incorporates, consists of, utilizes, or was developed utilizing Know-How, Licensed Information or any modifications or derivatives of Know-How or Licensed Information, (ii) is manufactured using Know-How, Licensed Information or any modifications or derivatives of Know-How or Licensed Information, or is manufactured using a process that is claimed or otherwise Covered by any of the Patent Rights, or (iii) is otherwise claimed or Covered by any of the Patent Rights. For clarity, [**] Products and [**] Products are considered Licensed Products.</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Licensed Territory</w:t>
      </w:r>
      <w:r>
        <w:rPr>
          <w:rFonts w:ascii="Arial" w:cs="Arial" w:eastAsia="Arial" w:hAnsi="Arial"/>
          <w:sz w:val="19"/>
          <w:szCs w:val="19"/>
          <w:color w:val="auto"/>
        </w:rPr>
        <w:t>” means worldwide.</w:t>
      </w:r>
    </w:p>
    <w:p>
      <w:pPr>
        <w:spacing w:after="0" w:line="233"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1.21 “</w:t>
      </w:r>
      <w:r>
        <w:rPr>
          <w:rFonts w:ascii="Arial" w:cs="Arial" w:eastAsia="Arial" w:hAnsi="Arial"/>
          <w:sz w:val="19"/>
          <w:szCs w:val="19"/>
          <w:u w:val="single" w:color="auto"/>
          <w:color w:val="auto"/>
        </w:rPr>
        <w:t>Loss of Market Exclusivity</w:t>
      </w:r>
      <w:r>
        <w:rPr>
          <w:rFonts w:ascii="Arial" w:cs="Arial" w:eastAsia="Arial" w:hAnsi="Arial"/>
          <w:sz w:val="19"/>
          <w:szCs w:val="19"/>
          <w:color w:val="auto"/>
        </w:rPr>
        <w:t>” means an event where, with respect to a Licensed Product in any country: (a) one or more Biosimilars are being sold in such country; and (b) aggregate Net Sales of the Licensed Product sold in that country during any calendar quarter following introduction of such Biosimilar have fallen by at least [**] percent ([**]%) in that country as compared to the average quarterly aggregate Net Sales of the Licensed Product sold in such country during the last four full calendar quarters immediately prior to the calendar quarter in which such Biosimilar was first introduced in such country. The Loss of Market Exclusivity shall take effect as of the first day of such subsequent calendar quarter.</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Major European Countries</w:t>
      </w:r>
      <w:r>
        <w:rPr>
          <w:rFonts w:ascii="Arial" w:cs="Arial" w:eastAsia="Arial" w:hAnsi="Arial"/>
          <w:sz w:val="19"/>
          <w:szCs w:val="19"/>
          <w:color w:val="auto"/>
        </w:rPr>
        <w:t>” means [**].</w:t>
      </w:r>
    </w:p>
    <w:p>
      <w:pPr>
        <w:spacing w:after="0" w:line="233" w:lineRule="exact"/>
        <w:rPr>
          <w:sz w:val="20"/>
          <w:szCs w:val="20"/>
          <w:color w:val="auto"/>
        </w:rPr>
      </w:pPr>
    </w:p>
    <w:p>
      <w:pPr>
        <w:ind w:firstLine="648"/>
        <w:spacing w:after="0" w:line="300" w:lineRule="auto"/>
        <w:rPr>
          <w:sz w:val="20"/>
          <w:szCs w:val="20"/>
          <w:color w:val="auto"/>
        </w:rPr>
      </w:pPr>
      <w:r>
        <w:rPr>
          <w:rFonts w:ascii="Arial" w:cs="Arial" w:eastAsia="Arial" w:hAnsi="Arial"/>
          <w:sz w:val="19"/>
          <w:szCs w:val="19"/>
          <w:color w:val="auto"/>
        </w:rPr>
        <w:t>1.23 “</w:t>
      </w:r>
      <w:r>
        <w:rPr>
          <w:rFonts w:ascii="Arial" w:cs="Arial" w:eastAsia="Arial" w:hAnsi="Arial"/>
          <w:sz w:val="19"/>
          <w:szCs w:val="19"/>
          <w:u w:val="single" w:color="auto"/>
          <w:color w:val="auto"/>
        </w:rPr>
        <w:t>Net Sales</w:t>
      </w:r>
      <w:r>
        <w:rPr>
          <w:rFonts w:ascii="Arial" w:cs="Arial" w:eastAsia="Arial" w:hAnsi="Arial"/>
          <w:sz w:val="19"/>
          <w:szCs w:val="19"/>
          <w:color w:val="auto"/>
        </w:rPr>
        <w:t>” means, with respect to a Licensed Product, the gross sales invoiced or received, whichever occurs first, by Licensee and Sublicensees in respect of Sales of such Licensed Product by Licensee and Sublicensees to unrelated Third Parties, less deductions actually taken or applied, in the case of both gross sales and deductions as determined in accordance with U.S. generally accepted accounting principles as consistently applied across Licensee’s and Sublicensees’ pharmaceutical products generally (the “</w:t>
      </w:r>
      <w:r>
        <w:rPr>
          <w:rFonts w:ascii="Arial" w:cs="Arial" w:eastAsia="Arial" w:hAnsi="Arial"/>
          <w:sz w:val="19"/>
          <w:szCs w:val="19"/>
          <w:u w:val="single" w:color="auto"/>
          <w:color w:val="auto"/>
        </w:rPr>
        <w:t>Accounting Principles</w:t>
      </w:r>
      <w:r>
        <w:rPr>
          <w:rFonts w:ascii="Arial" w:cs="Arial" w:eastAsia="Arial" w:hAnsi="Arial"/>
          <w:sz w:val="19"/>
          <w:szCs w:val="19"/>
          <w:color w:val="auto"/>
        </w:rPr>
        <w:t>”), which deductions may include the following:</w:t>
      </w:r>
    </w:p>
    <w:p>
      <w:pPr>
        <w:spacing w:after="0" w:line="147" w:lineRule="exact"/>
        <w:rPr>
          <w:sz w:val="20"/>
          <w:szCs w:val="20"/>
          <w:color w:val="auto"/>
        </w:rPr>
      </w:pPr>
    </w:p>
    <w:p>
      <w:pPr>
        <w:ind w:left="1100" w:hanging="444"/>
        <w:spacing w:after="0"/>
        <w:tabs>
          <w:tab w:leader="none" w:pos="11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Trade, cash and/or quantity discounts actually allowed and taken with respect to such sales;</w:t>
      </w:r>
    </w:p>
    <w:p>
      <w:pPr>
        <w:spacing w:after="0" w:line="219" w:lineRule="exact"/>
        <w:rPr>
          <w:rFonts w:ascii="Arial" w:cs="Arial" w:eastAsia="Arial" w:hAnsi="Arial"/>
          <w:sz w:val="22"/>
          <w:szCs w:val="22"/>
          <w:color w:val="auto"/>
        </w:rPr>
      </w:pPr>
    </w:p>
    <w:p>
      <w:pPr>
        <w:ind w:left="660" w:hanging="4"/>
        <w:spacing w:after="0" w:line="253" w:lineRule="auto"/>
        <w:tabs>
          <w:tab w:leader="none" w:pos="1124" w:val="left"/>
        </w:tabs>
        <w:numPr>
          <w:ilvl w:val="0"/>
          <w:numId w:val="52"/>
        </w:numPr>
        <w:rPr>
          <w:rFonts w:ascii="Arial" w:cs="Arial" w:eastAsia="Arial" w:hAnsi="Arial"/>
          <w:sz w:val="22"/>
          <w:szCs w:val="22"/>
          <w:color w:val="auto"/>
        </w:rPr>
      </w:pPr>
      <w:r>
        <w:rPr>
          <w:rFonts w:ascii="Arial" w:cs="Arial" w:eastAsia="Arial" w:hAnsi="Arial"/>
          <w:sz w:val="22"/>
          <w:szCs w:val="22"/>
          <w:color w:val="auto"/>
        </w:rPr>
        <w:t>Tariffs, duties, excises, sales taxes or other taxes (except for value added taxes capable of reimbursement) imposed upon and paid with respect to the production, sale, delivery or use of the Licensed Product (excluding national, state or local taxes based on income);</w:t>
      </w:r>
    </w:p>
    <w:p>
      <w:pPr>
        <w:spacing w:after="0" w:line="185" w:lineRule="exact"/>
        <w:rPr>
          <w:rFonts w:ascii="Arial" w:cs="Arial" w:eastAsia="Arial" w:hAnsi="Arial"/>
          <w:sz w:val="22"/>
          <w:szCs w:val="22"/>
          <w:color w:val="auto"/>
        </w:rPr>
      </w:pPr>
    </w:p>
    <w:p>
      <w:pPr>
        <w:ind w:left="660" w:right="500" w:hanging="4"/>
        <w:spacing w:after="0" w:line="263" w:lineRule="auto"/>
        <w:tabs>
          <w:tab w:leader="none" w:pos="1104" w:val="left"/>
        </w:tabs>
        <w:numPr>
          <w:ilvl w:val="0"/>
          <w:numId w:val="52"/>
        </w:numPr>
        <w:rPr>
          <w:rFonts w:ascii="Arial" w:cs="Arial" w:eastAsia="Arial" w:hAnsi="Arial"/>
          <w:sz w:val="22"/>
          <w:szCs w:val="22"/>
          <w:color w:val="auto"/>
        </w:rPr>
      </w:pPr>
      <w:r>
        <w:rPr>
          <w:rFonts w:ascii="Arial" w:cs="Arial" w:eastAsia="Arial" w:hAnsi="Arial"/>
          <w:sz w:val="22"/>
          <w:szCs w:val="22"/>
          <w:color w:val="auto"/>
        </w:rPr>
        <w:t>Amounts repaid or credited by reason of rejections, defects, recalls or returns or because of chargebacks, refunds, rebates or retroactive price reductions;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Freight, insurance and other transportation charges incurred in shipping a Licensed Product to Third Parties.</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Notwithstanding the foregoing, Net Sales shall not include transfers of Licensed Products, as applicable, (a) for use in clinical trials or non-clinical development activities with respect to Licensed Products by or on behalf of Licensee or Sublicensees, or (b) for “expanded access for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individual patients” under the Federal Food, Drug, and Cosmetic Act 21 C.F.R. § 312.310 (or its foreign equivalent for ex-U.S. sales) provided to a patient at or below cost. For clarity, transfers by Licensee to or from its Affiliate(s) or Sublicensee(s) for resale shall not be treated as Net Sales, unless the Affiliate or the Sublicensee is an end user.</w:t>
      </w:r>
    </w:p>
    <w:p>
      <w:pPr>
        <w:spacing w:after="0" w:line="186" w:lineRule="exact"/>
        <w:rPr>
          <w:sz w:val="20"/>
          <w:szCs w:val="20"/>
          <w:color w:val="auto"/>
        </w:rPr>
      </w:pPr>
    </w:p>
    <w:p>
      <w:pPr>
        <w:ind w:right="220" w:firstLine="648"/>
        <w:spacing w:after="0" w:line="276"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u w:val="single" w:color="auto"/>
          <w:color w:val="auto"/>
        </w:rPr>
        <w:t>Patent Challenge</w:t>
      </w:r>
      <w:r>
        <w:rPr>
          <w:rFonts w:ascii="Arial" w:cs="Arial" w:eastAsia="Arial" w:hAnsi="Arial"/>
          <w:sz w:val="22"/>
          <w:szCs w:val="22"/>
          <w:color w:val="auto"/>
        </w:rPr>
        <w:t>” means a challenge to the validity, scope, patentability, and/or enforceability of any of the Patent Rights or otherwise opposing any of the Patent Rights.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Patent Rights</w:t>
      </w:r>
      <w:r>
        <w:rPr>
          <w:rFonts w:ascii="Arial" w:cs="Arial" w:eastAsia="Arial" w:hAnsi="Arial"/>
          <w:sz w:val="19"/>
          <w:szCs w:val="19"/>
          <w:color w:val="auto"/>
        </w:rPr>
        <w:t>” means, in each case, to the extent the same are Controlled, whether wholly or jointly, by Penn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UFRF:</w:t>
      </w:r>
    </w:p>
    <w:p>
      <w:pPr>
        <w:spacing w:after="0" w:line="215" w:lineRule="exact"/>
        <w:rPr>
          <w:sz w:val="20"/>
          <w:szCs w:val="20"/>
          <w:color w:val="auto"/>
        </w:rPr>
      </w:pPr>
    </w:p>
    <w:p>
      <w:pPr>
        <w:ind w:right="800" w:firstLine="1305"/>
        <w:spacing w:after="0" w:line="276" w:lineRule="auto"/>
        <w:tabs>
          <w:tab w:leader="none" w:pos="177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 Patent identified on Appendix A and the patent(s)/patent application(s) claiming the Licensed Information and/or Subsequently Added Intellectual Property and identified on Appendix G;</w:t>
      </w:r>
    </w:p>
    <w:p>
      <w:pPr>
        <w:spacing w:after="0" w:line="160" w:lineRule="exact"/>
        <w:rPr>
          <w:rFonts w:ascii="Arial" w:cs="Arial" w:eastAsia="Arial" w:hAnsi="Arial"/>
          <w:sz w:val="22"/>
          <w:szCs w:val="22"/>
          <w:color w:val="auto"/>
        </w:rPr>
      </w:pPr>
    </w:p>
    <w:p>
      <w:pPr>
        <w:ind w:right="300" w:firstLine="1305"/>
        <w:spacing w:after="0" w:line="270" w:lineRule="auto"/>
        <w:tabs>
          <w:tab w:leader="none" w:pos="1728" w:val="left"/>
        </w:tabs>
        <w:numPr>
          <w:ilvl w:val="0"/>
          <w:numId w:val="53"/>
        </w:numPr>
        <w:rPr>
          <w:rFonts w:ascii="Arial" w:cs="Arial" w:eastAsia="Arial" w:hAnsi="Arial"/>
          <w:sz w:val="21"/>
          <w:szCs w:val="21"/>
          <w:color w:val="auto"/>
        </w:rPr>
      </w:pPr>
      <w:r>
        <w:rPr>
          <w:rFonts w:ascii="Arial" w:cs="Arial" w:eastAsia="Arial" w:hAnsi="Arial"/>
          <w:sz w:val="21"/>
          <w:szCs w:val="21"/>
          <w:color w:val="auto"/>
        </w:rPr>
        <w:t>all United States and foreign patent applications claiming priority to any of the patent(s) and patent application(s) identified in Appendix A or Appendix G including divisionals, reissues, re-examinations, substitutions, continuations, and continuations-in-part (only to the extent of claims that are entitled under 35 U.S.C. Section 112 to the priority date of the patent(s)/patent application(s) identified on Appendix A or Appendix G); and</w:t>
      </w:r>
    </w:p>
    <w:p>
      <w:pPr>
        <w:spacing w:after="0" w:line="169" w:lineRule="exact"/>
        <w:rPr>
          <w:rFonts w:ascii="Arial" w:cs="Arial" w:eastAsia="Arial" w:hAnsi="Arial"/>
          <w:sz w:val="21"/>
          <w:szCs w:val="21"/>
          <w:color w:val="auto"/>
        </w:rPr>
      </w:pPr>
    </w:p>
    <w:p>
      <w:pPr>
        <w:ind w:firstLine="1305"/>
        <w:spacing w:after="0" w:line="266" w:lineRule="auto"/>
        <w:tabs>
          <w:tab w:leader="none" w:pos="1716" w:val="left"/>
        </w:tabs>
        <w:numPr>
          <w:ilvl w:val="0"/>
          <w:numId w:val="53"/>
        </w:numPr>
        <w:rPr>
          <w:rFonts w:ascii="Arial" w:cs="Arial" w:eastAsia="Arial" w:hAnsi="Arial"/>
          <w:sz w:val="21"/>
          <w:szCs w:val="21"/>
          <w:color w:val="auto"/>
        </w:rPr>
      </w:pPr>
      <w:r>
        <w:rPr>
          <w:rFonts w:ascii="Arial" w:cs="Arial" w:eastAsia="Arial" w:hAnsi="Arial"/>
          <w:sz w:val="21"/>
          <w:szCs w:val="21"/>
          <w:color w:val="auto"/>
        </w:rPr>
        <w:t>all United States and foreign patents issuing from the patent applications identified in Sections 1.25(a) and 1.25(b) (but in the case of patents issuing on continuations-in-part applications identified in Section 1.25(b), only to the extent of claims that are entitled under 35 U.S.C. Section 112 to the priority date of the patent(s)/patent application(s) identified on Appendix A or Appendix G), including, letters patent, patents of addition, extensions, restorations, registration or confirmation patents, patents resulting from post-grant proceedings, and supplementary protection certificates.</w:t>
      </w:r>
    </w:p>
    <w:p>
      <w:pPr>
        <w:spacing w:after="0" w:line="174" w:lineRule="exact"/>
        <w:rPr>
          <w:sz w:val="20"/>
          <w:szCs w:val="20"/>
          <w:color w:val="auto"/>
        </w:rPr>
      </w:pPr>
    </w:p>
    <w:p>
      <w:pPr>
        <w:ind w:right="480" w:firstLine="648"/>
        <w:spacing w:after="0" w:line="276"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u w:val="single" w:color="auto"/>
          <w:color w:val="auto"/>
        </w:rPr>
        <w:t>Penn Principal Investigators</w:t>
      </w:r>
      <w:r>
        <w:rPr>
          <w:rFonts w:ascii="Arial" w:cs="Arial" w:eastAsia="Arial" w:hAnsi="Arial"/>
          <w:sz w:val="22"/>
          <w:szCs w:val="22"/>
          <w:color w:val="auto"/>
        </w:rPr>
        <w:t>” means the Penn employees who have agreed to participate in a statement of work under the Penn SRA.</w:t>
      </w:r>
    </w:p>
    <w:p>
      <w:pPr>
        <w:spacing w:after="0" w:line="161" w:lineRule="exact"/>
        <w:rPr>
          <w:sz w:val="20"/>
          <w:szCs w:val="20"/>
          <w:color w:val="auto"/>
        </w:rPr>
      </w:pPr>
    </w:p>
    <w:p>
      <w:pPr>
        <w:ind w:right="180" w:firstLine="648"/>
        <w:spacing w:after="0" w:line="260"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u w:val="single" w:color="auto"/>
          <w:color w:val="auto"/>
        </w:rPr>
        <w:t>Penn SRA</w:t>
      </w:r>
      <w:r>
        <w:rPr>
          <w:rFonts w:ascii="Arial" w:cs="Arial" w:eastAsia="Arial" w:hAnsi="Arial"/>
          <w:sz w:val="22"/>
          <w:szCs w:val="22"/>
          <w:color w:val="auto"/>
        </w:rPr>
        <w:t>” means the Master Sponsored Research Agreement entered into on October 30, 2018 for the conduct of preclinical animal studies with [**] gene therapy (the “</w:t>
      </w:r>
      <w:r>
        <w:rPr>
          <w:rFonts w:ascii="Arial" w:cs="Arial" w:eastAsia="Arial" w:hAnsi="Arial"/>
          <w:sz w:val="22"/>
          <w:szCs w:val="22"/>
          <w:u w:val="single" w:color="auto"/>
          <w:color w:val="auto"/>
        </w:rPr>
        <w:t>[**] Products</w:t>
      </w:r>
      <w:r>
        <w:rPr>
          <w:rFonts w:ascii="Arial" w:cs="Arial" w:eastAsia="Arial" w:hAnsi="Arial"/>
          <w:sz w:val="22"/>
          <w:szCs w:val="22"/>
          <w:color w:val="auto"/>
        </w:rPr>
        <w:t>”), and clinical natural history studies on human BEST1-associated maculopathies.</w:t>
      </w:r>
    </w:p>
    <w:p>
      <w:pPr>
        <w:spacing w:after="0" w:line="177" w:lineRule="exact"/>
        <w:rPr>
          <w:sz w:val="20"/>
          <w:szCs w:val="20"/>
          <w:color w:val="auto"/>
        </w:rPr>
      </w:pPr>
    </w:p>
    <w:p>
      <w:pPr>
        <w:ind w:right="60" w:firstLine="648"/>
        <w:spacing w:after="0" w:line="270" w:lineRule="auto"/>
        <w:rPr>
          <w:sz w:val="20"/>
          <w:szCs w:val="20"/>
          <w:color w:val="auto"/>
        </w:rPr>
      </w:pPr>
      <w:r>
        <w:rPr>
          <w:rFonts w:ascii="Arial" w:cs="Arial" w:eastAsia="Arial" w:hAnsi="Arial"/>
          <w:sz w:val="21"/>
          <w:szCs w:val="21"/>
          <w:color w:val="auto"/>
        </w:rPr>
        <w:t>1.28 “</w:t>
      </w:r>
      <w:r>
        <w:rPr>
          <w:rFonts w:ascii="Arial" w:cs="Arial" w:eastAsia="Arial" w:hAnsi="Arial"/>
          <w:sz w:val="21"/>
          <w:szCs w:val="21"/>
          <w:u w:val="single" w:color="auto"/>
          <w:color w:val="auto"/>
        </w:rPr>
        <w:t>Phase I Clinical Trial</w:t>
      </w:r>
      <w:r>
        <w:rPr>
          <w:rFonts w:ascii="Arial" w:cs="Arial" w:eastAsia="Arial" w:hAnsi="Arial"/>
          <w:sz w:val="21"/>
          <w:szCs w:val="21"/>
          <w:color w:val="auto"/>
        </w:rPr>
        <w:t>” means any first-in-human clinical trial of a Licensed Product, a principal purpose of which is to determine metabolism and pharmacologic actions of a product and the side effects associated with increasing doses in humans and that would satisfy the requirements under 21 C.F.R. § 312.21(a) for the United States, as amended from time to time, or the corresponding foreign regulations of a comparable Regulatory Authority.</w:t>
      </w:r>
    </w:p>
    <w:p>
      <w:pPr>
        <w:spacing w:after="0" w:line="169" w:lineRule="exact"/>
        <w:rPr>
          <w:sz w:val="20"/>
          <w:szCs w:val="20"/>
          <w:color w:val="auto"/>
        </w:rPr>
      </w:pPr>
    </w:p>
    <w:p>
      <w:pPr>
        <w:jc w:val="center"/>
        <w:ind w:right="120"/>
        <w:spacing w:after="0"/>
        <w:tabs>
          <w:tab w:leader="none" w:pos="16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Phase III Clinical Trial</w:t>
      </w:r>
      <w:r>
        <w:rPr>
          <w:rFonts w:ascii="Arial" w:cs="Arial" w:eastAsia="Arial" w:hAnsi="Arial"/>
          <w:sz w:val="19"/>
          <w:szCs w:val="19"/>
          <w:color w:val="auto"/>
        </w:rPr>
        <w:t>” means a human clinical trial of a Licensed Product intended to be a pivotal trial for</w:t>
      </w:r>
    </w:p>
    <w:p>
      <w:pPr>
        <w:spacing w:after="0" w:line="22" w:lineRule="exact"/>
        <w:rPr>
          <w:sz w:val="20"/>
          <w:szCs w:val="20"/>
          <w:color w:val="auto"/>
        </w:rPr>
      </w:pPr>
    </w:p>
    <w:p>
      <w:pPr>
        <w:ind w:right="140"/>
        <w:spacing w:after="0" w:line="283" w:lineRule="auto"/>
        <w:rPr>
          <w:sz w:val="20"/>
          <w:szCs w:val="20"/>
          <w:color w:val="auto"/>
        </w:rPr>
      </w:pPr>
      <w:r>
        <w:rPr>
          <w:rFonts w:ascii="Arial" w:cs="Arial" w:eastAsia="Arial" w:hAnsi="Arial"/>
          <w:sz w:val="21"/>
          <w:szCs w:val="21"/>
          <w:color w:val="auto"/>
        </w:rPr>
        <w:t>obtaining Regulatory Approval or to otherwise establish safety and efficacy in patients with the disease or condition being studied for purposes of filing a Biologics License Application and that would satisfy the requirements under 21 C.F.R. §</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color w:val="auto"/>
        </w:rPr>
        <w:t>312.21(c), as amended from time to time, or the corresponding foreign regulations for a comparable filing with a comparable Regulatory Authority.</w:t>
      </w:r>
    </w:p>
    <w:p>
      <w:pPr>
        <w:spacing w:after="0" w:line="175" w:lineRule="exact"/>
        <w:rPr>
          <w:sz w:val="20"/>
          <w:szCs w:val="20"/>
          <w:color w:val="auto"/>
        </w:rPr>
      </w:pPr>
    </w:p>
    <w:p>
      <w:pPr>
        <w:ind w:right="140" w:firstLine="648"/>
        <w:spacing w:after="0" w:line="300"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u w:val="single" w:color="auto"/>
          <w:color w:val="auto"/>
        </w:rPr>
        <w:t>Rare Pediatric Disease Priority Review Voucher</w:t>
      </w:r>
      <w:r>
        <w:rPr>
          <w:rFonts w:ascii="Arial" w:cs="Arial" w:eastAsia="Arial" w:hAnsi="Arial"/>
          <w:sz w:val="19"/>
          <w:szCs w:val="19"/>
          <w:color w:val="auto"/>
        </w:rPr>
        <w:t>” or “</w:t>
      </w:r>
      <w:r>
        <w:rPr>
          <w:rFonts w:ascii="Arial" w:cs="Arial" w:eastAsia="Arial" w:hAnsi="Arial"/>
          <w:sz w:val="19"/>
          <w:szCs w:val="19"/>
          <w:u w:val="single" w:color="auto"/>
          <w:color w:val="auto"/>
        </w:rPr>
        <w:t>PRV</w:t>
      </w:r>
      <w:r>
        <w:rPr>
          <w:rFonts w:ascii="Arial" w:cs="Arial" w:eastAsia="Arial" w:hAnsi="Arial"/>
          <w:sz w:val="19"/>
          <w:szCs w:val="19"/>
          <w:color w:val="auto"/>
        </w:rPr>
        <w:t>” means a voucher issued by the United States Secretary of Health and Human Services to the sponsor of a rare pediatric disease product application at the time of a marketing application approval, which entitles the holder of the voucher to designate a single human drug application submitted under Section 505(b)(1) of the FD&amp;C Act or Section 351(a) of the United States Public Health Service Act as qualifying for a priority review, as further defined in 21 U.S.C. 360ff or any subsequent or superseding statute conferring similar rights.</w:t>
      </w:r>
    </w:p>
    <w:p>
      <w:pPr>
        <w:spacing w:after="0" w:line="147" w:lineRule="exact"/>
        <w:rPr>
          <w:sz w:val="20"/>
          <w:szCs w:val="20"/>
          <w:color w:val="auto"/>
        </w:rPr>
      </w:pPr>
    </w:p>
    <w:p>
      <w:pPr>
        <w:ind w:right="40" w:firstLine="648"/>
        <w:spacing w:after="0" w:line="358" w:lineRule="auto"/>
        <w:rPr>
          <w:sz w:val="20"/>
          <w:szCs w:val="20"/>
          <w:color w:val="auto"/>
        </w:rPr>
      </w:pPr>
      <w:r>
        <w:rPr>
          <w:rFonts w:ascii="Arial" w:cs="Arial" w:eastAsia="Arial" w:hAnsi="Arial"/>
          <w:sz w:val="19"/>
          <w:szCs w:val="19"/>
          <w:color w:val="auto"/>
        </w:rPr>
        <w:t>1.31 “</w:t>
      </w:r>
      <w:r>
        <w:rPr>
          <w:rFonts w:ascii="Arial" w:cs="Arial" w:eastAsia="Arial" w:hAnsi="Arial"/>
          <w:sz w:val="19"/>
          <w:szCs w:val="19"/>
          <w:u w:val="single" w:color="auto"/>
          <w:color w:val="auto"/>
        </w:rPr>
        <w:t>Regulatory Approval</w:t>
      </w:r>
      <w:r>
        <w:rPr>
          <w:rFonts w:ascii="Arial" w:cs="Arial" w:eastAsia="Arial" w:hAnsi="Arial"/>
          <w:sz w:val="19"/>
          <w:szCs w:val="19"/>
          <w:color w:val="auto"/>
        </w:rPr>
        <w:t>” means the approvals (excluding pricing and reimbursement approvals), licenses, registrations or authorizations of any Regulatory Authority, necessary to commercially distribute, sell or market a product in a country.</w:t>
      </w:r>
    </w:p>
    <w:p>
      <w:pPr>
        <w:spacing w:after="0" w:line="91"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any national, supranational, regional, state or local regulatory agency, department, bureau, commission, council or other governmental entity and any other agencies in any country involved in the granting or receipt of Regulatory Approvals.</w:t>
      </w:r>
    </w:p>
    <w:p>
      <w:pPr>
        <w:spacing w:after="0" w:line="177"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1.33 “</w:t>
      </w:r>
      <w:r>
        <w:rPr>
          <w:rFonts w:ascii="Arial" w:cs="Arial" w:eastAsia="Arial" w:hAnsi="Arial"/>
          <w:sz w:val="22"/>
          <w:szCs w:val="22"/>
          <w:u w:val="single" w:color="auto"/>
          <w:color w:val="auto"/>
        </w:rPr>
        <w:t>Regulatory Exclusivity</w:t>
      </w:r>
      <w:r>
        <w:rPr>
          <w:rFonts w:ascii="Arial" w:cs="Arial" w:eastAsia="Arial" w:hAnsi="Arial"/>
          <w:sz w:val="22"/>
          <w:szCs w:val="22"/>
          <w:color w:val="auto"/>
        </w:rPr>
        <w:t>” means any exclusive marketing rights or data exclusivity rights conferred by any governmental authority with respect to a Licensed Product other than a patent right, including rights conferred in the U.S. under the Section 351(k) of the Public Health Service Act (42 U.S.C. 262(k)), the Orphan Drug Act (21 U.S.C. 360bb(a)(2)(A)), or the FDA Modernization Act of 1997 (21 U.S.C. 355a(b)), or rights similar thereto outside the United States, including without limitation, in the European Union, European Commission Regulation (EC) No 726/2004 and European Commission Directive 2001/83/EC (as amended).</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21"/>
          <w:szCs w:val="21"/>
          <w:color w:val="auto"/>
        </w:rPr>
        <w:t>1.34 “</w:t>
      </w:r>
      <w:r>
        <w:rPr>
          <w:rFonts w:ascii="Arial" w:cs="Arial" w:eastAsia="Arial" w:hAnsi="Arial"/>
          <w:sz w:val="21"/>
          <w:szCs w:val="21"/>
          <w:u w:val="single" w:color="auto"/>
          <w:color w:val="auto"/>
        </w:rPr>
        <w:t>Sale</w:t>
      </w:r>
      <w:r>
        <w:rPr>
          <w:rFonts w:ascii="Arial" w:cs="Arial" w:eastAsia="Arial" w:hAnsi="Arial"/>
          <w:sz w:val="21"/>
          <w:szCs w:val="21"/>
          <w:color w:val="auto"/>
        </w:rPr>
        <w:t>” means any transaction for which consideration is received or booked by Licensee, its Affiliates or Sublicensees for sale, use, lease, transfer or other disposition of a Licensed Product to or for the benefit of a Third Party. For clarity, sale, use, lease, transfer or other disposition of a Licensed Product by Licensee or any of its Affiliates or Sublicensees to another of these entities for resale by such entity to a Third Party shall not be deemed a Sale.</w:t>
      </w:r>
    </w:p>
    <w:p>
      <w:pPr>
        <w:spacing w:after="0" w:line="16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SRA</w:t>
      </w:r>
      <w:r>
        <w:rPr>
          <w:rFonts w:ascii="Arial" w:cs="Arial" w:eastAsia="Arial" w:hAnsi="Arial"/>
          <w:sz w:val="19"/>
          <w:szCs w:val="19"/>
          <w:color w:val="auto"/>
        </w:rPr>
        <w:t>” means, as applicable, the Penn SRA, the Three-Party SRA or the UFSRA.</w:t>
      </w:r>
    </w:p>
    <w:p>
      <w:pPr>
        <w:spacing w:after="0" w:line="23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1.36 “</w:t>
      </w:r>
      <w:r>
        <w:rPr>
          <w:rFonts w:ascii="Arial" w:cs="Arial" w:eastAsia="Arial" w:hAnsi="Arial"/>
          <w:sz w:val="22"/>
          <w:szCs w:val="22"/>
          <w:u w:val="single" w:color="auto"/>
          <w:color w:val="auto"/>
        </w:rPr>
        <w:t>Sublicense</w:t>
      </w:r>
      <w:r>
        <w:rPr>
          <w:rFonts w:ascii="Arial" w:cs="Arial" w:eastAsia="Arial" w:hAnsi="Arial"/>
          <w:sz w:val="22"/>
          <w:szCs w:val="22"/>
          <w:color w:val="auto"/>
        </w:rPr>
        <w:t>” means the agreement to grant or not to assert any right licensed to Licensee under Section 2.1, Section 2.2 or Section 2.3, including, any agreement that permits any use of all or part of the Patent Rights, Licensed Information or Know-How for research, development, or the manufacture, marketing, distribution, commercialization, sale, offer for sale, import or export of Licensed Products. An agreement that is described in this definition is a Sublicense whether or not it is called a “sublicense” and whether or not it is included in a stand-alone document or is part of a broader collaboration, development, or joint venture agreement or arrangement.</w:t>
      </w:r>
    </w:p>
    <w:p>
      <w:pPr>
        <w:spacing w:after="0" w:line="188" w:lineRule="exact"/>
        <w:rPr>
          <w:sz w:val="20"/>
          <w:szCs w:val="20"/>
          <w:color w:val="auto"/>
        </w:rPr>
      </w:pPr>
    </w:p>
    <w:p>
      <w:pPr>
        <w:ind w:right="400" w:firstLine="648"/>
        <w:spacing w:after="0" w:line="276" w:lineRule="auto"/>
        <w:rPr>
          <w:sz w:val="20"/>
          <w:szCs w:val="20"/>
          <w:color w:val="auto"/>
        </w:rPr>
      </w:pPr>
      <w:r>
        <w:rPr>
          <w:rFonts w:ascii="Arial" w:cs="Arial" w:eastAsia="Arial" w:hAnsi="Arial"/>
          <w:sz w:val="22"/>
          <w:szCs w:val="22"/>
          <w:color w:val="auto"/>
        </w:rPr>
        <w:t>1.37 “</w:t>
      </w:r>
      <w:r>
        <w:rPr>
          <w:rFonts w:ascii="Arial" w:cs="Arial" w:eastAsia="Arial" w:hAnsi="Arial"/>
          <w:sz w:val="22"/>
          <w:szCs w:val="22"/>
          <w:u w:val="single" w:color="auto"/>
          <w:color w:val="auto"/>
        </w:rPr>
        <w:t>Sublicensee</w:t>
      </w:r>
      <w:r>
        <w:rPr>
          <w:rFonts w:ascii="Arial" w:cs="Arial" w:eastAsia="Arial" w:hAnsi="Arial"/>
          <w:sz w:val="22"/>
          <w:szCs w:val="22"/>
          <w:color w:val="auto"/>
        </w:rPr>
        <w:t>” means any Third Party or Licensee Affiliate granted a Sublicense. “Sublicensee” also includes any Third Party or Licensee Affiliate to which Licensee sells a</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Licensed Product and from which Licensee receives a royalty based on sales of the Licensed Product by the Third Party.</w:t>
      </w:r>
    </w:p>
    <w:p>
      <w:pPr>
        <w:spacing w:after="0" w:line="231" w:lineRule="exact"/>
        <w:rPr>
          <w:sz w:val="20"/>
          <w:szCs w:val="20"/>
          <w:color w:val="auto"/>
        </w:rPr>
      </w:pPr>
    </w:p>
    <w:p>
      <w:pPr>
        <w:ind w:right="20" w:firstLine="648"/>
        <w:spacing w:after="0" w:line="300" w:lineRule="auto"/>
        <w:rPr>
          <w:sz w:val="20"/>
          <w:szCs w:val="20"/>
          <w:color w:val="auto"/>
        </w:rPr>
      </w:pPr>
      <w:r>
        <w:rPr>
          <w:rFonts w:ascii="Arial" w:cs="Arial" w:eastAsia="Arial" w:hAnsi="Arial"/>
          <w:sz w:val="19"/>
          <w:szCs w:val="19"/>
          <w:color w:val="auto"/>
        </w:rPr>
        <w:t>1.38 “</w:t>
      </w:r>
      <w:r>
        <w:rPr>
          <w:rFonts w:ascii="Arial" w:cs="Arial" w:eastAsia="Arial" w:hAnsi="Arial"/>
          <w:sz w:val="19"/>
          <w:szCs w:val="19"/>
          <w:u w:val="single" w:color="auto"/>
          <w:color w:val="auto"/>
        </w:rPr>
        <w:t>Subsequently Added Intellectual Property</w:t>
      </w:r>
      <w:r>
        <w:rPr>
          <w:rFonts w:ascii="Arial" w:cs="Arial" w:eastAsia="Arial" w:hAnsi="Arial"/>
          <w:sz w:val="19"/>
          <w:szCs w:val="19"/>
          <w:color w:val="auto"/>
        </w:rPr>
        <w:t>” shall mean any Related Intellectual Property, Related Joint Intellectual Property, Related Penn Intellectual Property or Related UF Intellectual Property (as defined in the Penn SRA, Three-Party SRA and UFSRA) to which Licensee has exercised its option under Section 5.5 of the applicable SRA to have such Related Intellectual Property, Related Joint Intellectual Property, Related Penn Intellectual Property or Related UF Intellectual Property added to this Agreement, and which is further described on Appendix G, as such Appendix G may be updated in accordance with Section 2.8.</w:t>
      </w:r>
    </w:p>
    <w:p>
      <w:pPr>
        <w:spacing w:after="0" w:line="147" w:lineRule="exact"/>
        <w:rPr>
          <w:sz w:val="20"/>
          <w:szCs w:val="20"/>
          <w:color w:val="auto"/>
        </w:rPr>
      </w:pPr>
    </w:p>
    <w:p>
      <w:pPr>
        <w:jc w:val="both"/>
        <w:ind w:right="140" w:firstLine="648"/>
        <w:spacing w:after="0" w:line="260" w:lineRule="auto"/>
        <w:rPr>
          <w:sz w:val="20"/>
          <w:szCs w:val="20"/>
          <w:color w:val="auto"/>
        </w:rPr>
      </w:pPr>
      <w:r>
        <w:rPr>
          <w:rFonts w:ascii="Arial" w:cs="Arial" w:eastAsia="Arial" w:hAnsi="Arial"/>
          <w:sz w:val="22"/>
          <w:szCs w:val="22"/>
          <w:color w:val="auto"/>
        </w:rPr>
        <w:t>1.39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natural person or any corporation, company, partnership, joint venture, firm or other entity, or any government or agency or political subdivision thereof, in each case other than Licensee, either Licensor, or any Affiliate of Licensee or either Licensor.</w:t>
      </w:r>
    </w:p>
    <w:p>
      <w:pPr>
        <w:spacing w:after="0" w:line="177" w:lineRule="exact"/>
        <w:rPr>
          <w:sz w:val="20"/>
          <w:szCs w:val="20"/>
          <w:color w:val="auto"/>
        </w:rPr>
      </w:pPr>
    </w:p>
    <w:p>
      <w:pPr>
        <w:ind w:right="60" w:firstLine="648"/>
        <w:spacing w:after="0" w:line="260" w:lineRule="auto"/>
        <w:rPr>
          <w:sz w:val="20"/>
          <w:szCs w:val="20"/>
          <w:color w:val="auto"/>
        </w:rPr>
      </w:pPr>
      <w:r>
        <w:rPr>
          <w:rFonts w:ascii="Arial" w:cs="Arial" w:eastAsia="Arial" w:hAnsi="Arial"/>
          <w:sz w:val="22"/>
          <w:szCs w:val="22"/>
          <w:color w:val="auto"/>
        </w:rPr>
        <w:t xml:space="preserve">1.40 </w:t>
      </w:r>
      <w:r>
        <w:rPr>
          <w:rFonts w:ascii="Arial" w:cs="Arial" w:eastAsia="Arial" w:hAnsi="Arial"/>
          <w:sz w:val="22"/>
          <w:szCs w:val="22"/>
          <w:u w:val="single" w:color="auto"/>
          <w:color w:val="auto"/>
        </w:rPr>
        <w:t>“Three-Party SRA”</w:t>
      </w:r>
      <w:r>
        <w:rPr>
          <w:rFonts w:ascii="Arial" w:cs="Arial" w:eastAsia="Arial" w:hAnsi="Arial"/>
          <w:sz w:val="22"/>
          <w:szCs w:val="22"/>
          <w:color w:val="auto"/>
        </w:rPr>
        <w:t xml:space="preserve"> means the mutually agreeable Sponsored Research Agreement to be entered into by Licensee, Penn and UFRF for the conduct of preclinical animal studies with the [**] Products and any other preclinical animal studies agreed to by the parties.</w:t>
      </w:r>
    </w:p>
    <w:p>
      <w:pPr>
        <w:spacing w:after="0" w:line="17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UF Principal Investigators</w:t>
      </w:r>
      <w:r>
        <w:rPr>
          <w:rFonts w:ascii="Arial" w:cs="Arial" w:eastAsia="Arial" w:hAnsi="Arial"/>
          <w:sz w:val="19"/>
          <w:szCs w:val="19"/>
          <w:color w:val="auto"/>
        </w:rPr>
        <w:t>” means [**].</w:t>
      </w:r>
    </w:p>
    <w:p>
      <w:pPr>
        <w:spacing w:after="0" w:line="220"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 UF SRA”</w:t>
      </w:r>
      <w:r>
        <w:rPr>
          <w:rFonts w:ascii="Arial" w:cs="Arial" w:eastAsia="Arial" w:hAnsi="Arial"/>
          <w:sz w:val="22"/>
          <w:szCs w:val="22"/>
          <w:color w:val="auto"/>
        </w:rPr>
        <w:t xml:space="preserve"> means the mutually agreeable Sponsored Research Agreement to be entered into by Licensee and UFRF for the conduct of studies to finalize a vector construct for “[**]” BEST1 gene therapy (the “</w:t>
      </w:r>
      <w:r>
        <w:rPr>
          <w:rFonts w:ascii="Arial" w:cs="Arial" w:eastAsia="Arial" w:hAnsi="Arial"/>
          <w:sz w:val="22"/>
          <w:szCs w:val="22"/>
          <w:u w:val="single" w:color="auto"/>
          <w:color w:val="auto"/>
        </w:rPr>
        <w:t>[**] Products</w:t>
      </w:r>
      <w:r>
        <w:rPr>
          <w:rFonts w:ascii="Arial" w:cs="Arial" w:eastAsia="Arial" w:hAnsi="Arial"/>
          <w:sz w:val="22"/>
          <w:szCs w:val="22"/>
          <w:color w:val="auto"/>
        </w:rPr>
        <w:t>”) and to test such construct in cells in vitro.</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1.43 “</w:t>
      </w:r>
      <w:r>
        <w:rPr>
          <w:rFonts w:ascii="Arial" w:cs="Arial" w:eastAsia="Arial" w:hAnsi="Arial"/>
          <w:sz w:val="21"/>
          <w:szCs w:val="21"/>
          <w:u w:val="single" w:color="auto"/>
          <w:color w:val="auto"/>
        </w:rPr>
        <w:t>Valid Claim</w:t>
      </w:r>
      <w:r>
        <w:rPr>
          <w:rFonts w:ascii="Arial" w:cs="Arial" w:eastAsia="Arial" w:hAnsi="Arial"/>
          <w:sz w:val="21"/>
          <w:szCs w:val="21"/>
          <w:color w:val="auto"/>
        </w:rPr>
        <w:t>” means (a) a claim of an issued patent that has not expired or been dedicated to the public, abandoned, disclaimed or rendered unenforceable through disclaimer or otherwise, nor been held invalid, unpatentable or unenforceable or revoked by a patent office, court or other governmental agency of competent jurisdiction in a final and non-appealable judgment (or judgment from which no appeal was taken within the allowable time period), or (b) a claim within a patent application which application has not been pending for more than [**] from the date of its priority filing date and which claim has not been irretrievably revoked, irretrievably cancelled, irretrievably withdrawn, held invalid or irretrievably abandoned by a patent office, court or other governmental agency of competent jurisdiction in a final and non-appealable judgment (or judgment from which no appeal was taken within the allowable time period), or finally determined to be unallowable in a decision from which an appeal cannot or can no longer be taken.</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 Products</w:t>
      </w:r>
      <w:r>
        <w:rPr>
          <w:rFonts w:ascii="Arial" w:cs="Arial" w:eastAsia="Arial" w:hAnsi="Arial"/>
          <w:sz w:val="19"/>
          <w:szCs w:val="19"/>
          <w:color w:val="auto"/>
        </w:rPr>
        <w:t>” has the meaning set forth in Section 1.27.</w:t>
      </w:r>
    </w:p>
    <w:p>
      <w:pPr>
        <w:spacing w:after="0" w:line="22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u w:val="single" w:color="auto"/>
          <w:color w:val="auto"/>
        </w:rPr>
        <w:t>Grant</w:t>
      </w:r>
    </w:p>
    <w:p>
      <w:pPr>
        <w:spacing w:after="0" w:line="239" w:lineRule="exact"/>
        <w:rPr>
          <w:sz w:val="20"/>
          <w:szCs w:val="20"/>
          <w:color w:val="auto"/>
        </w:rPr>
      </w:pPr>
    </w:p>
    <w:p>
      <w:pPr>
        <w:ind w:right="300" w:firstLine="648"/>
        <w:spacing w:after="0" w:line="32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Patent Rights</w:t>
      </w:r>
      <w:r>
        <w:rPr>
          <w:rFonts w:ascii="Arial" w:cs="Arial" w:eastAsia="Arial" w:hAnsi="Arial"/>
          <w:sz w:val="19"/>
          <w:szCs w:val="19"/>
          <w:color w:val="auto"/>
        </w:rPr>
        <w:t>. In return for the royalties and other payments described in Section 4, Licensors grant to Licensee a royalty-bearing, exclusive license under the Patent Rights in the Licensed Field and Licensed Territory to make, have made, use, have used, sell, offer to sell, have offered to sell, import, have imported, develop, have developed, research, have researched,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commercialize and have commercialized Licensed Products. For clarity, Licensee shall be permitted to seek the right to export and have exported Licensed Products under this Agreement.</w:t>
      </w:r>
    </w:p>
    <w:p>
      <w:pPr>
        <w:spacing w:after="0" w:line="175"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Know-How</w:t>
      </w:r>
      <w:r>
        <w:rPr>
          <w:rFonts w:ascii="Arial" w:cs="Arial" w:eastAsia="Arial" w:hAnsi="Arial"/>
          <w:sz w:val="22"/>
          <w:szCs w:val="22"/>
          <w:color w:val="auto"/>
        </w:rPr>
        <w:t>. In return for the royalties and other payments described in Section 4, Licensors grant to Licensee a royalty-bearing, non-exclusive license under the Know-How in the Licensed Field and Licensed Territory to make, have made, use, have used, sell, offer to sell, have offered to sell, import, have imported, develop, have developed, research, have researched, commercialize and have commercialized Licensed Products. For clarity, Licensee shall be permitted to seek the right to export and have exported Licensed Products under this Agreement.</w:t>
      </w:r>
    </w:p>
    <w:p>
      <w:pPr>
        <w:spacing w:after="0" w:line="190" w:lineRule="exact"/>
        <w:rPr>
          <w:sz w:val="20"/>
          <w:szCs w:val="20"/>
          <w:color w:val="auto"/>
        </w:rPr>
      </w:pPr>
    </w:p>
    <w:p>
      <w:pPr>
        <w:ind w:right="60" w:firstLine="648"/>
        <w:spacing w:after="0" w:line="266"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Licensed Information</w:t>
      </w:r>
      <w:r>
        <w:rPr>
          <w:rFonts w:ascii="Arial" w:cs="Arial" w:eastAsia="Arial" w:hAnsi="Arial"/>
          <w:sz w:val="21"/>
          <w:szCs w:val="21"/>
          <w:color w:val="auto"/>
        </w:rPr>
        <w:t>. In return for the royalties and other payments described in Section 4, Licensors grant to Licensee a royalty-bearing, exclusive license under the Licensed Information in the Licensed Field and Licensed Territory to make, have made, use, have used, sell, offer to sell, have offered to sell, import, have imported, develop, have developed, research, have researched, commercialize and have commercialized Licensed Products. For clarity, Licensee shall be permitted to seek the right to export and have exported Licensed Products under this Agreement.</w:t>
      </w:r>
    </w:p>
    <w:p>
      <w:pPr>
        <w:spacing w:after="0" w:line="1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Sublicense Rights</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85" w:lineRule="auto"/>
        <w:tabs>
          <w:tab w:leader="none" w:pos="1716" w:val="left"/>
        </w:tabs>
        <w:numPr>
          <w:ilvl w:val="2"/>
          <w:numId w:val="54"/>
        </w:numPr>
        <w:rPr>
          <w:rFonts w:ascii="Arial" w:cs="Arial" w:eastAsia="Arial" w:hAnsi="Arial"/>
          <w:sz w:val="19"/>
          <w:szCs w:val="19"/>
          <w:color w:val="auto"/>
        </w:rPr>
      </w:pPr>
      <w:r>
        <w:rPr>
          <w:rFonts w:ascii="Arial" w:cs="Arial" w:eastAsia="Arial" w:hAnsi="Arial"/>
          <w:sz w:val="19"/>
          <w:szCs w:val="19"/>
          <w:color w:val="auto"/>
        </w:rPr>
        <w:t>Licensee may grant written Sublicenses to Third Parties with the prior written consent of Licensors not to be unreasonably withheld; provided that, Licensee may grant written Sublicenses, with the right to further sublicense, without the prior written consent of Licensors (i) to its Affiliates that are not owned or controlled in part by a Third Party Sublicensee or a Third Party distributor of Licensed Products (without regard to market capitalization) and (ii) to biopharmaceutical companies with a market capitalization of at least [**] Dollars (US$[**]). Any agreement granting a Sublicense shall state that the Sublicense is subject and subordinate to the terms of this Agreement, including termination. Licensee shall also include provisions in all Sublicenses to provide that in the event Sublicensee or its Affiliate brings a Patent Challenge against Licensors or assists another party in bringing a Patent Challenge against Licensors (except as required under a court order or subpoena or as part of proceedings initiated by a patent office and not provoked by Sublicensee or its Affiliate) then Licensee may terminate the Sublicense within</w:t>
      </w:r>
    </w:p>
    <w:p>
      <w:pPr>
        <w:spacing w:after="0" w:line="5" w:lineRule="exact"/>
        <w:rPr>
          <w:rFonts w:ascii="Arial" w:cs="Arial" w:eastAsia="Arial" w:hAnsi="Arial"/>
          <w:sz w:val="19"/>
          <w:szCs w:val="19"/>
          <w:color w:val="auto"/>
        </w:rPr>
      </w:pPr>
    </w:p>
    <w:p>
      <w:pPr>
        <w:ind w:firstLine="8"/>
        <w:spacing w:after="0" w:line="302" w:lineRule="auto"/>
        <w:tabs>
          <w:tab w:leader="none" w:pos="468" w:val="left"/>
        </w:tabs>
        <w:numPr>
          <w:ilvl w:val="0"/>
          <w:numId w:val="54"/>
        </w:numPr>
        <w:rPr>
          <w:rFonts w:ascii="Arial" w:cs="Arial" w:eastAsia="Arial" w:hAnsi="Arial"/>
          <w:sz w:val="19"/>
          <w:szCs w:val="19"/>
          <w:color w:val="auto"/>
        </w:rPr>
      </w:pPr>
      <w:r>
        <w:rPr>
          <w:rFonts w:ascii="Arial" w:cs="Arial" w:eastAsia="Arial" w:hAnsi="Arial"/>
          <w:sz w:val="19"/>
          <w:szCs w:val="19"/>
          <w:color w:val="auto"/>
        </w:rPr>
        <w:t>Sublicenses granted hereunder shall (i) be issued in writing, (ii) to the extent applicable, include or incorporate all of the rights of Licensors and require the performance of obligations due to Licensors (and, if applicable, the U.S. Government under 35 U.S.C. §§200-212) contained in this Agreement and (iii) include or incorporate no less than the following terms and conditions:</w:t>
      </w:r>
    </w:p>
    <w:p>
      <w:pPr>
        <w:spacing w:after="0" w:line="143" w:lineRule="exact"/>
        <w:rPr>
          <w:rFonts w:ascii="Arial" w:cs="Arial" w:eastAsia="Arial" w:hAnsi="Arial"/>
          <w:sz w:val="19"/>
          <w:szCs w:val="19"/>
          <w:color w:val="auto"/>
        </w:rPr>
      </w:pPr>
    </w:p>
    <w:p>
      <w:pPr>
        <w:ind w:left="660" w:right="80" w:hanging="328"/>
        <w:spacing w:after="0" w:line="250" w:lineRule="auto"/>
        <w:tabs>
          <w:tab w:leader="none" w:pos="6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Reasonable record keeping, audit and reporting obligations sufficient to enable Licensors and Licensee to reasonably verify the payments due to Licensee and to Licensors under such Sublicense and to reasonably monitor such Sublicensee’s progress in developing and/or commercializing Licensed Products, provided that such obligations shall be no less stringent that those provided in this Agreement for Licensee.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right="140" w:hanging="328"/>
        <w:spacing w:after="0" w:line="287" w:lineRule="auto"/>
        <w:tabs>
          <w:tab w:leader="none" w:pos="6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Infringement and enforcement provisions that do not conflict with the restrictions and procedural requirements imposed on Licensee hereunder and do not provide greater rights to Sublicensee than as provided in Section 8.</w:t>
      </w:r>
    </w:p>
    <w:p>
      <w:pPr>
        <w:spacing w:after="0" w:line="152" w:lineRule="exact"/>
        <w:rPr>
          <w:sz w:val="20"/>
          <w:szCs w:val="20"/>
          <w:color w:val="auto"/>
        </w:rPr>
      </w:pPr>
    </w:p>
    <w:p>
      <w:pPr>
        <w:ind w:left="660" w:right="240" w:hanging="323"/>
        <w:spacing w:after="0" w:line="263" w:lineRule="auto"/>
        <w:rPr>
          <w:sz w:val="20"/>
          <w:szCs w:val="20"/>
          <w:color w:val="auto"/>
        </w:rPr>
      </w:pPr>
      <w:r>
        <w:rPr>
          <w:rFonts w:ascii="Arial" w:cs="Arial" w:eastAsia="Arial" w:hAnsi="Arial"/>
          <w:sz w:val="22"/>
          <w:szCs w:val="22"/>
          <w:color w:val="auto"/>
        </w:rPr>
        <w:t>(iii)Confidentiality provisions with respect to Confidential Information of Penn consistent with the restrictions on Licensee in Section 18 of this Agreement.</w:t>
      </w:r>
    </w:p>
    <w:p>
      <w:pPr>
        <w:spacing w:after="0" w:line="175" w:lineRule="exact"/>
        <w:rPr>
          <w:sz w:val="20"/>
          <w:szCs w:val="20"/>
          <w:color w:val="auto"/>
        </w:rPr>
      </w:pPr>
    </w:p>
    <w:p>
      <w:pPr>
        <w:ind w:left="660" w:right="480" w:hanging="323"/>
        <w:spacing w:after="0" w:line="263" w:lineRule="auto"/>
        <w:rPr>
          <w:sz w:val="20"/>
          <w:szCs w:val="20"/>
          <w:color w:val="auto"/>
        </w:rPr>
      </w:pPr>
      <w:r>
        <w:rPr>
          <w:rFonts w:ascii="Arial" w:cs="Arial" w:eastAsia="Arial" w:hAnsi="Arial"/>
          <w:sz w:val="22"/>
          <w:szCs w:val="22"/>
          <w:color w:val="auto"/>
        </w:rPr>
        <w:t>(iv)A requirement of indemnification of Licensors by Sublicensee that is equivalent to the indemnification of Licensors by Licensee under Section 13 of this Agreement.</w:t>
      </w:r>
    </w:p>
    <w:p>
      <w:pPr>
        <w:spacing w:after="0" w:line="175" w:lineRule="exact"/>
        <w:rPr>
          <w:sz w:val="20"/>
          <w:szCs w:val="20"/>
          <w:color w:val="auto"/>
        </w:rPr>
      </w:pPr>
    </w:p>
    <w:p>
      <w:pPr>
        <w:ind w:left="660" w:right="100" w:hanging="328"/>
        <w:spacing w:after="0" w:line="253"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requirement of obtaining and maintaining insurance by Sublicensee that is equivalent to the insurance requirements of Licensee under Section 13.3 of this Agreement, including coverage under such insurance of Penn and UFRF as provided in Section 13.3.</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(vi)Restriction on use of Licensors’ names etc. consistent with Section 14 of this Agreement.</w:t>
      </w: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Any Sublicense that does not include all of the terms and conditions set forth in this Section 2.4(a), or which is not issued in accordance with the terms and conditions set forth in this Section 2.4, shall be null and void.</w:t>
      </w:r>
    </w:p>
    <w:p>
      <w:pPr>
        <w:spacing w:after="0" w:line="175" w:lineRule="exact"/>
        <w:rPr>
          <w:sz w:val="20"/>
          <w:szCs w:val="20"/>
          <w:color w:val="auto"/>
        </w:rPr>
      </w:pPr>
    </w:p>
    <w:p>
      <w:pPr>
        <w:ind w:right="20" w:firstLine="1305"/>
        <w:spacing w:after="0" w:line="251" w:lineRule="auto"/>
        <w:tabs>
          <w:tab w:leader="none" w:pos="1728" w:val="left"/>
        </w:tabs>
        <w:numPr>
          <w:ilvl w:val="0"/>
          <w:numId w:val="58"/>
        </w:numPr>
        <w:rPr>
          <w:rFonts w:ascii="Arial" w:cs="Arial" w:eastAsia="Arial" w:hAnsi="Arial"/>
          <w:sz w:val="22"/>
          <w:szCs w:val="22"/>
          <w:color w:val="auto"/>
        </w:rPr>
      </w:pPr>
      <w:r>
        <w:rPr>
          <w:rFonts w:ascii="Arial" w:cs="Arial" w:eastAsia="Arial" w:hAnsi="Arial"/>
          <w:sz w:val="22"/>
          <w:szCs w:val="22"/>
          <w:color w:val="auto"/>
        </w:rPr>
        <w:t>Licensee shall provide Licensors with a final copy, with reasonable redactions (provided that the information reasonably necessary for Licensors to verify Licensee’s compliance with its obligations to Licensors under this Agreement shall not be redacted), within [**] after execution, of any Sublicense that grants any right (including, for the avoidance of doubt, an option) to commercialize a Licensed Product and/or under which Licensee has the right to receive payments related to the sublicensed rights or to commercialization of Licensed Product.</w:t>
      </w:r>
    </w:p>
    <w:p>
      <w:pPr>
        <w:spacing w:after="0" w:line="190"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Patent Challenge</w:t>
      </w:r>
      <w:r>
        <w:rPr>
          <w:rFonts w:ascii="Arial" w:cs="Arial" w:eastAsia="Arial" w:hAnsi="Arial"/>
          <w:sz w:val="19"/>
          <w:szCs w:val="19"/>
          <w:color w:val="auto"/>
        </w:rPr>
        <w:t>. If Licensee (or any of its Affiliates) or Sublicensees (or any of their Affiliates) brings a Patent Challenge against Licensors, or Licensee (or any of its Affiliates) or Sublicensees (or any of their Affiliates) assists another party in bringing a Patent Challenge against Licensors (except as required under a court order or subpoena or as part of proceedings initiated by a patent office and not provoked by Licensee or its Affiliate or Sublicensee or its Affiliate), and Licensors do not terminate this Agreement pursuant to Section 9.4, then, if the Patent Challenge is successful, Licensee may not recoup any consideration, including royalties, paid to Licensors during the period of challenge. If a Patent Challenge is unsuccessful, Licensee shall reimburse Licensors for all reasonable legal fees and expenses incurred in its defense against the Patent Challenge.</w:t>
      </w:r>
    </w:p>
    <w:p>
      <w:pPr>
        <w:spacing w:after="0" w:line="15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Retained Rights</w:t>
      </w:r>
      <w:r>
        <w:rPr>
          <w:rFonts w:ascii="Arial" w:cs="Arial" w:eastAsia="Arial" w:hAnsi="Arial"/>
          <w:sz w:val="22"/>
          <w:szCs w:val="22"/>
          <w:color w:val="auto"/>
        </w:rPr>
        <w:t>. Penn reserves to itself and any of its non-commercial collaborators (subject to applicable confidentiality obligations), and UFRF reserves to itself and the University of Florida and any of its or their non-commercial collaborators (subject to applicable confidentiality obligations), the right under the Patent Rights, Licensed Information and Know-How to make, have made, develop, import, use and transfer to non-commercial collaborators Licensed Products solely for its and their internal research [**], clinical (including, but not limited to patient care at Shands Teaching Hospital and University of Florida patient care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facilities and the Hospital of the University of Pennsylvania and Penn), and educational purposes; provided that Penn, UFRF and the University of Florida do not grant any rights under the Patent Rights or Licensed Information to commercialize or to manufacture any Licensed Product to any Third Party commercial entity. The right set forth in this Section 2.6 is subject in all cases to the confidentiality obligations of Section 18.</w:t>
      </w:r>
    </w:p>
    <w:p>
      <w:pPr>
        <w:spacing w:after="0" w:line="188"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Un-Addressed Markets or Territories</w:t>
      </w:r>
      <w:r>
        <w:rPr>
          <w:rFonts w:ascii="Arial" w:cs="Arial" w:eastAsia="Arial" w:hAnsi="Arial"/>
          <w:sz w:val="21"/>
          <w:szCs w:val="21"/>
          <w:color w:val="auto"/>
        </w:rPr>
        <w:t>. If, after Licensee obtains Regulatory Approval in at least the United States and two of the Major European Countries, (i) Licensors receive a request from a Third Party to develop and commercialize a Licensed Product in a territory outside the United States and outside countries in the European Union and (ii) Licensee is not developing or commercializing a Licensed Product in such territory and has no current plans to do so, Licensors may refer such Third Party to Licensee and Licensee agrees to consider in good faith any proposal from such Third Party to develop and commercialize a Licensed Product in such territory and to consider in good faith whether to grant a Sublicense on commercially reasonable terms to such Third Party. For the avoidance of doubt, the determination of whether to grant such Sublicense shall be in Licensee’s sole, reasonable business discretion.</w:t>
      </w:r>
    </w:p>
    <w:p>
      <w:pPr>
        <w:spacing w:after="0" w:line="181"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Related IP</w:t>
      </w:r>
      <w:r>
        <w:rPr>
          <w:rFonts w:ascii="Arial" w:cs="Arial" w:eastAsia="Arial" w:hAnsi="Arial"/>
          <w:sz w:val="19"/>
          <w:szCs w:val="19"/>
          <w:color w:val="auto"/>
        </w:rPr>
        <w:t>. If Licensee exercises its right pursuant to the applicable SRA to have Related Intellectual Property, Related Joint Intellectual Property, Related Penn Intellectual Property, or Related UF Intellectual Property (as defined in the Penn SRA, Three-Party SRA or UF SRA) added to the intellectual property licensed under this Agreement, then (i) Licensee shall prepare an amendment to this Agreement in a form reasonably acceptable to Penn and UFRF to include such Related Intellectual Property, Related Joint Intellectual Property, Related Penn Intellectual Property, or Related UF Intellectual Property on Appendix G hereto and (ii) [**], Penn and UFRF shall promptly execute such amendment to add such Related Intellectual Property, Related Joint Intellectual Property, Related Penn Intellectual Property or Related UF Intellectual Property to Appendix G and such rights shall be deemed to be “Subsequently Added Intellectual Property” hereunder by virtue of such amendment.</w:t>
      </w:r>
    </w:p>
    <w:p>
      <w:pPr>
        <w:spacing w:after="0" w:line="156"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Exclusivity of [**]</w:t>
      </w:r>
      <w:r>
        <w:rPr>
          <w:rFonts w:ascii="Arial" w:cs="Arial" w:eastAsia="Arial" w:hAnsi="Arial"/>
          <w:sz w:val="22"/>
          <w:szCs w:val="22"/>
          <w:color w:val="auto"/>
        </w:rPr>
        <w:t>. During the term of this Agreement, UFRF shall use reasonable efforts to ensure that [**], to create a product candidate in or for the Licensed Field on behalf of [**], including in connection with the performance of sponsored research for or on behalf of [**].</w:t>
      </w:r>
    </w:p>
    <w:p>
      <w:pPr>
        <w:spacing w:after="0" w:line="17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Data Package Delivery</w:t>
      </w:r>
      <w:r>
        <w:rPr>
          <w:rFonts w:ascii="Arial" w:cs="Arial" w:eastAsia="Arial" w:hAnsi="Arial"/>
          <w:sz w:val="19"/>
          <w:szCs w:val="19"/>
          <w:color w:val="auto"/>
        </w:rPr>
        <w:t>. Licensee, from time to time, and solely in connection with the development of a Licensed Product, may make reasonable requests of Licensors for additional Licensed Information or Know How that is possessed by Licensors but that has not been previously delivered to Licensee. To the extent that such Licensed Information or Know How is readily available and is not subject to other restrictions or limitations, Licensors will make a reasonable effort to comply with such requests from Licensee and will each deliver to Licensee such requested Licensed Information or Know How. Licensee shall be responsible for Licensors’ reasonable out-of-pocket costs and expenses incurred in furtherance of the foregoing.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u w:val="single" w:color="auto"/>
          <w:color w:val="auto"/>
        </w:rPr>
        <w:t>Diligence Obligations</w:t>
      </w:r>
    </w:p>
    <w:p>
      <w:pPr>
        <w:spacing w:after="0" w:line="23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Development</w:t>
      </w:r>
      <w:r>
        <w:rPr>
          <w:rFonts w:ascii="Arial" w:cs="Arial" w:eastAsia="Arial" w:hAnsi="Arial"/>
          <w:sz w:val="19"/>
          <w:szCs w:val="19"/>
          <w:color w:val="auto"/>
        </w:rPr>
        <w:t>. Licensee agrees that:</w:t>
      </w:r>
    </w:p>
    <w:p>
      <w:pPr>
        <w:spacing w:after="0" w:line="233" w:lineRule="exact"/>
        <w:rPr>
          <w:sz w:val="20"/>
          <w:szCs w:val="20"/>
          <w:color w:val="auto"/>
        </w:rPr>
      </w:pPr>
    </w:p>
    <w:p>
      <w:pPr>
        <w:jc w:val="both"/>
        <w:ind w:firstLine="1305"/>
        <w:spacing w:after="0" w:line="358" w:lineRule="auto"/>
        <w:tabs>
          <w:tab w:leader="none" w:pos="1716" w:val="left"/>
        </w:tabs>
        <w:numPr>
          <w:ilvl w:val="0"/>
          <w:numId w:val="59"/>
        </w:numPr>
        <w:rPr>
          <w:rFonts w:ascii="Arial" w:cs="Arial" w:eastAsia="Arial" w:hAnsi="Arial"/>
          <w:sz w:val="19"/>
          <w:szCs w:val="19"/>
          <w:color w:val="auto"/>
        </w:rPr>
      </w:pPr>
      <w:r>
        <w:rPr>
          <w:rFonts w:ascii="Arial" w:cs="Arial" w:eastAsia="Arial" w:hAnsi="Arial"/>
          <w:sz w:val="19"/>
          <w:szCs w:val="19"/>
          <w:color w:val="auto"/>
        </w:rPr>
        <w:t>it will use Commercially Reasonable Efforts to pursue the Development Plan with the intent to provide at least one Licensed Product for sale within at least the United States and two of the Major European Countries within the Licensed Field;</w:t>
      </w:r>
    </w:p>
    <w:p>
      <w:pPr>
        <w:spacing w:after="0" w:line="90" w:lineRule="exact"/>
        <w:rPr>
          <w:rFonts w:ascii="Arial" w:cs="Arial" w:eastAsia="Arial" w:hAnsi="Arial"/>
          <w:sz w:val="19"/>
          <w:szCs w:val="19"/>
          <w:color w:val="auto"/>
        </w:rPr>
      </w:pPr>
    </w:p>
    <w:p>
      <w:pPr>
        <w:ind w:right="360" w:firstLine="1305"/>
        <w:spacing w:after="0" w:line="276" w:lineRule="auto"/>
        <w:tabs>
          <w:tab w:leader="none" w:pos="1728"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following Regulatory Approval, it will use Commercially Reasonable Efforts to commercialize at least one Licensed Product within at least the United States and two of the Major European Countries;</w:t>
      </w:r>
    </w:p>
    <w:p>
      <w:pPr>
        <w:spacing w:after="0" w:line="160" w:lineRule="exact"/>
        <w:rPr>
          <w:rFonts w:ascii="Arial" w:cs="Arial" w:eastAsia="Arial" w:hAnsi="Arial"/>
          <w:sz w:val="22"/>
          <w:szCs w:val="22"/>
          <w:color w:val="auto"/>
        </w:rPr>
      </w:pPr>
    </w:p>
    <w:p>
      <w:pPr>
        <w:ind w:right="100" w:firstLine="1305"/>
        <w:spacing w:after="0" w:line="260" w:lineRule="auto"/>
        <w:tabs>
          <w:tab w:leader="none" w:pos="1716" w:val="left"/>
        </w:tabs>
        <w:numPr>
          <w:ilvl w:val="0"/>
          <w:numId w:val="59"/>
        </w:numPr>
        <w:rPr>
          <w:rFonts w:ascii="Arial" w:cs="Arial" w:eastAsia="Arial" w:hAnsi="Arial"/>
          <w:sz w:val="22"/>
          <w:szCs w:val="22"/>
          <w:color w:val="auto"/>
        </w:rPr>
      </w:pPr>
      <w:r>
        <w:rPr>
          <w:rFonts w:ascii="Arial" w:cs="Arial" w:eastAsia="Arial" w:hAnsi="Arial"/>
          <w:sz w:val="22"/>
          <w:szCs w:val="22"/>
          <w:color w:val="auto"/>
        </w:rPr>
        <w:t>until such time as a Licensed Product receives Regulatory Approval in the United States and two of the Major European Countries, it will supply Penn, on behalf of both Licensors, with a written Development Report for each calendar year annually within [**] after the end of such calendar year; and</w:t>
      </w:r>
    </w:p>
    <w:p>
      <w:pPr>
        <w:spacing w:after="0" w:line="177" w:lineRule="exact"/>
        <w:rPr>
          <w:rFonts w:ascii="Arial" w:cs="Arial" w:eastAsia="Arial" w:hAnsi="Arial"/>
          <w:sz w:val="22"/>
          <w:szCs w:val="22"/>
          <w:color w:val="auto"/>
        </w:rPr>
      </w:pPr>
    </w:p>
    <w:p>
      <w:pPr>
        <w:ind w:right="340" w:firstLine="1305"/>
        <w:spacing w:after="0" w:line="276" w:lineRule="auto"/>
        <w:tabs>
          <w:tab w:leader="none" w:pos="1728" w:val="left"/>
        </w:tabs>
        <w:numPr>
          <w:ilvl w:val="0"/>
          <w:numId w:val="59"/>
        </w:numPr>
        <w:rPr>
          <w:rFonts w:ascii="Arial" w:cs="Arial" w:eastAsia="Arial" w:hAnsi="Arial"/>
          <w:sz w:val="22"/>
          <w:szCs w:val="22"/>
          <w:color w:val="auto"/>
        </w:rPr>
      </w:pPr>
      <w:r>
        <w:rPr>
          <w:rFonts w:ascii="Arial" w:cs="Arial" w:eastAsia="Arial" w:hAnsi="Arial"/>
          <w:sz w:val="22"/>
          <w:szCs w:val="22"/>
          <w:color w:val="auto"/>
        </w:rPr>
        <w:t>Licensee and Sublicensee(s) shall apply patent markings that meet all requirements of 35 U.S.C. §287 with respect to all Licensed Products.</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First Commercial Sale; Milestones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Milestone Obligations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80" w:firstLine="1953"/>
        <w:spacing w:after="0" w:line="248" w:lineRule="auto"/>
        <w:tabs>
          <w:tab w:leader="none" w:pos="2329"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 Products</w:t>
      </w:r>
      <w:r>
        <w:rPr>
          <w:rFonts w:ascii="Arial" w:cs="Arial" w:eastAsia="Arial" w:hAnsi="Arial"/>
          <w:sz w:val="22"/>
          <w:szCs w:val="22"/>
          <w:color w:val="auto"/>
        </w:rPr>
        <w:t>. Licensee agrees that the First Commercial Sale of a [**] Product to a customer shall occur on or before [**]. In addition, if Licensee fails to achieve such First Commercial Sale within such timeframe or if Licensee fails to meet the milestones shown in Appendix F-1 (as such due dates or milestones may be extended in accordance with Section 3.2(b)) by their respective due dates, Licensors may terminate this Agreement pursuant to Section 9.3(b) but solely with respect to Licensee’s rights and licenses to the Category of [**] Products. For clarity, the foregoing diligence obligations shall be deemed satisfied if met by one [**] Product, and Licensee shall not be obligated to meet such diligence obligations with respect to any subsequent [**] Product.</w:t>
      </w:r>
    </w:p>
    <w:p>
      <w:pPr>
        <w:spacing w:after="0" w:line="195" w:lineRule="exact"/>
        <w:rPr>
          <w:rFonts w:ascii="Arial" w:cs="Arial" w:eastAsia="Arial" w:hAnsi="Arial"/>
          <w:sz w:val="22"/>
          <w:szCs w:val="22"/>
          <w:color w:val="auto"/>
        </w:rPr>
      </w:pPr>
    </w:p>
    <w:p>
      <w:pPr>
        <w:ind w:right="20" w:firstLine="1953"/>
        <w:spacing w:after="0" w:line="292" w:lineRule="auto"/>
        <w:tabs>
          <w:tab w:leader="none" w:pos="2389"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 Products</w:t>
      </w:r>
      <w:r>
        <w:rPr>
          <w:rFonts w:ascii="Arial" w:cs="Arial" w:eastAsia="Arial" w:hAnsi="Arial"/>
          <w:sz w:val="19"/>
          <w:szCs w:val="19"/>
          <w:color w:val="auto"/>
        </w:rPr>
        <w:t>. [**], the parties shall mutually agree in good faith on (x) a date for Licensee to achieve the First Commercial Sale to a customer of a [**] Product, which shall be set forth in this Section 3.2(a)(ii), (y) an update to the Development Plan to include the pertinent information for the [**] Products, and (z) the diligence milestones for the [**] Products and the dates for Licensee to achieve such milestones, which shall be set forth in Appendix F-2. If Licensee fails to achieve such agreed upon First Commercial Sale within the agreed upon timeframe or if Licensee fails to meet the agreed upon milestones set forth in Appendix F-2 (as such due dates or milestones may be extended in accordance with Section 3.2(b)) by their respective due dates, Licensors may terminate this Agreement pursuant to Section 9.3(b) but solely with respect to Licensee’s rights and licenses to the Category of [**] Products. For clarity, the foregoing diligence obligations shall be deemed satisfied if met by one</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40"/>
          </w:cols>
          <w:pgMar w:left="240" w:top="125" w:right="3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Product, and Licensee shall not be obligated to meet such diligence obligations with respect to any subsequent [**] Product.</w:t>
      </w:r>
    </w:p>
    <w:p>
      <w:pPr>
        <w:spacing w:after="0" w:line="254" w:lineRule="exact"/>
        <w:rPr>
          <w:rFonts w:ascii="Arial" w:cs="Arial" w:eastAsia="Arial" w:hAnsi="Arial"/>
          <w:sz w:val="19"/>
          <w:szCs w:val="19"/>
          <w:color w:val="auto"/>
        </w:rPr>
      </w:pPr>
    </w:p>
    <w:p>
      <w:pPr>
        <w:ind w:right="60" w:firstLine="1305"/>
        <w:spacing w:after="0" w:line="259" w:lineRule="auto"/>
        <w:tabs>
          <w:tab w:leader="none" w:pos="1728" w:val="left"/>
        </w:tabs>
        <w:numPr>
          <w:ilvl w:val="1"/>
          <w:numId w:val="61"/>
        </w:numPr>
        <w:rPr>
          <w:rFonts w:ascii="Arial" w:cs="Arial" w:eastAsia="Arial" w:hAnsi="Arial"/>
          <w:sz w:val="21"/>
          <w:szCs w:val="21"/>
          <w:color w:val="auto"/>
        </w:rPr>
      </w:pPr>
      <w:r>
        <w:rPr>
          <w:rFonts w:ascii="Arial" w:cs="Arial" w:eastAsia="Arial" w:hAnsi="Arial"/>
          <w:sz w:val="21"/>
          <w:szCs w:val="21"/>
          <w:color w:val="auto"/>
        </w:rPr>
        <w:t>Licensee shall notify Licensors in writing as each milestone set forth in Section 3.2(a) is met. If Licensee requires an extension of any milestones or due dates set forth in Section 3.2(a) or Appendix F, Licensee shall inform Penn of such extension in writing at least [**] prior to the required due dates, fully describing Licensee’s diligent efforts to achieve the milestone or due date to date, establishing the new due date, and describing Licensee’s plan to meet such new due date. Later-in-time milestone due dates shall automatically be deemed to have been extended by the same amount of time. However, if Penn reasonably objects to such extension within [**] after receipt of Licensee’s extension notice, the terms of such extension (including whether to grant such extension) shall be negotiated by the parties in good faith, unless Licensee sends to Penn documentation demonstrating that Licensee has spent the below amounts in respect of the Licensed Product whose milestones Licensee is seeking to extend, in which case Penn’s objection as to whether to grant an extension shall be deemed to have been overcome, and the parties shall agree on reasonable extension dates; however, Licensee may only use such justification for an extension two times per milestone.</w:t>
      </w:r>
    </w:p>
    <w:p>
      <w:pPr>
        <w:spacing w:after="0" w:line="309"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7380" w:type="dxa"/>
            <w:vAlign w:val="bottom"/>
            <w:tcBorders>
              <w:top w:val="single" w:sz="8" w:color="auto"/>
              <w:left w:val="single" w:sz="8" w:color="00000A"/>
              <w:right w:val="single" w:sz="8" w:color="auto"/>
            </w:tcBorders>
          </w:tcPr>
          <w:p>
            <w:pPr>
              <w:spacing w:after="0"/>
              <w:rPr>
                <w:sz w:val="22"/>
                <w:szCs w:val="22"/>
                <w:color w:val="auto"/>
              </w:rPr>
            </w:pPr>
          </w:p>
        </w:tc>
        <w:tc>
          <w:tcPr>
            <w:tcW w:w="394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Amount Spent by Licensee under this</w:t>
            </w:r>
          </w:p>
        </w:tc>
      </w:tr>
      <w:tr>
        <w:trPr>
          <w:trHeight w:val="243"/>
        </w:trPr>
        <w:tc>
          <w:tcPr>
            <w:tcW w:w="7380" w:type="dxa"/>
            <w:vAlign w:val="bottom"/>
            <w:tcBorders>
              <w:left w:val="single" w:sz="8" w:color="00000A"/>
              <w:right w:val="single" w:sz="8" w:color="auto"/>
            </w:tcBorders>
          </w:tcPr>
          <w:p>
            <w:pPr>
              <w:spacing w:after="0"/>
              <w:rPr>
                <w:sz w:val="21"/>
                <w:szCs w:val="21"/>
                <w:color w:val="auto"/>
              </w:rPr>
            </w:pPr>
          </w:p>
        </w:tc>
        <w:tc>
          <w:tcPr>
            <w:tcW w:w="394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2"/>
              </w:rPr>
              <w:t>Agreement in the [**] Prior to</w:t>
            </w:r>
          </w:p>
        </w:tc>
      </w:tr>
      <w:tr>
        <w:trPr>
          <w:trHeight w:val="281"/>
        </w:trPr>
        <w:tc>
          <w:tcPr>
            <w:tcW w:w="7380" w:type="dxa"/>
            <w:vAlign w:val="bottom"/>
            <w:tcBorders>
              <w:left w:val="single" w:sz="8" w:color="00000A"/>
              <w:right w:val="single" w:sz="8" w:color="auto"/>
            </w:tcBorders>
          </w:tcPr>
          <w:p>
            <w:pPr>
              <w:jc w:val="right"/>
              <w:ind w:right="2232"/>
              <w:spacing w:after="0"/>
              <w:rPr>
                <w:sz w:val="20"/>
                <w:szCs w:val="20"/>
                <w:color w:val="auto"/>
              </w:rPr>
            </w:pPr>
            <w:r>
              <w:rPr>
                <w:rFonts w:ascii="Arial" w:cs="Arial" w:eastAsia="Arial" w:hAnsi="Arial"/>
                <w:sz w:val="22"/>
                <w:szCs w:val="22"/>
                <w:b w:val="1"/>
                <w:bCs w:val="1"/>
                <w:color w:val="auto"/>
              </w:rPr>
              <w:t>Timing of Extension Request</w:t>
            </w:r>
          </w:p>
        </w:tc>
        <w:tc>
          <w:tcPr>
            <w:tcW w:w="394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5"/>
              </w:rPr>
              <w:t>Extension Request</w:t>
            </w:r>
          </w:p>
        </w:tc>
      </w:tr>
      <w:tr>
        <w:trPr>
          <w:trHeight w:val="233"/>
        </w:trPr>
        <w:tc>
          <w:tcPr>
            <w:tcW w:w="7380" w:type="dxa"/>
            <w:vAlign w:val="bottom"/>
            <w:tcBorders>
              <w:left w:val="single" w:sz="8" w:color="00000A"/>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00000A"/>
            </w:tcBorders>
          </w:tcPr>
          <w:p>
            <w:pPr>
              <w:spacing w:after="0"/>
              <w:rPr>
                <w:sz w:val="20"/>
                <w:szCs w:val="20"/>
                <w:color w:val="auto"/>
              </w:rPr>
            </w:pPr>
          </w:p>
        </w:tc>
      </w:tr>
      <w:tr>
        <w:trPr>
          <w:trHeight w:val="274"/>
        </w:trPr>
        <w:tc>
          <w:tcPr>
            <w:tcW w:w="7380" w:type="dxa"/>
            <w:vAlign w:val="bottom"/>
            <w:tcBorders>
              <w:left w:val="single" w:sz="8" w:color="00000A"/>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3940" w:type="dxa"/>
            <w:vAlign w:val="bottom"/>
            <w:tcBorders>
              <w:right w:val="single" w:sz="8" w:color="00000A"/>
            </w:tcBorders>
          </w:tcPr>
          <w:p>
            <w:pPr>
              <w:jc w:val="right"/>
              <w:ind w:right="3372"/>
              <w:spacing w:after="0"/>
              <w:rPr>
                <w:sz w:val="20"/>
                <w:szCs w:val="20"/>
                <w:color w:val="auto"/>
              </w:rPr>
            </w:pPr>
            <w:r>
              <w:rPr>
                <w:rFonts w:ascii="Arial" w:cs="Arial" w:eastAsia="Arial" w:hAnsi="Arial"/>
                <w:sz w:val="22"/>
                <w:szCs w:val="22"/>
                <w:color w:val="auto"/>
              </w:rPr>
              <w:t>[**]</w:t>
            </w:r>
          </w:p>
        </w:tc>
      </w:tr>
      <w:tr>
        <w:trPr>
          <w:trHeight w:val="233"/>
        </w:trPr>
        <w:tc>
          <w:tcPr>
            <w:tcW w:w="7380" w:type="dxa"/>
            <w:vAlign w:val="bottom"/>
            <w:tcBorders>
              <w:left w:val="single" w:sz="8" w:color="00000A"/>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00000A"/>
            </w:tcBorders>
          </w:tcPr>
          <w:p>
            <w:pPr>
              <w:spacing w:after="0"/>
              <w:rPr>
                <w:sz w:val="20"/>
                <w:szCs w:val="20"/>
                <w:color w:val="auto"/>
              </w:rPr>
            </w:pPr>
          </w:p>
        </w:tc>
      </w:tr>
      <w:tr>
        <w:trPr>
          <w:trHeight w:val="274"/>
        </w:trPr>
        <w:tc>
          <w:tcPr>
            <w:tcW w:w="7380" w:type="dxa"/>
            <w:vAlign w:val="bottom"/>
            <w:tcBorders>
              <w:left w:val="single" w:sz="8" w:color="00000A"/>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3940" w:type="dxa"/>
            <w:vAlign w:val="bottom"/>
            <w:tcBorders>
              <w:right w:val="single" w:sz="8" w:color="00000A"/>
            </w:tcBorders>
          </w:tcPr>
          <w:p>
            <w:pPr>
              <w:jc w:val="right"/>
              <w:ind w:right="3372"/>
              <w:spacing w:after="0"/>
              <w:rPr>
                <w:sz w:val="20"/>
                <w:szCs w:val="20"/>
                <w:color w:val="auto"/>
              </w:rPr>
            </w:pPr>
            <w:r>
              <w:rPr>
                <w:rFonts w:ascii="Arial" w:cs="Arial" w:eastAsia="Arial" w:hAnsi="Arial"/>
                <w:sz w:val="22"/>
                <w:szCs w:val="22"/>
                <w:color w:val="auto"/>
              </w:rPr>
              <w:t>[**]</w:t>
            </w:r>
          </w:p>
        </w:tc>
      </w:tr>
      <w:tr>
        <w:trPr>
          <w:trHeight w:val="233"/>
        </w:trPr>
        <w:tc>
          <w:tcPr>
            <w:tcW w:w="7380" w:type="dxa"/>
            <w:vAlign w:val="bottom"/>
            <w:tcBorders>
              <w:left w:val="single" w:sz="8" w:color="00000A"/>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00000A"/>
            </w:tcBorders>
          </w:tcPr>
          <w:p>
            <w:pPr>
              <w:spacing w:after="0"/>
              <w:rPr>
                <w:sz w:val="20"/>
                <w:szCs w:val="20"/>
                <w:color w:val="auto"/>
              </w:rPr>
            </w:pPr>
          </w:p>
        </w:tc>
      </w:tr>
      <w:tr>
        <w:trPr>
          <w:trHeight w:val="274"/>
        </w:trPr>
        <w:tc>
          <w:tcPr>
            <w:tcW w:w="7380" w:type="dxa"/>
            <w:vAlign w:val="bottom"/>
            <w:tcBorders>
              <w:left w:val="single" w:sz="8" w:color="00000A"/>
              <w:right w:val="single" w:sz="8" w:color="auto"/>
            </w:tcBorders>
          </w:tcPr>
          <w:p>
            <w:pPr>
              <w:jc w:val="right"/>
              <w:ind w:right="6792"/>
              <w:spacing w:after="0"/>
              <w:rPr>
                <w:sz w:val="20"/>
                <w:szCs w:val="20"/>
                <w:color w:val="auto"/>
              </w:rPr>
            </w:pPr>
            <w:r>
              <w:rPr>
                <w:rFonts w:ascii="Arial" w:cs="Arial" w:eastAsia="Arial" w:hAnsi="Arial"/>
                <w:sz w:val="22"/>
                <w:szCs w:val="22"/>
                <w:color w:val="auto"/>
              </w:rPr>
              <w:t>[**]</w:t>
            </w:r>
          </w:p>
        </w:tc>
        <w:tc>
          <w:tcPr>
            <w:tcW w:w="3940" w:type="dxa"/>
            <w:vAlign w:val="bottom"/>
            <w:tcBorders>
              <w:right w:val="single" w:sz="8" w:color="00000A"/>
            </w:tcBorders>
          </w:tcPr>
          <w:p>
            <w:pPr>
              <w:jc w:val="right"/>
              <w:ind w:right="3372"/>
              <w:spacing w:after="0"/>
              <w:rPr>
                <w:sz w:val="20"/>
                <w:szCs w:val="20"/>
                <w:color w:val="auto"/>
              </w:rPr>
            </w:pPr>
            <w:r>
              <w:rPr>
                <w:rFonts w:ascii="Arial" w:cs="Arial" w:eastAsia="Arial" w:hAnsi="Arial"/>
                <w:sz w:val="22"/>
                <w:szCs w:val="22"/>
                <w:color w:val="auto"/>
              </w:rPr>
              <w:t>[**]</w:t>
            </w:r>
          </w:p>
        </w:tc>
      </w:tr>
      <w:tr>
        <w:trPr>
          <w:trHeight w:val="233"/>
        </w:trPr>
        <w:tc>
          <w:tcPr>
            <w:tcW w:w="7380" w:type="dxa"/>
            <w:vAlign w:val="bottom"/>
            <w:tcBorders>
              <w:left w:val="single" w:sz="8" w:color="00000A"/>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00000A"/>
            </w:tcBorders>
          </w:tcPr>
          <w:p>
            <w:pPr>
              <w:spacing w:after="0"/>
              <w:rPr>
                <w:sz w:val="20"/>
                <w:szCs w:val="20"/>
                <w:color w:val="auto"/>
              </w:rPr>
            </w:pPr>
          </w:p>
        </w:tc>
      </w:tr>
    </w:tbl>
    <w:p>
      <w:pPr>
        <w:spacing w:after="0" w:line="200" w:lineRule="exact"/>
        <w:rPr>
          <w:sz w:val="20"/>
          <w:szCs w:val="20"/>
          <w:color w:val="auto"/>
        </w:rPr>
      </w:pPr>
    </w:p>
    <w:p>
      <w:pPr>
        <w:spacing w:after="0" w:line="265" w:lineRule="exact"/>
        <w:rPr>
          <w:sz w:val="20"/>
          <w:szCs w:val="20"/>
          <w:color w:val="auto"/>
        </w:rPr>
      </w:pPr>
    </w:p>
    <w:p>
      <w:pPr>
        <w:ind w:right="140" w:firstLine="648"/>
        <w:spacing w:after="0" w:line="25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Clinical Trials</w:t>
      </w:r>
      <w:r>
        <w:rPr>
          <w:rFonts w:ascii="Arial" w:cs="Arial" w:eastAsia="Arial" w:hAnsi="Arial"/>
          <w:sz w:val="22"/>
          <w:szCs w:val="22"/>
          <w:color w:val="auto"/>
        </w:rPr>
        <w:t>. University of Florida or Penn policies may require approval of clinical trials at the University of Florida or Penn (as applicable) involving technology invented at the University of Florida or at Penn (as applicable). Accordingly, Licensee will notify the applicable Licensor prior to commencing any clinical trials involving a Licensed Product at such Licensor or its affiliated medical facilities.</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Payments</w:t>
      </w:r>
    </w:p>
    <w:p>
      <w:pPr>
        <w:spacing w:after="0" w:line="239" w:lineRule="exact"/>
        <w:rPr>
          <w:sz w:val="20"/>
          <w:szCs w:val="20"/>
          <w:color w:val="auto"/>
        </w:rPr>
      </w:pPr>
    </w:p>
    <w:p>
      <w:pPr>
        <w:ind w:right="260" w:firstLine="648"/>
        <w:spacing w:after="0" w:line="27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License Issue Fee</w:t>
      </w:r>
      <w:r>
        <w:rPr>
          <w:rFonts w:ascii="Arial" w:cs="Arial" w:eastAsia="Arial" w:hAnsi="Arial"/>
          <w:sz w:val="22"/>
          <w:szCs w:val="22"/>
          <w:color w:val="auto"/>
        </w:rPr>
        <w:t>. Licensee shall pay to Penn, on behalf of both Licensors, a non-refundable license issue fee of two hundred thousand dollars ($200,000) within thirty (30) days after the Effective Date.</w:t>
      </w:r>
    </w:p>
    <w:p>
      <w:pPr>
        <w:spacing w:after="0" w:line="161"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Annual License Maintenance Fee</w:t>
      </w:r>
      <w:r>
        <w:rPr>
          <w:rFonts w:ascii="Arial" w:cs="Arial" w:eastAsia="Arial" w:hAnsi="Arial"/>
          <w:sz w:val="22"/>
          <w:szCs w:val="22"/>
          <w:color w:val="auto"/>
        </w:rPr>
        <w:t>. Starting with the first anniversary of the Effective Date, Licensee shall pay to Penn, on behalf of both Licensors, an annual license maintenance fee of [**] dollars ($[**]) each year, to be paid within [**] after each anniversary of the Effective Date of this Agreement. The annual license maintenance fee is payable until the First Commercial Sale of a Licensed Product, after which time the royalties set forth in Section 4.4, instead of the annual license maintenance fee, shall become due and payable to Penn on</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125" w:right="2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behalf of both Licensors. The annual license maintenance fees paid by Licensee are not creditable against any royalties that become due and payable under this Agreement.</w:t>
      </w:r>
    </w:p>
    <w:p>
      <w:pPr>
        <w:spacing w:after="0" w:line="17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Patent Application Grant Fee</w:t>
      </w:r>
      <w:r>
        <w:rPr>
          <w:rFonts w:ascii="Arial" w:cs="Arial" w:eastAsia="Arial" w:hAnsi="Arial"/>
          <w:sz w:val="19"/>
          <w:szCs w:val="19"/>
          <w:color w:val="auto"/>
        </w:rPr>
        <w:t>. In the event that a U.S. patent that claims inventions that are disclosed in the Licensed Information, [**] Patent, and/or inventions generated under the Penn SRA, Three-Party SRA or UF SRA is issued and is exclusively licensed to Licensee under this Agreement, Licensee shall pay Penn a one-time, non-refundable and non-creditable patent grant fee of [**] dollars ($[**]) within [**] of the later of the date of the issuance of such patent or the date when such patent is exclusively licensed to Licensee under this Agreement. This fee shall be payable no more than once. Notwithstanding the foregoing, patents issued from patent applications filed prior to the Effective Date are excluded, other than the [**] Patent.</w:t>
      </w:r>
    </w:p>
    <w:p>
      <w:pPr>
        <w:spacing w:after="0" w:line="147" w:lineRule="exact"/>
        <w:rPr>
          <w:sz w:val="20"/>
          <w:szCs w:val="20"/>
          <w:color w:val="auto"/>
        </w:rPr>
      </w:pPr>
    </w:p>
    <w:p>
      <w:pPr>
        <w:ind w:right="20" w:firstLine="648"/>
        <w:spacing w:after="0" w:line="307"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Royalty on Licensed Products</w:t>
      </w:r>
      <w:r>
        <w:rPr>
          <w:rFonts w:ascii="Arial" w:cs="Arial" w:eastAsia="Arial" w:hAnsi="Arial"/>
          <w:sz w:val="19"/>
          <w:szCs w:val="19"/>
          <w:color w:val="auto"/>
        </w:rPr>
        <w:t>. Licensee shall pay Penn, on behalf of both Licensors, earned royalties calculated as a percentage of Net Sales. Earned royalties are earned as of the earlier of (i) the date the Licensed Product is actually sold and paid for and (ii) the date an invoice is sent by Licensee, its Affiliates and/or its Sublicensee(s), or as of the date a Licensed Product is transferred to a Third Party for promotional reasons. Licensee shall pay to Penn royalties as follows, on a country-by-country basis:</w:t>
      </w:r>
    </w:p>
    <w:p>
      <w:pPr>
        <w:spacing w:after="0" w:line="138" w:lineRule="exact"/>
        <w:rPr>
          <w:sz w:val="20"/>
          <w:szCs w:val="20"/>
          <w:color w:val="auto"/>
        </w:rPr>
      </w:pPr>
    </w:p>
    <w:p>
      <w:pPr>
        <w:ind w:right="60" w:firstLine="1305"/>
        <w:spacing w:after="0" w:line="290" w:lineRule="auto"/>
        <w:tabs>
          <w:tab w:leader="none" w:pos="171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percent ([**]%) for Net Sales of Licensed Products that are Covered by a Valid Claim of the Patent Rights in the country in which such Licensed Product is sold, which royalty obligation under this Section 4.4(a) shall terminate, on a country-by-country basis, when the Licensed Product is no longer Covered by a Valid Claim of the Patent Rights in the country in which such Licensed Product is sold. In the event of Loss of Market Exclusivity with respect to a Licensed Product in a particular country, the royalty due under this clause Section 4.4(a), if applicable, shall, starting with the calendar quarter following such Loss of Market Exclusivity, be reduced for the remainder of the Royalty Term for such Licensed Product or the period of time that a Loss of Market Exclusivity for such Licensed Product exists in such country, whichever is shorter, to [**] percent ([**]%) for Net Sales of such Licensed Product in such country. For the avoidance of confusion, in each case with respect to sales of a Licensed Product in a particular country, if a royalty reduction for Loss of Market Exclusivity has been applied pursuant to the previous sentence, then a royalty reduction for royalty payments to third parties pursuant to Section 4.4(d) may not be applied.</w:t>
      </w:r>
    </w:p>
    <w:p>
      <w:pPr>
        <w:spacing w:after="0" w:line="155" w:lineRule="exact"/>
        <w:rPr>
          <w:rFonts w:ascii="Arial" w:cs="Arial" w:eastAsia="Arial" w:hAnsi="Arial"/>
          <w:sz w:val="19"/>
          <w:szCs w:val="19"/>
          <w:color w:val="auto"/>
        </w:rPr>
      </w:pPr>
    </w:p>
    <w:p>
      <w:pPr>
        <w:ind w:right="120" w:firstLine="1305"/>
        <w:spacing w:after="0" w:line="261" w:lineRule="auto"/>
        <w:tabs>
          <w:tab w:leader="none" w:pos="1728" w:val="left"/>
        </w:tabs>
        <w:numPr>
          <w:ilvl w:val="0"/>
          <w:numId w:val="62"/>
        </w:numPr>
        <w:rPr>
          <w:rFonts w:ascii="Arial" w:cs="Arial" w:eastAsia="Arial" w:hAnsi="Arial"/>
          <w:sz w:val="21"/>
          <w:szCs w:val="21"/>
          <w:color w:val="auto"/>
        </w:rPr>
      </w:pPr>
      <w:r>
        <w:rPr>
          <w:rFonts w:ascii="Arial" w:cs="Arial" w:eastAsia="Arial" w:hAnsi="Arial"/>
          <w:sz w:val="21"/>
          <w:szCs w:val="21"/>
          <w:color w:val="auto"/>
        </w:rPr>
        <w:t>[**] percent ([**]%) for Net Sales of Licensed Products that are not subject to Section 4.4(a) above, but are sold during a period of Regulatory Exclusivity for such Licensed Product in the country in which such Licensed Product is sold, which royalty obligation under this Section 4.4(b) shall terminate, on a country-by-country basis, when the Licensed Product is no longer sold during a period of Regulatory Exclusivity for such Licensed Product in the country in which such Licensed Product is sold. In the event of Loss of Market Exclusivity with respect to a Licensed Product in a particular country, the royalty due under this clause Section 4.4(b), if applicable, shall, starting with the calendar quarter following such Loss of Market Exclusivity, be reduced for the remainder of the Royalty Term for such Licensed Product or the period of time that a Loss of Market Exclusivity for such Licensed Product exists in such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country, whichever is shorter, to [**] percent ([**]%) for Net Sales of such Licensed Product in such country.</w:t>
      </w:r>
    </w:p>
    <w:p>
      <w:pPr>
        <w:spacing w:after="0" w:line="220" w:lineRule="exact"/>
        <w:rPr>
          <w:sz w:val="20"/>
          <w:szCs w:val="20"/>
          <w:color w:val="auto"/>
        </w:rPr>
      </w:pPr>
    </w:p>
    <w:p>
      <w:pPr>
        <w:jc w:val="both"/>
        <w:ind w:right="540" w:firstLine="1305"/>
        <w:spacing w:after="0" w:line="260" w:lineRule="auto"/>
        <w:tabs>
          <w:tab w:leader="none" w:pos="1716" w:val="left"/>
        </w:tabs>
        <w:numPr>
          <w:ilvl w:val="0"/>
          <w:numId w:val="63"/>
        </w:numPr>
        <w:rPr>
          <w:rFonts w:ascii="Arial" w:cs="Arial" w:eastAsia="Arial" w:hAnsi="Arial"/>
          <w:sz w:val="22"/>
          <w:szCs w:val="22"/>
          <w:color w:val="auto"/>
        </w:rPr>
      </w:pPr>
      <w:r>
        <w:rPr>
          <w:rFonts w:ascii="Arial" w:cs="Arial" w:eastAsia="Arial" w:hAnsi="Arial"/>
          <w:sz w:val="22"/>
          <w:szCs w:val="22"/>
          <w:color w:val="auto"/>
        </w:rPr>
        <w:t>[**] percent ([**]%) for Net Sales of Licensed Products that are not subject to either of Sections 4.4(a) or 4.4(b) above, which royalty obligation under this Section 4.4(c) shall terminate on the date that is ten (10) years after the First Commercial Sale of a Licensed Product.</w:t>
      </w:r>
    </w:p>
    <w:p>
      <w:pPr>
        <w:spacing w:after="0" w:line="177" w:lineRule="exact"/>
        <w:rPr>
          <w:rFonts w:ascii="Arial" w:cs="Arial" w:eastAsia="Arial" w:hAnsi="Arial"/>
          <w:sz w:val="22"/>
          <w:szCs w:val="22"/>
          <w:color w:val="auto"/>
        </w:rPr>
      </w:pPr>
    </w:p>
    <w:p>
      <w:pPr>
        <w:ind w:firstLine="1305"/>
        <w:spacing w:after="0" w:line="289" w:lineRule="auto"/>
        <w:tabs>
          <w:tab w:leader="none" w:pos="17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Licensee has or obtains a license(s) from a Third Party(ies) to patent rights or other intellectual property rights that are necessary to research, develop, make, have made, use, have used, offer to sell, sell, import, export or commercialize a Licensed Product(s), Licensee, subject to the proviso to this sentence, may offset [**]%) of any royalty payments actually paid by Licensee to such Third Party(ies) under such license(s) with respect to sales of such Licensed Product(s) in a country against the royalty payments that are due to Penn with respect to Net Sales of such Licensed Products in such country under Section 4.4(a); provided that in no event shall the royalty payments under Section 4.4(a) to Penn with respect to Net Sales of such Licensed Products in such country be reduced as a result of the application of this Section 4.4(d) by more than [**]%) of the amount otherwise due under Section 4.4(a). For clarity, the royalty due under Section 4.4(a) shall not be reduced beyond a floor of [**] percent ([**]%) during the period such royalty is applicable to the Licensed Product in the applicable country. Any amounts that are not offset during a reporting period shall be creditable against payments arising in subsequent reporting periods. For clarity, Licensee shall be responsible for making all payments to Third Parties in respect of any such necessary intellectual property rights.</w:t>
      </w:r>
    </w:p>
    <w:p>
      <w:pPr>
        <w:spacing w:after="0" w:line="158" w:lineRule="exact"/>
        <w:rPr>
          <w:rFonts w:ascii="Arial" w:cs="Arial" w:eastAsia="Arial" w:hAnsi="Arial"/>
          <w:sz w:val="19"/>
          <w:szCs w:val="19"/>
          <w:color w:val="auto"/>
        </w:rPr>
      </w:pPr>
    </w:p>
    <w:p>
      <w:pPr>
        <w:ind w:right="20" w:firstLine="1305"/>
        <w:spacing w:after="0" w:line="260" w:lineRule="auto"/>
        <w:tabs>
          <w:tab w:leader="none" w:pos="1716" w:val="left"/>
        </w:tabs>
        <w:numPr>
          <w:ilvl w:val="0"/>
          <w:numId w:val="63"/>
        </w:numPr>
        <w:rPr>
          <w:rFonts w:ascii="Arial" w:cs="Arial" w:eastAsia="Arial" w:hAnsi="Arial"/>
          <w:sz w:val="21"/>
          <w:szCs w:val="21"/>
          <w:color w:val="auto"/>
        </w:rPr>
      </w:pPr>
      <w:r>
        <w:rPr>
          <w:rFonts w:ascii="Arial" w:cs="Arial" w:eastAsia="Arial" w:hAnsi="Arial"/>
          <w:sz w:val="21"/>
          <w:szCs w:val="21"/>
          <w:color w:val="auto"/>
        </w:rPr>
        <w:t>Within [**] after the end of each calendar quarter ending on March 31, June 30, September 30 or December 31, Licensee shall pay amounts owing to Penn under this Section 4.4 for such calendar quarter. Royalties are not additive, but are payable based on the highest applicable rate that is calculated according to this Section 4.4. Royalties shall be payable, on a country-by-country and Licensed Product-by-Licensed Product basis, until the latest of (i) the expiration of the last-to-expire Patent Rights if the making, having made, using, offering to sell, selling or importing of such Licensed Product by Licensee, its Affiliates or its Sublicensees (or the distributors of any of them) is Covered by a Valid Claim of the Patent Rights in the country in which the Licensed Product is sold, (ii) the expiration of Regulatory Exclusivity in the country in which such Licensed Product is sold or (iii) ten (10) years from the First Commercial Sale of such Licensed Product in the country in which the Licensed Product is sold (the “</w:t>
      </w:r>
      <w:r>
        <w:rPr>
          <w:rFonts w:ascii="Arial" w:cs="Arial" w:eastAsia="Arial" w:hAnsi="Arial"/>
          <w:sz w:val="21"/>
          <w:szCs w:val="21"/>
          <w:b w:val="1"/>
          <w:bCs w:val="1"/>
          <w:u w:val="single" w:color="auto"/>
          <w:color w:val="auto"/>
        </w:rPr>
        <w:t>Royalty Term</w:t>
      </w:r>
      <w:r>
        <w:rPr>
          <w:rFonts w:ascii="Arial" w:cs="Arial" w:eastAsia="Arial" w:hAnsi="Arial"/>
          <w:sz w:val="21"/>
          <w:szCs w:val="21"/>
          <w:color w:val="auto"/>
        </w:rPr>
        <w:t>”).</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Minimum Royalty</w:t>
      </w:r>
      <w:r>
        <w:rPr>
          <w:rFonts w:ascii="Arial" w:cs="Arial" w:eastAsia="Arial" w:hAnsi="Arial"/>
          <w:sz w:val="19"/>
          <w:szCs w:val="19"/>
          <w:color w:val="auto"/>
        </w:rPr>
        <w:t>.</w:t>
      </w:r>
    </w:p>
    <w:p>
      <w:pPr>
        <w:spacing w:after="0" w:line="233" w:lineRule="exact"/>
        <w:rPr>
          <w:sz w:val="20"/>
          <w:szCs w:val="20"/>
          <w:color w:val="auto"/>
        </w:rPr>
      </w:pPr>
    </w:p>
    <w:p>
      <w:pPr>
        <w:ind w:right="300" w:firstLine="1305"/>
        <w:spacing w:after="0" w:line="276" w:lineRule="auto"/>
        <w:tabs>
          <w:tab w:leader="none" w:pos="1716" w:val="left"/>
        </w:tabs>
        <w:numPr>
          <w:ilvl w:val="1"/>
          <w:numId w:val="64"/>
        </w:numPr>
        <w:rPr>
          <w:rFonts w:ascii="Arial" w:cs="Arial" w:eastAsia="Arial" w:hAnsi="Arial"/>
          <w:sz w:val="22"/>
          <w:szCs w:val="22"/>
          <w:color w:val="auto"/>
        </w:rPr>
      </w:pPr>
      <w:r>
        <w:rPr>
          <w:rFonts w:ascii="Arial" w:cs="Arial" w:eastAsia="Arial" w:hAnsi="Arial"/>
          <w:sz w:val="22"/>
          <w:szCs w:val="22"/>
          <w:color w:val="auto"/>
        </w:rPr>
        <w:t>Licensee shall pay Penn a minimum annual royalty (“Minimum Annual Royalty”) of $[**] during the period set forth in Section 4.5(b).</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64"/>
        </w:numPr>
        <w:rPr>
          <w:rFonts w:ascii="Arial" w:cs="Arial" w:eastAsia="Arial" w:hAnsi="Arial"/>
          <w:sz w:val="19"/>
          <w:szCs w:val="19"/>
          <w:color w:val="auto"/>
        </w:rPr>
      </w:pPr>
      <w:r>
        <w:rPr>
          <w:rFonts w:ascii="Arial" w:cs="Arial" w:eastAsia="Arial" w:hAnsi="Arial"/>
          <w:sz w:val="19"/>
          <w:szCs w:val="19"/>
          <w:color w:val="auto"/>
        </w:rPr>
        <w:t>Beginning on the earlier of (i) the calendar year following the First Commercial Sale of a Licensed Product or</w:t>
      </w:r>
    </w:p>
    <w:p>
      <w:pPr>
        <w:spacing w:after="0" w:line="56" w:lineRule="exact"/>
        <w:rPr>
          <w:rFonts w:ascii="Arial" w:cs="Arial" w:eastAsia="Arial" w:hAnsi="Arial"/>
          <w:sz w:val="19"/>
          <w:szCs w:val="19"/>
          <w:color w:val="auto"/>
        </w:rPr>
      </w:pPr>
    </w:p>
    <w:p>
      <w:pPr>
        <w:ind w:right="520" w:firstLine="8"/>
        <w:spacing w:after="0" w:line="259" w:lineRule="auto"/>
        <w:tabs>
          <w:tab w:leader="none" w:pos="318" w:val="left"/>
        </w:tabs>
        <w:numPr>
          <w:ilvl w:val="0"/>
          <w:numId w:val="65"/>
        </w:numPr>
        <w:rPr>
          <w:rFonts w:ascii="Arial" w:cs="Arial" w:eastAsia="Arial" w:hAnsi="Arial"/>
          <w:sz w:val="22"/>
          <w:szCs w:val="22"/>
          <w:color w:val="auto"/>
        </w:rPr>
      </w:pPr>
      <w:r>
        <w:rPr>
          <w:rFonts w:ascii="Arial" w:cs="Arial" w:eastAsia="Arial" w:hAnsi="Arial"/>
          <w:sz w:val="22"/>
          <w:szCs w:val="22"/>
          <w:color w:val="auto"/>
        </w:rPr>
        <w:t>calendar year [**], the Minimum Annual Royalty shall be due on January 15 of each calendar year. The Minimum Annual Royalty paid to Penn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for a given calendar year shall be credited toward earned royalties payable to Penn, but only for royalties based on Net Sales made in such given calendar year.</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Milestone Payments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358" w:lineRule="auto"/>
        <w:tabs>
          <w:tab w:leader="none" w:pos="1716" w:val="left"/>
        </w:tabs>
        <w:numPr>
          <w:ilvl w:val="0"/>
          <w:numId w:val="66"/>
        </w:numPr>
        <w:rPr>
          <w:rFonts w:ascii="Arial" w:cs="Arial" w:eastAsia="Arial" w:hAnsi="Arial"/>
          <w:sz w:val="19"/>
          <w:szCs w:val="19"/>
          <w:color w:val="auto"/>
        </w:rPr>
      </w:pPr>
      <w:r>
        <w:rPr>
          <w:rFonts w:ascii="Arial" w:cs="Arial" w:eastAsia="Arial" w:hAnsi="Arial"/>
          <w:sz w:val="19"/>
          <w:szCs w:val="19"/>
          <w:color w:val="auto"/>
        </w:rPr>
        <w:t>Licensee shall pay Penn, on behalf of both Licensors, the below milestone payments within [**] after Licensee, or any Affiliate or Sublicensee, first (and only the first time) achieves the corresponding milestone for a first Licensed Product:</w:t>
      </w:r>
    </w:p>
    <w:p>
      <w:pPr>
        <w:spacing w:after="0" w:line="8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u w:val="single" w:color="auto"/>
          <w:color w:val="auto"/>
        </w:rPr>
        <w:t>Event</w:t>
      </w:r>
      <w:r>
        <w:rPr>
          <w:sz w:val="20"/>
          <w:szCs w:val="20"/>
          <w:color w:val="auto"/>
        </w:rPr>
        <w:tab/>
      </w:r>
      <w:r>
        <w:rPr>
          <w:rFonts w:ascii="Arial" w:cs="Arial" w:eastAsia="Arial" w:hAnsi="Arial"/>
          <w:sz w:val="19"/>
          <w:szCs w:val="19"/>
          <w:b w:val="1"/>
          <w:bCs w:val="1"/>
          <w:u w:val="single" w:color="auto"/>
          <w:color w:val="auto"/>
        </w:rPr>
        <w:t>Milestone Payment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One-Time Clinical or Regulatory Milestones</w:t>
      </w:r>
    </w:p>
    <w:p>
      <w:pPr>
        <w:spacing w:after="0" w:line="64" w:lineRule="exact"/>
        <w:rPr>
          <w:sz w:val="20"/>
          <w:szCs w:val="20"/>
          <w:color w:val="auto"/>
        </w:rPr>
      </w:pPr>
    </w:p>
    <w:p>
      <w:pPr>
        <w:ind w:left="1240" w:hanging="584"/>
        <w:spacing w:after="0"/>
        <w:tabs>
          <w:tab w:leader="none" w:pos="1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One-Time Worldwide Commercial Milestones on Net Sales</w:t>
      </w:r>
    </w:p>
    <w:p>
      <w:pPr>
        <w:sectPr>
          <w:pgSz w:w="11900" w:h="16838" w:orient="portrait"/>
          <w:cols w:equalWidth="0" w:num="1">
            <w:col w:w="11360"/>
          </w:cols>
          <w:pgMar w:left="240" w:top="125" w:right="299" w:bottom="1440" w:gutter="0" w:footer="0" w:header="0"/>
        </w:sectPr>
      </w:pPr>
    </w:p>
    <w:p>
      <w:pPr>
        <w:spacing w:after="0" w:line="6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4900" w:space="200"/>
            <w:col w:w="6260"/>
          </w:cols>
          <w:pgMar w:left="240" w:top="125" w:right="29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4900" w:space="200"/>
            <w:col w:w="6260"/>
          </w:cols>
          <w:pgMar w:left="240" w:top="125" w:right="29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4900" w:space="200"/>
            <w:col w:w="6260"/>
          </w:cols>
          <w:pgMar w:left="240" w:top="125" w:right="29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4900" w:space="200"/>
            <w:col w:w="6260"/>
          </w:cols>
          <w:pgMar w:left="240" w:top="125" w:right="299" w:bottom="1440" w:gutter="0" w:footer="0" w:header="0"/>
          <w:type w:val="continuous"/>
        </w:sectPr>
      </w:pPr>
    </w:p>
    <w:p>
      <w:pPr>
        <w:spacing w:after="0" w:line="290"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Each time a Clinical or Regulatory Milestone set forth above for a first Licensed Product is achieved, then any Clinical or Regulatory Milestone Payments with respect to earlier Clinical or Regulatory Milestones set forth above for the same Licensed Product shall, to the extent not previously paid, be due and payable together with the achieved Clinical or Regulatory Milestone irrespective of whether such earlier Clinical or Regulatory Milestone(s) was actually achieved; provided, however, that a Regulatory Approval or reimbursement approval Clinical or Regulatory Milestone in one territory shall not be deemed to be a Clinical or Regulatory Milestone that is earlier than any other Regulatory Approval or reimbursement approval Clinical or Regulatory Milestone in another territory.</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For the purpose of clarification, if calendar year worldwide Net Sales for the first Licensed Product are $[**] in Year 1 and $[**] in Year 2, a sales milestone of $[**] is payable on account of Year 1 and a sales milestone of $[**] is payable on account of Year 2. If calendar year worldwide Net Sales for the first Licensed Product are $[**] in Year 1 and $[**] in Year 2, a sales milestone of $[**] is payable on account of Year 1 and a sales milestone of $[**] is payable on account of Year 2.</w:t>
      </w:r>
    </w:p>
    <w:p>
      <w:pPr>
        <w:spacing w:after="0" w:line="143" w:lineRule="exact"/>
        <w:rPr>
          <w:sz w:val="20"/>
          <w:szCs w:val="20"/>
          <w:color w:val="auto"/>
        </w:rPr>
      </w:pPr>
    </w:p>
    <w:p>
      <w:pPr>
        <w:ind w:right="460" w:firstLine="1305"/>
        <w:spacing w:after="0" w:line="276" w:lineRule="auto"/>
        <w:tabs>
          <w:tab w:leader="none" w:pos="1728"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the event that Licensee pursues both Categories of Licensed Products, then Licensee shall pay Penn, on behalf of both Licensors, the following one-time, non-</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125" w:right="29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jc w:val="both"/>
        <w:ind w:right="280"/>
        <w:spacing w:after="0" w:line="253" w:lineRule="auto"/>
        <w:rPr>
          <w:sz w:val="20"/>
          <w:szCs w:val="20"/>
          <w:color w:val="auto"/>
        </w:rPr>
      </w:pPr>
      <w:r>
        <w:rPr>
          <w:rFonts w:ascii="Arial" w:cs="Arial" w:eastAsia="Arial" w:hAnsi="Arial"/>
          <w:sz w:val="22"/>
          <w:szCs w:val="22"/>
          <w:color w:val="auto"/>
        </w:rPr>
        <w:t>refundable and non-creditable Milestone Payments within [**] after Licensee, or any Affiliate or Sublicensee, first (and only the first time) achieves the corresponding milestone for a Licensed Product from a different Category than the Licensed Product that first achieves the same milestone event under Section 4.6(a) above:</w:t>
      </w:r>
    </w:p>
    <w:p>
      <w:pPr>
        <w:spacing w:after="0" w:line="18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u w:val="single" w:color="auto"/>
          <w:color w:val="auto"/>
        </w:rPr>
        <w:t>Event</w:t>
      </w:r>
      <w:r>
        <w:rPr>
          <w:sz w:val="20"/>
          <w:szCs w:val="20"/>
          <w:color w:val="auto"/>
        </w:rPr>
        <w:tab/>
      </w:r>
      <w:r>
        <w:rPr>
          <w:rFonts w:ascii="Arial" w:cs="Arial" w:eastAsia="Arial" w:hAnsi="Arial"/>
          <w:sz w:val="19"/>
          <w:szCs w:val="19"/>
          <w:b w:val="1"/>
          <w:bCs w:val="1"/>
          <w:u w:val="single" w:color="auto"/>
          <w:color w:val="auto"/>
        </w:rPr>
        <w:t>Milestone Payment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One-Time Clinical or Regulatory Milestones</w:t>
      </w:r>
    </w:p>
    <w:p>
      <w:pPr>
        <w:spacing w:after="0" w:line="64" w:lineRule="exact"/>
        <w:rPr>
          <w:sz w:val="20"/>
          <w:szCs w:val="20"/>
          <w:color w:val="auto"/>
        </w:rPr>
      </w:pPr>
    </w:p>
    <w:p>
      <w:pPr>
        <w:ind w:left="1240" w:hanging="584"/>
        <w:spacing w:after="0"/>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1240" w:hanging="584"/>
        <w:spacing w:after="0"/>
        <w:tabs>
          <w:tab w:leader="none" w:pos="12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One-Time Worldwide Commercial Milestones on Net Sales</w:t>
      </w:r>
    </w:p>
    <w:p>
      <w:pPr>
        <w:sectPr>
          <w:pgSz w:w="11900" w:h="16838" w:orient="portrait"/>
          <w:cols w:equalWidth="0" w:num="1">
            <w:col w:w="11400"/>
          </w:cols>
          <w:pgMar w:left="240" w:top="125" w:right="259" w:bottom="1440" w:gutter="0" w:footer="0" w:header="0"/>
        </w:sectPr>
      </w:pPr>
    </w:p>
    <w:p>
      <w:pPr>
        <w:spacing w:after="0" w:line="6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4900" w:space="200"/>
            <w:col w:w="6300"/>
          </w:cols>
          <w:pgMar w:left="240" w:top="125" w:right="25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4900" w:space="200"/>
            <w:col w:w="6300"/>
          </w:cols>
          <w:pgMar w:left="240" w:top="125" w:right="25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58" w:lineRule="exact"/>
        <w:rPr>
          <w:sz w:val="20"/>
          <w:szCs w:val="20"/>
          <w:color w:val="auto"/>
        </w:rPr>
      </w:pPr>
    </w:p>
    <w:p>
      <w:pPr>
        <w:sectPr>
          <w:pgSz w:w="11900" w:h="16838" w:orient="portrait"/>
          <w:cols w:equalWidth="0" w:num="2">
            <w:col w:w="4900" w:space="200"/>
            <w:col w:w="6300"/>
          </w:cols>
          <w:pgMar w:left="240" w:top="125" w:right="259" w:bottom="1440" w:gutter="0" w:footer="0" w:header="0"/>
          <w:type w:val="continuous"/>
        </w:sectPr>
      </w:pPr>
    </w:p>
    <w:p>
      <w:pPr>
        <w:ind w:left="660"/>
        <w:spacing w:after="0"/>
        <w:rPr>
          <w:sz w:val="20"/>
          <w:szCs w:val="20"/>
          <w:color w:val="auto"/>
        </w:rPr>
      </w:pPr>
      <w:r>
        <w:rPr>
          <w:rFonts w:ascii="Arial" w:cs="Arial" w:eastAsia="Arial" w:hAnsi="Arial"/>
          <w:sz w:val="19"/>
          <w:szCs w:val="19"/>
          <w:color w:val="auto"/>
        </w:rPr>
        <w:t>First instance of calendar year Net Sales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4900" w:space="200"/>
            <w:col w:w="6300"/>
          </w:cols>
          <w:pgMar w:left="240" w:top="125" w:right="259" w:bottom="1440" w:gutter="0" w:footer="0" w:header="0"/>
          <w:type w:val="continuous"/>
        </w:sectPr>
      </w:pPr>
    </w:p>
    <w:p>
      <w:pPr>
        <w:spacing w:after="0" w:line="290" w:lineRule="exact"/>
        <w:rPr>
          <w:sz w:val="20"/>
          <w:szCs w:val="20"/>
          <w:color w:val="auto"/>
        </w:rPr>
      </w:pPr>
    </w:p>
    <w:p>
      <w:pPr>
        <w:ind w:right="180"/>
        <w:spacing w:after="0" w:line="259" w:lineRule="auto"/>
        <w:rPr>
          <w:sz w:val="20"/>
          <w:szCs w:val="20"/>
          <w:color w:val="auto"/>
        </w:rPr>
      </w:pPr>
      <w:r>
        <w:rPr>
          <w:rFonts w:ascii="Arial" w:cs="Arial" w:eastAsia="Arial" w:hAnsi="Arial"/>
          <w:sz w:val="21"/>
          <w:szCs w:val="21"/>
          <w:color w:val="auto"/>
        </w:rPr>
        <w:t>Each time a Clinical or Regulatory Milestone set forth above for a subsequent Licensed Product is achieved, then any Clinical or Regulatory Milestone Payments with respect to earlier Clinical or Regulatory Milestones set forth above for the same Licensed Product shall, to the extent not previously paid, be due and payable together with the achieved Clinical or Regulatory Milestone irrespective of whether such earlier Clinical or Regulatory Milestone(s) was actually achieved; provided, however, that a Regulatory Approval or reimbursement approval Clinical or Regulatory Milestone in one territory shall not be deemed to be a Clinical or Regulatory Milestone that is earlier than any other Regulatory Approval or reimbursement approval Clinical or Regulatory Milestone in another territory. For the avoidance of doubt, if the subsequent Licensed Product that achieves any of the foregoing milestone events is in the same Category as the first Licensed Product to achieve the same milestone event, then the milestones for such subsequent Product will not be due.</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233" w:lineRule="exact"/>
        <w:rPr>
          <w:sz w:val="20"/>
          <w:szCs w:val="20"/>
          <w:color w:val="auto"/>
        </w:rPr>
      </w:pPr>
    </w:p>
    <w:p>
      <w:pPr>
        <w:ind w:left="1720" w:hanging="415"/>
        <w:spacing w:after="0"/>
        <w:tabs>
          <w:tab w:leader="none" w:pos="17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For purposes of this Section 4.7, the following defined terms shall have the following meanings:</w:t>
      </w:r>
    </w:p>
    <w:p>
      <w:pPr>
        <w:spacing w:after="0" w:line="233" w:lineRule="exact"/>
        <w:rPr>
          <w:rFonts w:ascii="Arial" w:cs="Arial" w:eastAsia="Arial" w:hAnsi="Arial"/>
          <w:sz w:val="22"/>
          <w:szCs w:val="22"/>
          <w:color w:val="auto"/>
        </w:rPr>
      </w:pPr>
    </w:p>
    <w:p>
      <w:pPr>
        <w:ind w:firstLine="1953"/>
        <w:spacing w:after="0" w:line="320" w:lineRule="auto"/>
        <w:tabs>
          <w:tab w:leader="none" w:pos="2329" w:val="left"/>
        </w:tabs>
        <w:numPr>
          <w:ilvl w:val="1"/>
          <w:numId w:val="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Sublicense Income</w:t>
      </w:r>
      <w:r>
        <w:rPr>
          <w:rFonts w:ascii="Arial" w:cs="Arial" w:eastAsia="Arial" w:hAnsi="Arial"/>
          <w:sz w:val="19"/>
          <w:szCs w:val="19"/>
          <w:color w:val="auto"/>
        </w:rPr>
        <w:t>” shall mean any consideration such as fees, minimum royalties, milestone payments or other payments received by Licensee or any of its Affiliates from a Third Party based on an agreement or series of related agreements involving a Sublicense of the Patent Rights to a Third Party other than (A) payments for running royalties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based on Net Sales or profit-share payments, (B) payments for research or development conducted by Licensee or its Affiliates or services or goods provided by Licensee or its Affiliates pursuant to the Sublicense or related agreements, (C) payments for the fair market value of debt or equity securities of Licensee or its Affiliates and (D) payments that are specifically allocated to products that are not Licensed Products;</w:t>
      </w:r>
    </w:p>
    <w:p>
      <w:pPr>
        <w:spacing w:after="0" w:line="188" w:lineRule="exact"/>
        <w:rPr>
          <w:sz w:val="20"/>
          <w:szCs w:val="20"/>
          <w:color w:val="auto"/>
        </w:rPr>
      </w:pPr>
    </w:p>
    <w:p>
      <w:pPr>
        <w:ind w:right="20" w:firstLine="1953"/>
        <w:spacing w:after="0" w:line="250" w:lineRule="auto"/>
        <w:tabs>
          <w:tab w:leader="none" w:pos="2389" w:val="left"/>
        </w:tabs>
        <w:numPr>
          <w:ilvl w:val="1"/>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Allocated Sublicense Income</w:t>
      </w:r>
      <w:r>
        <w:rPr>
          <w:rFonts w:ascii="Arial" w:cs="Arial" w:eastAsia="Arial" w:hAnsi="Arial"/>
          <w:sz w:val="22"/>
          <w:szCs w:val="22"/>
          <w:color w:val="auto"/>
        </w:rPr>
        <w:t>” shall mean the portion of any Sublicense Income reasonably allocable to Third Party intellectual property rights that are necessary to research, develop, make, have made, use, have used, offer to sell, sell, import, export or commercialize a Licensed Product and that have been in-licensed or acquired by Licensee and included with the Sublicense of the Patent Rights to a Third Party, which portion shall not exceed [**]%) of the total amount of Sublicense Income received by Licensee and any of its Affiliates, as further adjusted by the proviso immediately following the table in Section 4.7(b) below; and</w:t>
      </w:r>
    </w:p>
    <w:p>
      <w:pPr>
        <w:spacing w:after="0" w:line="188" w:lineRule="exact"/>
        <w:rPr>
          <w:rFonts w:ascii="Arial" w:cs="Arial" w:eastAsia="Arial" w:hAnsi="Arial"/>
          <w:sz w:val="22"/>
          <w:szCs w:val="22"/>
          <w:color w:val="auto"/>
        </w:rPr>
      </w:pPr>
    </w:p>
    <w:p>
      <w:pPr>
        <w:ind w:right="680" w:firstLine="1953"/>
        <w:spacing w:after="0" w:line="301" w:lineRule="auto"/>
        <w:tabs>
          <w:tab w:leader="none" w:pos="2449" w:val="left"/>
        </w:tabs>
        <w:numPr>
          <w:ilvl w:val="1"/>
          <w:numId w:val="7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Licensor Allocated Sublicense Income</w:t>
      </w:r>
      <w:r>
        <w:rPr>
          <w:rFonts w:ascii="Arial" w:cs="Arial" w:eastAsia="Arial" w:hAnsi="Arial"/>
          <w:sz w:val="21"/>
          <w:szCs w:val="21"/>
          <w:color w:val="auto"/>
        </w:rPr>
        <w:t>” shall mean (A) the total amount of Sublicense Income received by Licensee and any of its Affiliates less (B) any Third Party Allocated Sublicense Income.</w:t>
      </w:r>
    </w:p>
    <w:p>
      <w:pPr>
        <w:spacing w:after="0" w:line="137" w:lineRule="exact"/>
        <w:rPr>
          <w:rFonts w:ascii="Arial" w:cs="Arial" w:eastAsia="Arial" w:hAnsi="Arial"/>
          <w:sz w:val="21"/>
          <w:szCs w:val="21"/>
          <w:color w:val="auto"/>
        </w:rPr>
      </w:pPr>
    </w:p>
    <w:p>
      <w:pPr>
        <w:ind w:right="200" w:firstLine="1305"/>
        <w:spacing w:after="0" w:line="307" w:lineRule="auto"/>
        <w:tabs>
          <w:tab w:leader="none" w:pos="1728" w:val="left"/>
        </w:tabs>
        <w:numPr>
          <w:ilvl w:val="0"/>
          <w:numId w:val="72"/>
        </w:numPr>
        <w:rPr>
          <w:rFonts w:ascii="Arial" w:cs="Arial" w:eastAsia="Arial" w:hAnsi="Arial"/>
          <w:sz w:val="19"/>
          <w:szCs w:val="19"/>
          <w:color w:val="auto"/>
        </w:rPr>
      </w:pPr>
      <w:r>
        <w:rPr>
          <w:rFonts w:ascii="Arial" w:cs="Arial" w:eastAsia="Arial" w:hAnsi="Arial"/>
          <w:sz w:val="19"/>
          <w:szCs w:val="19"/>
          <w:color w:val="auto"/>
        </w:rPr>
        <w:t>If Licensee or any of its Affiliates receives any Sublicense Income then Licensee shall pay Penn, on behalf of both Licensors, within [**] of receipt of such Sublicense Income, the following percentages of the portion of such Sublicense Income constituting the Licensor Allocated Sublicense Income, based upon on the status, at the time of entering into the Sublicense, of clinical development of each Licensed Product which is the subject of the particular Sublicense:</w:t>
      </w:r>
    </w:p>
    <w:p>
      <w:pPr>
        <w:spacing w:after="0" w:line="261" w:lineRule="exact"/>
        <w:rPr>
          <w:sz w:val="20"/>
          <w:szCs w:val="20"/>
          <w:color w:val="auto"/>
        </w:rPr>
      </w:pPr>
    </w:p>
    <w:tbl>
      <w:tblPr>
        <w:tblLayout w:type="fixed"/>
        <w:tblInd w:w="130" w:type="dxa"/>
        <w:tblCellMar>
          <w:top w:w="0" w:type="dxa"/>
          <w:left w:w="0" w:type="dxa"/>
          <w:bottom w:w="0" w:type="dxa"/>
          <w:right w:w="0" w:type="dxa"/>
        </w:tblCellMar>
      </w:tblPr>
      <w:tr>
        <w:trPr>
          <w:trHeight w:val="243"/>
        </w:trPr>
        <w:tc>
          <w:tcPr>
            <w:tcW w:w="8600" w:type="dxa"/>
            <w:vAlign w:val="bottom"/>
            <w:tcBorders>
              <w:top w:val="single" w:sz="8" w:color="auto"/>
              <w:left w:val="single" w:sz="8" w:color="00000A"/>
              <w:right w:val="single" w:sz="8" w:color="auto"/>
            </w:tcBorders>
            <w:gridSpan w:val="3"/>
          </w:tcPr>
          <w:p>
            <w:pPr>
              <w:ind w:left="120"/>
              <w:spacing w:after="0" w:line="243" w:lineRule="exact"/>
              <w:rPr>
                <w:sz w:val="20"/>
                <w:szCs w:val="20"/>
                <w:color w:val="auto"/>
              </w:rPr>
            </w:pPr>
            <w:r>
              <w:rPr>
                <w:rFonts w:ascii="Arial" w:cs="Arial" w:eastAsia="Arial" w:hAnsi="Arial"/>
                <w:sz w:val="22"/>
                <w:szCs w:val="22"/>
                <w:b w:val="1"/>
                <w:bCs w:val="1"/>
                <w:color w:val="auto"/>
              </w:rPr>
              <w:t>Time period</w:t>
            </w:r>
          </w:p>
        </w:tc>
        <w:tc>
          <w:tcPr>
            <w:tcW w:w="100" w:type="dxa"/>
            <w:vAlign w:val="bottom"/>
            <w:tcBorders>
              <w:top w:val="single" w:sz="8" w:color="auto"/>
            </w:tcBorders>
          </w:tcPr>
          <w:p>
            <w:pPr>
              <w:spacing w:after="0"/>
              <w:rPr>
                <w:sz w:val="21"/>
                <w:szCs w:val="21"/>
                <w:color w:val="auto"/>
              </w:rPr>
            </w:pPr>
          </w:p>
        </w:tc>
        <w:tc>
          <w:tcPr>
            <w:tcW w:w="2600" w:type="dxa"/>
            <w:vAlign w:val="bottom"/>
            <w:tcBorders>
              <w:top w:val="single" w:sz="8" w:color="auto"/>
              <w:right w:val="single" w:sz="8" w:color="00000A"/>
            </w:tcBorders>
            <w:gridSpan w:val="7"/>
          </w:tcPr>
          <w:p>
            <w:pPr>
              <w:spacing w:after="0" w:line="243" w:lineRule="exact"/>
              <w:rPr>
                <w:sz w:val="20"/>
                <w:szCs w:val="20"/>
                <w:color w:val="auto"/>
              </w:rPr>
            </w:pPr>
            <w:r>
              <w:rPr>
                <w:rFonts w:ascii="Arial" w:cs="Arial" w:eastAsia="Arial" w:hAnsi="Arial"/>
                <w:sz w:val="22"/>
                <w:szCs w:val="22"/>
                <w:b w:val="1"/>
                <w:bCs w:val="1"/>
                <w:color w:val="auto"/>
              </w:rPr>
              <w:t>Percentage (%) of</w:t>
            </w:r>
          </w:p>
        </w:tc>
      </w:tr>
      <w:tr>
        <w:trPr>
          <w:trHeight w:val="223"/>
        </w:trPr>
        <w:tc>
          <w:tcPr>
            <w:tcW w:w="120" w:type="dxa"/>
            <w:vAlign w:val="bottom"/>
            <w:tcBorders>
              <w:left w:val="single" w:sz="8" w:color="00000A"/>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7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2"/>
          </w:tcPr>
          <w:p>
            <w:pPr>
              <w:spacing w:after="0" w:line="223" w:lineRule="exact"/>
              <w:rPr>
                <w:sz w:val="20"/>
                <w:szCs w:val="20"/>
                <w:color w:val="auto"/>
              </w:rPr>
            </w:pPr>
            <w:r>
              <w:rPr>
                <w:rFonts w:ascii="Arial" w:cs="Arial" w:eastAsia="Arial" w:hAnsi="Arial"/>
                <w:sz w:val="22"/>
                <w:szCs w:val="22"/>
                <w:b w:val="1"/>
                <w:bCs w:val="1"/>
                <w:color w:val="auto"/>
                <w:w w:val="82"/>
              </w:rPr>
              <w:t>Licensor Allocated</w:t>
            </w:r>
          </w:p>
        </w:tc>
        <w:tc>
          <w:tcPr>
            <w:tcW w:w="6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00000A"/>
            </w:tcBorders>
          </w:tcPr>
          <w:p>
            <w:pPr>
              <w:spacing w:after="0"/>
              <w:rPr>
                <w:sz w:val="19"/>
                <w:szCs w:val="19"/>
                <w:color w:val="auto"/>
              </w:rPr>
            </w:pPr>
          </w:p>
        </w:tc>
      </w:tr>
      <w:tr>
        <w:trPr>
          <w:trHeight w:val="223"/>
        </w:trPr>
        <w:tc>
          <w:tcPr>
            <w:tcW w:w="120" w:type="dxa"/>
            <w:vAlign w:val="bottom"/>
            <w:tcBorders>
              <w:left w:val="single" w:sz="8" w:color="00000A"/>
            </w:tcBorders>
          </w:tcPr>
          <w:p>
            <w:pPr>
              <w:spacing w:after="0"/>
              <w:rPr>
                <w:sz w:val="19"/>
                <w:szCs w:val="19"/>
                <w:color w:val="auto"/>
              </w:rPr>
            </w:pPr>
          </w:p>
        </w:tc>
        <w:tc>
          <w:tcPr>
            <w:tcW w:w="1120" w:type="dxa"/>
            <w:vAlign w:val="bottom"/>
          </w:tcPr>
          <w:p>
            <w:pPr>
              <w:spacing w:after="0"/>
              <w:rPr>
                <w:sz w:val="19"/>
                <w:szCs w:val="19"/>
                <w:color w:val="auto"/>
              </w:rPr>
            </w:pPr>
          </w:p>
        </w:tc>
        <w:tc>
          <w:tcPr>
            <w:tcW w:w="7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4"/>
          </w:tcPr>
          <w:p>
            <w:pPr>
              <w:spacing w:after="0" w:line="223" w:lineRule="exact"/>
              <w:rPr>
                <w:sz w:val="20"/>
                <w:szCs w:val="20"/>
                <w:color w:val="auto"/>
              </w:rPr>
            </w:pPr>
            <w:r>
              <w:rPr>
                <w:rFonts w:ascii="Arial" w:cs="Arial" w:eastAsia="Arial" w:hAnsi="Arial"/>
                <w:sz w:val="22"/>
                <w:szCs w:val="22"/>
                <w:b w:val="1"/>
                <w:bCs w:val="1"/>
                <w:color w:val="auto"/>
                <w:w w:val="85"/>
              </w:rPr>
              <w:t>Sublicense Income</w:t>
            </w:r>
          </w:p>
        </w:tc>
        <w:tc>
          <w:tcPr>
            <w:tcW w:w="880" w:type="dxa"/>
            <w:vAlign w:val="bottom"/>
            <w:tcBorders>
              <w:right w:val="single" w:sz="8" w:color="00000A"/>
            </w:tcBorders>
            <w:gridSpan w:val="3"/>
          </w:tcPr>
          <w:p>
            <w:pPr>
              <w:ind w:left="40"/>
              <w:spacing w:after="0" w:line="223" w:lineRule="exact"/>
              <w:rPr>
                <w:sz w:val="20"/>
                <w:szCs w:val="20"/>
                <w:color w:val="auto"/>
              </w:rPr>
            </w:pPr>
            <w:r>
              <w:rPr>
                <w:rFonts w:ascii="Arial" w:cs="Arial" w:eastAsia="Arial" w:hAnsi="Arial"/>
                <w:sz w:val="22"/>
                <w:szCs w:val="22"/>
                <w:b w:val="1"/>
                <w:bCs w:val="1"/>
                <w:color w:val="auto"/>
                <w:w w:val="97"/>
              </w:rPr>
              <w:t>payable</w:t>
            </w:r>
          </w:p>
        </w:tc>
      </w:tr>
      <w:tr>
        <w:trPr>
          <w:trHeight w:val="223"/>
        </w:trPr>
        <w:tc>
          <w:tcPr>
            <w:tcW w:w="120" w:type="dxa"/>
            <w:vAlign w:val="bottom"/>
            <w:tcBorders>
              <w:left w:val="single" w:sz="8" w:color="00000A"/>
            </w:tcBorders>
          </w:tcPr>
          <w:p>
            <w:pPr>
              <w:spacing w:after="0"/>
              <w:rPr>
                <w:sz w:val="19"/>
                <w:szCs w:val="19"/>
                <w:color w:val="auto"/>
              </w:rPr>
            </w:pPr>
          </w:p>
        </w:tc>
        <w:tc>
          <w:tcPr>
            <w:tcW w:w="1120" w:type="dxa"/>
            <w:vAlign w:val="bottom"/>
          </w:tcPr>
          <w:p>
            <w:pPr>
              <w:spacing w:after="0"/>
              <w:rPr>
                <w:sz w:val="19"/>
                <w:szCs w:val="19"/>
                <w:color w:val="auto"/>
              </w:rPr>
            </w:pPr>
          </w:p>
        </w:tc>
        <w:tc>
          <w:tcPr>
            <w:tcW w:w="7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Borders>
              <w:top w:val="single" w:sz="8" w:color="auto"/>
            </w:tcBorders>
            <w:gridSpan w:val="6"/>
          </w:tcPr>
          <w:p>
            <w:pPr>
              <w:spacing w:after="0" w:line="223" w:lineRule="exact"/>
              <w:rPr>
                <w:sz w:val="20"/>
                <w:szCs w:val="20"/>
                <w:color w:val="auto"/>
              </w:rPr>
            </w:pPr>
            <w:r>
              <w:rPr>
                <w:rFonts w:ascii="Arial" w:cs="Arial" w:eastAsia="Arial" w:hAnsi="Arial"/>
                <w:sz w:val="22"/>
                <w:szCs w:val="22"/>
                <w:b w:val="1"/>
                <w:bCs w:val="1"/>
                <w:color w:val="auto"/>
                <w:w w:val="90"/>
              </w:rPr>
              <w:t>to Penn, on behalf of both</w:t>
            </w:r>
          </w:p>
        </w:tc>
        <w:tc>
          <w:tcPr>
            <w:tcW w:w="120" w:type="dxa"/>
            <w:vAlign w:val="bottom"/>
            <w:tcBorders>
              <w:right w:val="single" w:sz="8" w:color="00000A"/>
            </w:tcBorders>
          </w:tcPr>
          <w:p>
            <w:pPr>
              <w:spacing w:after="0"/>
              <w:rPr>
                <w:sz w:val="19"/>
                <w:szCs w:val="19"/>
                <w:color w:val="auto"/>
              </w:rPr>
            </w:pPr>
          </w:p>
        </w:tc>
      </w:tr>
      <w:tr>
        <w:trPr>
          <w:trHeight w:val="223"/>
        </w:trPr>
        <w:tc>
          <w:tcPr>
            <w:tcW w:w="120" w:type="dxa"/>
            <w:vAlign w:val="bottom"/>
            <w:tcBorders>
              <w:left w:val="single" w:sz="8" w:color="00000A"/>
            </w:tcBorders>
          </w:tcPr>
          <w:p>
            <w:pPr>
              <w:spacing w:after="0"/>
              <w:rPr>
                <w:sz w:val="19"/>
                <w:szCs w:val="19"/>
                <w:color w:val="auto"/>
              </w:rPr>
            </w:pPr>
          </w:p>
        </w:tc>
        <w:tc>
          <w:tcPr>
            <w:tcW w:w="1120" w:type="dxa"/>
            <w:vAlign w:val="bottom"/>
          </w:tcPr>
          <w:p>
            <w:pPr>
              <w:spacing w:after="0"/>
              <w:rPr>
                <w:sz w:val="19"/>
                <w:szCs w:val="19"/>
                <w:color w:val="auto"/>
              </w:rPr>
            </w:pPr>
          </w:p>
        </w:tc>
        <w:tc>
          <w:tcPr>
            <w:tcW w:w="7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Borders>
              <w:top w:val="single" w:sz="8" w:color="auto"/>
            </w:tcBorders>
            <w:gridSpan w:val="5"/>
          </w:tcPr>
          <w:p>
            <w:pPr>
              <w:spacing w:after="0" w:line="223" w:lineRule="exact"/>
              <w:rPr>
                <w:sz w:val="20"/>
                <w:szCs w:val="20"/>
                <w:color w:val="auto"/>
              </w:rPr>
            </w:pPr>
            <w:r>
              <w:rPr>
                <w:rFonts w:ascii="Arial" w:cs="Arial" w:eastAsia="Arial" w:hAnsi="Arial"/>
                <w:sz w:val="22"/>
                <w:szCs w:val="22"/>
                <w:b w:val="1"/>
                <w:bCs w:val="1"/>
                <w:color w:val="auto"/>
              </w:rPr>
              <w:t>Licensors</w:t>
            </w:r>
          </w:p>
        </w:tc>
        <w:tc>
          <w:tcPr>
            <w:tcW w:w="220" w:type="dxa"/>
            <w:vAlign w:val="bottom"/>
            <w:tcBorders>
              <w:right w:val="single" w:sz="8" w:color="00000A"/>
            </w:tcBorders>
            <w:gridSpan w:val="2"/>
          </w:tcPr>
          <w:p>
            <w:pPr>
              <w:spacing w:after="0"/>
              <w:rPr>
                <w:sz w:val="19"/>
                <w:szCs w:val="19"/>
                <w:color w:val="auto"/>
              </w:rPr>
            </w:pPr>
          </w:p>
        </w:tc>
      </w:tr>
      <w:tr>
        <w:trPr>
          <w:trHeight w:val="48"/>
        </w:trPr>
        <w:tc>
          <w:tcPr>
            <w:tcW w:w="120" w:type="dxa"/>
            <w:vAlign w:val="bottom"/>
            <w:tcBorders>
              <w:left w:val="single" w:sz="8" w:color="00000A"/>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3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00000A"/>
            </w:tcBorders>
          </w:tcPr>
          <w:p>
            <w:pPr>
              <w:spacing w:after="0"/>
              <w:rPr>
                <w:sz w:val="4"/>
                <w:szCs w:val="4"/>
                <w:color w:val="auto"/>
              </w:rPr>
            </w:pPr>
          </w:p>
        </w:tc>
      </w:tr>
      <w:tr>
        <w:trPr>
          <w:trHeight w:val="284"/>
        </w:trPr>
        <w:tc>
          <w:tcPr>
            <w:tcW w:w="1240" w:type="dxa"/>
            <w:vAlign w:val="bottom"/>
            <w:tcBorders>
              <w:left w:val="single" w:sz="8" w:color="00000A"/>
              <w:bottom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73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00000A"/>
            </w:tcBorders>
          </w:tcPr>
          <w:p>
            <w:pPr>
              <w:spacing w:after="0"/>
              <w:rPr>
                <w:sz w:val="24"/>
                <w:szCs w:val="24"/>
                <w:color w:val="auto"/>
              </w:rPr>
            </w:pPr>
          </w:p>
        </w:tc>
      </w:tr>
      <w:tr>
        <w:trPr>
          <w:trHeight w:val="291"/>
        </w:trPr>
        <w:tc>
          <w:tcPr>
            <w:tcW w:w="1240" w:type="dxa"/>
            <w:vAlign w:val="bottom"/>
            <w:tcBorders>
              <w:left w:val="single" w:sz="8" w:color="00000A"/>
              <w:bottom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73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00000A"/>
            </w:tcBorders>
          </w:tcPr>
          <w:p>
            <w:pPr>
              <w:spacing w:after="0"/>
              <w:rPr>
                <w:sz w:val="24"/>
                <w:szCs w:val="24"/>
                <w:color w:val="auto"/>
              </w:rPr>
            </w:pPr>
          </w:p>
        </w:tc>
      </w:tr>
      <w:tr>
        <w:trPr>
          <w:trHeight w:val="291"/>
        </w:trPr>
        <w:tc>
          <w:tcPr>
            <w:tcW w:w="1240" w:type="dxa"/>
            <w:vAlign w:val="bottom"/>
            <w:tcBorders>
              <w:left w:val="single" w:sz="8" w:color="00000A"/>
              <w:bottom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73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00000A"/>
            </w:tcBorders>
          </w:tcPr>
          <w:p>
            <w:pPr>
              <w:spacing w:after="0"/>
              <w:rPr>
                <w:sz w:val="24"/>
                <w:szCs w:val="24"/>
                <w:color w:val="auto"/>
              </w:rPr>
            </w:pPr>
          </w:p>
        </w:tc>
      </w:tr>
      <w:tr>
        <w:trPr>
          <w:trHeight w:val="291"/>
        </w:trPr>
        <w:tc>
          <w:tcPr>
            <w:tcW w:w="1240" w:type="dxa"/>
            <w:vAlign w:val="bottom"/>
            <w:tcBorders>
              <w:left w:val="single" w:sz="8" w:color="00000A"/>
              <w:bottom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73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color w:val="auto"/>
        </w:rPr>
        <w:t>Provided that, in the event that the amount that would otherwise be payable by Licensee to Penn, on behalf of both Licensors, pursuant to this Section 4.7(b) is less than [**] percent ([**]%) of the total Sublicense Income received by Licensee and any of its Affiliates (the “</w:t>
      </w:r>
      <w:r>
        <w:rPr>
          <w:rFonts w:ascii="Arial" w:cs="Arial" w:eastAsia="Arial" w:hAnsi="Arial"/>
          <w:sz w:val="22"/>
          <w:szCs w:val="22"/>
          <w:u w:val="single" w:color="auto"/>
          <w:color w:val="auto"/>
        </w:rPr>
        <w:t>Minimum Sublicense Share</w:t>
      </w:r>
      <w:r>
        <w:rPr>
          <w:rFonts w:ascii="Arial" w:cs="Arial" w:eastAsia="Arial" w:hAnsi="Arial"/>
          <w:sz w:val="22"/>
          <w:szCs w:val="22"/>
          <w:color w:val="auto"/>
        </w:rPr>
        <w:t>”), Licensee shall pay an additional amount to Penn, on behalf of both Licensors, such that the total amount paid by Licensee to Penn, on behalf of both Licensors, pursuant to this Section 4.7(b) equals the Minimum Sublicense Share.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auto"/>
        </w:rPr>
        <w:t>If under the Sublicense the Licensee receives Sublicense Income that is not attributable to any particular Licensed Product (e.g., an upfront payment), then the percentage applied to such payment will be based upon the status of the most advanced Licensed Product licensed under the Sublicense. By way of example and not limitation, (i) assuming [**].</w:t>
      </w:r>
    </w:p>
    <w:p>
      <w:pPr>
        <w:spacing w:after="0" w:line="134" w:lineRule="exact"/>
        <w:rPr>
          <w:sz w:val="20"/>
          <w:szCs w:val="20"/>
          <w:color w:val="auto"/>
        </w:rPr>
      </w:pPr>
    </w:p>
    <w:p>
      <w:pPr>
        <w:ind w:right="60" w:firstLine="1305"/>
        <w:spacing w:after="0" w:line="297" w:lineRule="auto"/>
        <w:tabs>
          <w:tab w:leader="none" w:pos="1716"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Licensee receives consideration other than cash, Licensee and Penn will cooperate in good faith to perform a valuation of the non-cash consideration portion received in exchange for the Sublicense and such valuation shall be deemed to be the fair value thereof for calculating the Sublicense fee of the non-cash consideration portion to be paid to Penn. Licensee agrees to provide to Penn under terms of confidentiality the executed documentation related to the Sublicense resulting in the non-cash consideration including all terms without redaction that are necessary to perform a valuation of the non-cash consideration and the parties shall in good faith determine the value of such non-cash consideration by mutual agreement.</w:t>
      </w:r>
    </w:p>
    <w:p>
      <w:pPr>
        <w:spacing w:after="0" w:line="147"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FDA Priority Review Voucher</w:t>
      </w:r>
      <w:r>
        <w:rPr>
          <w:rFonts w:ascii="Arial" w:cs="Arial" w:eastAsia="Arial" w:hAnsi="Arial"/>
          <w:sz w:val="19"/>
          <w:szCs w:val="19"/>
          <w:color w:val="auto"/>
        </w:rPr>
        <w:t>. In the event Licensee or its Affiliate receives an FDA Rare Pediatric Disease Priority Review Voucher based on a Regulatory Approval of a Licensed Product, then Licensee shall promptly provide written confirmation to Penn that it or its Affiliate received such PRV. In addition, if and when the conditions of either 4.8(a) or 4.8(b) are met, Licensee shall pay Penn (on behalf of Licensors) the amounts set forth in either 4.8(a) or 4.8(b), as applicable:</w:t>
      </w:r>
    </w:p>
    <w:p>
      <w:pPr>
        <w:spacing w:after="0" w:line="138" w:lineRule="exact"/>
        <w:rPr>
          <w:sz w:val="20"/>
          <w:szCs w:val="20"/>
          <w:color w:val="auto"/>
        </w:rPr>
      </w:pPr>
    </w:p>
    <w:p>
      <w:pPr>
        <w:ind w:firstLine="1305"/>
        <w:spacing w:after="0" w:line="291" w:lineRule="auto"/>
        <w:tabs>
          <w:tab w:leader="none" w:pos="1716"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the event Licensee or its Affiliate sells the PRV to a Third Party, then Licensee will pay to Penn (on behalf of Licensors) [**] percent ([**] %) of all consideration, including fees, minimum royalties, milestone payments or other payments Licensee or its Affiliate receives for the sale of the PRV within [**] of receipt of such consideration. If Licensee or its Affiliate receives consideration other than cash, Licensee and Penn (on behalf of Licensors) will cooperate in good faith to perform a valuation of the non-cash consideration portion received in exchange for the PRV and such valuation shall be deemed to be the fair value thereof for calculating the fee for the non-cash consideration portion to be paid to Penn (on behalf of Licensors). Licensee agrees to provide to Penn (on behalf of Licensors) under terms of confidentiality the executed documentation related to the transaction resulting in the non-cash consideration including all terms without redaction that are necessary for Penn (on behalf of Licensors), by itself or through an auditor reasonably acceptable to Licensee, to perform a valuation of the non-cash consideration.</w:t>
      </w:r>
    </w:p>
    <w:p>
      <w:pPr>
        <w:spacing w:after="0" w:line="154" w:lineRule="exact"/>
        <w:rPr>
          <w:rFonts w:ascii="Arial" w:cs="Arial" w:eastAsia="Arial" w:hAnsi="Arial"/>
          <w:sz w:val="19"/>
          <w:szCs w:val="19"/>
          <w:color w:val="auto"/>
        </w:rPr>
      </w:pPr>
    </w:p>
    <w:p>
      <w:pPr>
        <w:ind w:right="80" w:firstLine="1305"/>
        <w:spacing w:after="0" w:line="276" w:lineRule="auto"/>
        <w:tabs>
          <w:tab w:leader="none" w:pos="1728"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 the event Licensee or its Affiliate uses the PRV for a Licensee product or Licensee’s Affiliate product (other than a Licensed Product), then Licensee will pay Penn (on behalf of Licensors):</w:t>
      </w:r>
    </w:p>
    <w:p>
      <w:pPr>
        <w:spacing w:after="0" w:line="160" w:lineRule="exact"/>
        <w:rPr>
          <w:rFonts w:ascii="Arial" w:cs="Arial" w:eastAsia="Arial" w:hAnsi="Arial"/>
          <w:sz w:val="22"/>
          <w:szCs w:val="22"/>
          <w:color w:val="auto"/>
        </w:rPr>
      </w:pPr>
    </w:p>
    <w:p>
      <w:pPr>
        <w:ind w:left="2340" w:hanging="387"/>
        <w:spacing w:after="0"/>
        <w:tabs>
          <w:tab w:leader="none" w:pos="2340" w:val="left"/>
        </w:tabs>
        <w:numPr>
          <w:ilvl w:val="1"/>
          <w:numId w:val="74"/>
        </w:numPr>
        <w:rPr>
          <w:rFonts w:ascii="Arial" w:cs="Arial" w:eastAsia="Arial" w:hAnsi="Arial"/>
          <w:sz w:val="22"/>
          <w:szCs w:val="22"/>
          <w:color w:val="auto"/>
        </w:rPr>
      </w:pPr>
      <w:r>
        <w:rPr>
          <w:rFonts w:ascii="Arial" w:cs="Arial" w:eastAsia="Arial" w:hAnsi="Arial"/>
          <w:sz w:val="22"/>
          <w:szCs w:val="22"/>
          <w:color w:val="auto"/>
        </w:rPr>
        <w:t>[**] dollars ($[**]) within [**]; and</w:t>
      </w:r>
    </w:p>
    <w:p>
      <w:pPr>
        <w:spacing w:after="0" w:line="233" w:lineRule="exact"/>
        <w:rPr>
          <w:rFonts w:ascii="Arial" w:cs="Arial" w:eastAsia="Arial" w:hAnsi="Arial"/>
          <w:sz w:val="22"/>
          <w:szCs w:val="22"/>
          <w:color w:val="auto"/>
        </w:rPr>
      </w:pPr>
    </w:p>
    <w:p>
      <w:pPr>
        <w:jc w:val="both"/>
        <w:ind w:right="60" w:firstLine="1953"/>
        <w:spacing w:after="0" w:line="260" w:lineRule="auto"/>
        <w:tabs>
          <w:tab w:leader="none" w:pos="2389" w:val="left"/>
        </w:tabs>
        <w:numPr>
          <w:ilvl w:val="1"/>
          <w:numId w:val="74"/>
        </w:numPr>
        <w:rPr>
          <w:rFonts w:ascii="Arial" w:cs="Arial" w:eastAsia="Arial" w:hAnsi="Arial"/>
          <w:sz w:val="22"/>
          <w:szCs w:val="22"/>
          <w:color w:val="auto"/>
        </w:rPr>
      </w:pPr>
      <w:r>
        <w:rPr>
          <w:rFonts w:ascii="Arial" w:cs="Arial" w:eastAsia="Arial" w:hAnsi="Arial"/>
          <w:sz w:val="22"/>
          <w:szCs w:val="22"/>
          <w:color w:val="auto"/>
        </w:rPr>
        <w:t>[**] dollars ($[**]) as a one-time sales milestone, payable within [**] after the end of the calendar year when the aggregate calendar year net sales throughout the world of such product by Licensee, its Affiliate(s) and its sublicensee(s) have reached [**] dollars ($[**]), provided that</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firstLine="1953"/>
        <w:spacing w:after="0" w:line="297" w:lineRule="auto"/>
        <w:tabs>
          <w:tab w:leader="none" w:pos="2449"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 the event that Licensee or its Affiliate uses the PRV for a Licensee product or a Licensee’s Affiliate product (other than a Licensed Product), Licensee shall identify the product to Penn (on behalf of Licensors) within [**] of use of the PRV and, starting in the calendar year of the first commercial sale of such product, provide a report [**] of the end of each calendar year setting forth the annual net sales of the product for such calendar year by Licensee, its Affiliate(s) and its sublicensees and the aggregate net sales of the product from the first commercial sale of the product. Licensee shall have no obligation to report annual net sales of the product after Licensee has paid the one-time sales milestone per Section 4.7(b)(ii).</w:t>
      </w:r>
    </w:p>
    <w:p>
      <w:pPr>
        <w:spacing w:after="0" w:line="14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Representations and Disclaimers of Licensors and Licensee.</w:t>
      </w:r>
    </w:p>
    <w:p>
      <w:pPr>
        <w:spacing w:after="0" w:line="239" w:lineRule="exact"/>
        <w:rPr>
          <w:sz w:val="20"/>
          <w:szCs w:val="20"/>
          <w:color w:val="auto"/>
        </w:rPr>
      </w:pPr>
    </w:p>
    <w:p>
      <w:pPr>
        <w:jc w:val="center"/>
        <w:ind w:right="60"/>
        <w:spacing w:after="0"/>
        <w:tabs>
          <w:tab w:leader="none" w:pos="1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Representations of Licensors</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color w:val="212121"/>
        </w:rPr>
        <w:t>Each of Penn and UFRF (on behalf of itself and with respect to the University of</w:t>
      </w:r>
    </w:p>
    <w:p>
      <w:pPr>
        <w:spacing w:after="0" w:line="22"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212121"/>
        </w:rPr>
        <w:t xml:space="preserve">Florida), as applicable and as of the Effective Date, represents to Licensee that (a) in the case of Penn, its employees have assigned or are obligated to assign to such party their entire right, title, and interest in the applicable Patent Rights, Licensed Information and Know-How, and in the case of UFRF, the University of Florida’s employees have assigned or are obligated to assign to the University of Florida their entire right, title and interest in the applicable Patent Rights, Licensed Information and Know-How, and in turn, the University of Florida has assigned its entire right, title and interest in the applicable Patent Rights, Licensed Information and Know-How to UFRF; (b) it is duly authorized, by all requisite governance action, to execute and deliver this Agreement and the execution, delivery and performance of this Agreement by such party does not require any stakeholder action or approval, and the person executing this Agreement on behalf of such party is duly authorized to do so by all requisite governance action; (c) to the actual knowledge of the individuals currently in UFRF’s licensing office and involved with the Patent Rights, all inventors of the inventions set forth in the Patent Rights are correctly identified in the patent filings; (d) in the case of UFRF, to the actual knowledge of the individuals currently in the UFRF licensing office, the granting of the licenses to the Patent Rights, Licensed Information and Know How, in each case Controlled by UFRF, pursuant to this Agreement does not violate any agreement with a Third Party binding UFRF; and (e) in the case of UFRF, to the actual knowledge of the individuals currently in the UFRF licensing office, with respect to the [**] Patent and any related Patent Rights, it is in compliance with The </w:t>
      </w:r>
      <w:r>
        <w:rPr>
          <w:rFonts w:ascii="Arial" w:cs="Arial" w:eastAsia="Arial" w:hAnsi="Arial"/>
          <w:sz w:val="19"/>
          <w:szCs w:val="19"/>
          <w:color w:val="000000"/>
        </w:rPr>
        <w:t>Patent and Trademark Law</w:t>
      </w:r>
      <w:r>
        <w:rPr>
          <w:rFonts w:ascii="Arial" w:cs="Arial" w:eastAsia="Arial" w:hAnsi="Arial"/>
          <w:sz w:val="19"/>
          <w:szCs w:val="19"/>
          <w:color w:val="212121"/>
        </w:rPr>
        <w:t xml:space="preserve"> </w:t>
      </w:r>
      <w:r>
        <w:rPr>
          <w:rFonts w:ascii="Arial" w:cs="Arial" w:eastAsia="Arial" w:hAnsi="Arial"/>
          <w:sz w:val="19"/>
          <w:szCs w:val="19"/>
          <w:color w:val="000000"/>
        </w:rPr>
        <w:t xml:space="preserve">Amendments Act </w:t>
      </w:r>
      <w:r>
        <w:rPr>
          <w:rFonts w:ascii="Arial" w:cs="Arial" w:eastAsia="Arial" w:hAnsi="Arial"/>
          <w:sz w:val="19"/>
          <w:szCs w:val="19"/>
          <w:color w:val="212121"/>
        </w:rPr>
        <w:t>of 1980 (Public Law 96-517; 35 U.S.C. §§ 200-212), including</w:t>
      </w:r>
      <w:r>
        <w:rPr>
          <w:rFonts w:ascii="Arial" w:cs="Arial" w:eastAsia="Arial" w:hAnsi="Arial"/>
          <w:sz w:val="19"/>
          <w:szCs w:val="19"/>
          <w:color w:val="000000"/>
        </w:rPr>
        <w:t xml:space="preserve"> any amendments thereto and all regulations promulgated thereunder.</w:t>
      </w:r>
    </w:p>
    <w:p>
      <w:pPr>
        <w:spacing w:after="0" w:line="200" w:lineRule="exact"/>
        <w:rPr>
          <w:sz w:val="20"/>
          <w:szCs w:val="20"/>
          <w:color w:val="auto"/>
        </w:rPr>
      </w:pPr>
    </w:p>
    <w:p>
      <w:pPr>
        <w:spacing w:after="0" w:line="225" w:lineRule="exact"/>
        <w:rPr>
          <w:sz w:val="20"/>
          <w:szCs w:val="20"/>
          <w:color w:val="auto"/>
        </w:rPr>
      </w:pPr>
    </w:p>
    <w:p>
      <w:pPr>
        <w:ind w:right="40" w:firstLine="648"/>
        <w:spacing w:after="0" w:line="262"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Representations of Licensee</w:t>
      </w:r>
      <w:r>
        <w:rPr>
          <w:rFonts w:ascii="Arial" w:cs="Arial" w:eastAsia="Arial" w:hAnsi="Arial"/>
          <w:sz w:val="21"/>
          <w:szCs w:val="21"/>
          <w:color w:val="auto"/>
        </w:rPr>
        <w:t>. Licensee, as of the Effective Date, represents that (a) it is a corporation duly organized, validly existing and in good standing under the laws of the state or other jurisdiction of incorporation or formation and has full corporate power and authority to enter into this Agreement and to carry out the provisions hereof, (b) it is duly authorized, by all requisite corporate action, to execute and deliver this Agreement and the execution, delivery and performance of this Agreement by Licensee does not require any shareholder action or approval, and the person executing this Agreement on behalf of Licensee is duly authorized to do so by all requisite corporate action and (c) no consent, approval, order or authorization of, or registration, qualification, designation, declaration or filing with, any federal,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color w:val="auto"/>
        </w:rPr>
        <w:t>state or local governmental authority is required on the part of Licensee in connection with the valid execution, delivery and performance of this Agreement.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Disclaimers</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Nothing in this Agreement is:</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76"/>
        </w:numPr>
        <w:rPr>
          <w:rFonts w:ascii="Arial" w:cs="Arial" w:eastAsia="Arial" w:hAnsi="Arial"/>
          <w:sz w:val="21"/>
          <w:szCs w:val="21"/>
          <w:color w:val="auto"/>
        </w:rPr>
      </w:pPr>
      <w:r>
        <w:rPr>
          <w:rFonts w:ascii="Arial" w:cs="Arial" w:eastAsia="Arial" w:hAnsi="Arial"/>
          <w:sz w:val="21"/>
          <w:szCs w:val="21"/>
          <w:color w:val="auto"/>
        </w:rPr>
        <w:t>a warranty or representation by Licensors of the scope of any right included in the Patent Rights;</w:t>
      </w:r>
    </w:p>
    <w:p>
      <w:pPr>
        <w:spacing w:after="0" w:line="244" w:lineRule="exact"/>
        <w:rPr>
          <w:rFonts w:ascii="Arial" w:cs="Arial" w:eastAsia="Arial" w:hAnsi="Arial"/>
          <w:sz w:val="21"/>
          <w:szCs w:val="21"/>
          <w:color w:val="auto"/>
        </w:rPr>
      </w:pPr>
    </w:p>
    <w:p>
      <w:pPr>
        <w:ind w:right="200" w:firstLine="1953"/>
        <w:spacing w:after="0" w:line="276" w:lineRule="auto"/>
        <w:tabs>
          <w:tab w:leader="none" w:pos="2389"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warranty or representation that anything made, used, sold or otherwise disposed of under the license granted in this Agreement does not infringe patents or other rights of Third Parties;</w:t>
      </w:r>
    </w:p>
    <w:p>
      <w:pPr>
        <w:spacing w:after="0" w:line="160" w:lineRule="exact"/>
        <w:rPr>
          <w:rFonts w:ascii="Arial" w:cs="Arial" w:eastAsia="Arial" w:hAnsi="Arial"/>
          <w:sz w:val="22"/>
          <w:szCs w:val="22"/>
          <w:color w:val="auto"/>
        </w:rPr>
      </w:pPr>
    </w:p>
    <w:p>
      <w:pPr>
        <w:ind w:left="2460" w:hanging="507"/>
        <w:spacing w:after="0"/>
        <w:tabs>
          <w:tab w:leader="none" w:pos="2460"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 obligation to bring or prosecute actions or suits against Third Parties for infringement of Patent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Rights;</w:t>
      </w:r>
    </w:p>
    <w:p>
      <w:pPr>
        <w:spacing w:after="0" w:line="215" w:lineRule="exact"/>
        <w:rPr>
          <w:rFonts w:ascii="Arial" w:cs="Arial" w:eastAsia="Arial" w:hAnsi="Arial"/>
          <w:sz w:val="19"/>
          <w:szCs w:val="19"/>
          <w:color w:val="auto"/>
        </w:rPr>
      </w:pPr>
    </w:p>
    <w:p>
      <w:pPr>
        <w:ind w:left="2440" w:hanging="487"/>
        <w:spacing w:after="0"/>
        <w:tabs>
          <w:tab w:leader="none" w:pos="2440" w:val="left"/>
        </w:tabs>
        <w:numPr>
          <w:ilvl w:val="1"/>
          <w:numId w:val="76"/>
        </w:numPr>
        <w:rPr>
          <w:rFonts w:ascii="Arial" w:cs="Arial" w:eastAsia="Arial" w:hAnsi="Arial"/>
          <w:sz w:val="21"/>
          <w:szCs w:val="21"/>
          <w:color w:val="auto"/>
        </w:rPr>
      </w:pPr>
      <w:r>
        <w:rPr>
          <w:rFonts w:ascii="Arial" w:cs="Arial" w:eastAsia="Arial" w:hAnsi="Arial"/>
          <w:sz w:val="21"/>
          <w:szCs w:val="21"/>
          <w:color w:val="auto"/>
        </w:rPr>
        <w:t>an obligation to furnish know-how or services other than those specified in this Agreement; or</w:t>
      </w:r>
    </w:p>
    <w:p>
      <w:pPr>
        <w:spacing w:after="0" w:line="244" w:lineRule="exact"/>
        <w:rPr>
          <w:rFonts w:ascii="Arial" w:cs="Arial" w:eastAsia="Arial" w:hAnsi="Arial"/>
          <w:sz w:val="21"/>
          <w:szCs w:val="21"/>
          <w:color w:val="auto"/>
        </w:rPr>
      </w:pPr>
    </w:p>
    <w:p>
      <w:pPr>
        <w:ind w:right="120" w:firstLine="1953"/>
        <w:spacing w:after="0" w:line="260" w:lineRule="auto"/>
        <w:tabs>
          <w:tab w:leader="none" w:pos="2377"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warranty or representation by Licensors that they will not grant licenses to others to make, use or sell products not covered by the claims of the Patent Rights which may be similar to or compete with products made or sold by Licensee.</w:t>
      </w:r>
    </w:p>
    <w:p>
      <w:pPr>
        <w:spacing w:after="0" w:line="177" w:lineRule="exact"/>
        <w:rPr>
          <w:rFonts w:ascii="Arial" w:cs="Arial" w:eastAsia="Arial" w:hAnsi="Arial"/>
          <w:sz w:val="22"/>
          <w:szCs w:val="22"/>
          <w:color w:val="auto"/>
        </w:rPr>
      </w:pPr>
    </w:p>
    <w:p>
      <w:pPr>
        <w:ind w:firstLine="1305"/>
        <w:spacing w:after="0" w:line="270" w:lineRule="auto"/>
        <w:tabs>
          <w:tab w:leader="none" w:pos="1728" w:val="left"/>
        </w:tabs>
        <w:numPr>
          <w:ilvl w:val="0"/>
          <w:numId w:val="76"/>
        </w:numPr>
        <w:rPr>
          <w:rFonts w:ascii="Arial" w:cs="Arial" w:eastAsia="Arial" w:hAnsi="Arial"/>
          <w:sz w:val="21"/>
          <w:szCs w:val="21"/>
          <w:color w:val="auto"/>
        </w:rPr>
      </w:pPr>
      <w:r>
        <w:rPr>
          <w:rFonts w:ascii="Arial" w:cs="Arial" w:eastAsia="Arial" w:hAnsi="Arial"/>
          <w:sz w:val="21"/>
          <w:szCs w:val="21"/>
          <w:color w:val="auto"/>
        </w:rPr>
        <w:t>EXCEPT AS OTHERWISE EXPRESSLY SET FORTH IN THIS AGREEMENT, NEITHER LICENSEE NOR LICENSORS MAKE ANY REPRESENTATIONS AND EXTEND NO WARRANTIES OF ANY KIND, EITHER EXPRESS OR IMPLIED, INCLUDING BUT NOT LIMITED TO WARRANTIES OF MERCHANTABILITY, FITNESS FOR A PARTICULAR PURPOSE, AND VALIDITY OF PATENT RIGHTS CLAIMS, ISSUED OR PENDING.</w:t>
      </w:r>
    </w:p>
    <w:p>
      <w:pPr>
        <w:spacing w:after="0" w:line="169" w:lineRule="exact"/>
        <w:rPr>
          <w:rFonts w:ascii="Arial" w:cs="Arial" w:eastAsia="Arial" w:hAnsi="Arial"/>
          <w:sz w:val="21"/>
          <w:szCs w:val="21"/>
          <w:color w:val="auto"/>
        </w:rPr>
      </w:pPr>
    </w:p>
    <w:p>
      <w:pPr>
        <w:ind w:right="40" w:firstLine="1305"/>
        <w:spacing w:after="0" w:line="254" w:lineRule="auto"/>
        <w:tabs>
          <w:tab w:leader="none" w:pos="1716" w:val="left"/>
        </w:tabs>
        <w:numPr>
          <w:ilvl w:val="0"/>
          <w:numId w:val="76"/>
        </w:numPr>
        <w:rPr>
          <w:rFonts w:ascii="Arial" w:cs="Arial" w:eastAsia="Arial" w:hAnsi="Arial"/>
          <w:sz w:val="22"/>
          <w:szCs w:val="22"/>
          <w:color w:val="auto"/>
        </w:rPr>
      </w:pPr>
      <w:r>
        <w:rPr>
          <w:rFonts w:ascii="Arial" w:cs="Arial" w:eastAsia="Arial" w:hAnsi="Arial"/>
          <w:sz w:val="22"/>
          <w:szCs w:val="22"/>
          <w:color w:val="auto"/>
        </w:rPr>
        <w:t>LICENSORS ASSUME NO RESPONSIBILITIES WHATSOEVER WITH RESPECT TO USE, SALE, OR OTHER DISPOSITION BY LICENSEE, ITS SUBLICENSEE(S), ITS AFFILIATE(S) OR THEIR VENDEES OR OTHER TRANSFEREES OF PRODUCTS INCORPORATING OR MADE BY USE OF PATENT RIGHTS, LICENSED INFORMATION OR KNOW-HOW LICENSED UNDER THIS AGREEMENT.</w:t>
      </w:r>
    </w:p>
    <w:p>
      <w:pPr>
        <w:spacing w:after="0" w:line="17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u w:val="single" w:color="auto"/>
          <w:color w:val="auto"/>
        </w:rPr>
        <w:t>Record Keeping; Accounting</w:t>
      </w:r>
    </w:p>
    <w:p>
      <w:pPr>
        <w:spacing w:after="0" w:line="239" w:lineRule="exact"/>
        <w:rPr>
          <w:sz w:val="20"/>
          <w:szCs w:val="20"/>
          <w:color w:val="auto"/>
        </w:rPr>
      </w:pPr>
    </w:p>
    <w:p>
      <w:pPr>
        <w:ind w:right="120" w:firstLine="648"/>
        <w:spacing w:after="0" w:line="264"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Books and Records</w:t>
      </w:r>
      <w:r>
        <w:rPr>
          <w:rFonts w:ascii="Arial" w:cs="Arial" w:eastAsia="Arial" w:hAnsi="Arial"/>
          <w:sz w:val="21"/>
          <w:szCs w:val="21"/>
          <w:color w:val="auto"/>
        </w:rPr>
        <w:t>. Licensee and its Sublicensee(s) shall keep books and records related to its and their payment and diligence obligations regarding Licensed Products under this Agreement sufficiently to verify the accuracy and completeness of Licensee’s and its Sublicensee(s)’s accounting and reporting relating to such obligations, including without limitation, applicable inventory, purchase and invoice records, manufacturing records, sales analysis, general ledgers, financial statements, and tax returns. Licensee and its Sublicensee(s) shall preserve these books and records for at least [**] after they are created or as required by federal law, both during and after the term of this Agreement.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Audit Rights</w:t>
      </w:r>
      <w:r>
        <w:rPr>
          <w:rFonts w:ascii="Arial" w:cs="Arial" w:eastAsia="Arial" w:hAnsi="Arial"/>
          <w:sz w:val="19"/>
          <w:szCs w:val="19"/>
          <w:color w:val="auto"/>
        </w:rPr>
        <w:t>. Licensee and its Sublicensee(s) shall take steps to permit Penn to, on behalf of both Licensors and within</w:t>
      </w:r>
    </w:p>
    <w:p>
      <w:pPr>
        <w:spacing w:after="0" w:line="22" w:lineRule="exact"/>
        <w:rPr>
          <w:sz w:val="20"/>
          <w:szCs w:val="20"/>
          <w:color w:val="auto"/>
        </w:rPr>
      </w:pPr>
    </w:p>
    <w:p>
      <w:pPr>
        <w:ind w:right="60" w:firstLine="8"/>
        <w:spacing w:after="0" w:line="286" w:lineRule="auto"/>
        <w:tabs>
          <w:tab w:leader="none" w:pos="414" w:val="left"/>
        </w:tabs>
        <w:numPr>
          <w:ilvl w:val="0"/>
          <w:numId w:val="77"/>
        </w:numPr>
        <w:rPr>
          <w:rFonts w:ascii="Arial" w:cs="Arial" w:eastAsia="Arial" w:hAnsi="Arial"/>
          <w:sz w:val="19"/>
          <w:szCs w:val="19"/>
          <w:color w:val="auto"/>
        </w:rPr>
      </w:pPr>
      <w:r>
        <w:rPr>
          <w:rFonts w:ascii="Arial" w:cs="Arial" w:eastAsia="Arial" w:hAnsi="Arial"/>
          <w:sz w:val="19"/>
          <w:szCs w:val="19"/>
          <w:color w:val="auto"/>
        </w:rPr>
        <w:t>after its written request therefor, audit and review all of such books and records maintained for purposes of compliance with Section 6.1, up to a maximum of [**], at a single United States location of Licensee’s choice to verify the accuracy of Licensee’s and its Sublicensee(s)’s accounting relating to Licensed Products and Sublicense consideration. The review may be performed by any authorized employees of Penn as well as by any attorneys or accountants designated by Penn upon reasonable notice and during regular business hours. If a deficiency with regard to any payment is determined, Licensee and its Sublicensee(s) shall pay the deficiency along with applicable interest as described in Section 6.3(a) within [**] of receiving notice. If a payment deficiency for a calendar year exceeds [**] percent ([**]%) of amounts paid for that year, then Licensee or its Sublicensee(s) shall pay Penn’s out-of-pocket expenses incurred with respect to the review, and Penn shall have the right to conduct a second audit within the same calendar year. If an overpayment with regard to any payment is determined, Licensee shall have the right to credit the amount of such overpayment against any future payments under this Agreement. The rights of Penn under this Section 6.2 are subject to the execution and delivery by Penn, its attorneys or accountants participating in such audit of a nondisclosure agreement on terms reasonably satisfactory to Licensee pursuant to which Penn, its attorneys and accountants agree not to disclose or use for any purpose other than as contemplated under this Section 6.2 any of the information reviewed pursuant to such audit.</w:t>
      </w:r>
    </w:p>
    <w:p>
      <w:pPr>
        <w:spacing w:after="0" w:line="16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Accounting for Payments</w:t>
      </w:r>
      <w:r>
        <w:rPr>
          <w:rFonts w:ascii="Arial" w:cs="Arial" w:eastAsia="Arial" w:hAnsi="Arial"/>
          <w:sz w:val="19"/>
          <w:szCs w:val="19"/>
          <w:color w:val="auto"/>
        </w:rPr>
        <w:t>.</w:t>
      </w:r>
    </w:p>
    <w:p>
      <w:pPr>
        <w:spacing w:after="0" w:line="233" w:lineRule="exact"/>
        <w:rPr>
          <w:sz w:val="20"/>
          <w:szCs w:val="20"/>
          <w:color w:val="auto"/>
        </w:rPr>
      </w:pPr>
    </w:p>
    <w:p>
      <w:pPr>
        <w:ind w:right="40" w:firstLine="1305"/>
        <w:spacing w:after="0" w:line="251" w:lineRule="auto"/>
        <w:tabs>
          <w:tab w:leader="none" w:pos="171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Any undisputed, overdue amount under this Section 6, Section 7 or any other provision of this Agreement shall accrue interest from the due date at the rate of [**] percent ([**]%) per month. This interest provision is not a grant of permission for any payment delays, and shall not accrue on the portions of any overdue amounts that are disputed in good faith. Licensee is responsible for repayment to Penn of any reasonable attorney, collection agency, or other out-of-pocket expenses to collect overdue payments.</w:t>
      </w:r>
    </w:p>
    <w:p>
      <w:pPr>
        <w:spacing w:after="0" w:line="189" w:lineRule="exact"/>
        <w:rPr>
          <w:rFonts w:ascii="Arial" w:cs="Arial" w:eastAsia="Arial" w:hAnsi="Arial"/>
          <w:sz w:val="22"/>
          <w:szCs w:val="22"/>
          <w:color w:val="auto"/>
        </w:rPr>
      </w:pPr>
    </w:p>
    <w:p>
      <w:pPr>
        <w:ind w:right="40" w:firstLine="1305"/>
        <w:spacing w:after="0" w:line="260" w:lineRule="auto"/>
        <w:tabs>
          <w:tab w:leader="none" w:pos="1728"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Except as otherwise directed or with respect to the instructions for reimbursements set forth in Sections 7.2 and 7.3, Licensee shall pay all amounts owing to Penn or UFRF under this Agreement in United States dollars at any one of the following address:</w:t>
      </w:r>
    </w:p>
    <w:p>
      <w:pPr>
        <w:spacing w:after="0" w:line="297"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3760" w:type="dxa"/>
            <w:vAlign w:val="bottom"/>
            <w:gridSpan w:val="2"/>
          </w:tcPr>
          <w:p>
            <w:pPr>
              <w:spacing w:after="0"/>
              <w:rPr>
                <w:sz w:val="20"/>
                <w:szCs w:val="20"/>
                <w:color w:val="auto"/>
              </w:rPr>
            </w:pPr>
            <w:r>
              <w:rPr>
                <w:rFonts w:ascii="Arial" w:cs="Arial" w:eastAsia="Arial" w:hAnsi="Arial"/>
                <w:sz w:val="22"/>
                <w:szCs w:val="22"/>
                <w:b w:val="1"/>
                <w:bCs w:val="1"/>
                <w:color w:val="auto"/>
              </w:rPr>
              <w:t>By ACH/Wire:</w:t>
            </w:r>
          </w:p>
        </w:tc>
        <w:tc>
          <w:tcPr>
            <w:tcW w:w="3960" w:type="dxa"/>
            <w:vAlign w:val="bottom"/>
            <w:gridSpan w:val="3"/>
          </w:tcPr>
          <w:p>
            <w:pPr>
              <w:ind w:left="1280"/>
              <w:spacing w:after="0"/>
              <w:rPr>
                <w:sz w:val="20"/>
                <w:szCs w:val="20"/>
                <w:color w:val="auto"/>
              </w:rPr>
            </w:pPr>
            <w:r>
              <w:rPr>
                <w:rFonts w:ascii="Arial" w:cs="Arial" w:eastAsia="Arial" w:hAnsi="Arial"/>
                <w:sz w:val="22"/>
                <w:szCs w:val="22"/>
                <w:b w:val="1"/>
                <w:bCs w:val="1"/>
                <w:color w:val="auto"/>
              </w:rPr>
              <w:t>By Check (lockbox):</w:t>
            </w:r>
          </w:p>
        </w:tc>
      </w:tr>
      <w:tr>
        <w:trPr>
          <w:trHeight w:val="328"/>
        </w:trPr>
        <w:tc>
          <w:tcPr>
            <w:tcW w:w="13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w:t>
            </w:r>
          </w:p>
        </w:tc>
        <w:tc>
          <w:tcPr>
            <w:tcW w:w="2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0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8"/>
              </w:rPr>
              <w:t>The Trustees of the</w:t>
            </w:r>
          </w:p>
        </w:tc>
        <w:tc>
          <w:tcPr>
            <w:tcW w:w="780" w:type="dxa"/>
            <w:vAlign w:val="bottom"/>
          </w:tcPr>
          <w:p>
            <w:pPr>
              <w:spacing w:after="0"/>
              <w:rPr>
                <w:sz w:val="24"/>
                <w:szCs w:val="24"/>
                <w:color w:val="auto"/>
              </w:rPr>
            </w:pPr>
          </w:p>
        </w:tc>
      </w:tr>
      <w:tr>
        <w:trPr>
          <w:trHeight w:val="297"/>
        </w:trPr>
        <w:tc>
          <w:tcPr>
            <w:tcW w:w="3760" w:type="dxa"/>
            <w:vAlign w:val="bottom"/>
            <w:gridSpan w:val="2"/>
          </w:tcPr>
          <w:p>
            <w:pPr>
              <w:spacing w:after="0"/>
              <w:rPr>
                <w:sz w:val="20"/>
                <w:szCs w:val="20"/>
                <w:color w:val="auto"/>
              </w:rPr>
            </w:pPr>
            <w:r>
              <w:rPr>
                <w:rFonts w:ascii="Arial" w:cs="Arial" w:eastAsia="Arial" w:hAnsi="Arial"/>
                <w:sz w:val="22"/>
                <w:szCs w:val="22"/>
                <w:color w:val="auto"/>
              </w:rPr>
              <w:t>ABA #[**] (domestic wires)</w:t>
            </w:r>
          </w:p>
        </w:tc>
        <w:tc>
          <w:tcPr>
            <w:tcW w:w="3960" w:type="dxa"/>
            <w:vAlign w:val="bottom"/>
            <w:gridSpan w:val="3"/>
          </w:tcPr>
          <w:p>
            <w:pPr>
              <w:ind w:left="1280"/>
              <w:spacing w:after="0"/>
              <w:rPr>
                <w:sz w:val="20"/>
                <w:szCs w:val="20"/>
                <w:color w:val="auto"/>
              </w:rPr>
            </w:pPr>
            <w:r>
              <w:rPr>
                <w:rFonts w:ascii="Arial" w:cs="Arial" w:eastAsia="Arial" w:hAnsi="Arial"/>
                <w:sz w:val="22"/>
                <w:szCs w:val="22"/>
                <w:color w:val="auto"/>
              </w:rPr>
              <w:t>University of Pennsylvania</w:t>
            </w:r>
          </w:p>
        </w:tc>
      </w:tr>
      <w:tr>
        <w:trPr>
          <w:trHeight w:val="297"/>
        </w:trPr>
        <w:tc>
          <w:tcPr>
            <w:tcW w:w="3760" w:type="dxa"/>
            <w:vAlign w:val="bottom"/>
            <w:gridSpan w:val="2"/>
          </w:tcPr>
          <w:p>
            <w:pPr>
              <w:spacing w:after="0"/>
              <w:rPr>
                <w:sz w:val="20"/>
                <w:szCs w:val="20"/>
                <w:color w:val="auto"/>
              </w:rPr>
            </w:pPr>
            <w:r>
              <w:rPr>
                <w:rFonts w:ascii="Arial" w:cs="Arial" w:eastAsia="Arial" w:hAnsi="Arial"/>
                <w:sz w:val="22"/>
                <w:szCs w:val="22"/>
                <w:color w:val="auto"/>
              </w:rPr>
              <w:t>SWIFT CODE: [**]</w:t>
            </w:r>
          </w:p>
        </w:tc>
        <w:tc>
          <w:tcPr>
            <w:tcW w:w="3960" w:type="dxa"/>
            <w:vAlign w:val="bottom"/>
            <w:gridSpan w:val="3"/>
          </w:tcPr>
          <w:p>
            <w:pPr>
              <w:ind w:left="1280"/>
              <w:spacing w:after="0"/>
              <w:rPr>
                <w:sz w:val="20"/>
                <w:szCs w:val="20"/>
                <w:color w:val="auto"/>
              </w:rPr>
            </w:pPr>
            <w:r>
              <w:rPr>
                <w:rFonts w:ascii="Arial" w:cs="Arial" w:eastAsia="Arial" w:hAnsi="Arial"/>
                <w:sz w:val="22"/>
                <w:szCs w:val="22"/>
                <w:color w:val="auto"/>
                <w:w w:val="89"/>
              </w:rPr>
              <w:t>c/o Penn Center for Innovation</w:t>
            </w:r>
          </w:p>
        </w:tc>
      </w:tr>
      <w:tr>
        <w:trPr>
          <w:trHeight w:val="297"/>
        </w:trPr>
        <w:tc>
          <w:tcPr>
            <w:tcW w:w="3760" w:type="dxa"/>
            <w:vAlign w:val="bottom"/>
            <w:gridSpan w:val="2"/>
          </w:tcPr>
          <w:p>
            <w:pPr>
              <w:spacing w:after="0"/>
              <w:rPr>
                <w:sz w:val="20"/>
                <w:szCs w:val="20"/>
                <w:color w:val="auto"/>
              </w:rPr>
            </w:pPr>
            <w:r>
              <w:rPr>
                <w:rFonts w:ascii="Arial" w:cs="Arial" w:eastAsia="Arial" w:hAnsi="Arial"/>
                <w:sz w:val="22"/>
                <w:szCs w:val="22"/>
                <w:color w:val="auto"/>
              </w:rPr>
              <w:t>(international wires only)</w:t>
            </w:r>
          </w:p>
        </w:tc>
        <w:tc>
          <w:tcPr>
            <w:tcW w:w="3960" w:type="dxa"/>
            <w:vAlign w:val="bottom"/>
            <w:gridSpan w:val="3"/>
          </w:tcPr>
          <w:p>
            <w:pPr>
              <w:ind w:left="1280"/>
              <w:spacing w:after="0"/>
              <w:rPr>
                <w:sz w:val="20"/>
                <w:szCs w:val="20"/>
                <w:color w:val="auto"/>
              </w:rPr>
            </w:pPr>
            <w:r>
              <w:rPr>
                <w:rFonts w:ascii="Arial" w:cs="Arial" w:eastAsia="Arial" w:hAnsi="Arial"/>
                <w:sz w:val="22"/>
                <w:szCs w:val="22"/>
                <w:color w:val="auto"/>
              </w:rPr>
              <w:t>PO Box 785546</w:t>
            </w:r>
          </w:p>
        </w:tc>
      </w:tr>
      <w:tr>
        <w:trPr>
          <w:trHeight w:val="297"/>
        </w:trPr>
        <w:tc>
          <w:tcPr>
            <w:tcW w:w="3760" w:type="dxa"/>
            <w:vAlign w:val="bottom"/>
            <w:gridSpan w:val="2"/>
          </w:tcPr>
          <w:p>
            <w:pPr>
              <w:spacing w:after="0"/>
              <w:rPr>
                <w:sz w:val="20"/>
                <w:szCs w:val="20"/>
                <w:color w:val="auto"/>
              </w:rPr>
            </w:pPr>
            <w:r>
              <w:rPr>
                <w:rFonts w:ascii="Arial" w:cs="Arial" w:eastAsia="Arial" w:hAnsi="Arial"/>
                <w:sz w:val="22"/>
                <w:szCs w:val="22"/>
                <w:color w:val="auto"/>
              </w:rPr>
              <w:t>Account Number: [**]</w:t>
            </w:r>
          </w:p>
        </w:tc>
        <w:tc>
          <w:tcPr>
            <w:tcW w:w="3960" w:type="dxa"/>
            <w:vAlign w:val="bottom"/>
            <w:gridSpan w:val="3"/>
          </w:tcPr>
          <w:p>
            <w:pPr>
              <w:ind w:left="1280"/>
              <w:spacing w:after="0"/>
              <w:rPr>
                <w:sz w:val="20"/>
                <w:szCs w:val="20"/>
                <w:color w:val="auto"/>
              </w:rPr>
            </w:pPr>
            <w:r>
              <w:rPr>
                <w:rFonts w:ascii="Arial" w:cs="Arial" w:eastAsia="Arial" w:hAnsi="Arial"/>
                <w:sz w:val="22"/>
                <w:szCs w:val="22"/>
                <w:color w:val="auto"/>
                <w:w w:val="93"/>
              </w:rPr>
              <w:t>Philadelphia, PA 19178-5546</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80"/>
        <w:spacing w:after="0" w:line="253" w:lineRule="auto"/>
        <w:rPr>
          <w:sz w:val="20"/>
          <w:szCs w:val="20"/>
          <w:color w:val="auto"/>
        </w:rPr>
      </w:pPr>
      <w:r>
        <w:rPr>
          <w:rFonts w:ascii="Arial" w:cs="Arial" w:eastAsia="Arial" w:hAnsi="Arial"/>
          <w:sz w:val="22"/>
          <w:szCs w:val="22"/>
          <w:color w:val="auto"/>
        </w:rPr>
        <w:t>Licensee shall convert all monies owing in currencies other than United States dollars in accordance with Licensee’s reasonable then-current standard exchange rate methodology as applied in its external reporting for the conversion of foreign currency sales into U.S. Dollars.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840"/>
        <w:spacing w:after="0" w:line="263" w:lineRule="auto"/>
        <w:rPr>
          <w:sz w:val="20"/>
          <w:szCs w:val="20"/>
          <w:color w:val="auto"/>
        </w:rPr>
      </w:pPr>
      <w:r>
        <w:rPr>
          <w:rFonts w:ascii="Arial" w:cs="Arial" w:eastAsia="Arial" w:hAnsi="Arial"/>
          <w:sz w:val="22"/>
          <w:szCs w:val="22"/>
          <w:color w:val="auto"/>
        </w:rPr>
        <w:t>Licensee shall give Penn prompt written notice of any changes to Licensee’s customary and usual procedures for currency conversion.</w:t>
      </w:r>
    </w:p>
    <w:p>
      <w:pPr>
        <w:spacing w:after="0" w:line="175" w:lineRule="exact"/>
        <w:rPr>
          <w:sz w:val="20"/>
          <w:szCs w:val="20"/>
          <w:color w:val="auto"/>
        </w:rPr>
      </w:pPr>
    </w:p>
    <w:p>
      <w:pPr>
        <w:ind w:firstLine="1305"/>
        <w:spacing w:after="0" w:line="261" w:lineRule="auto"/>
        <w:tabs>
          <w:tab w:leader="none" w:pos="1716" w:val="left"/>
        </w:tabs>
        <w:numPr>
          <w:ilvl w:val="0"/>
          <w:numId w:val="79"/>
        </w:numPr>
        <w:rPr>
          <w:rFonts w:ascii="Arial" w:cs="Arial" w:eastAsia="Arial" w:hAnsi="Arial"/>
          <w:sz w:val="21"/>
          <w:szCs w:val="21"/>
          <w:color w:val="auto"/>
        </w:rPr>
      </w:pPr>
      <w:r>
        <w:rPr>
          <w:rFonts w:ascii="Arial" w:cs="Arial" w:eastAsia="Arial" w:hAnsi="Arial"/>
          <w:sz w:val="21"/>
          <w:szCs w:val="21"/>
          <w:color w:val="auto"/>
        </w:rPr>
        <w:t>Prior to the First Commercial Sale, on an annual basis concurrently with delivery of Development Reports pursuant to Section 3.1(c), and following the First Commercial Sale, on a quarterly basis concurrently with payment of royalties pursuant to Section 4.4(e), Licensee shall submit a completed royalty report in the form shown in Appendix E–Royalty Report showing how any amounts payable to Penn have been calculated. Such royalty report shall provide accounting on a per-country and Licensed Product-by-Licensed Product basis. In addition, Licensee shall include with all such reports a written representation signed by an officer of Licensee on behalf of Licensee that (i) the Net Sales amounts used to prepare such statements have been prepared in accordance with the Accounting Principles and (ii) the amounts payable to Penn reflected in such statements have been calculated in accordance with this Agreement.</w:t>
      </w:r>
    </w:p>
    <w:p>
      <w:pPr>
        <w:spacing w:after="0" w:line="181" w:lineRule="exact"/>
        <w:rPr>
          <w:rFonts w:ascii="Arial" w:cs="Arial" w:eastAsia="Arial" w:hAnsi="Arial"/>
          <w:sz w:val="21"/>
          <w:szCs w:val="21"/>
          <w:color w:val="auto"/>
        </w:rPr>
      </w:pPr>
    </w:p>
    <w:p>
      <w:pPr>
        <w:ind w:right="500" w:firstLine="1305"/>
        <w:spacing w:after="0" w:line="276" w:lineRule="auto"/>
        <w:tabs>
          <w:tab w:leader="none" w:pos="1728" w:val="left"/>
        </w:tabs>
        <w:numPr>
          <w:ilvl w:val="0"/>
          <w:numId w:val="79"/>
        </w:numPr>
        <w:rPr>
          <w:rFonts w:ascii="Arial" w:cs="Arial" w:eastAsia="Arial" w:hAnsi="Arial"/>
          <w:sz w:val="22"/>
          <w:szCs w:val="22"/>
          <w:color w:val="auto"/>
        </w:rPr>
      </w:pPr>
      <w:r>
        <w:rPr>
          <w:rFonts w:ascii="Arial" w:cs="Arial" w:eastAsia="Arial" w:hAnsi="Arial"/>
          <w:sz w:val="22"/>
          <w:szCs w:val="22"/>
          <w:color w:val="auto"/>
        </w:rPr>
        <w:t>Following the First Commercial Sale, if no payment is owed to Penn, Licensee shall supply an accounting demonstrating that fact to Penn.</w:t>
      </w:r>
    </w:p>
    <w:p>
      <w:pPr>
        <w:spacing w:after="0" w:line="160" w:lineRule="exact"/>
        <w:rPr>
          <w:rFonts w:ascii="Arial" w:cs="Arial" w:eastAsia="Arial" w:hAnsi="Arial"/>
          <w:sz w:val="22"/>
          <w:szCs w:val="22"/>
          <w:color w:val="auto"/>
        </w:rPr>
      </w:pPr>
    </w:p>
    <w:p>
      <w:pPr>
        <w:ind w:right="120" w:firstLine="1305"/>
        <w:spacing w:after="0" w:line="307" w:lineRule="auto"/>
        <w:tabs>
          <w:tab w:leader="none" w:pos="17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Licensee shall make all payments due under this Agreement without deduction for taxes, assessments, or other charges of any kind which may be imposed on Penn by any government or political subdivision with respect to any amounts payable to Penn pursuant to this Agreement. All such taxes, assessments, or other charges, if any, shall be assumed by Licensee. Licensee is responsible for all wire/bank fees associated with all payments due to Penn pursuant to this Agreement.</w:t>
      </w:r>
    </w:p>
    <w:p>
      <w:pPr>
        <w:spacing w:after="0" w:line="13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u w:val="single" w:color="auto"/>
          <w:color w:val="auto"/>
        </w:rPr>
        <w:t>Patent Prosecution</w:t>
      </w:r>
    </w:p>
    <w:p>
      <w:pPr>
        <w:spacing w:after="0" w:line="239"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Prosecution of the [**] Patent</w:t>
      </w:r>
      <w:r>
        <w:rPr>
          <w:rFonts w:ascii="Arial" w:cs="Arial" w:eastAsia="Arial" w:hAnsi="Arial"/>
          <w:sz w:val="19"/>
          <w:szCs w:val="19"/>
          <w:color w:val="auto"/>
        </w:rPr>
        <w:t>. UFRF shall file, prosecute, and maintain the Patent Rights related to the [**] Patent using counsel of its choice reasonably acceptable to Licensee. Licensee acknowledges that [**] is acceptable. UFRF shall promptly provide Licensee with copies of all documents sent to and received from the United States Patent and Trademark Office and foreign patent offices relating to the [**] Patent. Licensee shall keep those documents confidential.</w:t>
      </w:r>
    </w:p>
    <w:p>
      <w:pPr>
        <w:spacing w:after="0" w:line="138" w:lineRule="exact"/>
        <w:rPr>
          <w:sz w:val="20"/>
          <w:szCs w:val="20"/>
          <w:color w:val="auto"/>
        </w:rPr>
      </w:pPr>
    </w:p>
    <w:p>
      <w:pPr>
        <w:ind w:right="180" w:firstLine="648"/>
        <w:spacing w:after="0" w:line="299"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Reimbursement</w:t>
      </w:r>
      <w:r>
        <w:rPr>
          <w:rFonts w:ascii="Arial" w:cs="Arial" w:eastAsia="Arial" w:hAnsi="Arial"/>
          <w:sz w:val="19"/>
          <w:szCs w:val="19"/>
          <w:color w:val="auto"/>
        </w:rPr>
        <w:t>. Licensee shall pay UFRF $18, 367.00 within thirty (30) days after the Effective Date to reimburse expenses associated with preparation, filing, prosecution, issuance, maintenance, and reporting of the Patent Rights relating to the</w:t>
      </w:r>
    </w:p>
    <w:p>
      <w:pPr>
        <w:ind w:right="180" w:firstLine="8"/>
        <w:spacing w:after="0" w:line="245" w:lineRule="auto"/>
        <w:tabs>
          <w:tab w:leader="none" w:pos="414" w:val="left"/>
        </w:tabs>
        <w:numPr>
          <w:ilvl w:val="0"/>
          <w:numId w:val="80"/>
        </w:numPr>
        <w:rPr>
          <w:rFonts w:ascii="Arial" w:cs="Arial" w:eastAsia="Arial" w:hAnsi="Arial"/>
          <w:sz w:val="22"/>
          <w:szCs w:val="22"/>
          <w:color w:val="auto"/>
        </w:rPr>
      </w:pPr>
      <w:r>
        <w:rPr>
          <w:rFonts w:ascii="Arial" w:cs="Arial" w:eastAsia="Arial" w:hAnsi="Arial"/>
          <w:sz w:val="22"/>
          <w:szCs w:val="22"/>
          <w:color w:val="auto"/>
        </w:rPr>
        <w:t>Patent prior to the Effective Date. (UFRF NOTE: the above referenced dollar amount in this Section 7.2 is subject to change, as UFRF may not have received all related patent prosecution expense invoices from the law firm at the time of license negotiation.). Licensee shall pay all amounts owing to UFRF at the following:</w:t>
      </w:r>
    </w:p>
    <w:p>
      <w:pPr>
        <w:spacing w:after="0" w:line="193"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University of Florida Research Foundation, Incorporated</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223 Grinter Hall, PO Box 115500</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Gainesville, Florida 32611-5500</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Attention: Business Manager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left="660" w:right="3140" w:firstLine="2489"/>
        <w:spacing w:after="0" w:line="454" w:lineRule="auto"/>
        <w:rPr>
          <w:sz w:val="20"/>
          <w:szCs w:val="20"/>
          <w:color w:val="auto"/>
        </w:rPr>
      </w:pPr>
      <w:r>
        <w:rPr>
          <w:rFonts w:ascii="Arial" w:cs="Arial" w:eastAsia="Arial" w:hAnsi="Arial"/>
          <w:sz w:val="22"/>
          <w:szCs w:val="22"/>
          <w:color w:val="auto"/>
        </w:rPr>
        <w:t xml:space="preserve">Wiring Instructions: www.research.ufl.edu/ufrf/wiring.html 7.3 </w:t>
      </w:r>
      <w:r>
        <w:rPr>
          <w:rFonts w:ascii="Arial" w:cs="Arial" w:eastAsia="Arial" w:hAnsi="Arial"/>
          <w:sz w:val="22"/>
          <w:szCs w:val="22"/>
          <w:u w:val="single" w:color="auto"/>
          <w:color w:val="auto"/>
        </w:rPr>
        <w:t>Consultation and Maintenance</w:t>
      </w:r>
      <w:r>
        <w:rPr>
          <w:rFonts w:ascii="Arial" w:cs="Arial" w:eastAsia="Arial" w:hAnsi="Arial"/>
          <w:sz w:val="22"/>
          <w:szCs w:val="22"/>
          <w:color w:val="auto"/>
        </w:rPr>
        <w:t>.</w:t>
      </w:r>
    </w:p>
    <w:p>
      <w:pPr>
        <w:spacing w:after="0" w:line="2" w:lineRule="exact"/>
        <w:rPr>
          <w:sz w:val="20"/>
          <w:szCs w:val="20"/>
          <w:color w:val="auto"/>
        </w:rPr>
      </w:pPr>
    </w:p>
    <w:p>
      <w:pPr>
        <w:ind w:right="60" w:firstLine="1305"/>
        <w:spacing w:after="0" w:line="292" w:lineRule="auto"/>
        <w:tabs>
          <w:tab w:leader="none" w:pos="17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UFRF will solicit input from Licensee regarding (a) actions to be taken and material decisions in connection with prosecution and maintenance of the Patent Rights related to the [**] Patent, and (b) fees, annuities, costs and expenses to be incurred in connection therewith. UFRF will submit, or will cause to be submitted to Licensee (or its designated counsel) all correspondence or other materials related to the preparation, filing, prosecution (including interferences and oppositions), issuance, maintenance and reporting of the Patent Rights related to the [**] Patent for Licensee’s review and comment prior to any filing or other submission thereof, and UFRF will give due consideration to comments provided by Licensee or Licensee’s counsel. If Licensee fails to provide comments regarding actions to be taken, submissions or payment of fees, annuities, or other costs or expenses within [**] of the date of UFRF’s submission thereof to Licensee, then UFRF will assume Licensee has no comments.</w:t>
      </w:r>
    </w:p>
    <w:p>
      <w:pPr>
        <w:spacing w:after="0" w:line="155" w:lineRule="exact"/>
        <w:rPr>
          <w:rFonts w:ascii="Arial" w:cs="Arial" w:eastAsia="Arial" w:hAnsi="Arial"/>
          <w:sz w:val="19"/>
          <w:szCs w:val="19"/>
          <w:color w:val="auto"/>
        </w:rPr>
      </w:pPr>
    </w:p>
    <w:p>
      <w:pPr>
        <w:ind w:firstLine="1305"/>
        <w:spacing w:after="0" w:line="260" w:lineRule="auto"/>
        <w:tabs>
          <w:tab w:leader="none" w:pos="1728" w:val="left"/>
        </w:tabs>
        <w:numPr>
          <w:ilvl w:val="0"/>
          <w:numId w:val="81"/>
        </w:numPr>
        <w:rPr>
          <w:rFonts w:ascii="Arial" w:cs="Arial" w:eastAsia="Arial" w:hAnsi="Arial"/>
          <w:sz w:val="21"/>
          <w:szCs w:val="21"/>
          <w:color w:val="auto"/>
        </w:rPr>
      </w:pPr>
      <w:r>
        <w:rPr>
          <w:rFonts w:ascii="Arial" w:cs="Arial" w:eastAsia="Arial" w:hAnsi="Arial"/>
          <w:sz w:val="21"/>
          <w:szCs w:val="21"/>
          <w:color w:val="auto"/>
        </w:rPr>
        <w:t>UFRF shall maintain the Patent Rights related to the [**] Patent in at least the following countries: [**]. Licensee shall pay all costs and expenses incurred by UFRF related to the preparation, filing, prosecution (including interferences and oppositions), issuance, maintenance and reporting of the Patent Rights related to the [**] Patent in such countries and in any additional countries or jurisdictions in which UFRF and Licensee mutually agree to pursue such preparation, filing, prosecution (including interferences and oppositions), issuance, maintenance and reporting, in each case that were not previously reimbursed pursuant to Section 7.2 within [**] of receipt of an invoice from UFRF. Licensee shall keep UFRF fully apprised of the entity status of Licensee and all Sublicensees with respect to United States and applicable foreign patent laws. Licensee shall inform UFRF of any changes in writing of the entity status from “small entity” to “large entity” or vice versa with respect to United States and applicable foreign patent laws within [**] of any change.</w:t>
      </w:r>
    </w:p>
    <w:p>
      <w:pPr>
        <w:spacing w:after="0" w:line="184" w:lineRule="exact"/>
        <w:rPr>
          <w:rFonts w:ascii="Arial" w:cs="Arial" w:eastAsia="Arial" w:hAnsi="Arial"/>
          <w:sz w:val="21"/>
          <w:szCs w:val="21"/>
          <w:color w:val="auto"/>
        </w:rPr>
      </w:pPr>
    </w:p>
    <w:p>
      <w:pPr>
        <w:ind w:right="220" w:firstLine="1305"/>
        <w:spacing w:after="0" w:line="270" w:lineRule="auto"/>
        <w:tabs>
          <w:tab w:leader="none" w:pos="1716"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UFRF shall, </w:t>
      </w:r>
      <w:r>
        <w:rPr>
          <w:rFonts w:ascii="Arial" w:cs="Arial" w:eastAsia="Arial" w:hAnsi="Arial"/>
          <w:sz w:val="21"/>
          <w:szCs w:val="21"/>
          <w:color w:val="212121"/>
        </w:rPr>
        <w:t>with respect to the [**] Patent and any related Patent Rights, remain in compliance with The</w:t>
      </w:r>
      <w:r>
        <w:rPr>
          <w:rFonts w:ascii="Arial" w:cs="Arial" w:eastAsia="Arial" w:hAnsi="Arial"/>
          <w:sz w:val="21"/>
          <w:szCs w:val="21"/>
          <w:color w:val="auto"/>
        </w:rPr>
        <w:t xml:space="preserve"> Patent and Trademark Law Amendments Act </w:t>
      </w:r>
      <w:r>
        <w:rPr>
          <w:rFonts w:ascii="Arial" w:cs="Arial" w:eastAsia="Arial" w:hAnsi="Arial"/>
          <w:sz w:val="21"/>
          <w:szCs w:val="21"/>
          <w:color w:val="212121"/>
        </w:rPr>
        <w:t>of 1980 (Public Law 96-517; 35 U.S.C. §§ 200-212), including</w:t>
      </w:r>
      <w:r>
        <w:rPr>
          <w:rFonts w:ascii="Arial" w:cs="Arial" w:eastAsia="Arial" w:hAnsi="Arial"/>
          <w:sz w:val="21"/>
          <w:szCs w:val="21"/>
          <w:color w:val="auto"/>
        </w:rPr>
        <w:t xml:space="preserve"> any amendments thereto and all regulations promulgated thereunder, and shall reasonably assist Licensee in complying with Licensee’s obligations under such law, including, as applicable, that set forth in Section 17.1.</w:t>
      </w:r>
    </w:p>
    <w:p>
      <w:pPr>
        <w:spacing w:after="0" w:line="169" w:lineRule="exact"/>
        <w:rPr>
          <w:rFonts w:ascii="Arial" w:cs="Arial" w:eastAsia="Arial" w:hAnsi="Arial"/>
          <w:sz w:val="21"/>
          <w:szCs w:val="21"/>
          <w:color w:val="auto"/>
        </w:rPr>
      </w:pPr>
    </w:p>
    <w:p>
      <w:pPr>
        <w:ind w:right="180" w:firstLine="1305"/>
        <w:spacing w:after="0" w:line="307" w:lineRule="auto"/>
        <w:tabs>
          <w:tab w:leader="none" w:pos="1728" w:val="left"/>
        </w:tabs>
        <w:numPr>
          <w:ilvl w:val="0"/>
          <w:numId w:val="81"/>
        </w:numPr>
        <w:rPr>
          <w:rFonts w:ascii="Arial" w:cs="Arial" w:eastAsia="Arial" w:hAnsi="Arial"/>
          <w:sz w:val="19"/>
          <w:szCs w:val="19"/>
          <w:color w:val="auto"/>
        </w:rPr>
      </w:pPr>
      <w:r>
        <w:rPr>
          <w:rFonts w:ascii="Arial" w:cs="Arial" w:eastAsia="Arial" w:hAnsi="Arial"/>
          <w:sz w:val="19"/>
          <w:szCs w:val="19"/>
          <w:color w:val="auto"/>
        </w:rPr>
        <w:t>Licensee shall have the sole right in electing which of the Patent Rights related to the [**] Patent shall receive any patent term extension under 35 U.S.C. § 156 in the United States, supplemental protection certificate in the European Union and similar rights in foreign jurisdictions. UFRF and Licensee shall cooperate in timely filing and obtaining the patent term extension, supplemental protection certificate and similar rights for such Patent Right(s) elected by Licensee.</w:t>
      </w:r>
    </w:p>
    <w:p>
      <w:pPr>
        <w:spacing w:after="0" w:line="138" w:lineRule="exact"/>
        <w:rPr>
          <w:sz w:val="20"/>
          <w:szCs w:val="20"/>
          <w:color w:val="auto"/>
        </w:rPr>
      </w:pPr>
    </w:p>
    <w:p>
      <w:pPr>
        <w:jc w:val="both"/>
        <w:ind w:right="420" w:firstLine="648"/>
        <w:spacing w:after="0" w:line="320" w:lineRule="auto"/>
        <w:rPr>
          <w:sz w:val="20"/>
          <w:szCs w:val="20"/>
          <w:color w:val="auto"/>
        </w:rPr>
      </w:pPr>
      <w:r>
        <w:rPr>
          <w:rFonts w:ascii="Arial" w:cs="Arial" w:eastAsia="Arial" w:hAnsi="Arial"/>
          <w:sz w:val="19"/>
          <w:szCs w:val="19"/>
          <w:color w:val="auto"/>
        </w:rPr>
        <w:t>7.4 Licensee may elect upon [**] prior written notice to decline to reimburse UFRF for patent expenses for any Patent Right related to the [**] Patent in any particular country or jurisdiction, provided that if Licensee elects to decline to reimburse UFRF for such patent expenses in any of [**], then upon such election, the license granted to Licensee by this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Agreement terminates after the [**] with respect to the applicable Patent Right in that country or jurisdiction.</w:t>
      </w:r>
    </w:p>
    <w:p>
      <w:pPr>
        <w:spacing w:after="0" w:line="220"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7.5 Patent prosecution of any Patent Rights other than Patent Rights related to the [**] Patent shall be subject to a separate written agreement between the parties, which will provide Licensee with information, review and consultation rights substantially similar to those set forth in this Article 7.</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u w:val="single" w:color="auto"/>
          <w:color w:val="auto"/>
        </w:rPr>
        <w:t>Infringement and Invalidity</w:t>
      </w:r>
    </w:p>
    <w:p>
      <w:pPr>
        <w:spacing w:after="0" w:line="239"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Each party shall inform the other parties promptly in writing of any (i) alleged infringement of the Patent Rights by a Third Party and of any available evidence of the alleged infringement or (ii) declaratory judgment action or post grant challenge (e.g., a post-grant review or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 brought against Licensors or Licensee with respect to the Patent Rights. None of the parties shall charge a Third Party with infringement of the Patent Rights without first consulting with the other parties regarding such proposed action; provided that Licensee, upon prior written notification to Licensors, shall be entitled to take such actions (including notifying Third Parties of infringement or instituting a lawsuit) as are reasonably necessary to timely comply with and preserve all rights under the Biologics Price Competition and Innovation Act in the United States and comparable laws in other applicable countries.</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Infringement Enforcement</w:t>
      </w:r>
      <w:r>
        <w:rPr>
          <w:rFonts w:ascii="Arial" w:cs="Arial" w:eastAsia="Arial" w:hAnsi="Arial"/>
          <w:sz w:val="19"/>
          <w:szCs w:val="19"/>
          <w:color w:val="auto"/>
        </w:rPr>
        <w:t>. During the term of this Agreement:</w:t>
      </w:r>
    </w:p>
    <w:p>
      <w:pPr>
        <w:spacing w:after="0" w:line="233" w:lineRule="exact"/>
        <w:rPr>
          <w:sz w:val="20"/>
          <w:szCs w:val="20"/>
          <w:color w:val="auto"/>
        </w:rPr>
      </w:pPr>
    </w:p>
    <w:p>
      <w:pPr>
        <w:ind w:right="100" w:firstLine="1305"/>
        <w:spacing w:after="0" w:line="287" w:lineRule="auto"/>
        <w:tabs>
          <w:tab w:leader="none" w:pos="1716" w:val="left"/>
        </w:tabs>
        <w:numPr>
          <w:ilvl w:val="0"/>
          <w:numId w:val="82"/>
        </w:numPr>
        <w:rPr>
          <w:rFonts w:ascii="Arial" w:cs="Arial" w:eastAsia="Arial" w:hAnsi="Arial"/>
          <w:sz w:val="19"/>
          <w:szCs w:val="19"/>
          <w:color w:val="auto"/>
        </w:rPr>
      </w:pPr>
      <w:r>
        <w:rPr>
          <w:rFonts w:ascii="Arial" w:cs="Arial" w:eastAsia="Arial" w:hAnsi="Arial"/>
          <w:sz w:val="19"/>
          <w:szCs w:val="19"/>
          <w:color w:val="auto"/>
        </w:rPr>
        <w:t>Licensee shall prosecute any infringement of the Patent Rights at its own expense. If Licensee prosecutes any infringement, Licensors agree that Licensee may include either or both Licensors as co-plaintiffs in any infringement suit in all cases without expense to Licensors; provided Licensee must provide prior, written reasonable notice to Licensors and obtain prior consent from Licensors, such consent not to be unreasonably withheld, prior to their inclusion as a party plaintiff and prior to the filing of the infringement action; provided further that Licensors shall consent to being included as a co-plaintiff in any infringement suit if the infringement is by a Third Party product of commercial significance that is competitive with a Licensed Product and (i) Licensors have received prior written notification from Licensee, (ii) Licensors being named as a party plaintiff is required for matters of standing, and (iii) Licensee has provided Licensors with (a) a written estimate from an outside law firm of the expenses that would be reasonably incurred in connection with such action and (b) documentation of financial records reasonably sufficient to reasonably demonstrate that Licensee has the financial wherewithal to pay such expenses as they fall due through the conclusion of such suit by means of judgement or other non-appealable decision. Licensee may not enter any settlement, consent judgment, or other voluntary final disposition of the suit without the prior, written consent of Licensors, which consent may not be unreasonably withheld. Licensee shall indemnify Licensors against any order for costs that may be made against Licensors in any proceeding undertaken pursuant to Section 8.1 and this Section 8.2(a).</w:t>
      </w:r>
    </w:p>
    <w:p>
      <w:pPr>
        <w:spacing w:after="0" w:line="164" w:lineRule="exact"/>
        <w:rPr>
          <w:rFonts w:ascii="Arial" w:cs="Arial" w:eastAsia="Arial" w:hAnsi="Arial"/>
          <w:sz w:val="19"/>
          <w:szCs w:val="19"/>
          <w:color w:val="auto"/>
        </w:rPr>
      </w:pPr>
    </w:p>
    <w:p>
      <w:pPr>
        <w:ind w:right="160" w:firstLine="1305"/>
        <w:spacing w:after="0" w:line="260" w:lineRule="auto"/>
        <w:tabs>
          <w:tab w:leader="none" w:pos="17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within [**] after receiving notice of, or otherwise becoming aware of, an alleged infringement, Licensee is unsuccessful in persuading the alleged infringer to desist, has not brought an infringement action against the alleged infringer, or notifies Penn or UFRF, as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60"/>
          </w:cols>
          <w:pgMar w:left="240" w:top="125" w:right="2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color w:val="auto"/>
        </w:rPr>
        <w:t>applicable, of its intention not to bring suit against the alleged infringer, then, and in those events only, Licensors may but are not obligated to prosecute at their own expense the alleged infringement of the Patent Rights. Licensors may use the name of Licensee as party plaintiff in the infringement action (in which case the applicable Licensor must provide reasonable notice to Licensee of its inclusion as party plaintiff prior to the filing of the infringement action). Licensors may not enter any settlement, consent judgment, or other voluntary final disposition of the suit without the prior, written consent of Licensee, which consent may not be unreasonably withheld. Licensors shall indemnify Licensee against any order for costs that may be made against Licensee in any proceedings undertaken pursuant to this Section 8.2(b).</w:t>
      </w:r>
    </w:p>
    <w:p>
      <w:pPr>
        <w:spacing w:after="0" w:line="181" w:lineRule="exact"/>
        <w:rPr>
          <w:sz w:val="20"/>
          <w:szCs w:val="20"/>
          <w:color w:val="auto"/>
        </w:rPr>
      </w:pPr>
    </w:p>
    <w:p>
      <w:pPr>
        <w:ind w:right="40" w:firstLine="1305"/>
        <w:spacing w:after="0" w:line="297" w:lineRule="auto"/>
        <w:tabs>
          <w:tab w:leader="none" w:pos="1716"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If a declaratory judgment action or post grant challenge (e.g., a post-grant review or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is brought against Licensors or Licensee by a Third Party alleging invalidity, unpatentability, unenforceability, or non-infringement of the Patent Rights, Licensee, if it is the sole licensee of the Patent Rights, shall be responsible for the sole defense of the action. Such defense shall be at Licensee’s sole expense, subject to Sections 8.3 and 8.4. If Licensee does not defend such action if brought in [**], then Licensors, at their option, may within [**] after commencement of the action take over the sole defense of the action at their own expense and terminate the license in respect of the applicable Patent Rights.</w:t>
      </w:r>
    </w:p>
    <w:p>
      <w:pPr>
        <w:spacing w:after="0" w:line="147"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Voluntary Joinder</w:t>
      </w:r>
      <w:r>
        <w:rPr>
          <w:rFonts w:ascii="Arial" w:cs="Arial" w:eastAsia="Arial" w:hAnsi="Arial"/>
          <w:sz w:val="22"/>
          <w:szCs w:val="22"/>
          <w:color w:val="auto"/>
        </w:rPr>
        <w:t>. If Licensee undertakes the enforcement or defense of the Patent Rights by litigation, either or both Licensors may voluntarily join the litigation, represented by its own counsel at its own expense.</w:t>
      </w:r>
    </w:p>
    <w:p>
      <w:pPr>
        <w:spacing w:after="0" w:line="161"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Recovery</w:t>
      </w:r>
      <w:r>
        <w:rPr>
          <w:rFonts w:ascii="Arial" w:cs="Arial" w:eastAsia="Arial" w:hAnsi="Arial"/>
          <w:sz w:val="19"/>
          <w:szCs w:val="19"/>
          <w:color w:val="auto"/>
        </w:rPr>
        <w:t>. Licensee shall apply any recovery of damages first in satisfaction of any unreimbursed expenses and legal fees of Licensee relating to the suit and next toward reimbursement of Licensors for any legal fees and unreimbursed expenses. Licensee and Licensors shall divide the balance remaining from any recovery as follows. If Licensee conducts the litigation and Licensors have not co-funded the cost of the action, then the balance remaining shall be divided by allocating [**] percent ([**]%) of such balance to Licensee, on the one hand, and [**] percent ([**]%) of such balance to Licensors, on the other hand. If Licensors have co-funded at least fifty percent (50%) of the cost of the action, then the balance remaining shall be divided by allocating fifty percent (50%) of such balance to Licensee, on the one hand, and fifty percent (50%) to Licensors, on the other hand. In the event that the Licensors [**] percent ([**]%) of the cost of such action, the Parties shall implement an equitable allocation of any remaining balance between the Licensee, on the one hand, and the Licensors, on the other hand based upon such co-funding percentage and the allocations provided under this Section 8.4.</w:t>
      </w:r>
    </w:p>
    <w:p>
      <w:pPr>
        <w:spacing w:after="0" w:line="156" w:lineRule="exact"/>
        <w:rPr>
          <w:sz w:val="20"/>
          <w:szCs w:val="20"/>
          <w:color w:val="auto"/>
        </w:rPr>
      </w:pPr>
    </w:p>
    <w:p>
      <w:pPr>
        <w:jc w:val="both"/>
        <w:ind w:right="660" w:firstLine="648"/>
        <w:spacing w:after="0" w:line="254"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Cooperation</w:t>
      </w:r>
      <w:r>
        <w:rPr>
          <w:rFonts w:ascii="Arial" w:cs="Arial" w:eastAsia="Arial" w:hAnsi="Arial"/>
          <w:sz w:val="22"/>
          <w:szCs w:val="22"/>
          <w:color w:val="auto"/>
        </w:rPr>
        <w:t>. In any suit in which Licensee or either Licensor is involved to enforce or defend the Patent Rights pursuant to this Agreement, the other parties shall, at the request and expense of the party initiating the suit, cooperate in all respects and, to the extent possible, have its employees testify when requested and make available relevant records, papers, information, samples, specimens, and the like.</w:t>
      </w:r>
    </w:p>
    <w:p>
      <w:pPr>
        <w:spacing w:after="0" w:line="185" w:lineRule="exact"/>
        <w:rPr>
          <w:sz w:val="20"/>
          <w:szCs w:val="20"/>
          <w:color w:val="auto"/>
        </w:rPr>
      </w:pPr>
    </w:p>
    <w:p>
      <w:pPr>
        <w:ind w:right="160" w:firstLine="648"/>
        <w:spacing w:after="0" w:line="260"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Patent Challenge</w:t>
      </w:r>
      <w:r>
        <w:rPr>
          <w:rFonts w:ascii="Arial" w:cs="Arial" w:eastAsia="Arial" w:hAnsi="Arial"/>
          <w:sz w:val="22"/>
          <w:szCs w:val="22"/>
          <w:color w:val="auto"/>
        </w:rPr>
        <w:t>. If Licensee (or its Affiliate) or any Sublicensee (or its Affiliate) brings a Patent Challenge against any Patent Rights, unless Licensors terminate this Agreement pursuant to Section 9.4, Licensee shall continue to pay royalties and make other payments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pursuant to this Agreement with respect to that patent as if the contest were not underway until the patent is adjudicated invalid or unenforceable by a court of last resort. If Licensee does not continue to pay royalties and make other payments pursuant to this Agreement with respect to the applicable Patent Rights as if the contest were not underway, and if at the end of such contest Patent Rights covering Licensed Products remain valid, then all royalties and other payments due under this Agreement with respect to such Patent Rights will be increased by [**] percent ([**]%).</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u w:val="single" w:color="auto"/>
          <w:color w:val="auto"/>
        </w:rPr>
        <w:t>Term and Termination</w:t>
      </w:r>
    </w:p>
    <w:p>
      <w:pPr>
        <w:spacing w:after="0" w:line="239" w:lineRule="exact"/>
        <w:rPr>
          <w:sz w:val="20"/>
          <w:szCs w:val="20"/>
          <w:color w:val="auto"/>
        </w:rPr>
      </w:pPr>
    </w:p>
    <w:p>
      <w:pPr>
        <w:ind w:right="400" w:firstLine="648"/>
        <w:spacing w:after="0" w:line="35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begins on the Effective Date and continues until the latest to end of each of the royalty obligations set forth in Section 4.4(a), (b) and (c), unless earlier terminated pursuant to this Section 9.</w:t>
      </w:r>
    </w:p>
    <w:p>
      <w:pPr>
        <w:spacing w:after="0" w:line="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Licensee Termination</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64" w:lineRule="auto"/>
        <w:tabs>
          <w:tab w:leader="none" w:pos="1716"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Before the Effectiveness of IND</w:t>
      </w:r>
      <w:r>
        <w:rPr>
          <w:rFonts w:ascii="Arial" w:cs="Arial" w:eastAsia="Arial" w:hAnsi="Arial"/>
          <w:sz w:val="21"/>
          <w:szCs w:val="21"/>
          <w:color w:val="auto"/>
        </w:rPr>
        <w:t>. Licensee may terminate this Agreement in its entirety or with respect to a particular Category of Licensed Products at any time prior to an IND for a Licensed Product in such Category becoming effective by giving at least sixty (60) days’ prior written notice to Penn, on behalf of both Licensors. Licensee shall include a statement of the reasons for termination, if any, in the notice. For clarity, Licensee may terminate pursuant to this subsection (a) with respect to the Category of [**] Products only, or with respect to the Category of [**] Products only, without affecting its rights or obligations to the other Category of Licensed Products.</w:t>
      </w:r>
    </w:p>
    <w:p>
      <w:pPr>
        <w:spacing w:after="0" w:line="175" w:lineRule="exact"/>
        <w:rPr>
          <w:rFonts w:ascii="Arial" w:cs="Arial" w:eastAsia="Arial" w:hAnsi="Arial"/>
          <w:sz w:val="21"/>
          <w:szCs w:val="21"/>
          <w:color w:val="auto"/>
        </w:rPr>
      </w:pPr>
    </w:p>
    <w:p>
      <w:pPr>
        <w:ind w:right="20" w:firstLine="1305"/>
        <w:spacing w:after="0" w:line="259" w:lineRule="auto"/>
        <w:tabs>
          <w:tab w:leader="none" w:pos="1783"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After the Effectiveness of IND.</w:t>
      </w:r>
      <w:r>
        <w:rPr>
          <w:rFonts w:ascii="Arial" w:cs="Arial" w:eastAsia="Arial" w:hAnsi="Arial"/>
          <w:sz w:val="21"/>
          <w:szCs w:val="21"/>
          <w:color w:val="auto"/>
        </w:rPr>
        <w:t xml:space="preserve"> If an IND for a Licensed Product in a particular Category becomes effective, then this Agreement shall be non-cancellable under Section 9.2 with respect to such Category, except that Licensee shall have the right to terminate this Agreement with respect to such Category by providing Penn written notice, certified by an officer of the Licensee, that Licensee is ceasing all use, research and development of, manufacture of, sales, importation of, or any commercialization of all Licensed Products in such Category (other than any further use that is necessary to comply with any applicable regulatory requirements arising from studies and trials initiated prior to notice of termination of this Agreement with respect to such Category, for which Licensee shall provide Penn with a semiannual written summary of any ongoing uses of the Licensed Products, in such Category including the purpose of such ongoing uses and the expected duration of such uses, and shall confirm in writing when such use has ceased). For clarity, Licensee may terminate pursuant to this subsection (b) with respect to the Category of [**] Products only, or with respect to the Category of [**] Products only, without affecting its rights or obligations to the other Category of Licensed Products.</w:t>
      </w:r>
    </w:p>
    <w:p>
      <w:pPr>
        <w:spacing w:after="0" w:line="185" w:lineRule="exact"/>
        <w:rPr>
          <w:rFonts w:ascii="Arial" w:cs="Arial" w:eastAsia="Arial" w:hAnsi="Arial"/>
          <w:sz w:val="21"/>
          <w:szCs w:val="21"/>
          <w:color w:val="auto"/>
        </w:rPr>
      </w:pPr>
    </w:p>
    <w:p>
      <w:pPr>
        <w:ind w:right="20" w:firstLine="1305"/>
        <w:spacing w:after="0" w:line="293" w:lineRule="auto"/>
        <w:tabs>
          <w:tab w:leader="none" w:pos="1716"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Material Breach by Penn or UFRF</w:t>
      </w:r>
      <w:r>
        <w:rPr>
          <w:rFonts w:ascii="Arial" w:cs="Arial" w:eastAsia="Arial" w:hAnsi="Arial"/>
          <w:sz w:val="19"/>
          <w:szCs w:val="19"/>
          <w:color w:val="auto"/>
        </w:rPr>
        <w:t>. If Penn or UFRF commits a material breach of this Agreement at any time, then Licensee may give Penn, on behalf of both Licensors, written notice specifying the nature of the default, requiring Penn or UFRF, as applicable, to cure such breach, and stating its intention to terminate this Agreement. If such breach is not cured within</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84"/>
        </w:numPr>
        <w:rPr>
          <w:rFonts w:ascii="Arial" w:cs="Arial" w:eastAsia="Arial" w:hAnsi="Arial"/>
          <w:sz w:val="22"/>
          <w:szCs w:val="22"/>
          <w:color w:val="auto"/>
        </w:rPr>
      </w:pPr>
      <w:r>
        <w:rPr>
          <w:rFonts w:ascii="Arial" w:cs="Arial" w:eastAsia="Arial" w:hAnsi="Arial"/>
          <w:sz w:val="22"/>
          <w:szCs w:val="22"/>
          <w:color w:val="auto"/>
        </w:rPr>
        <w:t>of such notice and Penn fails to provide Licensee with a plan to cure such breach that</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20"/>
          </w:cols>
          <w:pgMar w:left="24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is reasonably acceptable to Licensee, such termination shall become effective upon a notice of termination by Licensee thereafter to Penn.</w:t>
      </w:r>
    </w:p>
    <w:p>
      <w:pPr>
        <w:spacing w:after="0" w:line="175" w:lineRule="exact"/>
        <w:rPr>
          <w:sz w:val="20"/>
          <w:szCs w:val="20"/>
          <w:color w:val="auto"/>
        </w:rPr>
      </w:pPr>
    </w:p>
    <w:p>
      <w:pPr>
        <w:ind w:right="60" w:firstLine="648"/>
        <w:spacing w:after="0" w:line="291"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Licensors’ Termination</w:t>
      </w:r>
      <w:r>
        <w:rPr>
          <w:rFonts w:ascii="Arial" w:cs="Arial" w:eastAsia="Arial" w:hAnsi="Arial"/>
          <w:sz w:val="19"/>
          <w:szCs w:val="19"/>
          <w:color w:val="auto"/>
        </w:rPr>
        <w:t>. If Licensee commits a material breach of this Agreement, Penn, on behalf of both Licensors, may give to Licensee written notice specifying the nature of the default, requiring it to cure such breach, and stating its intention to terminate this Agreement. If such breach is not cured within [**] in the case of payment breaches, provided that in the case of good faith payment disputes, such cure period shall be tolled in respect of, and only to the extent of, amounts actually being disputed during the pendency of any dispute resolution proceeding in which the amount due is being disputed in good faith, until the resolution of the disputed amount due, in which case Licensee may cure such payment breach by paying the amount determined to be due, if any, within [**] after such resolution) of such notice and Licensee fails to provide Licensors with a plan to cure such breach that is reasonably acceptable to either Licensor, such termination shall become effective upon a notice of termination by Licensors thereafter. For clarity, a material breach includes but is not limited to:</w:t>
      </w:r>
    </w:p>
    <w:p>
      <w:pPr>
        <w:spacing w:after="0" w:line="155" w:lineRule="exact"/>
        <w:rPr>
          <w:sz w:val="20"/>
          <w:szCs w:val="20"/>
          <w:color w:val="auto"/>
        </w:rPr>
      </w:pPr>
    </w:p>
    <w:p>
      <w:pPr>
        <w:ind w:firstLine="1305"/>
        <w:spacing w:after="0" w:line="260" w:lineRule="auto"/>
        <w:tabs>
          <w:tab w:leader="none" w:pos="1716" w:val="left"/>
        </w:tabs>
        <w:numPr>
          <w:ilvl w:val="1"/>
          <w:numId w:val="85"/>
        </w:numPr>
        <w:rPr>
          <w:rFonts w:ascii="Arial" w:cs="Arial" w:eastAsia="Arial" w:hAnsi="Arial"/>
          <w:sz w:val="22"/>
          <w:szCs w:val="22"/>
          <w:color w:val="auto"/>
        </w:rPr>
      </w:pPr>
      <w:r>
        <w:rPr>
          <w:rFonts w:ascii="Arial" w:cs="Arial" w:eastAsia="Arial" w:hAnsi="Arial"/>
          <w:sz w:val="22"/>
          <w:szCs w:val="22"/>
          <w:color w:val="auto"/>
        </w:rPr>
        <w:t>Licensee being delinquent in timely providing any report, payment or required documents as specified in any section of this Agreement or provides a materially deficient report, payment or required document as specified in any section of this Agreement;</w:t>
      </w:r>
    </w:p>
    <w:p>
      <w:pPr>
        <w:spacing w:after="0" w:line="177" w:lineRule="exact"/>
        <w:rPr>
          <w:rFonts w:ascii="Arial" w:cs="Arial" w:eastAsia="Arial" w:hAnsi="Arial"/>
          <w:sz w:val="22"/>
          <w:szCs w:val="22"/>
          <w:color w:val="auto"/>
        </w:rPr>
      </w:pPr>
    </w:p>
    <w:p>
      <w:pPr>
        <w:ind w:right="60" w:firstLine="1305"/>
        <w:spacing w:after="0" w:line="299" w:lineRule="auto"/>
        <w:tabs>
          <w:tab w:leader="none" w:pos="1728" w:val="left"/>
        </w:tabs>
        <w:numPr>
          <w:ilvl w:val="1"/>
          <w:numId w:val="85"/>
        </w:numPr>
        <w:rPr>
          <w:rFonts w:ascii="Arial" w:cs="Arial" w:eastAsia="Arial" w:hAnsi="Arial"/>
          <w:sz w:val="19"/>
          <w:szCs w:val="19"/>
          <w:color w:val="auto"/>
        </w:rPr>
      </w:pPr>
      <w:r>
        <w:rPr>
          <w:rFonts w:ascii="Arial" w:cs="Arial" w:eastAsia="Arial" w:hAnsi="Arial"/>
          <w:sz w:val="19"/>
          <w:szCs w:val="19"/>
          <w:color w:val="auto"/>
        </w:rPr>
        <w:t>Licensee being in breach of its obligations under Section 3.1(a), 3.1(b) or 3.2(a); provided that, Licensee’s failure to satisfy its obligations under Sections 3.1(a), 3.1(b) or 3.2(a) with respect to only one Category of Licensed Products (e.g.,</w:t>
      </w:r>
    </w:p>
    <w:p>
      <w:pPr>
        <w:ind w:right="20" w:firstLine="8"/>
        <w:spacing w:after="0" w:line="257" w:lineRule="auto"/>
        <w:tabs>
          <w:tab w:leader="none" w:pos="414" w:val="left"/>
        </w:tabs>
        <w:numPr>
          <w:ilvl w:val="0"/>
          <w:numId w:val="85"/>
        </w:numPr>
        <w:rPr>
          <w:rFonts w:ascii="Arial" w:cs="Arial" w:eastAsia="Arial" w:hAnsi="Arial"/>
          <w:sz w:val="21"/>
          <w:szCs w:val="21"/>
          <w:color w:val="auto"/>
        </w:rPr>
      </w:pPr>
      <w:r>
        <w:rPr>
          <w:rFonts w:ascii="Arial" w:cs="Arial" w:eastAsia="Arial" w:hAnsi="Arial"/>
          <w:sz w:val="21"/>
          <w:szCs w:val="21"/>
          <w:color w:val="auto"/>
        </w:rPr>
        <w:t>Products or [**] Products) shall only permit Penn and UFRF to terminate the licenses and rights granted to Licensee under this Agreement with respect to such Category and shall not affect Licensee’s rights or obligations with respect to the other Category; provided, further that, Licensee’s failure to meet the milestones set forth in Section 3.2(a)(i) and Appendix F-1 shall only permit Penn and UFRF to terminate the licenses and rights granted to Licensee under this Agreement with respect to the Category of [**] Products and shall not affect Licensee’s rights or obligations with respect to the [**] Products, and similarly, Licensee’s failure to meet the milestones set forth in Section 3.2(a)(ii) and Appendix F-2 shall only permit Penn and UFRF to terminate the licenses and rights granted to Licensee under this Agreement with respect to the Category of [**] Products and shall not affect Licensee’s rights or obligations with respect to the [**] Products;</w:t>
      </w:r>
    </w:p>
    <w:p>
      <w:pPr>
        <w:spacing w:after="0" w:line="182" w:lineRule="exact"/>
        <w:rPr>
          <w:rFonts w:ascii="Arial" w:cs="Arial" w:eastAsia="Arial" w:hAnsi="Arial"/>
          <w:sz w:val="21"/>
          <w:szCs w:val="21"/>
          <w:color w:val="auto"/>
        </w:rPr>
      </w:pPr>
    </w:p>
    <w:p>
      <w:pPr>
        <w:ind w:right="20" w:firstLine="1305"/>
        <w:spacing w:after="0" w:line="276" w:lineRule="auto"/>
        <w:tabs>
          <w:tab w:leader="none" w:pos="1716" w:val="left"/>
        </w:tabs>
        <w:numPr>
          <w:ilvl w:val="1"/>
          <w:numId w:val="86"/>
        </w:numPr>
        <w:rPr>
          <w:rFonts w:ascii="Arial" w:cs="Arial" w:eastAsia="Arial" w:hAnsi="Arial"/>
          <w:sz w:val="22"/>
          <w:szCs w:val="22"/>
          <w:color w:val="auto"/>
        </w:rPr>
      </w:pPr>
      <w:r>
        <w:rPr>
          <w:rFonts w:ascii="Arial" w:cs="Arial" w:eastAsia="Arial" w:hAnsi="Arial"/>
          <w:sz w:val="22"/>
          <w:szCs w:val="22"/>
          <w:color w:val="auto"/>
        </w:rPr>
        <w:t>Licensee violating any laws or regulations in a manner that is material to the development or commercialization of Licensed Products; and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86"/>
        </w:numPr>
        <w:rPr>
          <w:rFonts w:ascii="Arial" w:cs="Arial" w:eastAsia="Arial" w:hAnsi="Arial"/>
          <w:sz w:val="22"/>
          <w:szCs w:val="22"/>
          <w:color w:val="auto"/>
        </w:rPr>
      </w:pPr>
      <w:r>
        <w:rPr>
          <w:rFonts w:ascii="Arial" w:cs="Arial" w:eastAsia="Arial" w:hAnsi="Arial"/>
          <w:sz w:val="22"/>
          <w:szCs w:val="22"/>
          <w:color w:val="auto"/>
        </w:rPr>
        <w:t>Licensee providing any report to either or both Licensors containing intentionally false or misleading</w:t>
      </w:r>
    </w:p>
    <w:p>
      <w:pPr>
        <w:spacing w:after="0" w:line="2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information.</w:t>
      </w:r>
    </w:p>
    <w:p>
      <w:pPr>
        <w:spacing w:after="0" w:line="215"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Penn, on behalf of both Licensors, may also terminate this Agreement upon thirty (30) days’ notice to Licensee in the event that (i) Licensee goes into bankruptcy, liquidation or proposes having a receiver control any of its assets (unless such action is dismissed within thirty (30) days); (ii) Licensee ceases to carry on the entirety of its business pertaining to Patent Rights or Licensed Information; or (iii) Licensee ceases for more than four (4) consecutive calendar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quarters to make any payment of earned royalties under Section 4.4 once begun, unless such cessation is based on safety concerns that Licensee is actively attempting to address.</w:t>
      </w:r>
    </w:p>
    <w:p>
      <w:pPr>
        <w:spacing w:after="0" w:line="175"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9.4 If Licensee or any of its Affiliates brings a Patent Challenge against Licensors or assists others in bringing a Patent Challenge against Licensors (except as required under a court order or subpoena or as part of proceedings initiated by a patent office and not provoked by Licensee or its Affiliate), then Penn, on behalf of both Licensors, may immediately terminate this Agreement. If a Sublicensee or any Sublicensee Affiliate brings a Patent Challenge or assists another party in bringing a Patent Challenge (except as required under a court order or subpoena or as part of proceedings initiated by a patent office and not provoked by Sublicensee or its Affiliate), then Penn, on behalf of both Licensors, may send a written demand to Licensee to terminate the Sublicense. If Licensee fails to terminate the Sublicense within forty five (45) days after Licensors’ demand, Penn, on behalf of both Licensors, may immediately terminate this Agreement.</w:t>
      </w:r>
    </w:p>
    <w:p>
      <w:pPr>
        <w:spacing w:after="0" w:line="156" w:lineRule="exact"/>
        <w:rPr>
          <w:sz w:val="20"/>
          <w:szCs w:val="20"/>
          <w:color w:val="auto"/>
        </w:rPr>
      </w:pPr>
    </w:p>
    <w:p>
      <w:pPr>
        <w:ind w:right="40" w:firstLine="648"/>
        <w:spacing w:after="0" w:line="26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License Survival</w:t>
      </w:r>
      <w:r>
        <w:rPr>
          <w:rFonts w:ascii="Arial" w:cs="Arial" w:eastAsia="Arial" w:hAnsi="Arial"/>
          <w:sz w:val="22"/>
          <w:szCs w:val="22"/>
          <w:color w:val="auto"/>
        </w:rPr>
        <w:t>. Upon any expiration of this Agreement under Section 9.1 (but not earlier termination), the licenses granted to Licensee under Sections 2.1, 2.2 and 2.3 shall become fully paid-up and perpetual, on a country-by-country basis or with respect to the Licensed Territory, as applicable.</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Licensee Payment Defaults</w:t>
      </w:r>
      <w:r>
        <w:rPr>
          <w:rFonts w:ascii="Arial" w:cs="Arial" w:eastAsia="Arial" w:hAnsi="Arial"/>
          <w:sz w:val="22"/>
          <w:szCs w:val="22"/>
          <w:color w:val="auto"/>
        </w:rPr>
        <w:t>. Licensee’s cure period under Section 9.3 shall be decreased to [**] upon the occurrence of the second separate failure by Licensee within any consecutive two-year period to pay at least [**] percent ([**]%) of any monies due under this Agreement when due.</w:t>
      </w:r>
    </w:p>
    <w:p>
      <w:pPr>
        <w:spacing w:after="0" w:line="177"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Effects of Certain Terminations</w:t>
      </w:r>
      <w:r>
        <w:rPr>
          <w:rFonts w:ascii="Arial" w:cs="Arial" w:eastAsia="Arial" w:hAnsi="Arial"/>
          <w:sz w:val="19"/>
          <w:szCs w:val="19"/>
          <w:color w:val="auto"/>
        </w:rPr>
        <w:t>. In the event of termination of this Agreement pursuant to Section 9.2, 9.3, or 9.4, the licenses granted to Licensee under Sections 2.1, 2.2 and 2.3 shall terminate, but Licensee may elect to have any then-existing Sublicenses survive as direct licenses from Licensors (provided that the applicable Sublicensees are in good standing thereunder and are not in material breach of any material obligation or term under this Agreement including Section 2.4) and such survival will be accepted by Licensors. Each Sublicense surviving as a direct license as set forth herein will remain in full force and effect with Licensors as the licensor or sublicensor instead of Licensee, but the duties and obligations of Licensors under such surviving Sublicenses will not be greater than the duties of Licensors under this Agreement, and the rights of Licensors under such surviving Sublicenses will not be less than the rights of Licensors under this Agreement.</w:t>
      </w:r>
    </w:p>
    <w:p>
      <w:pPr>
        <w:spacing w:after="0" w:line="156" w:lineRule="exact"/>
        <w:rPr>
          <w:sz w:val="20"/>
          <w:szCs w:val="20"/>
          <w:color w:val="auto"/>
        </w:rPr>
      </w:pPr>
    </w:p>
    <w:p>
      <w:pPr>
        <w:ind w:right="40" w:firstLine="648"/>
        <w:spacing w:after="0" w:line="262"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Accrued Obligations</w:t>
      </w:r>
      <w:r>
        <w:rPr>
          <w:rFonts w:ascii="Arial" w:cs="Arial" w:eastAsia="Arial" w:hAnsi="Arial"/>
          <w:sz w:val="21"/>
          <w:szCs w:val="21"/>
          <w:color w:val="auto"/>
        </w:rPr>
        <w:t>. Termination of this Agreement for any reason does not release either Licensee or Licensors from any obligation that matured prior to the effective date of termination. Licensee remains obligated to provide an accounting for and to pay royalties earned as well as pay any other amounts due including patent expenses incurred during the term of the Agreement. Licensee may prorate any minimum royalties that are due as of the date of termination by the number of days elapsed in the applicable calendar year. Licensee and its Sublicensees may, however, during the [**] after the effective date of termination, sell any Licensed Products that are in inventory and complete and sell Licensed Products that are in the process of manufacture, provided that Licensee provides an accounting for and pays all earned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royalties and other payments that are due under the terms of the Agreement for such sales of Licensed Products.</w:t>
      </w:r>
    </w:p>
    <w:p>
      <w:pPr>
        <w:spacing w:after="0" w:line="220" w:lineRule="exact"/>
        <w:rPr>
          <w:sz w:val="20"/>
          <w:szCs w:val="20"/>
          <w:color w:val="auto"/>
        </w:rPr>
      </w:pPr>
    </w:p>
    <w:p>
      <w:pPr>
        <w:ind w:right="120" w:firstLine="648"/>
        <w:spacing w:after="0" w:line="278" w:lineRule="auto"/>
        <w:rPr>
          <w:sz w:val="20"/>
          <w:szCs w:val="20"/>
          <w:color w:val="auto"/>
        </w:rPr>
      </w:pPr>
      <w:r>
        <w:rPr>
          <w:rFonts w:ascii="Arial" w:cs="Arial" w:eastAsia="Arial" w:hAnsi="Arial"/>
          <w:sz w:val="21"/>
          <w:szCs w:val="21"/>
          <w:color w:val="auto"/>
        </w:rPr>
        <w:t xml:space="preserve">9.9 </w:t>
      </w:r>
      <w:r>
        <w:rPr>
          <w:rFonts w:ascii="Arial" w:cs="Arial" w:eastAsia="Arial" w:hAnsi="Arial"/>
          <w:sz w:val="21"/>
          <w:szCs w:val="21"/>
          <w:u w:val="single" w:color="auto"/>
          <w:color w:val="auto"/>
        </w:rPr>
        <w:t>Survival</w:t>
      </w:r>
      <w:r>
        <w:rPr>
          <w:rFonts w:ascii="Arial" w:cs="Arial" w:eastAsia="Arial" w:hAnsi="Arial"/>
          <w:sz w:val="21"/>
          <w:szCs w:val="21"/>
          <w:color w:val="auto"/>
        </w:rPr>
        <w:t>. Upon termination of the Agreement for any reason, defined terms and the following sections of the License Agreement remain in force as non-cancelable obligations: 4.8, 5.3, 6 (except 6.3(c) and 6.3(d)), 8.5, 9.7-9.11, 11, 12, 13 (except 13.3), 14, 15.1, 15.2, 15.3, 15.5(a), 15.6, 15.7, 15.8, 15.10, 15.11, 15.12, 15.13, 16, 18 and 20.</w:t>
      </w:r>
    </w:p>
    <w:p>
      <w:pPr>
        <w:spacing w:after="0" w:line="160"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9.10 Upon early termination (but not expiration) of the Agreement for any reason, Licensee shall, at its option, return to Penn and UFRF or destroy (followed by written certification by Licensee of such destruction) all Licensed Information and Know-How Controlled by Licensee, its Affiliates or Sublicensees as the date of termination, and shall cease using all Licensed Information and Know-How for any purpose (other than any further use that is necessary to comply with any applicable regulatory requirements arising from studies and trials initiated prior to notice of termination of this Agreement, for which Licensee shall provide Penn with a semiannual written summary of any ongoing uses of the Licensed Information and Know-How, including the purpose of such ongoing uses and the expected duration of such uses, and shall confirm in writing when such use has ceased).</w:t>
      </w:r>
    </w:p>
    <w:p>
      <w:pPr>
        <w:spacing w:after="0" w:line="15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9.11 In the event of termination of this Agreement pursuant to Section 9.2, Licensee agrees to promptly meet with Licensors and consider Licensors’ interest in obtaining, on commercially reasonable terms, a license to or assignment of Licensee’s right, title and interest in any Licensed Product in the possession or control of Licensee and in any intellectual property developed by or on behalf of Licensee relating to this Agreement, including, whether or not patentable, (i) data (including but not limited to preclinical data and clinical data), (ii) reports including, but not limited to, study reports, (iii) manufacturing data, batch records, and reports, (iv) inventions, and (v) documents submitted to and received from regulatory agencies and documents relied on in support of regulatory filings, in each case generated by or on behalf of the Licensee and in the possession or control of the Licensee. For the avoidance of doubt, Licensee has sole discretion as to whether to enter into such a license or an assignment with Licensors.</w:t>
      </w:r>
    </w:p>
    <w:p>
      <w:pPr>
        <w:spacing w:after="0" w:line="190"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b w:val="1"/>
          <w:bCs w:val="1"/>
          <w:color w:val="auto"/>
        </w:rPr>
        <w:t xml:space="preserve">Section 10 </w:t>
      </w:r>
      <w:r>
        <w:rPr>
          <w:rFonts w:ascii="Arial" w:cs="Arial" w:eastAsia="Arial" w:hAnsi="Arial"/>
          <w:sz w:val="22"/>
          <w:szCs w:val="22"/>
          <w:b w:val="1"/>
          <w:bCs w:val="1"/>
          <w:u w:val="single" w:color="auto"/>
          <w:color w:val="auto"/>
        </w:rPr>
        <w:t>No Discrimination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Licensors nor Licensee will discriminate against any employee or applicant for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because of race, color, sex, sexual or affectional preference, age, religion, national or ethnic origin, handicap, or veteran status. However, a breach of this Section 10 by any party shall not entitle any other party(ies) to terminate this Agreement so long as the breaching party is taking good faith efforts to investigate, and if applicable, remediate (including via discipline) such discrimination in compliance with applicable discrimination laws. For the avoidance of doubt, an alleged discrimination shall not constitute a breach of this Section 10.</w:t>
      </w:r>
    </w:p>
    <w:p>
      <w:pPr>
        <w:spacing w:after="0" w:line="398"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Assignability</w:t>
      </w:r>
    </w:p>
    <w:p>
      <w:pPr>
        <w:spacing w:after="0" w:line="239" w:lineRule="exact"/>
        <w:rPr>
          <w:sz w:val="20"/>
          <w:szCs w:val="20"/>
          <w:color w:val="auto"/>
        </w:rPr>
      </w:pPr>
    </w:p>
    <w:p>
      <w:pPr>
        <w:jc w:val="both"/>
        <w:ind w:right="600" w:firstLine="1305"/>
        <w:spacing w:after="0" w:line="260" w:lineRule="auto"/>
        <w:tabs>
          <w:tab w:leader="none" w:pos="1716"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This Agreement may not be transferred or assigned by Licensee except with the prior written consent of Licensors, except that Licensee may assign this Agreement without prior written consent of Licensors (i) to a wholly-owned Affiliate, (ii) to an Affiliate that</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60"/>
          </w:cols>
          <w:pgMar w:left="240" w:top="125" w:right="2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is not wholly-owned if Licensee (or its successor following an assignment pursuant to this Section 11) has a market capitalization of at least [**] Dollars ($[**]) at the time of such assignment, and in the case of (i) and (ii) provided that Licensee remains liable for any breach of this Agreement by the Affiliate, or (iii) in connection with sale or transfer of all or substantially all of the business or the assets, as applicable, of the business to which this Agreement relates, including by way of sale of assets, merger or consolidation, and in each case of (i), (ii) and (iii) provided that (A) there exists no uncured financial breach by the Licensee or its Affiliates of any material term of this Agreement, including those caused by a Sublicensee at the time of the assignment; (B) within</w:t>
      </w:r>
    </w:p>
    <w:p>
      <w:pPr>
        <w:spacing w:after="0" w:line="1" w:lineRule="exact"/>
        <w:rPr>
          <w:sz w:val="20"/>
          <w:szCs w:val="20"/>
          <w:color w:val="auto"/>
        </w:rPr>
      </w:pPr>
    </w:p>
    <w:p>
      <w:pPr>
        <w:ind w:right="20" w:firstLine="8"/>
        <w:spacing w:after="0" w:line="244" w:lineRule="auto"/>
        <w:tabs>
          <w:tab w:leader="none" w:pos="414" w:val="left"/>
        </w:tabs>
        <w:numPr>
          <w:ilvl w:val="0"/>
          <w:numId w:val="88"/>
        </w:numPr>
        <w:rPr>
          <w:rFonts w:ascii="Arial" w:cs="Arial" w:eastAsia="Arial" w:hAnsi="Arial"/>
          <w:sz w:val="22"/>
          <w:szCs w:val="22"/>
          <w:color w:val="auto"/>
        </w:rPr>
      </w:pPr>
      <w:r>
        <w:rPr>
          <w:rFonts w:ascii="Arial" w:cs="Arial" w:eastAsia="Arial" w:hAnsi="Arial"/>
          <w:sz w:val="22"/>
          <w:szCs w:val="22"/>
          <w:color w:val="auto"/>
        </w:rPr>
        <w:t>of the consummation of such transaction, Licensee shall give notice of the transaction to Licensors; and (C) the assignee agrees in writing to (x) be legally bound by this Agreement; (y) assume responsibility for any and all liabilities that arose under this Agreement prior to the effective date of the proposed assignment of this Agreement, and (z) deliver to Licensors an updated Development Plan within [**] after the closing of the proposed transaction.</w:t>
      </w:r>
    </w:p>
    <w:p>
      <w:pPr>
        <w:spacing w:after="0" w:line="195" w:lineRule="exact"/>
        <w:rPr>
          <w:rFonts w:ascii="Arial" w:cs="Arial" w:eastAsia="Arial" w:hAnsi="Arial"/>
          <w:sz w:val="22"/>
          <w:szCs w:val="22"/>
          <w:color w:val="auto"/>
        </w:rPr>
      </w:pPr>
    </w:p>
    <w:p>
      <w:pPr>
        <w:ind w:right="100" w:firstLine="1305"/>
        <w:spacing w:after="0" w:line="262" w:lineRule="auto"/>
        <w:tabs>
          <w:tab w:leader="none" w:pos="1728"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This Agreement may not be transferred or assigned by any of the Licensors except with the prior written consent of Licensee, except that any Licensor may assign this Agreement (i) to an Affiliate or (ii) in connection with sale or transfer of all or substantially all of the business and assets of such party to which this Agreement relates, including by way of sale of assets, merger or consolidation, in each case ((i) or (ii)) without prior written consent of Licensee, provided that such Licensor shall provide prompt written notice to the other parties following such assignment. Licensors shall not assign any Patent Right or their rights in the Licensed Information or Know-How licensed hereunder to any Third Party other than in connection with a permitted assignment of this Agreement.</w:t>
      </w:r>
    </w:p>
    <w:p>
      <w:pPr>
        <w:spacing w:after="0" w:line="180" w:lineRule="exact"/>
        <w:rPr>
          <w:rFonts w:ascii="Arial" w:cs="Arial" w:eastAsia="Arial" w:hAnsi="Arial"/>
          <w:sz w:val="21"/>
          <w:szCs w:val="21"/>
          <w:color w:val="auto"/>
        </w:rPr>
      </w:pPr>
    </w:p>
    <w:p>
      <w:pPr>
        <w:ind w:right="220" w:firstLine="1305"/>
        <w:spacing w:after="0" w:line="260" w:lineRule="auto"/>
        <w:tabs>
          <w:tab w:leader="none" w:pos="1716" w:val="left"/>
        </w:tabs>
        <w:numPr>
          <w:ilvl w:val="1"/>
          <w:numId w:val="88"/>
        </w:numPr>
        <w:rPr>
          <w:rFonts w:ascii="Arial" w:cs="Arial" w:eastAsia="Arial" w:hAnsi="Arial"/>
          <w:sz w:val="22"/>
          <w:szCs w:val="22"/>
          <w:color w:val="auto"/>
        </w:rPr>
      </w:pPr>
      <w:r>
        <w:rPr>
          <w:rFonts w:ascii="Arial" w:cs="Arial" w:eastAsia="Arial" w:hAnsi="Arial"/>
          <w:sz w:val="22"/>
          <w:szCs w:val="22"/>
          <w:color w:val="auto"/>
        </w:rPr>
        <w:t>Any attempted assignment in contravention of this Section 11 is void and constitutes a material breach of this Agreement. Any new permitted assignee shall assume all responsibilities under this Agreement and agree in writing to the non-assigning parties to be bound by this Agreement.</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Dispute Resolution</w:t>
      </w:r>
    </w:p>
    <w:p>
      <w:pPr>
        <w:spacing w:after="0" w:line="23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Mandatory Procedures</w:t>
      </w:r>
      <w:r>
        <w:rPr>
          <w:rFonts w:ascii="Arial" w:cs="Arial" w:eastAsia="Arial" w:hAnsi="Arial"/>
          <w:sz w:val="19"/>
          <w:szCs w:val="19"/>
          <w:color w:val="auto"/>
        </w:rPr>
        <w:t>. Before either Licensee or Licensors intend to file a lawsuit against the other(s) with respect to any matter in connection with this Agreement, except with regard to any payments made or due under this Agreement, it shall first comply with the procedures set forth in this Section 12, other than for injunctive relief to enforce the provisions of this Section 12.</w:t>
      </w:r>
    </w:p>
    <w:p>
      <w:pPr>
        <w:spacing w:after="0" w:line="125" w:lineRule="exact"/>
        <w:rPr>
          <w:sz w:val="20"/>
          <w:szCs w:val="20"/>
          <w:color w:val="auto"/>
        </w:rPr>
      </w:pPr>
    </w:p>
    <w:p>
      <w:pPr>
        <w:ind w:firstLine="1305"/>
        <w:spacing w:after="0" w:line="250" w:lineRule="auto"/>
        <w:tabs>
          <w:tab w:leader="none" w:pos="1716" w:val="left"/>
        </w:tabs>
        <w:numPr>
          <w:ilvl w:val="0"/>
          <w:numId w:val="89"/>
        </w:numPr>
        <w:rPr>
          <w:rFonts w:ascii="Arial" w:cs="Arial" w:eastAsia="Arial" w:hAnsi="Arial"/>
          <w:sz w:val="22"/>
          <w:szCs w:val="22"/>
          <w:color w:val="auto"/>
        </w:rPr>
      </w:pPr>
      <w:r>
        <w:rPr>
          <w:rFonts w:ascii="Arial" w:cs="Arial" w:eastAsia="Arial" w:hAnsi="Arial"/>
          <w:sz w:val="22"/>
          <w:szCs w:val="22"/>
          <w:color w:val="auto"/>
        </w:rPr>
        <w:t>When a party intends to invoke the procedures set forth in this Section 12, it shall provide written notice to the other parties. Within [**] after the date of that notice, senior representatives of the Licensee and of the Licensors shall engage in good faith negotiations at a mutually convenient location to resolve the dispute. In the case of Licensors, that representative is the Managing Director of the Penn Center for Innovation, who may act as the representative for both Licensors if UFRF has given its prior written consent for Penn to represent UFRF in the dispute resolution process, otherwise UFRF shall designate a representative to represent UFRF.</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In the case of Licensee, that representative is the Chief Financial Officer, General Counsel or individual of equivalent authority.</w:t>
      </w:r>
    </w:p>
    <w:p>
      <w:pPr>
        <w:spacing w:after="0" w:line="254" w:lineRule="exact"/>
        <w:rPr>
          <w:sz w:val="20"/>
          <w:szCs w:val="20"/>
          <w:color w:val="auto"/>
        </w:rPr>
      </w:pPr>
    </w:p>
    <w:p>
      <w:pPr>
        <w:jc w:val="both"/>
        <w:ind w:right="460" w:firstLine="1305"/>
        <w:spacing w:after="0" w:line="320" w:lineRule="auto"/>
        <w:tabs>
          <w:tab w:leader="none" w:pos="1728"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such representatives fail to meet within the time period set forth in Section 12(a) or if either Licensee or Licensors subsequently determine that negotiations between the representatives are at an impasse, the party declaring that the negotiations are at an impasse shall give notice to the other parties stating with particularity the issues that remain in dispute.</w:t>
      </w:r>
    </w:p>
    <w:p>
      <w:pPr>
        <w:spacing w:after="0" w:line="125" w:lineRule="exact"/>
        <w:rPr>
          <w:rFonts w:ascii="Arial" w:cs="Arial" w:eastAsia="Arial" w:hAnsi="Arial"/>
          <w:sz w:val="19"/>
          <w:szCs w:val="19"/>
          <w:color w:val="auto"/>
        </w:rPr>
      </w:pPr>
    </w:p>
    <w:p>
      <w:pPr>
        <w:ind w:firstLine="1305"/>
        <w:spacing w:after="0" w:line="270" w:lineRule="auto"/>
        <w:tabs>
          <w:tab w:leader="none" w:pos="1716" w:val="left"/>
        </w:tabs>
        <w:numPr>
          <w:ilvl w:val="0"/>
          <w:numId w:val="90"/>
        </w:numPr>
        <w:rPr>
          <w:rFonts w:ascii="Arial" w:cs="Arial" w:eastAsia="Arial" w:hAnsi="Arial"/>
          <w:sz w:val="21"/>
          <w:szCs w:val="21"/>
          <w:color w:val="auto"/>
        </w:rPr>
      </w:pPr>
      <w:r>
        <w:rPr>
          <w:rFonts w:ascii="Arial" w:cs="Arial" w:eastAsia="Arial" w:hAnsi="Arial"/>
          <w:sz w:val="21"/>
          <w:szCs w:val="21"/>
          <w:color w:val="auto"/>
        </w:rPr>
        <w:t>Not more than [**] after the notice of issues, the Managing Director of the Penn Center for Innovation of Penn and UFRF’s designated representative (or Penn acting on behalf of both Licensors if UFRF has given its prior written consent for Penn to represent UFRF in the dispute resolution process) and the Chief Executive Officer of the Licensee shall meet and engage in good faith negotiations at a mutually convenient location to resolve the dispute.</w:t>
      </w:r>
    </w:p>
    <w:p>
      <w:pPr>
        <w:spacing w:after="0" w:line="169" w:lineRule="exact"/>
        <w:rPr>
          <w:sz w:val="20"/>
          <w:szCs w:val="20"/>
          <w:color w:val="auto"/>
        </w:rPr>
      </w:pPr>
    </w:p>
    <w:p>
      <w:pPr>
        <w:ind w:right="280" w:firstLine="648"/>
        <w:spacing w:after="0" w:line="254"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Failure to Resolve Dispute</w:t>
      </w:r>
      <w:r>
        <w:rPr>
          <w:rFonts w:ascii="Arial" w:cs="Arial" w:eastAsia="Arial" w:hAnsi="Arial"/>
          <w:sz w:val="22"/>
          <w:szCs w:val="22"/>
          <w:color w:val="auto"/>
        </w:rPr>
        <w:t>. If (a) any issue is not resolved within [**] after the first meeting pursuant to Section 12.1(c) or (b) there is a dispute regarding payments made or due under this Agreement, either Licensee or Licensors may file appropriate administrative or judicial proceedings with respect to the issue in dispute. The parties agree to consider in good faith any proposals to address issues through alternative dispute resolution.</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u w:val="single" w:color="auto"/>
          <w:color w:val="auto"/>
        </w:rPr>
        <w:t>Indemnification; Liability; Insurance</w:t>
      </w:r>
    </w:p>
    <w:p>
      <w:pPr>
        <w:spacing w:after="0" w:line="23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87" w:lineRule="auto"/>
        <w:tabs>
          <w:tab w:leader="none" w:pos="1716" w:val="left"/>
        </w:tabs>
        <w:numPr>
          <w:ilvl w:val="0"/>
          <w:numId w:val="91"/>
        </w:numPr>
        <w:rPr>
          <w:rFonts w:ascii="Arial" w:cs="Arial" w:eastAsia="Arial" w:hAnsi="Arial"/>
          <w:sz w:val="19"/>
          <w:szCs w:val="19"/>
          <w:color w:val="auto"/>
        </w:rPr>
      </w:pPr>
      <w:r>
        <w:rPr>
          <w:rFonts w:ascii="Arial" w:cs="Arial" w:eastAsia="Arial" w:hAnsi="Arial"/>
          <w:sz w:val="19"/>
          <w:szCs w:val="19"/>
          <w:color w:val="auto"/>
        </w:rPr>
        <w:t>Licensee and Sublicensee(s) shall, at all times during the term of this Agreement and thereafter, indemnify, defend and hold Penn, the University of Pennsylvania, UFRF, the Florida Board of Governors, the University of Florida Board of Trustees, the University of Florida and each of their directors, trustees, officers, employees, and agents, the inventors of the Patent Rights, and the creators of the Licensed Information, regardless of whether the inventors are employed by the University of Florida or the University of Pennsylvania at the time of the claim (each individually, an “</w:t>
      </w:r>
      <w:r>
        <w:rPr>
          <w:rFonts w:ascii="Arial" w:cs="Arial" w:eastAsia="Arial" w:hAnsi="Arial"/>
          <w:sz w:val="19"/>
          <w:szCs w:val="19"/>
          <w:b w:val="1"/>
          <w:bCs w:val="1"/>
          <w:color w:val="auto"/>
        </w:rPr>
        <w:t>Indemnitee</w:t>
      </w:r>
      <w:r>
        <w:rPr>
          <w:rFonts w:ascii="Arial" w:cs="Arial" w:eastAsia="Arial" w:hAnsi="Arial"/>
          <w:sz w:val="19"/>
          <w:szCs w:val="19"/>
          <w:color w:val="auto"/>
        </w:rPr>
        <w:t>” and collectively, the “</w:t>
      </w:r>
      <w:r>
        <w:rPr>
          <w:rFonts w:ascii="Arial" w:cs="Arial" w:eastAsia="Arial" w:hAnsi="Arial"/>
          <w:sz w:val="19"/>
          <w:szCs w:val="19"/>
          <w:b w:val="1"/>
          <w:bCs w:val="1"/>
          <w:color w:val="auto"/>
        </w:rPr>
        <w:t>Indemnitees</w:t>
      </w:r>
      <w:r>
        <w:rPr>
          <w:rFonts w:ascii="Arial" w:cs="Arial" w:eastAsia="Arial" w:hAnsi="Arial"/>
          <w:sz w:val="19"/>
          <w:szCs w:val="19"/>
          <w:color w:val="auto"/>
        </w:rPr>
        <w:t>”), harmless against any and all claims and liabilities, damages, costs and expenses, including legal expenses and reasonable attorneys’ fees, arising from a Third Party claim (or resulting from UFRF’s or Penn’s enforcing this indemnification clause against Licensee or a Sublicensee with respect to such a Third Party claim), arising out of (i) death of or injury to any person or persons or out of any damage to property, including product liability claims, or any other claim, proceeding, demand, expense or liability resulting from the development, production, manufacture, sale, use, consumption, marketing, or advertisement of Licensed Products by Licensee or any Sublicensee(s) or arising from (ii) any exercise of a right or the performance of any obligation of Licensee or any Sublicensee(s) under this Agreement, (iii) any enforcement action or suit brought by Licensee or a Sublicensee against a Third Party for infringement of Patent Rights and (iv) any claim by a Third Party that the practice of the Patent Rights or the design, composition, manufacture, use, sale, or other disposition of any Licensed Product infringes or violates any patent, copyright, trade secret, trademark, or other intellectual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125" w:right="27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property right of such Third Party; provided that a Sublicensee’s obligations pursuant to this Section 13.1 shall only apply with respect to actions or omissions of such Sublicensee.</w:t>
      </w:r>
    </w:p>
    <w:p>
      <w:pPr>
        <w:spacing w:after="0" w:line="175" w:lineRule="exact"/>
        <w:rPr>
          <w:sz w:val="20"/>
          <w:szCs w:val="20"/>
          <w:color w:val="auto"/>
        </w:rPr>
      </w:pPr>
    </w:p>
    <w:p>
      <w:pPr>
        <w:ind w:firstLine="1305"/>
        <w:spacing w:after="0" w:line="286" w:lineRule="auto"/>
        <w:tabs>
          <w:tab w:leader="none" w:pos="1728" w:val="left"/>
        </w:tabs>
        <w:numPr>
          <w:ilvl w:val="0"/>
          <w:numId w:val="92"/>
        </w:numPr>
        <w:rPr>
          <w:rFonts w:ascii="Arial" w:cs="Arial" w:eastAsia="Arial" w:hAnsi="Arial"/>
          <w:sz w:val="19"/>
          <w:szCs w:val="19"/>
          <w:color w:val="auto"/>
        </w:rPr>
      </w:pPr>
      <w:r>
        <w:rPr>
          <w:rFonts w:ascii="Arial" w:cs="Arial" w:eastAsia="Arial" w:hAnsi="Arial"/>
          <w:sz w:val="19"/>
          <w:szCs w:val="19"/>
          <w:color w:val="auto"/>
        </w:rPr>
        <w:t>Licensee’s and any Sublicensee’s obligations under Section 13.1(a) are conditioned upon the applicable Indemnitee (i) providing written notice to the indemnifying party of any claim, demand or action arising out of the indemnified activities within [**] after the Indemnitee has knowledge of such claim, demand or action; (ii) permitting the indemnifying party to assume full responsibility to investigate, prepare for and defend against any such claim or demand; and (iii) assisting the indemnifying party, at the indemnifying party’s expense, in the investigation of, preparation of and defense of any such claim or demand; provided that, if the Indemnitee fails to notify the indemnifying party without undue delay pursuant to the foregoing clause, the indemnifying party shall only be relieved of its indemnification obligation to the extent it is prejudiced by such failure. Notwithstanding the foregoing, if in the reasonable judgment of the Indemnitee, such suit or claim involves an issue or matter which could have a materially adverse effect on the business, operations or assets of the Indemnitee, the Indemnitee may waive its rights under Section 13.1(a) and control the defense or settlement thereof. The indemnifying party may compromise or settle any indemnified claim or demand without the applicable Indemnitee’s prior written consent, provided that such compromise or settlement includes (i) an unconditional and complete release of the applicable Indemnitee from any and all liability in respect of such claim or demand (other than any financial liability assumed by the indemnifying party), (ii) does not commit any Indemnitee to take, or forbear to take, any action, and (iii) does not grant any rights under the Patent Rights or Licensed Information except for Sublicenses permitted under Section 2.4. Notwithstanding the above, the Licensors at all times reserve the right to retain counsel of their own to defend the interests of UFRF and Penn, the Florida Board of Governors, the University of Florida Board of Trustees, the University of Florida, the University of Pennsylvania and the inventor(s); provided that any such counsel shall be at the applicable Licensor’s expense unless an actual conflict of interest between the indemnifying party and the applicable Indemnitee(s) exist, in which case, the indemnifying party shall be liable for reasonable attorneys’ fees of up to one law firm for each Licensor taken together with its associated Indemnitees.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120" w:firstLine="1305"/>
        <w:spacing w:after="0" w:line="300" w:lineRule="auto"/>
        <w:tabs>
          <w:tab w:leader="none" w:pos="1716" w:val="left"/>
        </w:tabs>
        <w:numPr>
          <w:ilvl w:val="0"/>
          <w:numId w:val="92"/>
        </w:numPr>
        <w:rPr>
          <w:rFonts w:ascii="Arial" w:cs="Arial" w:eastAsia="Arial" w:hAnsi="Arial"/>
          <w:sz w:val="19"/>
          <w:szCs w:val="19"/>
          <w:color w:val="auto"/>
        </w:rPr>
      </w:pPr>
      <w:r>
        <w:rPr>
          <w:rFonts w:ascii="Arial" w:cs="Arial" w:eastAsia="Arial" w:hAnsi="Arial"/>
          <w:sz w:val="19"/>
          <w:szCs w:val="19"/>
          <w:color w:val="auto"/>
        </w:rPr>
        <w:t>Licensee’s and Sublicensee(s)’ obligations under this Section 13.1 shall not apply to the extent that the Third Party claim arises out of the gross negligence or intentional misconduct of UFRF or Penn, the Florida Board of Governors, the University of Florida Board of Trustees, the University of Florida, the University of Pennsylvania or inventor(s) employed by any of them, as determined by a court of law, in which case, as between the Licensors, the party to which the gross negligence or intentional misconduct is attributable (i.e., UFRF or Penn) is responsible for their own liability.</w:t>
      </w:r>
    </w:p>
    <w:p>
      <w:pPr>
        <w:spacing w:after="0" w:line="147" w:lineRule="exact"/>
        <w:rPr>
          <w:sz w:val="20"/>
          <w:szCs w:val="20"/>
          <w:color w:val="auto"/>
        </w:rPr>
      </w:pPr>
    </w:p>
    <w:p>
      <w:pPr>
        <w:ind w:right="140" w:firstLine="648"/>
        <w:spacing w:after="0" w:line="307"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EXCEPT WITH RESPECT TO THE INDEMNIFICATION RIGHTS OR OBLIGATIONS OF LICENSEE UNDER THIS AGREEMENT, NEITHER LICENSEE NOR LICENSORS WILL BE LIABLE FOR INDIRECT, INCIDENTAL, CONSEQUENTIAL, SPECIAL, EXEMPLARY OR PUNITIVE DAMAGES, INCLUDING LOST PROFITS, ARISING FROM OR RELATING TO THIS AGREEMENT, REGARDLESS OF ANY NOTICE OF SUCH DAMAGES.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60"/>
          </w:cols>
          <w:pgMar w:left="240" w:top="125" w:right="2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ind w:right="120" w:firstLine="648"/>
        <w:spacing w:after="0" w:line="260"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Insurance</w:t>
      </w:r>
      <w:r>
        <w:rPr>
          <w:rFonts w:ascii="Arial" w:cs="Arial" w:eastAsia="Arial" w:hAnsi="Arial"/>
          <w:sz w:val="21"/>
          <w:szCs w:val="21"/>
          <w:color w:val="auto"/>
        </w:rPr>
        <w:t>. Licensee warrants that it now maintains and will continue to maintain and that it will procure that its Sublicensee(s) will maintain, liability insurance coverage (which, in the event that Licensee or a Sublicensee has a market capitalization of at least [**] Dollars ($[**]), may consist of self-insurance) appropriate to the risk involved in developing, producing, manufacturing, conducting clinical trials for, selling, marketing, using, leasing, consuming, or advertising Licensed Products (the “</w:t>
      </w:r>
      <w:r>
        <w:rPr>
          <w:rFonts w:ascii="Arial" w:cs="Arial" w:eastAsia="Arial" w:hAnsi="Arial"/>
          <w:sz w:val="21"/>
          <w:szCs w:val="21"/>
          <w:u w:val="single" w:color="auto"/>
          <w:color w:val="auto"/>
        </w:rPr>
        <w:t>Required Insurance Coverage</w:t>
      </w:r>
      <w:r>
        <w:rPr>
          <w:rFonts w:ascii="Arial" w:cs="Arial" w:eastAsia="Arial" w:hAnsi="Arial"/>
          <w:sz w:val="21"/>
          <w:szCs w:val="21"/>
          <w:color w:val="auto"/>
        </w:rPr>
        <w:t>”). The Required Insurance Coverage shall list UFRF, Penn, the Florida Board of Governors, the University of Florida Board of Trustees, the University of Florida, the University of Pennsylvania, the inventors of the Patent Rights and the creators of the Licensed Information as additional insureds. Within [**] after the execution of this Agreement and thereafter annually between [**] of each year, Licensee will present evidence to Licensors that the Required Insurance Coverage is being maintained. In addition, Licensee shall provide Penn with at least [**] prior written notice of any cancellation of the Required Insurance Coverage.</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8"/>
          <w:szCs w:val="18"/>
          <w:b w:val="1"/>
          <w:bCs w:val="1"/>
          <w:u w:val="single" w:color="auto"/>
          <w:color w:val="auto"/>
        </w:rPr>
        <w:t>Use of Names</w:t>
      </w:r>
    </w:p>
    <w:p>
      <w:pPr>
        <w:spacing w:after="0" w:line="239"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Licensee and its Sublicensee(s) may not use the names or logos of Penn, the University of Pennsylvania, UFRF or the University of Florida, nor of any of the foregoing institution’s employees, agents, or affiliates, nor the name of any inventor of Patent Rights, Licensed Information or Know-How, nor any adaptation of those names, in any promotional, advertising or marketing materials or any other form of publicity, or to suggest any endorsement by these entities or individuals, without the prior written approval of the applicable party in each case.</w:t>
      </w:r>
    </w:p>
    <w:p>
      <w:pPr>
        <w:spacing w:after="0" w:line="18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8"/>
          <w:szCs w:val="18"/>
          <w:b w:val="1"/>
          <w:bCs w:val="1"/>
          <w:u w:val="single" w:color="auto"/>
          <w:color w:val="auto"/>
        </w:rPr>
        <w:t>Miscellaneous</w:t>
      </w:r>
    </w:p>
    <w:p>
      <w:pPr>
        <w:spacing w:after="0" w:line="239" w:lineRule="exact"/>
        <w:rPr>
          <w:sz w:val="20"/>
          <w:szCs w:val="20"/>
          <w:color w:val="auto"/>
        </w:rPr>
      </w:pPr>
    </w:p>
    <w:p>
      <w:pPr>
        <w:ind w:right="100" w:firstLine="648"/>
        <w:spacing w:after="0" w:line="260"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interpreted in accordance with the laws of the Commonwealth of Pennsylvania, excluding application of any conflict of laws principles that would require application of the law of a jurisdiction outside of the Commonwealth of Pennsylvania.</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u w:val="single" w:color="auto"/>
          <w:color w:val="auto"/>
        </w:rPr>
        <w:t>Independent Contractors</w:t>
      </w:r>
      <w:r>
        <w:rPr>
          <w:rFonts w:ascii="Arial" w:cs="Arial" w:eastAsia="Arial" w:hAnsi="Arial"/>
          <w:sz w:val="19"/>
          <w:szCs w:val="19"/>
          <w:color w:val="auto"/>
        </w:rPr>
        <w:t>. Licensee and Licensors are independent contractors and not joint venturers or partners.</w:t>
      </w:r>
    </w:p>
    <w:p>
      <w:pPr>
        <w:spacing w:after="0" w:line="233"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Integration; Amendments</w:t>
      </w:r>
      <w:r>
        <w:rPr>
          <w:rFonts w:ascii="Arial" w:cs="Arial" w:eastAsia="Arial" w:hAnsi="Arial"/>
          <w:sz w:val="19"/>
          <w:szCs w:val="19"/>
          <w:color w:val="auto"/>
        </w:rPr>
        <w:t>. This Agreement constitutes the full understanding between the parties with reference to its subject matter, and no prior statements or agreements by the parties, whether oral or in writing, including the Option Agreement, may modify the terms of this Agreement. However, the Penn SRA and any confidentiality agreements entered into by or among the parties before the Effective Date relating to the subject matter hereof shall each survive in accordance with their terms. Neither Licensee nor Licensors may claim any amendment, modification, or release from any provisions of this Agreement, unless the mutual agreement is in writing and signed by Licensee and the applicable Licensors.</w:t>
      </w:r>
    </w:p>
    <w:p>
      <w:pPr>
        <w:spacing w:after="0" w:line="147"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No Security Interest</w:t>
      </w:r>
      <w:r>
        <w:rPr>
          <w:rFonts w:ascii="Arial" w:cs="Arial" w:eastAsia="Arial" w:hAnsi="Arial"/>
          <w:sz w:val="22"/>
          <w:szCs w:val="22"/>
          <w:color w:val="auto"/>
        </w:rPr>
        <w:t>. Licensee may not encumber or otherwise grant a security interest in any of the rights granted under this Agreement to any Third Party.</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125" w:right="279" w:bottom="1440" w:gutter="0" w:footer="0" w:header="0"/>
        </w:sectPr>
      </w:pPr>
    </w:p>
    <w:bookmarkStart w:id="117" w:name="page118"/>
    <w:bookmarkEnd w:id="117"/>
    <w:p>
      <w:pPr>
        <w:ind w:right="80" w:firstLine="648"/>
        <w:spacing w:after="0" w:line="276"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Laws and Regulations</w:t>
      </w:r>
      <w:r>
        <w:rPr>
          <w:rFonts w:ascii="Arial" w:cs="Arial" w:eastAsia="Arial" w:hAnsi="Arial"/>
          <w:sz w:val="22"/>
          <w:szCs w:val="22"/>
          <w:color w:val="auto"/>
        </w:rPr>
        <w:t>. Licensee shall comply with all local, state, federal, and international laws and regulations that are applicable to the development, manufacture, use, and sale of Licensed Products, including:</w:t>
      </w:r>
    </w:p>
    <w:p>
      <w:pPr>
        <w:spacing w:after="0" w:line="161" w:lineRule="exact"/>
        <w:rPr>
          <w:sz w:val="20"/>
          <w:szCs w:val="20"/>
          <w:color w:val="auto"/>
        </w:rPr>
      </w:pPr>
    </w:p>
    <w:p>
      <w:pPr>
        <w:ind w:right="40" w:firstLine="1305"/>
        <w:spacing w:after="0" w:line="250" w:lineRule="auto"/>
        <w:tabs>
          <w:tab w:leader="none" w:pos="1716" w:val="left"/>
        </w:tabs>
        <w:numPr>
          <w:ilvl w:val="0"/>
          <w:numId w:val="93"/>
        </w:numPr>
        <w:rPr>
          <w:rFonts w:ascii="Arial" w:cs="Arial" w:eastAsia="Arial" w:hAnsi="Arial"/>
          <w:sz w:val="22"/>
          <w:szCs w:val="22"/>
          <w:color w:val="auto"/>
        </w:rPr>
      </w:pPr>
      <w:r>
        <w:rPr>
          <w:rFonts w:ascii="Arial" w:cs="Arial" w:eastAsia="Arial" w:hAnsi="Arial"/>
          <w:sz w:val="22"/>
          <w:szCs w:val="22"/>
          <w:color w:val="auto"/>
        </w:rPr>
        <w:t>Licensee acknowledges that it is subject to and agrees to abide by United States laws and regulations (including the Export Administration Act of 1979 and Arms Export Control Act) controlling the export of technical data, computer software, laboratory prototypes, biological material, and other commodities. The transfer of those items may require a license from the cognizant agency of the United States Government or written assurances by Licensee that it will not export items to certain foreign countries or persons without prior approval by that agency. Licensors neither represent that a license is or is not required nor represent that, if required, it will be issued.</w:t>
      </w:r>
    </w:p>
    <w:p>
      <w:pPr>
        <w:spacing w:after="0" w:line="188" w:lineRule="exact"/>
        <w:rPr>
          <w:rFonts w:ascii="Arial" w:cs="Arial" w:eastAsia="Arial" w:hAnsi="Arial"/>
          <w:sz w:val="22"/>
          <w:szCs w:val="22"/>
          <w:color w:val="auto"/>
        </w:rPr>
      </w:pPr>
    </w:p>
    <w:p>
      <w:pPr>
        <w:ind w:right="200" w:firstLine="1305"/>
        <w:spacing w:after="0" w:line="260" w:lineRule="auto"/>
        <w:tabs>
          <w:tab w:leader="none" w:pos="17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Licensee shall obtain all necessary approvals from the United States Food &amp; Drug Administration, Environmental Protection Agency, Department of Agriculture and any similar governmental authorities of foreign jurisdictions in which Licensee intends to make, use, or sell Licensed Products.</w:t>
      </w:r>
    </w:p>
    <w:p>
      <w:pPr>
        <w:spacing w:after="0" w:line="17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15.6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Licensee nor Licensors are responsible for default, delay, or failure to perform, if such default, delay or failure to perform is due to causes beyond the party’s reasonable control, including, but not limited to, strikes, lockouts, inactions of governmental authorities, war, fire, hurricane or other natural disaster, provided that the nonperforming party uses commercially reasonable efforts to avoid or remove those causes of nonperformance and continues performance under this Agreement with reasonable dispatch when the causes are removed. In the event of a default, delay or failure to perform described in this Section 15.6, any date or times by which Licensee or Licensors are scheduled to perform is extended automatically for a time equal to the time lost by reason of the excused default, delay or failure to perform.</w:t>
      </w:r>
    </w:p>
    <w:p>
      <w:pPr>
        <w:spacing w:after="0" w:line="152"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 xml:space="preserve">15.7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hereof should be held invalid, illegal or unenforceable in any respect in any jurisdiction, the parties hereto shall substitute, by mutual consent, valid provisions for such invalid, illegal or unenforceable provisions which valid provisions in their economic effect are sufficiently similar to the invalid, illegal or unenforceable provisions that it can be reasonably assumed that the parties would have entered into this Agreement with such valid provisions. In case such valid provisions cannot be agreed upon, the invalidity, illegality or unenforceability of one or several provisions of this Agreement shall not affect the validity of this Agreement as a whole, unless the invalid, illegal or unenforceable provisions are of such essential importance to this Agreement that it is to be reasonably assumed that the parties would not have entered into this Agreement without the invalid, illegal or unenforceable provisions.</w:t>
      </w:r>
    </w:p>
    <w:p>
      <w:pPr>
        <w:spacing w:after="0" w:line="181" w:lineRule="exact"/>
        <w:rPr>
          <w:sz w:val="20"/>
          <w:szCs w:val="20"/>
          <w:color w:val="auto"/>
        </w:rPr>
      </w:pPr>
    </w:p>
    <w:p>
      <w:pPr>
        <w:ind w:right="120" w:firstLine="648"/>
        <w:spacing w:after="0" w:line="254"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u w:val="single" w:color="auto"/>
          <w:color w:val="auto"/>
        </w:rPr>
        <w:t>No Other Rights to Licensor Intellectual Property</w:t>
      </w:r>
      <w:r>
        <w:rPr>
          <w:rFonts w:ascii="Arial" w:cs="Arial" w:eastAsia="Arial" w:hAnsi="Arial"/>
          <w:sz w:val="22"/>
          <w:szCs w:val="22"/>
          <w:color w:val="auto"/>
        </w:rPr>
        <w:t>. Except as expressly provided herein, nothing in this Agreement shall be construed as granting to Licensee any additional ownership interest, license, express or implied, or other right, in or to any technology or intellectual property of Licensors, including know-how, patents, patent applications, trade secrets, products, formulations, delivery devices and chemical or biological materials.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631" w:right="239" w:bottom="1440" w:gutter="0" w:footer="0" w:header="0"/>
        </w:sectPr>
      </w:pPr>
    </w:p>
    <w:bookmarkStart w:id="118" w:name="page119"/>
    <w:bookmarkEnd w:id="118"/>
    <w:p>
      <w:pPr>
        <w:ind w:right="100" w:firstLine="648"/>
        <w:spacing w:after="0" w:line="276"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u w:val="single" w:color="auto"/>
          <w:color w:val="auto"/>
        </w:rPr>
        <w:t>Compliance with Export Regulations</w:t>
      </w:r>
      <w:r>
        <w:rPr>
          <w:rFonts w:ascii="Arial" w:cs="Arial" w:eastAsia="Arial" w:hAnsi="Arial"/>
          <w:sz w:val="22"/>
          <w:szCs w:val="22"/>
          <w:color w:val="auto"/>
        </w:rPr>
        <w:t>. None of Licensee, its Affiliates, and Sublicensees shall export any technology licensed to it under this Agreement except in compliance with United States export laws and regulations.</w:t>
      </w:r>
    </w:p>
    <w:p>
      <w:pPr>
        <w:spacing w:after="0" w:line="161"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 xml:space="preserve">15.10 </w:t>
      </w:r>
      <w:r>
        <w:rPr>
          <w:rFonts w:ascii="Arial" w:cs="Arial" w:eastAsia="Arial" w:hAnsi="Arial"/>
          <w:sz w:val="22"/>
          <w:szCs w:val="22"/>
          <w:u w:val="single" w:color="auto"/>
          <w:color w:val="auto"/>
        </w:rPr>
        <w:t>Waiver</w:t>
      </w:r>
      <w:r>
        <w:rPr>
          <w:rFonts w:ascii="Arial" w:cs="Arial" w:eastAsia="Arial" w:hAnsi="Arial"/>
          <w:sz w:val="22"/>
          <w:szCs w:val="22"/>
          <w:color w:val="auto"/>
        </w:rPr>
        <w:t>. No provision of this Agreement shall be waived by any act, omission or knowledge of a party or its agents or employees except by an instrument in writing expressly waiving such provision and signed by a duly authorized officer of the waiving party.</w:t>
      </w:r>
    </w:p>
    <w:p>
      <w:pPr>
        <w:spacing w:after="0" w:line="177"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15.11 </w:t>
      </w:r>
      <w:r>
        <w:rPr>
          <w:rFonts w:ascii="Arial" w:cs="Arial" w:eastAsia="Arial" w:hAnsi="Arial"/>
          <w:sz w:val="22"/>
          <w:szCs w:val="22"/>
          <w:u w:val="single" w:color="auto"/>
          <w:color w:val="auto"/>
        </w:rPr>
        <w:t>Descriptive Headings</w:t>
      </w:r>
      <w:r>
        <w:rPr>
          <w:rFonts w:ascii="Arial" w:cs="Arial" w:eastAsia="Arial" w:hAnsi="Arial"/>
          <w:sz w:val="22"/>
          <w:szCs w:val="22"/>
          <w:color w:val="auto"/>
        </w:rPr>
        <w:t>. The descriptive headings of this Agreement are for convenience only, and shall be of no force or effect in construing or interpreting any of the provisions of this Agreement.</w:t>
      </w:r>
    </w:p>
    <w:p>
      <w:pPr>
        <w:spacing w:after="0" w:line="161"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 xml:space="preserve">15.12 </w:t>
      </w:r>
      <w:r>
        <w:rPr>
          <w:rFonts w:ascii="Arial" w:cs="Arial" w:eastAsia="Arial" w:hAnsi="Arial"/>
          <w:sz w:val="22"/>
          <w:szCs w:val="22"/>
          <w:u w:val="single" w:color="auto"/>
          <w:color w:val="auto"/>
        </w:rPr>
        <w:t>No Strict Construction; No Prior Drafts</w:t>
      </w:r>
      <w:r>
        <w:rPr>
          <w:rFonts w:ascii="Arial" w:cs="Arial" w:eastAsia="Arial" w:hAnsi="Arial"/>
          <w:sz w:val="22"/>
          <w:szCs w:val="22"/>
          <w:color w:val="auto"/>
        </w:rPr>
        <w:t>.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 No prior draft of this Agreement shall be used in the interpretation or construction of this Agreement.</w:t>
      </w:r>
    </w:p>
    <w:p>
      <w:pPr>
        <w:spacing w:after="0" w:line="190"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15.13 </w:t>
      </w:r>
      <w:r>
        <w:rPr>
          <w:rFonts w:ascii="Arial" w:cs="Arial" w:eastAsia="Arial" w:hAnsi="Arial"/>
          <w:sz w:val="19"/>
          <w:szCs w:val="19"/>
          <w:u w:val="single" w:color="auto"/>
          <w:color w:val="auto"/>
        </w:rPr>
        <w:t>Interpretation</w:t>
      </w:r>
      <w:r>
        <w:rPr>
          <w:rFonts w:ascii="Arial" w:cs="Arial" w:eastAsia="Arial" w:hAnsi="Arial"/>
          <w:sz w:val="19"/>
          <w:szCs w:val="19"/>
          <w:color w:val="auto"/>
        </w:rPr>
        <w:t>.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(including any Appendices);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 (i) the word “law” (or “laws”) when used herein means any applicable, legally binding statute, ordinance, resolution, regulation, code, guideline, rule, order, decree, judgment, injunction, mandate or other legally binding requirement of a government entity, together with any then-current modification, amendment and re-enactment thereof, and any legislative provision substituted therefor.</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8"/>
          <w:szCs w:val="18"/>
          <w:b w:val="1"/>
          <w:bCs w:val="1"/>
          <w:u w:val="single" w:color="auto"/>
          <w:color w:val="auto"/>
        </w:rPr>
        <w:t>Notices</w:t>
      </w:r>
    </w:p>
    <w:p>
      <w:pPr>
        <w:spacing w:after="0" w:line="239"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The parties shall provide any notice required to be given pursuant to this Agreement in writing to the addresses listed in this Section 16, except that any notice to be provided by Licensee to Licensors shall be deemed to be properly provided and effective if delivered to Penn. Notice is effective on the day it is delivered personally with written receipt from an authorized signatory and on the second day after the day on which the notice has been sent for next day delivery prepaid to a nationally recognized courier service.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80"/>
          </w:cols>
          <w:pgMar w:left="240" w:top="631" w:right="279" w:bottom="1440" w:gutter="0" w:footer="0" w:header="0"/>
        </w:sectPr>
      </w:pPr>
    </w:p>
    <w:bookmarkStart w:id="119" w:name="page120"/>
    <w:bookmarkEnd w:id="119"/>
    <w:p>
      <w:pPr>
        <w:spacing w:after="0" w:line="70" w:lineRule="exact"/>
        <w:rPr>
          <w:sz w:val="20"/>
          <w:szCs w:val="20"/>
          <w:color w:val="auto"/>
        </w:rPr>
      </w:pPr>
    </w:p>
    <w:tbl>
      <w:tblPr>
        <w:tblLayout w:type="fixed"/>
        <w:tblInd w:w="1100" w:type="dxa"/>
        <w:tblCellMar>
          <w:top w:w="0" w:type="dxa"/>
          <w:left w:w="0" w:type="dxa"/>
          <w:bottom w:w="0" w:type="dxa"/>
          <w:right w:w="0" w:type="dxa"/>
        </w:tblCellMar>
      </w:tblP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If to UFRF:</w:t>
            </w:r>
          </w:p>
        </w:tc>
        <w:tc>
          <w:tcPr>
            <w:tcW w:w="3260" w:type="dxa"/>
            <w:vAlign w:val="bottom"/>
          </w:tcPr>
          <w:p>
            <w:pPr>
              <w:ind w:left="340"/>
              <w:spacing w:after="0"/>
              <w:rPr>
                <w:sz w:val="20"/>
                <w:szCs w:val="20"/>
                <w:color w:val="auto"/>
              </w:rPr>
            </w:pPr>
            <w:r>
              <w:rPr>
                <w:rFonts w:ascii="Arial" w:cs="Arial" w:eastAsia="Arial" w:hAnsi="Arial"/>
                <w:sz w:val="22"/>
                <w:szCs w:val="22"/>
                <w:color w:val="auto"/>
              </w:rPr>
              <w:t>If to Licensee:</w:t>
            </w:r>
          </w:p>
        </w:tc>
        <w:tc>
          <w:tcPr>
            <w:tcW w:w="0" w:type="dxa"/>
            <w:vAlign w:val="bottom"/>
          </w:tcPr>
          <w:p>
            <w:pPr>
              <w:spacing w:after="0"/>
              <w:rPr>
                <w:sz w:val="1"/>
                <w:szCs w:val="1"/>
                <w:color w:val="auto"/>
              </w:rPr>
            </w:pPr>
          </w:p>
        </w:tc>
      </w:tr>
      <w:tr>
        <w:trPr>
          <w:trHeight w:val="455"/>
        </w:trPr>
        <w:tc>
          <w:tcPr>
            <w:tcW w:w="4320" w:type="dxa"/>
            <w:vAlign w:val="bottom"/>
          </w:tcPr>
          <w:p>
            <w:pPr>
              <w:spacing w:after="0"/>
              <w:rPr>
                <w:sz w:val="20"/>
                <w:szCs w:val="20"/>
                <w:color w:val="auto"/>
              </w:rPr>
            </w:pPr>
            <w:r>
              <w:rPr>
                <w:rFonts w:ascii="Arial" w:cs="Arial" w:eastAsia="Arial" w:hAnsi="Arial"/>
                <w:sz w:val="22"/>
                <w:szCs w:val="22"/>
                <w:color w:val="auto"/>
              </w:rPr>
              <w:t>President</w:t>
            </w:r>
          </w:p>
        </w:tc>
        <w:tc>
          <w:tcPr>
            <w:tcW w:w="3260" w:type="dxa"/>
            <w:vAlign w:val="bottom"/>
          </w:tcPr>
          <w:p>
            <w:pPr>
              <w:ind w:left="340"/>
              <w:spacing w:after="0"/>
              <w:rPr>
                <w:sz w:val="20"/>
                <w:szCs w:val="20"/>
                <w:color w:val="auto"/>
              </w:rPr>
            </w:pPr>
            <w:r>
              <w:rPr>
                <w:rFonts w:ascii="Arial" w:cs="Arial" w:eastAsia="Arial" w:hAnsi="Arial"/>
                <w:sz w:val="22"/>
                <w:szCs w:val="22"/>
                <w:color w:val="auto"/>
              </w:rPr>
              <w:t>Ophthotech Corporation</w:t>
            </w: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University of Florida Research Foundation,</w:t>
            </w:r>
          </w:p>
        </w:tc>
        <w:tc>
          <w:tcPr>
            <w:tcW w:w="3260" w:type="dxa"/>
            <w:vAlign w:val="bottom"/>
          </w:tcPr>
          <w:p>
            <w:pPr>
              <w:ind w:left="340"/>
              <w:spacing w:after="0" w:line="243" w:lineRule="exact"/>
              <w:rPr>
                <w:sz w:val="20"/>
                <w:szCs w:val="20"/>
                <w:color w:val="auto"/>
              </w:rPr>
            </w:pPr>
            <w:r>
              <w:rPr>
                <w:rFonts w:ascii="Arial" w:cs="Arial" w:eastAsia="Arial" w:hAnsi="Arial"/>
                <w:sz w:val="22"/>
                <w:szCs w:val="22"/>
                <w:color w:val="auto"/>
              </w:rPr>
              <w:t>One Penn Plaza, Suite 3520</w:t>
            </w: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Incorporated</w:t>
            </w:r>
          </w:p>
        </w:tc>
        <w:tc>
          <w:tcPr>
            <w:tcW w:w="3260" w:type="dxa"/>
            <w:vAlign w:val="bottom"/>
          </w:tcPr>
          <w:p>
            <w:pPr>
              <w:ind w:left="340"/>
              <w:spacing w:after="0" w:line="243" w:lineRule="exact"/>
              <w:rPr>
                <w:sz w:val="20"/>
                <w:szCs w:val="20"/>
                <w:color w:val="auto"/>
              </w:rPr>
            </w:pPr>
            <w:r>
              <w:rPr>
                <w:rFonts w:ascii="Arial" w:cs="Arial" w:eastAsia="Arial" w:hAnsi="Arial"/>
                <w:sz w:val="22"/>
                <w:szCs w:val="22"/>
                <w:color w:val="auto"/>
              </w:rPr>
              <w:t>New York, NY 10119</w:t>
            </w: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223 Grinter Hall University of Florida</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P. O. Box 115500</w:t>
            </w:r>
          </w:p>
        </w:tc>
        <w:tc>
          <w:tcPr>
            <w:tcW w:w="3260" w:type="dxa"/>
            <w:vAlign w:val="bottom"/>
          </w:tcPr>
          <w:p>
            <w:pPr>
              <w:ind w:left="340"/>
              <w:spacing w:after="0" w:line="243" w:lineRule="exact"/>
              <w:rPr>
                <w:sz w:val="20"/>
                <w:szCs w:val="20"/>
                <w:color w:val="auto"/>
              </w:rPr>
            </w:pPr>
            <w:r>
              <w:rPr>
                <w:rFonts w:ascii="Arial" w:cs="Arial" w:eastAsia="Arial" w:hAnsi="Arial"/>
                <w:sz w:val="22"/>
                <w:szCs w:val="22"/>
                <w:color w:val="auto"/>
              </w:rPr>
              <w:t>Attention: Legal Department</w:t>
            </w:r>
          </w:p>
        </w:tc>
        <w:tc>
          <w:tcPr>
            <w:tcW w:w="0" w:type="dxa"/>
            <w:vAlign w:val="bottom"/>
          </w:tcPr>
          <w:p>
            <w:pPr>
              <w:spacing w:after="0"/>
              <w:rPr>
                <w:sz w:val="1"/>
                <w:szCs w:val="1"/>
                <w:color w:val="auto"/>
              </w:rPr>
            </w:pPr>
          </w:p>
        </w:tc>
      </w:t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Gainesville, FL 32611-5500</w:t>
            </w:r>
          </w:p>
        </w:tc>
        <w:tc>
          <w:tcPr>
            <w:tcW w:w="3260" w:type="dxa"/>
            <w:vAlign w:val="bottom"/>
            <w:vMerge w:val="restart"/>
          </w:tcPr>
          <w:p>
            <w:pPr>
              <w:ind w:left="340"/>
              <w:spacing w:after="0"/>
              <w:rPr>
                <w:sz w:val="20"/>
                <w:szCs w:val="20"/>
                <w:color w:val="auto"/>
              </w:rPr>
            </w:pPr>
            <w:r>
              <w:rPr>
                <w:rFonts w:ascii="Arial" w:cs="Arial" w:eastAsia="Arial" w:hAnsi="Arial"/>
                <w:sz w:val="22"/>
                <w:szCs w:val="22"/>
                <w:color w:val="auto"/>
              </w:rPr>
              <w:t>with a copy to:</w:t>
            </w:r>
          </w:p>
        </w:tc>
        <w:tc>
          <w:tcPr>
            <w:tcW w:w="0" w:type="dxa"/>
            <w:vAlign w:val="bottom"/>
          </w:tcPr>
          <w:p>
            <w:pPr>
              <w:spacing w:after="0"/>
              <w:rPr>
                <w:sz w:val="1"/>
                <w:szCs w:val="1"/>
                <w:color w:val="auto"/>
              </w:rPr>
            </w:pPr>
          </w:p>
        </w:tc>
      </w:tr>
      <w:tr>
        <w:trPr>
          <w:trHeight w:val="243"/>
        </w:trPr>
        <w:tc>
          <w:tcPr>
            <w:tcW w:w="4320" w:type="dxa"/>
            <w:vAlign w:val="bottom"/>
            <w:vMerge w:val="restart"/>
          </w:tcPr>
          <w:p>
            <w:pPr>
              <w:spacing w:after="0"/>
              <w:rPr>
                <w:sz w:val="20"/>
                <w:szCs w:val="20"/>
                <w:color w:val="auto"/>
              </w:rPr>
            </w:pPr>
            <w:r>
              <w:rPr>
                <w:rFonts w:ascii="Arial" w:cs="Arial" w:eastAsia="Arial" w:hAnsi="Arial"/>
                <w:sz w:val="22"/>
                <w:szCs w:val="22"/>
                <w:color w:val="auto"/>
              </w:rPr>
              <w:t>with a copy to:</w:t>
            </w:r>
          </w:p>
        </w:tc>
        <w:tc>
          <w:tcPr>
            <w:tcW w:w="3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vMerge w:val="continue"/>
          </w:tcPr>
          <w:p>
            <w:pPr>
              <w:spacing w:after="0"/>
              <w:rPr>
                <w:sz w:val="21"/>
                <w:szCs w:val="21"/>
                <w:color w:val="auto"/>
              </w:rPr>
            </w:pPr>
          </w:p>
        </w:tc>
        <w:tc>
          <w:tcPr>
            <w:tcW w:w="3260" w:type="dxa"/>
            <w:vAlign w:val="bottom"/>
            <w:vMerge w:val="restart"/>
          </w:tcPr>
          <w:p>
            <w:pPr>
              <w:ind w:left="340"/>
              <w:spacing w:after="0"/>
              <w:rPr>
                <w:sz w:val="20"/>
                <w:szCs w:val="20"/>
                <w:color w:val="auto"/>
              </w:rPr>
            </w:pPr>
            <w:r>
              <w:rPr>
                <w:rFonts w:ascii="Arial" w:cs="Arial" w:eastAsia="Arial" w:hAnsi="Arial"/>
                <w:sz w:val="22"/>
                <w:szCs w:val="22"/>
                <w:color w:val="auto"/>
              </w:rPr>
              <w:t>WilmerHale LLP</w:t>
            </w: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Office of Technology Licensing University of</w:t>
            </w:r>
          </w:p>
        </w:tc>
        <w:tc>
          <w:tcPr>
            <w:tcW w:w="3260" w:type="dxa"/>
            <w:vAlign w:val="bottom"/>
          </w:tcPr>
          <w:p>
            <w:pPr>
              <w:ind w:left="340"/>
              <w:spacing w:after="0" w:line="243" w:lineRule="exact"/>
              <w:rPr>
                <w:sz w:val="20"/>
                <w:szCs w:val="20"/>
                <w:color w:val="auto"/>
              </w:rPr>
            </w:pPr>
            <w:r>
              <w:rPr>
                <w:rFonts w:ascii="Arial" w:cs="Arial" w:eastAsia="Arial" w:hAnsi="Arial"/>
                <w:sz w:val="22"/>
                <w:szCs w:val="22"/>
                <w:color w:val="auto"/>
              </w:rPr>
              <w:t>60 State Street</w:t>
            </w: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Florida</w:t>
            </w:r>
          </w:p>
        </w:tc>
        <w:tc>
          <w:tcPr>
            <w:tcW w:w="3260" w:type="dxa"/>
            <w:vAlign w:val="bottom"/>
          </w:tcPr>
          <w:p>
            <w:pPr>
              <w:ind w:left="340"/>
              <w:spacing w:after="0" w:line="243" w:lineRule="exact"/>
              <w:rPr>
                <w:sz w:val="20"/>
                <w:szCs w:val="20"/>
                <w:color w:val="auto"/>
              </w:rPr>
            </w:pPr>
            <w:r>
              <w:rPr>
                <w:rFonts w:ascii="Arial" w:cs="Arial" w:eastAsia="Arial" w:hAnsi="Arial"/>
                <w:sz w:val="22"/>
                <w:szCs w:val="22"/>
                <w:color w:val="auto"/>
              </w:rPr>
              <w:t>Boston, MA 02109</w:t>
            </w: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Attn: Director (Rm. 112)</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747 SW 2nd Avenue</w:t>
            </w:r>
          </w:p>
        </w:tc>
        <w:tc>
          <w:tcPr>
            <w:tcW w:w="3260" w:type="dxa"/>
            <w:vAlign w:val="bottom"/>
          </w:tcPr>
          <w:p>
            <w:pPr>
              <w:ind w:left="340"/>
              <w:spacing w:after="0" w:line="243" w:lineRule="exact"/>
              <w:rPr>
                <w:sz w:val="20"/>
                <w:szCs w:val="20"/>
                <w:color w:val="auto"/>
              </w:rPr>
            </w:pPr>
            <w:r>
              <w:rPr>
                <w:rFonts w:ascii="Arial" w:cs="Arial" w:eastAsia="Arial" w:hAnsi="Arial"/>
                <w:sz w:val="22"/>
                <w:szCs w:val="22"/>
                <w:color w:val="auto"/>
                <w:w w:val="89"/>
              </w:rPr>
              <w:t>Attention: Steven D. Barrett, Esq.</w:t>
            </w: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Post Office Box 115575</w:t>
            </w:r>
          </w:p>
        </w:tc>
        <w:tc>
          <w:tcPr>
            <w:tcW w:w="3260" w:type="dxa"/>
            <w:vAlign w:val="bottom"/>
          </w:tcPr>
          <w:p>
            <w:pPr>
              <w:ind w:left="340"/>
              <w:spacing w:after="0" w:line="243" w:lineRule="exact"/>
              <w:rPr>
                <w:sz w:val="20"/>
                <w:szCs w:val="20"/>
                <w:color w:val="auto"/>
              </w:rPr>
            </w:pPr>
            <w:r>
              <w:rPr>
                <w:rFonts w:ascii="Arial" w:cs="Arial" w:eastAsia="Arial" w:hAnsi="Arial"/>
                <w:sz w:val="22"/>
                <w:szCs w:val="22"/>
                <w:color w:val="auto"/>
                <w:w w:val="89"/>
              </w:rPr>
              <w:t>(steven.barrett@wilmerhale.com)</w:t>
            </w:r>
          </w:p>
        </w:tc>
        <w:tc>
          <w:tcPr>
            <w:tcW w:w="0" w:type="dxa"/>
            <w:vAlign w:val="bottom"/>
          </w:tcPr>
          <w:p>
            <w:pPr>
              <w:spacing w:after="0"/>
              <w:rPr>
                <w:sz w:val="1"/>
                <w:szCs w:val="1"/>
                <w:color w:val="auto"/>
              </w:rPr>
            </w:pPr>
          </w:p>
        </w:tc>
      </w:t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Gainesville, Florida 32611-5575</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320" w:type="dxa"/>
            <w:vAlign w:val="bottom"/>
          </w:tcPr>
          <w:p>
            <w:pPr>
              <w:spacing w:after="0"/>
              <w:rPr>
                <w:sz w:val="20"/>
                <w:szCs w:val="20"/>
                <w:color w:val="auto"/>
              </w:rPr>
            </w:pPr>
            <w:r>
              <w:rPr>
                <w:rFonts w:ascii="Arial" w:cs="Arial" w:eastAsia="Arial" w:hAnsi="Arial"/>
                <w:sz w:val="22"/>
                <w:szCs w:val="22"/>
                <w:color w:val="auto"/>
              </w:rPr>
              <w:t>If to Penn: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320" w:type="dxa"/>
            <w:vAlign w:val="bottom"/>
          </w:tcPr>
          <w:p>
            <w:pPr>
              <w:spacing w:after="0"/>
              <w:rPr>
                <w:sz w:val="20"/>
                <w:szCs w:val="20"/>
                <w:color w:val="auto"/>
              </w:rPr>
            </w:pPr>
            <w:r>
              <w:rPr>
                <w:rFonts w:ascii="Arial" w:cs="Arial" w:eastAsia="Arial" w:hAnsi="Arial"/>
                <w:sz w:val="22"/>
                <w:szCs w:val="22"/>
                <w:color w:val="auto"/>
              </w:rPr>
              <w:t>Penn Center for Innovation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University of Pennsylvania</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3160 Chestnut Street, Suite 200</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Philadelphia, PA 19104-6283</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Attention: Managing Director</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320" w:type="dxa"/>
            <w:vAlign w:val="bottom"/>
          </w:tcPr>
          <w:p>
            <w:pPr>
              <w:spacing w:after="0"/>
              <w:rPr>
                <w:sz w:val="20"/>
                <w:szCs w:val="20"/>
                <w:color w:val="auto"/>
              </w:rPr>
            </w:pPr>
            <w:r>
              <w:rPr>
                <w:rFonts w:ascii="Arial" w:cs="Arial" w:eastAsia="Arial" w:hAnsi="Arial"/>
                <w:sz w:val="22"/>
                <w:szCs w:val="22"/>
                <w:color w:val="auto"/>
              </w:rPr>
              <w:t>with a copy to:</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320" w:type="dxa"/>
            <w:vAlign w:val="bottom"/>
          </w:tcPr>
          <w:p>
            <w:pPr>
              <w:spacing w:after="0"/>
              <w:rPr>
                <w:sz w:val="20"/>
                <w:szCs w:val="20"/>
                <w:color w:val="auto"/>
              </w:rPr>
            </w:pPr>
            <w:r>
              <w:rPr>
                <w:rFonts w:ascii="Arial" w:cs="Arial" w:eastAsia="Arial" w:hAnsi="Arial"/>
                <w:sz w:val="22"/>
                <w:szCs w:val="22"/>
                <w:color w:val="auto"/>
              </w:rPr>
              <w:t>University of Pennsylvania</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Office of General Counsel</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2929 Walnut Street, Suite 400</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Philadelphia, PA 19104-5509</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Attention: General Counsel</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u w:val="single" w:color="auto"/>
          <w:color w:val="auto"/>
        </w:rPr>
        <w:t>United States Government Interests; [**] Rights</w:t>
      </w:r>
    </w:p>
    <w:p>
      <w:pPr>
        <w:spacing w:after="0" w:line="239"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17.1 The United States Government has funded Grant No. EY021721 during the course of or under which any of the inventions of the Patent Rights was conceived or reduced to practice. The United States Government is entitled under the provisions of 35 U.S.C. §202-212 and applicable regulations to a non-exclusive, nontransferable, irrevocable, paid-up license to practice or have practiced those inventions for or on behalf of the United States throughout the world. Any license granted to Licensee in this Agreement is subject to that license. If any invention claimed in the Patent Rights or described in Licensed Information was funded by the United States Government, Licensee agrees that Licensed Products that are used or sold in the United States will be manufactured substantially in the United States unless a waiver is obtained, at Licensee’s expense, from the appropriate Untied States Government agency with respect to the requirement of United States manufacturing preference.</w:t>
      </w:r>
    </w:p>
    <w:p>
      <w:pPr>
        <w:spacing w:after="0" w:line="39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60"/>
          </w:cols>
          <w:pgMar w:left="240" w:top="1440" w:right="499" w:bottom="1440" w:gutter="0" w:footer="0" w:header="0"/>
        </w:sectPr>
      </w:pPr>
    </w:p>
    <w:bookmarkStart w:id="120" w:name="page121"/>
    <w:bookmarkEnd w:id="120"/>
    <w:p>
      <w:pPr>
        <w:ind w:right="660" w:firstLine="648"/>
        <w:spacing w:after="0" w:line="263" w:lineRule="auto"/>
        <w:rPr>
          <w:sz w:val="20"/>
          <w:szCs w:val="20"/>
          <w:color w:val="auto"/>
        </w:rPr>
      </w:pPr>
      <w:r>
        <w:rPr>
          <w:rFonts w:ascii="Arial" w:cs="Arial" w:eastAsia="Arial" w:hAnsi="Arial"/>
          <w:sz w:val="22"/>
          <w:szCs w:val="22"/>
          <w:color w:val="auto"/>
        </w:rPr>
        <w:t>17.2 This Agreement is subject to the obligations to the [**] with respect to patient assistance programs set forth in Appendix H.</w:t>
      </w:r>
    </w:p>
    <w:p>
      <w:pPr>
        <w:spacing w:after="0" w:line="16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9"/>
          <w:szCs w:val="19"/>
          <w:b w:val="1"/>
          <w:bCs w:val="1"/>
          <w:u w:val="single" w:color="auto"/>
          <w:color w:val="auto"/>
        </w:rPr>
        <w:t>Confidentiality</w:t>
      </w:r>
    </w:p>
    <w:p>
      <w:pPr>
        <w:spacing w:after="0" w:line="23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18.1 Unless required by Pennsylvania law or other applicable law, the parties (a) may only use one another’s Confidential Information (as defined below) as necessary to perform the obligations or exercise the rights set forth in this Agreement, (b) may not disclose any other party’s Confidential Information to any Third Party, and (c) shall protect one another’s Confidential Information with the same degree of care that they exercise with their own Confidential Information but in no event less than a reasonable degree of care. Notwithstanding the foregoing, the parties may disclose this Agreement and Confidential Information to their authorized Affiliates, directors, officers, employees, consultants, attorneys, accountants, subcontractors, Sublicensees, potential Sublicensees, investors, potential investors, lenders, potential lenders, acquirers, potential acquirers or agents who are bound by similar confidentiality provisions. For the purposes of this Agreement,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the terms of this Agreement and information disclosed by one party to another in connection with this Agreement that is marked “confidential” by the disclosing party or that is confirmed in writing within [**] after verbal disclosure. Confidential Information does not include information that (i) is publicly known; (ii) is already known or independently developed without use of the Confidential Information as shown by written records; (iii) is disclosed by a Third Party having no known obligation of confidentiality with respect to the Confidential Information; or (iv) is required to be disclosed to comply with applicable laws or regulations or with a court or administrative order, including to comply with applicable disclosure requirements under United States securities regulations and rules of any stock exchange on which shares of the disclosing party are listed. These confidentiality obligations remain effective for (x) in the case of the terms of this Agreement, the period during which this Agreement remains in effect plus [**] and (y) in the case of other Confidential Information, [**] after disclosure of the Confidential Information.</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18.2 Notwithstanding Section 18.1, a party may disclose Confidential Information of another party to the extent such disclosure is reasonably necessary in the following instances:</w:t>
      </w:r>
    </w:p>
    <w:p>
      <w:pPr>
        <w:spacing w:after="0" w:line="161" w:lineRule="exact"/>
        <w:rPr>
          <w:sz w:val="20"/>
          <w:szCs w:val="20"/>
          <w:color w:val="auto"/>
        </w:rPr>
      </w:pPr>
    </w:p>
    <w:p>
      <w:pPr>
        <w:ind w:right="880" w:firstLine="1305"/>
        <w:spacing w:after="0" w:line="260" w:lineRule="auto"/>
        <w:tabs>
          <w:tab w:leader="none" w:pos="1716"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Prosecuting patent rights in accordance with this Agreement;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non-filing party whose Confidential Information is being disclosed is given a reasonable opportunity to review the proposed disclosure of such Confidential Information;</w:t>
      </w:r>
    </w:p>
    <w:p>
      <w:pPr>
        <w:spacing w:after="0" w:line="177" w:lineRule="exact"/>
        <w:rPr>
          <w:rFonts w:ascii="Arial" w:cs="Arial" w:eastAsia="Arial" w:hAnsi="Arial"/>
          <w:sz w:val="22"/>
          <w:szCs w:val="22"/>
          <w:color w:val="auto"/>
        </w:rPr>
      </w:pPr>
    </w:p>
    <w:p>
      <w:pPr>
        <w:ind w:right="800" w:firstLine="1305"/>
        <w:spacing w:after="0" w:line="276" w:lineRule="auto"/>
        <w:tabs>
          <w:tab w:leader="none" w:pos="1728" w:val="left"/>
        </w:tabs>
        <w:numPr>
          <w:ilvl w:val="0"/>
          <w:numId w:val="94"/>
        </w:numPr>
        <w:rPr>
          <w:rFonts w:ascii="Arial" w:cs="Arial" w:eastAsia="Arial" w:hAnsi="Arial"/>
          <w:sz w:val="22"/>
          <w:szCs w:val="22"/>
          <w:color w:val="auto"/>
        </w:rPr>
      </w:pPr>
      <w:r>
        <w:rPr>
          <w:rFonts w:ascii="Arial" w:cs="Arial" w:eastAsia="Arial" w:hAnsi="Arial"/>
          <w:sz w:val="22"/>
          <w:szCs w:val="22"/>
          <w:color w:val="auto"/>
        </w:rPr>
        <w:t>making filings with Regulatory Authorities or otherwise complying with applicable laws or submitting information to tax or other governmental authorities;</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for Regulatory Approval of Licensed Products;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the extent mutually agreed to in writing by the parties.</w:t>
      </w:r>
    </w:p>
    <w:p>
      <w:pPr>
        <w:spacing w:after="0" w:line="233" w:lineRule="exact"/>
        <w:rPr>
          <w:sz w:val="20"/>
          <w:szCs w:val="20"/>
          <w:color w:val="auto"/>
        </w:rPr>
      </w:pPr>
    </w:p>
    <w:p>
      <w:pPr>
        <w:ind w:right="300" w:firstLine="648"/>
        <w:spacing w:after="0" w:line="276" w:lineRule="auto"/>
        <w:rPr>
          <w:sz w:val="20"/>
          <w:szCs w:val="20"/>
          <w:color w:val="auto"/>
        </w:rPr>
      </w:pPr>
      <w:r>
        <w:rPr>
          <w:rFonts w:ascii="Arial" w:cs="Arial" w:eastAsia="Arial" w:hAnsi="Arial"/>
          <w:sz w:val="22"/>
          <w:szCs w:val="22"/>
          <w:color w:val="auto"/>
        </w:rPr>
        <w:t>18.3 In the event that UFRF receives a request for Confidential Information pursuant to the Florida Public Records Act, Fla. Stat. §119.07, it is the parties’ intent that UFRF will rely 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631" w:right="239" w:bottom="1440" w:gutter="0" w:footer="0" w:header="0"/>
        </w:sectPr>
      </w:pPr>
    </w:p>
    <w:bookmarkStart w:id="121" w:name="page122"/>
    <w:bookmarkEnd w:id="121"/>
    <w:p>
      <w:pPr>
        <w:ind w:right="60"/>
        <w:spacing w:after="0" w:line="250" w:lineRule="auto"/>
        <w:rPr>
          <w:sz w:val="20"/>
          <w:szCs w:val="20"/>
          <w:color w:val="auto"/>
        </w:rPr>
      </w:pPr>
      <w:r>
        <w:rPr>
          <w:rFonts w:ascii="Arial" w:cs="Arial" w:eastAsia="Arial" w:hAnsi="Arial"/>
          <w:sz w:val="22"/>
          <w:szCs w:val="22"/>
          <w:color w:val="auto"/>
        </w:rPr>
        <w:t>the exemption set forth in paragraph (2) of Florida Education Code, Fla. Stat. § 1004.22 to avoid disclosure of Confidential Information in connection with such request. In the event that UFRF determines in good faith that such exception is not applicable, UFRF shall provide Licensee or Penn, as applicable, with advance written notice prior to making any disclosures of such party’s Confidential Information pursuant to any such public records request.</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18.4 During the term of this Agreement, neither the Penn Principal Investigators nor UF Principal Investigators will publicly disclose the [**] Products [**], and in such case, if Penn Principal Investigators or UF Principal Investigators wish to publish, Penn or UFRF, as applicable, will promptly notify Licensee of the applicable disclosure requirement and in any event prior to submission for publication.</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b w:val="1"/>
          <w:bCs w:val="1"/>
          <w:u w:val="single" w:color="auto"/>
          <w:color w:val="auto"/>
        </w:rPr>
        <w:t>University Rules and Regulations</w:t>
      </w:r>
    </w:p>
    <w:p>
      <w:pPr>
        <w:spacing w:after="0" w:line="239"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Licensee understands and agrees that University of Florida personnel who are engaged by Licensee, whether as consultants, employees, or otherwise or who possess a material financial interest in Licensee are subject to the University of Florida’s rules regarding outside activities and financial interests set forth in University of Florida Regulation 1.011, the University of Florida’s Intellectual Property Policy, and an associated monitoring plan which addresses conflicts of interests. Any term of an agreement between Licensee and such University of Florida personnel which seeks to vary or override the personnel’s obligations to the University of Florida may not be enforced without the express written consent of an individual authorized to vary or waive such obligations on behalf of the University of Florida Board of Trustees and UFRF. Furthermore, should an interest of Licensee conflict with the interests of the University of Florida, such University of Florida personnel are obligated to resolve those conflicts according to the rules, guidelines, and policies of the University of Florida.</w:t>
      </w:r>
    </w:p>
    <w:p>
      <w:pPr>
        <w:spacing w:after="0" w:line="15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Section 20</w:t>
      </w:r>
      <w:r>
        <w:rPr>
          <w:sz w:val="20"/>
          <w:szCs w:val="20"/>
          <w:color w:val="auto"/>
        </w:rPr>
        <w:tab/>
      </w:r>
      <w:r>
        <w:rPr>
          <w:rFonts w:ascii="Arial" w:cs="Arial" w:eastAsia="Arial" w:hAnsi="Arial"/>
          <w:sz w:val="19"/>
          <w:szCs w:val="19"/>
          <w:b w:val="1"/>
          <w:bCs w:val="1"/>
          <w:u w:val="single" w:color="auto"/>
          <w:color w:val="auto"/>
        </w:rPr>
        <w:t>Contract Formation and Authority</w:t>
      </w:r>
    </w:p>
    <w:p>
      <w:pPr>
        <w:spacing w:after="0" w:line="239" w:lineRule="exact"/>
        <w:rPr>
          <w:sz w:val="20"/>
          <w:szCs w:val="20"/>
          <w:color w:val="auto"/>
        </w:rPr>
      </w:pPr>
    </w:p>
    <w:p>
      <w:pPr>
        <w:ind w:right="40" w:firstLine="648"/>
        <w:spacing w:after="0" w:line="300" w:lineRule="auto"/>
        <w:rPr>
          <w:sz w:val="20"/>
          <w:szCs w:val="20"/>
          <w:color w:val="auto"/>
        </w:rPr>
      </w:pPr>
      <w:r>
        <w:rPr>
          <w:rFonts w:ascii="Arial" w:cs="Arial" w:eastAsia="Arial" w:hAnsi="Arial"/>
          <w:sz w:val="19"/>
          <w:szCs w:val="19"/>
          <w:color w:val="auto"/>
        </w:rPr>
        <w:t>20.1 The submission of this Agreement is not an offer, and this document is effective and binding only upon the execution by duly authorized representatives of Licensee and each Licensor. Copies of this Agreement that have not been executed and delivered by UFRF, Penn and Licensee do not evidence an agreement among the parties. Penn, on behalf of Licensors, may terminate this Agreement without the requirement of any notice to Licensee, if Penn, on behalf of Licensors, does not receive the license issuance fee pursuant to this Agreement within thirty (30) days after the Effective Date.</w:t>
      </w:r>
    </w:p>
    <w:p>
      <w:pPr>
        <w:spacing w:after="0" w:line="147" w:lineRule="exact"/>
        <w:rPr>
          <w:sz w:val="20"/>
          <w:szCs w:val="20"/>
          <w:color w:val="auto"/>
        </w:rPr>
      </w:pPr>
    </w:p>
    <w:p>
      <w:pPr>
        <w:ind w:right="180" w:firstLine="648"/>
        <w:spacing w:after="0" w:line="276" w:lineRule="auto"/>
        <w:rPr>
          <w:sz w:val="20"/>
          <w:szCs w:val="20"/>
          <w:color w:val="auto"/>
        </w:rPr>
      </w:pPr>
      <w:r>
        <w:rPr>
          <w:rFonts w:ascii="Arial" w:cs="Arial" w:eastAsia="Arial" w:hAnsi="Arial"/>
          <w:sz w:val="22"/>
          <w:szCs w:val="22"/>
          <w:color w:val="auto"/>
        </w:rPr>
        <w:t>20.2 Each Licensor and Licensee hereby warrant and represent that the persons signing this Agreement have authority to execute this Agreement on behalf of the party for whom they have signed.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631" w:right="25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The parties have duly executed this Agreement on the dates indicated below.</w:t>
      </w:r>
    </w:p>
    <w:p>
      <w:pPr>
        <w:sectPr>
          <w:pgSz w:w="11900" w:h="16838" w:orient="portrait"/>
          <w:cols w:equalWidth="0" w:num="1">
            <w:col w:w="10219"/>
          </w:cols>
          <w:pgMar w:left="240" w:top="63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60" w:right="920"/>
        <w:spacing w:after="0" w:line="251" w:lineRule="auto"/>
        <w:rPr>
          <w:sz w:val="20"/>
          <w:szCs w:val="20"/>
          <w:color w:val="auto"/>
        </w:rPr>
      </w:pPr>
      <w:r>
        <w:rPr>
          <w:rFonts w:ascii="Arial" w:cs="Arial" w:eastAsia="Arial" w:hAnsi="Arial"/>
          <w:sz w:val="22"/>
          <w:szCs w:val="22"/>
          <w:color w:val="auto"/>
        </w:rPr>
        <w:t>THE TRUSTEES OF THE UNIVERSITY OF PENNSYLVANIA</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OPHTHOTECH CORPORATION</w:t>
      </w:r>
    </w:p>
    <w:p>
      <w:pPr>
        <w:spacing w:after="0" w:line="510" w:lineRule="exact"/>
        <w:rPr>
          <w:sz w:val="20"/>
          <w:szCs w:val="20"/>
          <w:color w:val="auto"/>
        </w:rPr>
      </w:pPr>
    </w:p>
    <w:p>
      <w:pPr>
        <w:sectPr>
          <w:pgSz w:w="11900" w:h="16838" w:orient="portrait"/>
          <w:cols w:equalWidth="0" w:num="2">
            <w:col w:w="5200" w:space="720"/>
            <w:col w:w="4299"/>
          </w:cols>
          <w:pgMar w:left="240" w:top="6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5220" w:type="dxa"/>
            <w:vAlign w:val="bottom"/>
            <w:gridSpan w:val="3"/>
          </w:tcPr>
          <w:p>
            <w:pPr>
              <w:spacing w:after="0"/>
              <w:rPr>
                <w:sz w:val="20"/>
                <w:szCs w:val="20"/>
                <w:color w:val="auto"/>
              </w:rPr>
            </w:pPr>
            <w:r>
              <w:rPr>
                <w:rFonts w:ascii="Arial" w:cs="Arial" w:eastAsia="Arial" w:hAnsi="Arial"/>
                <w:sz w:val="22"/>
                <w:szCs w:val="22"/>
                <w:color w:val="auto"/>
              </w:rPr>
              <w:t>By: /s/ Benjamin Dibling________________</w:t>
            </w:r>
          </w:p>
        </w:tc>
        <w:tc>
          <w:tcPr>
            <w:tcW w:w="4440" w:type="dxa"/>
            <w:vAlign w:val="bottom"/>
            <w:gridSpan w:val="2"/>
          </w:tcPr>
          <w:p>
            <w:pPr>
              <w:ind w:left="440"/>
              <w:spacing w:after="0"/>
              <w:rPr>
                <w:sz w:val="20"/>
                <w:szCs w:val="20"/>
                <w:color w:val="auto"/>
              </w:rPr>
            </w:pPr>
            <w:r>
              <w:rPr>
                <w:rFonts w:ascii="Arial" w:cs="Arial" w:eastAsia="Arial" w:hAnsi="Arial"/>
                <w:sz w:val="22"/>
                <w:szCs w:val="22"/>
                <w:color w:val="auto"/>
                <w:w w:val="89"/>
              </w:rPr>
              <w:t>By: _/s/ Glenn Sblendorio________________</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220" w:type="dxa"/>
            <w:vAlign w:val="bottom"/>
            <w:gridSpan w:val="3"/>
          </w:tcPr>
          <w:p>
            <w:pPr>
              <w:spacing w:after="0" w:line="242" w:lineRule="exact"/>
              <w:rPr>
                <w:sz w:val="20"/>
                <w:szCs w:val="20"/>
                <w:color w:val="auto"/>
              </w:rPr>
            </w:pPr>
            <w:r>
              <w:rPr>
                <w:rFonts w:ascii="Arial" w:cs="Arial" w:eastAsia="Arial" w:hAnsi="Arial"/>
                <w:sz w:val="22"/>
                <w:szCs w:val="22"/>
                <w:color w:val="auto"/>
              </w:rPr>
              <w:t>Name: Benjamin Dibling, Ph.D.</w:t>
            </w:r>
          </w:p>
        </w:tc>
        <w:tc>
          <w:tcPr>
            <w:tcW w:w="4440" w:type="dxa"/>
            <w:vAlign w:val="bottom"/>
            <w:gridSpan w:val="2"/>
          </w:tcPr>
          <w:p>
            <w:pPr>
              <w:ind w:left="440"/>
              <w:spacing w:after="0" w:line="242" w:lineRule="exact"/>
              <w:rPr>
                <w:sz w:val="20"/>
                <w:szCs w:val="20"/>
                <w:color w:val="auto"/>
              </w:rPr>
            </w:pPr>
            <w:r>
              <w:rPr>
                <w:rFonts w:ascii="Arial" w:cs="Arial" w:eastAsia="Arial" w:hAnsi="Arial"/>
                <w:sz w:val="22"/>
                <w:szCs w:val="22"/>
                <w:color w:val="auto"/>
              </w:rPr>
              <w:t>Name: Glenn P. Sblendorio</w:t>
            </w:r>
          </w:p>
        </w:tc>
        <w:tc>
          <w:tcPr>
            <w:tcW w:w="0" w:type="dxa"/>
            <w:vAlign w:val="bottom"/>
          </w:tcPr>
          <w:p>
            <w:pPr>
              <w:spacing w:after="0"/>
              <w:rPr>
                <w:sz w:val="1"/>
                <w:szCs w:val="1"/>
                <w:color w:val="auto"/>
              </w:rPr>
            </w:pPr>
          </w:p>
        </w:tc>
      </w:tr>
      <w:tr>
        <w:trPr>
          <w:trHeight w:val="243"/>
        </w:trPr>
        <w:tc>
          <w:tcPr>
            <w:tcW w:w="5220" w:type="dxa"/>
            <w:vAlign w:val="bottom"/>
            <w:gridSpan w:val="3"/>
          </w:tcPr>
          <w:p>
            <w:pPr>
              <w:spacing w:after="0" w:line="243" w:lineRule="exact"/>
              <w:rPr>
                <w:sz w:val="20"/>
                <w:szCs w:val="20"/>
                <w:color w:val="auto"/>
              </w:rPr>
            </w:pPr>
            <w:r>
              <w:rPr>
                <w:rFonts w:ascii="Arial" w:cs="Arial" w:eastAsia="Arial" w:hAnsi="Arial"/>
                <w:sz w:val="22"/>
                <w:szCs w:val="22"/>
                <w:color w:val="auto"/>
                <w:w w:val="99"/>
              </w:rPr>
              <w:t>Title: Executive Director of Licensing, Penn Center for</w:t>
            </w:r>
          </w:p>
        </w:tc>
        <w:tc>
          <w:tcPr>
            <w:tcW w:w="444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Title: Chief Executive Officer &amp; President</w:t>
            </w:r>
          </w:p>
        </w:tc>
        <w:tc>
          <w:tcPr>
            <w:tcW w:w="0" w:type="dxa"/>
            <w:vAlign w:val="bottom"/>
          </w:tcPr>
          <w:p>
            <w:pPr>
              <w:spacing w:after="0"/>
              <w:rPr>
                <w:sz w:val="1"/>
                <w:szCs w:val="1"/>
                <w:color w:val="auto"/>
              </w:rPr>
            </w:pPr>
          </w:p>
        </w:tc>
      </w:tr>
      <w:tr>
        <w:trPr>
          <w:trHeight w:val="275"/>
        </w:trPr>
        <w:tc>
          <w:tcPr>
            <w:tcW w:w="5220" w:type="dxa"/>
            <w:vAlign w:val="bottom"/>
            <w:gridSpan w:val="3"/>
          </w:tcPr>
          <w:p>
            <w:pPr>
              <w:spacing w:after="0"/>
              <w:rPr>
                <w:sz w:val="20"/>
                <w:szCs w:val="20"/>
                <w:color w:val="auto"/>
              </w:rPr>
            </w:pPr>
            <w:r>
              <w:rPr>
                <w:rFonts w:ascii="Arial" w:cs="Arial" w:eastAsia="Arial" w:hAnsi="Arial"/>
                <w:sz w:val="22"/>
                <w:szCs w:val="22"/>
                <w:color w:val="auto"/>
              </w:rPr>
              <w:t>Innovation</w:t>
            </w:r>
          </w:p>
        </w:tc>
        <w:tc>
          <w:tcPr>
            <w:tcW w:w="4440" w:type="dxa"/>
            <w:vAlign w:val="bottom"/>
            <w:gridSpan w:val="2"/>
            <w:vMerge w:val="restart"/>
          </w:tcPr>
          <w:p>
            <w:pPr>
              <w:ind w:left="440"/>
              <w:spacing w:after="0"/>
              <w:rPr>
                <w:sz w:val="20"/>
                <w:szCs w:val="20"/>
                <w:color w:val="auto"/>
              </w:rPr>
            </w:pPr>
            <w:r>
              <w:rPr>
                <w:rFonts w:ascii="Arial" w:cs="Arial" w:eastAsia="Arial" w:hAnsi="Arial"/>
                <w:sz w:val="22"/>
                <w:szCs w:val="22"/>
                <w:color w:val="auto"/>
              </w:rPr>
              <w:t>Date: April 11, 2019</w:t>
            </w:r>
          </w:p>
        </w:tc>
        <w:tc>
          <w:tcPr>
            <w:tcW w:w="0" w:type="dxa"/>
            <w:vAlign w:val="bottom"/>
          </w:tcPr>
          <w:p>
            <w:pPr>
              <w:spacing w:after="0"/>
              <w:rPr>
                <w:sz w:val="1"/>
                <w:szCs w:val="1"/>
                <w:color w:val="auto"/>
              </w:rPr>
            </w:pPr>
          </w:p>
        </w:tc>
      </w:tr>
      <w:tr>
        <w:trPr>
          <w:trHeight w:val="243"/>
        </w:trPr>
        <w:tc>
          <w:tcPr>
            <w:tcW w:w="5220" w:type="dxa"/>
            <w:vAlign w:val="bottom"/>
            <w:gridSpan w:val="3"/>
            <w:vMerge w:val="restart"/>
          </w:tcPr>
          <w:p>
            <w:pPr>
              <w:spacing w:after="0"/>
              <w:rPr>
                <w:sz w:val="20"/>
                <w:szCs w:val="20"/>
                <w:color w:val="auto"/>
              </w:rPr>
            </w:pPr>
            <w:r>
              <w:rPr>
                <w:rFonts w:ascii="Arial" w:cs="Arial" w:eastAsia="Arial" w:hAnsi="Arial"/>
                <w:sz w:val="22"/>
                <w:szCs w:val="22"/>
                <w:color w:val="auto"/>
              </w:rPr>
              <w:t>Date: April 11, 2019</w:t>
            </w:r>
          </w:p>
        </w:tc>
        <w:tc>
          <w:tcPr>
            <w:tcW w:w="44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 w:right="4659"/>
        <w:spacing w:after="0" w:line="251" w:lineRule="auto"/>
        <w:rPr>
          <w:sz w:val="20"/>
          <w:szCs w:val="20"/>
          <w:color w:val="auto"/>
        </w:rPr>
      </w:pPr>
      <w:r>
        <w:rPr>
          <w:rFonts w:ascii="Arial" w:cs="Arial" w:eastAsia="Arial" w:hAnsi="Arial"/>
          <w:sz w:val="22"/>
          <w:szCs w:val="22"/>
          <w:color w:val="auto"/>
        </w:rPr>
        <w:t>UNIVERSITY OF FLORIDA RESEARCH FOUNDATION,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By: _</w:t>
      </w:r>
      <w:r>
        <w:rPr>
          <w:rFonts w:ascii="Arial" w:cs="Arial" w:eastAsia="Arial" w:hAnsi="Arial"/>
          <w:sz w:val="22"/>
          <w:szCs w:val="22"/>
          <w:u w:val="single" w:color="auto"/>
          <w:color w:val="auto"/>
        </w:rPr>
        <w:t>/s/ Jim O’Connell</w:t>
      </w:r>
      <w:r>
        <w:rPr>
          <w:rFonts w:ascii="Arial" w:cs="Arial" w:eastAsia="Arial" w:hAnsi="Arial"/>
          <w:sz w:val="22"/>
          <w:szCs w:val="22"/>
          <w:color w:val="auto"/>
        </w:rPr>
        <w:t>________________</w:t>
      </w:r>
    </w:p>
    <w:p>
      <w:pPr>
        <w:ind w:left="260"/>
        <w:spacing w:after="0" w:line="238" w:lineRule="auto"/>
        <w:rPr>
          <w:sz w:val="20"/>
          <w:szCs w:val="20"/>
          <w:color w:val="auto"/>
        </w:rPr>
      </w:pPr>
      <w:r>
        <w:rPr>
          <w:rFonts w:ascii="Arial" w:cs="Arial" w:eastAsia="Arial" w:hAnsi="Arial"/>
          <w:sz w:val="22"/>
          <w:szCs w:val="22"/>
          <w:color w:val="auto"/>
        </w:rPr>
        <w:t>Name: Jim O’Connell</w:t>
      </w:r>
    </w:p>
    <w:p>
      <w:pPr>
        <w:ind w:left="260"/>
        <w:spacing w:after="0"/>
        <w:rPr>
          <w:sz w:val="20"/>
          <w:szCs w:val="20"/>
          <w:color w:val="auto"/>
        </w:rPr>
      </w:pPr>
      <w:r>
        <w:rPr>
          <w:rFonts w:ascii="Arial" w:cs="Arial" w:eastAsia="Arial" w:hAnsi="Arial"/>
          <w:sz w:val="22"/>
          <w:szCs w:val="22"/>
          <w:color w:val="auto"/>
        </w:rPr>
        <w:t>Title: Director of Technology Licensing</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Date: April 11, 2019</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219"/>
          </w:cols>
          <w:pgMar w:left="240" w:top="631" w:right="1440" w:bottom="1440" w:gutter="0" w:footer="0" w:header="0"/>
          <w:type w:val="continuous"/>
        </w:sectPr>
      </w:pPr>
    </w:p>
    <w:bookmarkStart w:id="123" w:name="page124"/>
    <w:bookmarkEnd w:id="123"/>
    <w:p>
      <w:pPr>
        <w:jc w:val="center"/>
        <w:ind w:left="260" w:right="200"/>
        <w:spacing w:after="0" w:line="260" w:lineRule="auto"/>
        <w:rPr>
          <w:sz w:val="20"/>
          <w:szCs w:val="20"/>
          <w:color w:val="auto"/>
        </w:rPr>
      </w:pPr>
      <w:r>
        <w:rPr>
          <w:rFonts w:ascii="Arial" w:cs="Arial" w:eastAsia="Arial" w:hAnsi="Arial"/>
          <w:sz w:val="20"/>
          <w:szCs w:val="20"/>
          <w:color w:val="auto"/>
        </w:rPr>
        <w:t>Certain identified information has been excluded from the exhibit because it is both (i) not material and (ii) would likely cause competitive harm to the Company, if publicly disclosed. Double asterisks denote omissions.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SPONSORED RESEARCH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Master Sponsored Research Agreement (“</w:t>
      </w:r>
      <w:r>
        <w:rPr>
          <w:rFonts w:ascii="Arial" w:cs="Arial" w:eastAsia="Arial" w:hAnsi="Arial"/>
          <w:sz w:val="20"/>
          <w:szCs w:val="20"/>
          <w:b w:val="1"/>
          <w:bCs w:val="1"/>
          <w:color w:val="auto"/>
        </w:rPr>
        <w:t>Agreement</w:t>
      </w:r>
      <w:r>
        <w:rPr>
          <w:rFonts w:ascii="Arial" w:cs="Arial" w:eastAsia="Arial" w:hAnsi="Arial"/>
          <w:sz w:val="20"/>
          <w:szCs w:val="20"/>
          <w:color w:val="auto"/>
        </w:rPr>
        <w:t>”) is dated as of October 30, 2018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The Trustees of the University of Pennsylvania, a Pennsylvania nonprofit corporation (“</w:t>
      </w:r>
      <w:r>
        <w:rPr>
          <w:rFonts w:ascii="Arial" w:cs="Arial" w:eastAsia="Arial" w:hAnsi="Arial"/>
          <w:sz w:val="20"/>
          <w:szCs w:val="20"/>
          <w:b w:val="1"/>
          <w:bCs w:val="1"/>
          <w:color w:val="auto"/>
        </w:rPr>
        <w:t>Penn</w:t>
      </w:r>
      <w:r>
        <w:rPr>
          <w:rFonts w:ascii="Arial" w:cs="Arial" w:eastAsia="Arial" w:hAnsi="Arial"/>
          <w:sz w:val="20"/>
          <w:szCs w:val="20"/>
          <w:color w:val="auto"/>
        </w:rPr>
        <w:t>”), with offices located at Penn Center for Innovation, 3160 Chestnut Street, Suite 200, Philadelphia, PA 19104-6283, and Ophthotech Corporation, a Delaware corporation (“</w:t>
      </w:r>
      <w:r>
        <w:rPr>
          <w:rFonts w:ascii="Arial" w:cs="Arial" w:eastAsia="Arial" w:hAnsi="Arial"/>
          <w:sz w:val="20"/>
          <w:szCs w:val="20"/>
          <w:b w:val="1"/>
          <w:bCs w:val="1"/>
          <w:color w:val="auto"/>
        </w:rPr>
        <w:t>Sponsor</w:t>
      </w:r>
      <w:r>
        <w:rPr>
          <w:rFonts w:ascii="Arial" w:cs="Arial" w:eastAsia="Arial" w:hAnsi="Arial"/>
          <w:sz w:val="20"/>
          <w:szCs w:val="20"/>
          <w:color w:val="auto"/>
        </w:rPr>
        <w:t>”), having a place of business at One Penn Plaza, Suite 3520, New York, NY 10119. Penn and Sponsor may be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Penn and the University of Florida Research Foundation, Inc (“</w:t>
      </w:r>
      <w:r>
        <w:rPr>
          <w:rFonts w:ascii="Arial" w:cs="Arial" w:eastAsia="Arial" w:hAnsi="Arial"/>
          <w:sz w:val="20"/>
          <w:szCs w:val="20"/>
          <w:b w:val="1"/>
          <w:bCs w:val="1"/>
          <w:color w:val="auto"/>
        </w:rPr>
        <w:t>UFRF</w:t>
      </w:r>
      <w:r>
        <w:rPr>
          <w:rFonts w:ascii="Arial" w:cs="Arial" w:eastAsia="Arial" w:hAnsi="Arial"/>
          <w:sz w:val="20"/>
          <w:szCs w:val="20"/>
          <w:color w:val="auto"/>
        </w:rPr>
        <w:t>”) have developed gene therapy technology for</w:t>
      </w:r>
      <w:r>
        <w:rPr>
          <w:rFonts w:ascii="Arial" w:cs="Arial" w:eastAsia="Arial" w:hAnsi="Arial"/>
          <w:sz w:val="20"/>
          <w:szCs w:val="20"/>
          <w:b w:val="1"/>
          <w:bCs w:val="1"/>
          <w:color w:val="auto"/>
        </w:rPr>
        <w:t xml:space="preserve"> </w:t>
      </w:r>
      <w:r>
        <w:rPr>
          <w:rFonts w:ascii="Arial" w:cs="Arial" w:eastAsia="Arial" w:hAnsi="Arial"/>
          <w:sz w:val="20"/>
          <w:szCs w:val="20"/>
          <w:color w:val="auto"/>
        </w:rPr>
        <w:t>treating BEST1-associated maculopathies jointly owned and/or controlled by Penn and UFRF, which technology is the subject of a separate option agreement among Penn, UFRF and Sponsor of even date hereof (the “</w:t>
      </w:r>
      <w:r>
        <w:rPr>
          <w:rFonts w:ascii="Arial" w:cs="Arial" w:eastAsia="Arial" w:hAnsi="Arial"/>
          <w:sz w:val="20"/>
          <w:szCs w:val="20"/>
          <w:b w:val="1"/>
          <w:bCs w:val="1"/>
          <w:color w:val="auto"/>
        </w:rPr>
        <w:t>Option Agreement</w:t>
      </w:r>
      <w:r>
        <w:rPr>
          <w:rFonts w:ascii="Arial" w:cs="Arial" w:eastAsia="Arial" w:hAnsi="Arial"/>
          <w:sz w:val="20"/>
          <w:szCs w:val="20"/>
          <w:color w:val="auto"/>
        </w:rPr>
        <w:t>”);</w:t>
      </w:r>
    </w:p>
    <w:p>
      <w:pPr>
        <w:spacing w:after="0" w:line="17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Penn and Sponsor are entering into this Agreement since Sponsor desires to fund, among other projects, the research of a</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to be conducted by [**] of Penn’s School of Veterinary Medicine relating to the study of BEST1-associated maculopathies;</w:t>
      </w:r>
    </w:p>
    <w:p>
      <w:pPr>
        <w:spacing w:after="0" w:line="1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Sponsor desires to support such research conducted by Penn in accordance with the terms and conditions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research program contemplated by this Agreement is of mutual interest to Sponsor and Penn and furthers the</w:t>
      </w:r>
      <w:r>
        <w:rPr>
          <w:rFonts w:ascii="Arial" w:cs="Arial" w:eastAsia="Arial" w:hAnsi="Arial"/>
          <w:sz w:val="20"/>
          <w:szCs w:val="20"/>
          <w:b w:val="1"/>
          <w:bCs w:val="1"/>
          <w:color w:val="auto"/>
        </w:rPr>
        <w:t xml:space="preserve"> </w:t>
      </w:r>
      <w:r>
        <w:rPr>
          <w:rFonts w:ascii="Arial" w:cs="Arial" w:eastAsia="Arial" w:hAnsi="Arial"/>
          <w:sz w:val="20"/>
          <w:szCs w:val="20"/>
          <w:color w:val="auto"/>
        </w:rPr>
        <w:t>educational, scholarship and research objectives of Penn as a nonprofit, tax-exempt, educational institution, and may benefit both Sponsor and Penn through the creation or discovery of new inventions, which the Parties may invent solely or jointly in the conduct of the research program;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this Agreement is the “Penn Sponsored Research Agreement” referenced in the Option Agreement.</w:t>
      </w: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various promises and undertakings set forth herein, the Parties agree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 Model</w:t>
      </w:r>
      <w:r>
        <w:rPr>
          <w:rFonts w:ascii="Arial" w:cs="Arial" w:eastAsia="Arial" w:hAnsi="Arial"/>
          <w:sz w:val="19"/>
          <w:szCs w:val="19"/>
          <w:color w:val="auto"/>
        </w:rPr>
        <w:t>” means [**] models.</w:t>
      </w:r>
    </w:p>
    <w:p>
      <w:pPr>
        <w:spacing w:after="0" w:line="283" w:lineRule="exact"/>
        <w:rPr>
          <w:sz w:val="20"/>
          <w:szCs w:val="20"/>
          <w:color w:val="auto"/>
        </w:rPr>
      </w:pPr>
    </w:p>
    <w:p>
      <w:pPr>
        <w:jc w:val="both"/>
        <w:ind w:left="660" w:right="20" w:hanging="1296"/>
        <w:spacing w:after="0" w:line="267"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Field</w:t>
      </w:r>
      <w:r>
        <w:rPr>
          <w:rFonts w:ascii="Arial" w:cs="Arial" w:eastAsia="Arial" w:hAnsi="Arial"/>
          <w:sz w:val="20"/>
          <w:szCs w:val="20"/>
          <w:color w:val="auto"/>
        </w:rPr>
        <w:t>” means gene therapies for the prevention, treatment, control and palliation of BEST1-associated maculopathies in humans and canines.</w:t>
      </w:r>
    </w:p>
    <w:p>
      <w:pPr>
        <w:spacing w:after="0" w:line="231" w:lineRule="exact"/>
        <w:rPr>
          <w:sz w:val="20"/>
          <w:szCs w:val="20"/>
          <w:color w:val="auto"/>
        </w:rPr>
      </w:pPr>
    </w:p>
    <w:p>
      <w:pPr>
        <w:jc w:val="both"/>
        <w:ind w:left="660" w:right="20" w:hanging="1296"/>
        <w:spacing w:after="0" w:line="267"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Investigator Group</w:t>
      </w:r>
      <w:r>
        <w:rPr>
          <w:rFonts w:ascii="Arial" w:cs="Arial" w:eastAsia="Arial" w:hAnsi="Arial"/>
          <w:sz w:val="20"/>
          <w:szCs w:val="20"/>
          <w:color w:val="auto"/>
        </w:rPr>
        <w:t>” means the Penn employees who have agreed to participate in the Sponsored Research as identified in the applicable SOWs.</w:t>
      </w:r>
    </w:p>
    <w:p>
      <w:pPr>
        <w:spacing w:after="0" w:line="231" w:lineRule="exact"/>
        <w:rPr>
          <w:sz w:val="20"/>
          <w:szCs w:val="20"/>
          <w:color w:val="auto"/>
        </w:rPr>
      </w:pPr>
    </w:p>
    <w:p>
      <w:pPr>
        <w:jc w:val="both"/>
        <w:ind w:left="660" w:right="20" w:hanging="1296"/>
        <w:spacing w:after="0" w:line="267"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Penn Intellectual Property</w:t>
      </w:r>
      <w:r>
        <w:rPr>
          <w:rFonts w:ascii="Arial" w:cs="Arial" w:eastAsia="Arial" w:hAnsi="Arial"/>
          <w:sz w:val="20"/>
          <w:szCs w:val="20"/>
          <w:color w:val="auto"/>
        </w:rPr>
        <w:t>” means all inventions, whether patentable or not, that are (a) conceived or (b) conceived and reduced to practice, in either case ((a) or (b)) in the conduct of the Sponsored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6" w:right="239" w:bottom="1440" w:gutter="0" w:footer="0" w:header="0"/>
        </w:sectPr>
      </w:pPr>
    </w:p>
    <w:bookmarkStart w:id="124" w:name="page125"/>
    <w:bookmarkEnd w:id="124"/>
    <w:p>
      <w:pPr>
        <w:jc w:val="both"/>
        <w:ind w:left="660"/>
        <w:spacing w:after="0" w:line="290" w:lineRule="auto"/>
        <w:rPr>
          <w:sz w:val="20"/>
          <w:szCs w:val="20"/>
          <w:color w:val="auto"/>
        </w:rPr>
      </w:pPr>
      <w:r>
        <w:rPr>
          <w:rFonts w:ascii="Arial" w:cs="Arial" w:eastAsia="Arial" w:hAnsi="Arial"/>
          <w:sz w:val="19"/>
          <w:szCs w:val="19"/>
          <w:color w:val="auto"/>
        </w:rPr>
        <w:t>Research during the term of this Agreement, including all United States and foreign patent applications claiming said patentable inventions, including any divisional, continuation, continuation-in-part (to the extent that the claims are directed to said patentable inventions), and foreign equivalents thereof, as well as any patents issued thereon and reissues, reexaminations and supplemental examinations thereof and extensions of any of the foregoing. For clarity, Penn Intellectual Property also includes all software created in the conduct of the Sponsored Research during the term of the applicable SOW.</w:t>
      </w:r>
    </w:p>
    <w:p>
      <w:pPr>
        <w:spacing w:after="0" w:line="227" w:lineRule="exact"/>
        <w:rPr>
          <w:sz w:val="20"/>
          <w:szCs w:val="20"/>
          <w:color w:val="auto"/>
        </w:rPr>
      </w:pPr>
    </w:p>
    <w:p>
      <w:pPr>
        <w:jc w:val="both"/>
        <w:ind w:left="660" w:hanging="1296"/>
        <w:spacing w:after="0" w:line="253"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Principal Investigator</w:t>
      </w:r>
      <w:r>
        <w:rPr>
          <w:rFonts w:ascii="Arial" w:cs="Arial" w:eastAsia="Arial" w:hAnsi="Arial"/>
          <w:sz w:val="20"/>
          <w:szCs w:val="20"/>
          <w:color w:val="auto"/>
        </w:rPr>
        <w:t>” means the Penn employee who has agreed to serve as faculty investigator for the Sponsored Research as identified in the applicable SOW and shall be responsible for the conduct, supervision and administration of the Sponsored Research under that SOW.</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the AAV gene therapy product candidate for BEST1-associated maculopathies.</w:t>
      </w:r>
    </w:p>
    <w:p>
      <w:pPr>
        <w:spacing w:after="0" w:line="283" w:lineRule="exact"/>
        <w:rPr>
          <w:sz w:val="20"/>
          <w:szCs w:val="20"/>
          <w:color w:val="auto"/>
        </w:rPr>
      </w:pPr>
    </w:p>
    <w:p>
      <w:pPr>
        <w:jc w:val="both"/>
        <w:ind w:left="660" w:hanging="1296"/>
        <w:spacing w:after="0" w:line="267" w:lineRule="auto"/>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Research Results</w:t>
      </w:r>
      <w:r>
        <w:rPr>
          <w:rFonts w:ascii="Arial" w:cs="Arial" w:eastAsia="Arial" w:hAnsi="Arial"/>
          <w:sz w:val="20"/>
          <w:szCs w:val="20"/>
          <w:color w:val="auto"/>
        </w:rPr>
        <w:t>” means all data and information which are generated in the performance of the Sponsored Research during the term of the applicable SOW. Research Results expressly exclude Penn Intellectual Property.</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Sponsor Option</w:t>
      </w:r>
      <w:r>
        <w:rPr>
          <w:rFonts w:ascii="Arial" w:cs="Arial" w:eastAsia="Arial" w:hAnsi="Arial"/>
          <w:sz w:val="18"/>
          <w:szCs w:val="18"/>
          <w:color w:val="auto"/>
        </w:rPr>
        <w:t>” means the options described in Section 5.5(i) and Section 5.5(ii) of this Agreement.</w:t>
      </w:r>
    </w:p>
    <w:p>
      <w:pPr>
        <w:spacing w:after="0" w:line="2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Sponsored Research</w:t>
      </w:r>
      <w:r>
        <w:rPr>
          <w:rFonts w:ascii="Arial" w:cs="Arial" w:eastAsia="Arial" w:hAnsi="Arial"/>
          <w:sz w:val="16"/>
          <w:szCs w:val="16"/>
          <w:color w:val="auto"/>
        </w:rPr>
        <w:t>” means the research program described in the applicable SOWs.</w:t>
      </w:r>
    </w:p>
    <w:p>
      <w:pPr>
        <w:spacing w:after="0" w:line="283" w:lineRule="exact"/>
        <w:rPr>
          <w:sz w:val="20"/>
          <w:szCs w:val="20"/>
          <w:color w:val="auto"/>
        </w:rPr>
      </w:pPr>
    </w:p>
    <w:p>
      <w:pPr>
        <w:jc w:val="both"/>
        <w:ind w:left="660" w:hanging="1296"/>
        <w:spacing w:after="0" w:line="248" w:lineRule="auto"/>
        <w:tabs>
          <w:tab w:leader="none" w:pos="640" w:val="left"/>
        </w:tabs>
        <w:rPr>
          <w:sz w:val="20"/>
          <w:szCs w:val="20"/>
          <w:color w:val="auto"/>
        </w:rPr>
      </w:pPr>
      <w:r>
        <w:rPr>
          <w:rFonts w:ascii="Arial" w:cs="Arial" w:eastAsia="Arial" w:hAnsi="Arial"/>
          <w:sz w:val="20"/>
          <w:szCs w:val="20"/>
          <w:color w:val="auto"/>
        </w:rPr>
        <w:t>1.10</w:t>
        <w:tab/>
        <w:t>“</w:t>
      </w:r>
      <w:r>
        <w:rPr>
          <w:rFonts w:ascii="Arial" w:cs="Arial" w:eastAsia="Arial" w:hAnsi="Arial"/>
          <w:sz w:val="20"/>
          <w:szCs w:val="20"/>
          <w:b w:val="1"/>
          <w:bCs w:val="1"/>
          <w:color w:val="auto"/>
        </w:rPr>
        <w:t>Statement of Work</w:t>
      </w:r>
      <w:r>
        <w:rPr>
          <w:rFonts w:ascii="Arial" w:cs="Arial" w:eastAsia="Arial" w:hAnsi="Arial"/>
          <w:sz w:val="20"/>
          <w:szCs w:val="20"/>
          <w:color w:val="auto"/>
        </w:rPr>
        <w:t>” or “</w:t>
      </w:r>
      <w:r>
        <w:rPr>
          <w:rFonts w:ascii="Arial" w:cs="Arial" w:eastAsia="Arial" w:hAnsi="Arial"/>
          <w:sz w:val="20"/>
          <w:szCs w:val="20"/>
          <w:b w:val="1"/>
          <w:bCs w:val="1"/>
          <w:color w:val="auto"/>
        </w:rPr>
        <w:t>SOW</w:t>
      </w:r>
      <w:r>
        <w:rPr>
          <w:rFonts w:ascii="Arial" w:cs="Arial" w:eastAsia="Arial" w:hAnsi="Arial"/>
          <w:sz w:val="20"/>
          <w:szCs w:val="20"/>
          <w:color w:val="auto"/>
        </w:rPr>
        <w:t>” means any Statement of Work in substantially the form attached hereto as Attachment A that is entered into as of the Effective Date or in the future by Penn and Sponsor specifying the effective date of the SOW and fully detailing the activities and responsibilities to be undertaken with respect to each applicable research program in addition to any other obligations set forth in this Agreement.</w:t>
      </w:r>
    </w:p>
    <w:p>
      <w:pPr>
        <w:spacing w:after="0" w:line="25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b w:val="1"/>
          <w:bCs w:val="1"/>
          <w:color w:val="auto"/>
        </w:rPr>
        <w:t>Other Terms</w:t>
      </w:r>
      <w:r>
        <w:rPr>
          <w:rFonts w:ascii="Arial" w:cs="Arial" w:eastAsia="Arial" w:hAnsi="Arial"/>
          <w:sz w:val="18"/>
          <w:szCs w:val="18"/>
          <w:color w:val="auto"/>
        </w:rPr>
        <w:t>. The definition of each of the following terms is set forth in the section of the Agreement indicated below:</w:t>
      </w:r>
    </w:p>
    <w:p>
      <w:pPr>
        <w:spacing w:after="0" w:line="313" w:lineRule="exact"/>
        <w:rPr>
          <w:sz w:val="20"/>
          <w:szCs w:val="20"/>
          <w:color w:val="auto"/>
        </w:rPr>
      </w:pPr>
    </w:p>
    <w:tbl>
      <w:tblPr>
        <w:tblLayout w:type="fixed"/>
        <w:tblInd w:w="850" w:type="dxa"/>
        <w:tblCellMar>
          <w:top w:w="0" w:type="dxa"/>
          <w:left w:w="0" w:type="dxa"/>
          <w:bottom w:w="0" w:type="dxa"/>
          <w:right w:w="0" w:type="dxa"/>
        </w:tblCellMar>
      </w:tblPr>
      <w:tr>
        <w:trPr>
          <w:trHeight w:val="302"/>
        </w:trPr>
        <w:tc>
          <w:tcPr>
            <w:tcW w:w="4080" w:type="dxa"/>
            <w:vAlign w:val="bottom"/>
            <w:tcBorders>
              <w:top w:val="single" w:sz="8" w:color="auto"/>
              <w:left w:val="single" w:sz="8" w:color="00000A"/>
              <w:bottom w:val="single" w:sz="8" w:color="CCCCCC"/>
            </w:tcBorders>
            <w:shd w:val="clear" w:color="auto" w:fill="CCCCCC"/>
          </w:tcPr>
          <w:p>
            <w:pPr>
              <w:ind w:left="2160"/>
              <w:spacing w:after="0"/>
              <w:rPr>
                <w:sz w:val="20"/>
                <w:szCs w:val="20"/>
                <w:color w:val="auto"/>
              </w:rPr>
            </w:pPr>
            <w:r>
              <w:rPr>
                <w:rFonts w:ascii="Arial" w:cs="Arial" w:eastAsia="Arial" w:hAnsi="Arial"/>
                <w:sz w:val="20"/>
                <w:szCs w:val="20"/>
                <w:b w:val="1"/>
                <w:bCs w:val="1"/>
                <w:color w:val="auto"/>
              </w:rPr>
              <w:t>Defined Term</w:t>
            </w:r>
          </w:p>
        </w:tc>
        <w:tc>
          <w:tcPr>
            <w:tcW w:w="1380" w:type="dxa"/>
            <w:vAlign w:val="bottom"/>
            <w:tcBorders>
              <w:top w:val="single" w:sz="8" w:color="auto"/>
              <w:bottom w:val="single" w:sz="8" w:color="CCCCCC"/>
              <w:right w:val="single" w:sz="8" w:color="auto"/>
            </w:tcBorders>
            <w:shd w:val="clear" w:color="auto" w:fill="CCCCCC"/>
          </w:tcPr>
          <w:p>
            <w:pPr>
              <w:spacing w:after="0"/>
              <w:rPr>
                <w:sz w:val="24"/>
                <w:szCs w:val="24"/>
                <w:color w:val="auto"/>
              </w:rPr>
            </w:pPr>
          </w:p>
        </w:tc>
        <w:tc>
          <w:tcPr>
            <w:tcW w:w="2920" w:type="dxa"/>
            <w:vAlign w:val="bottom"/>
            <w:tcBorders>
              <w:top w:val="single" w:sz="8" w:color="auto"/>
              <w:bottom w:val="single" w:sz="8" w:color="CCCCCC"/>
              <w:right w:val="single" w:sz="8" w:color="00000A"/>
            </w:tcBorders>
            <w:shd w:val="clear" w:color="auto" w:fill="CCCCCC"/>
          </w:tcPr>
          <w:p>
            <w:pPr>
              <w:ind w:left="1160"/>
              <w:spacing w:after="0"/>
              <w:rPr>
                <w:sz w:val="20"/>
                <w:szCs w:val="20"/>
                <w:color w:val="auto"/>
              </w:rPr>
            </w:pPr>
            <w:r>
              <w:rPr>
                <w:rFonts w:ascii="Arial" w:cs="Arial" w:eastAsia="Arial" w:hAnsi="Arial"/>
                <w:sz w:val="20"/>
                <w:szCs w:val="20"/>
                <w:b w:val="1"/>
                <w:bCs w:val="1"/>
                <w:color w:val="auto"/>
              </w:rPr>
              <w:t>Section</w:t>
            </w:r>
          </w:p>
        </w:tc>
      </w:tr>
      <w:tr>
        <w:trPr>
          <w:trHeight w:val="254"/>
        </w:trPr>
        <w:tc>
          <w:tcPr>
            <w:tcW w:w="4080" w:type="dxa"/>
            <w:vAlign w:val="bottom"/>
            <w:tcBorders>
              <w:top w:val="single" w:sz="8" w:color="auto"/>
              <w:left w:val="single" w:sz="8" w:color="00000A"/>
            </w:tcBorders>
          </w:tcPr>
          <w:p>
            <w:pPr>
              <w:ind w:left="120"/>
              <w:spacing w:after="0"/>
              <w:rPr>
                <w:sz w:val="20"/>
                <w:szCs w:val="20"/>
                <w:color w:val="auto"/>
              </w:rPr>
            </w:pPr>
            <w:r>
              <w:rPr>
                <w:rFonts w:ascii="Arial" w:cs="Arial" w:eastAsia="Arial" w:hAnsi="Arial"/>
                <w:sz w:val="20"/>
                <w:szCs w:val="20"/>
                <w:color w:val="auto"/>
              </w:rPr>
              <w:t>Agreement</w:t>
            </w:r>
          </w:p>
        </w:tc>
        <w:tc>
          <w:tcPr>
            <w:tcW w:w="1380" w:type="dxa"/>
            <w:vAlign w:val="bottom"/>
            <w:tcBorders>
              <w:top w:val="single" w:sz="8" w:color="auto"/>
              <w:right w:val="single" w:sz="8" w:color="auto"/>
            </w:tcBorders>
          </w:tcPr>
          <w:p>
            <w:pPr>
              <w:spacing w:after="0"/>
              <w:rPr>
                <w:sz w:val="22"/>
                <w:szCs w:val="22"/>
                <w:color w:val="auto"/>
              </w:rPr>
            </w:pPr>
          </w:p>
        </w:tc>
        <w:tc>
          <w:tcPr>
            <w:tcW w:w="2920" w:type="dxa"/>
            <w:vAlign w:val="bottom"/>
            <w:tcBorders>
              <w:top w:val="single" w:sz="8" w:color="auto"/>
              <w:right w:val="single" w:sz="8" w:color="00000A"/>
            </w:tcBorders>
          </w:tcPr>
          <w:p>
            <w:pPr>
              <w:ind w:left="100"/>
              <w:spacing w:after="0"/>
              <w:rPr>
                <w:sz w:val="20"/>
                <w:szCs w:val="20"/>
                <w:color w:val="auto"/>
              </w:rPr>
            </w:pPr>
            <w:r>
              <w:rPr>
                <w:rFonts w:ascii="Arial" w:cs="Arial" w:eastAsia="Arial" w:hAnsi="Arial"/>
                <w:sz w:val="20"/>
                <w:szCs w:val="20"/>
                <w:color w:val="auto"/>
              </w:rPr>
              <w:t>Preamble</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Confidential Informatioin</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6.1</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Effective Date</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Preamble</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License Agreement</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5.5(i)</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Option Agreement</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Preamble</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Option Exercise Notice</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5.5(iii)</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Option Period</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5.5(iii)</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Party or Parties</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Preamble</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Penn</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Preamble</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Penn Indemnitees</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8.2(i)</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Publication</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6.3</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Related Penn Intellectual Property</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5.5</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Sponsor</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Preamble</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Term</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7.1</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254"/>
        </w:trPr>
        <w:tc>
          <w:tcPr>
            <w:tcW w:w="4080" w:type="dxa"/>
            <w:vAlign w:val="bottom"/>
            <w:tcBorders>
              <w:left w:val="single" w:sz="8" w:color="00000A"/>
            </w:tcBorders>
          </w:tcPr>
          <w:p>
            <w:pPr>
              <w:ind w:left="120"/>
              <w:spacing w:after="0"/>
              <w:rPr>
                <w:sz w:val="20"/>
                <w:szCs w:val="20"/>
                <w:color w:val="auto"/>
              </w:rPr>
            </w:pPr>
            <w:r>
              <w:rPr>
                <w:rFonts w:ascii="Arial" w:cs="Arial" w:eastAsia="Arial" w:hAnsi="Arial"/>
                <w:sz w:val="20"/>
                <w:szCs w:val="20"/>
                <w:color w:val="auto"/>
              </w:rPr>
              <w:t>UFRF</w:t>
            </w:r>
          </w:p>
        </w:tc>
        <w:tc>
          <w:tcPr>
            <w:tcW w:w="1380" w:type="dxa"/>
            <w:vAlign w:val="bottom"/>
            <w:tcBorders>
              <w:right w:val="single" w:sz="8" w:color="auto"/>
            </w:tcBorders>
          </w:tcPr>
          <w:p>
            <w:pPr>
              <w:spacing w:after="0"/>
              <w:rPr>
                <w:sz w:val="22"/>
                <w:szCs w:val="22"/>
                <w:color w:val="auto"/>
              </w:rPr>
            </w:pPr>
          </w:p>
        </w:tc>
        <w:tc>
          <w:tcPr>
            <w:tcW w:w="2920" w:type="dxa"/>
            <w:vAlign w:val="bottom"/>
            <w:tcBorders>
              <w:right w:val="single" w:sz="8" w:color="00000A"/>
            </w:tcBorders>
          </w:tcPr>
          <w:p>
            <w:pPr>
              <w:ind w:left="100"/>
              <w:spacing w:after="0"/>
              <w:rPr>
                <w:sz w:val="20"/>
                <w:szCs w:val="20"/>
                <w:color w:val="auto"/>
              </w:rPr>
            </w:pPr>
            <w:r>
              <w:rPr>
                <w:rFonts w:ascii="Arial" w:cs="Arial" w:eastAsia="Arial" w:hAnsi="Arial"/>
                <w:sz w:val="20"/>
                <w:szCs w:val="20"/>
                <w:color w:val="auto"/>
              </w:rPr>
              <w:t>Preamble</w:t>
            </w:r>
          </w:p>
        </w:tc>
      </w:tr>
      <w:tr>
        <w:trPr>
          <w:trHeight w:val="23"/>
        </w:trPr>
        <w:tc>
          <w:tcPr>
            <w:tcW w:w="4080" w:type="dxa"/>
            <w:vAlign w:val="bottom"/>
            <w:tcBorders>
              <w:left w:val="single" w:sz="8" w:color="00000A"/>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00000A"/>
            </w:tcBorders>
          </w:tcPr>
          <w:p>
            <w:pPr>
              <w:spacing w:after="0"/>
              <w:rPr>
                <w:sz w:val="2"/>
                <w:szCs w:val="2"/>
                <w:color w:val="auto"/>
              </w:rPr>
            </w:pPr>
          </w:p>
        </w:tc>
      </w:tr>
      <w:tr>
        <w:trPr>
          <w:trHeight w:val="466"/>
        </w:trPr>
        <w:tc>
          <w:tcPr>
            <w:tcW w:w="408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2920" w:type="dxa"/>
            <w:vAlign w:val="bottom"/>
          </w:tcPr>
          <w:p>
            <w:pPr>
              <w:spacing w:after="0"/>
              <w:rPr>
                <w:sz w:val="24"/>
                <w:szCs w:val="24"/>
                <w:color w:val="auto"/>
              </w:rPr>
            </w:pPr>
          </w:p>
        </w:tc>
      </w:tr>
    </w:tbl>
    <w:p>
      <w:pPr>
        <w:sectPr>
          <w:pgSz w:w="11900" w:h="16838" w:orient="portrait"/>
          <w:cols w:equalWidth="0" w:num="1">
            <w:col w:w="11420"/>
          </w:cols>
          <w:pgMar w:left="240" w:top="487"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SPONSORED RESEARCH</w:t>
      </w:r>
    </w:p>
    <w:p>
      <w:pPr>
        <w:spacing w:after="0" w:line="302" w:lineRule="exact"/>
        <w:rPr>
          <w:sz w:val="20"/>
          <w:szCs w:val="20"/>
          <w:color w:val="auto"/>
        </w:rPr>
      </w:pPr>
    </w:p>
    <w:p>
      <w:pPr>
        <w:jc w:val="both"/>
        <w:ind w:left="660" w:hanging="1296"/>
        <w:spacing w:after="0" w:line="245"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b w:val="1"/>
          <w:bCs w:val="1"/>
          <w:color w:val="auto"/>
        </w:rPr>
        <w:t>Conduct</w:t>
      </w:r>
      <w:r>
        <w:rPr>
          <w:rFonts w:ascii="Arial" w:cs="Arial" w:eastAsia="Arial" w:hAnsi="Arial"/>
          <w:sz w:val="20"/>
          <w:szCs w:val="20"/>
          <w:color w:val="auto"/>
        </w:rPr>
        <w:t>. Penn shall promptly commence the Sponsored Research under an applicable SOW after the SOW Effective Date (as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therein) and upon payment by Sponsor of any funds owed thereunder, and shall use good faith efforts to conduct such Sponsored Research substantially in accordance with the terms and conditions of this Agreement and the applicable SOW, including the timelines, if any, set forth therein. Sponsor acknowledges that Penn and the Principal Investigator shall have the freedom to conduct and supervise the Sponsored Research in a manner consistent with Penn’s educational and research missions.</w:t>
      </w:r>
    </w:p>
    <w:p>
      <w:pPr>
        <w:spacing w:after="0" w:line="253" w:lineRule="exact"/>
        <w:rPr>
          <w:sz w:val="20"/>
          <w:szCs w:val="20"/>
          <w:color w:val="auto"/>
        </w:rPr>
      </w:pPr>
    </w:p>
    <w:p>
      <w:pPr>
        <w:jc w:val="both"/>
        <w:ind w:left="660" w:hanging="1296"/>
        <w:spacing w:after="0" w:line="262"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b w:val="1"/>
          <w:bCs w:val="1"/>
          <w:color w:val="auto"/>
        </w:rPr>
        <w:t>Principal Investigator</w:t>
      </w:r>
      <w:r>
        <w:rPr>
          <w:rFonts w:ascii="Arial" w:cs="Arial" w:eastAsia="Arial" w:hAnsi="Arial"/>
          <w:sz w:val="19"/>
          <w:szCs w:val="19"/>
          <w:color w:val="auto"/>
        </w:rPr>
        <w:t>. If the services of the Principal Investigator become unavailable to Penn in connection with an applicable SOW</w:t>
      </w:r>
      <w:r>
        <w:rPr>
          <w:rFonts w:ascii="Arial" w:cs="Arial" w:eastAsia="Arial" w:hAnsi="Arial"/>
          <w:sz w:val="19"/>
          <w:szCs w:val="19"/>
          <w:b w:val="1"/>
          <w:bCs w:val="1"/>
          <w:color w:val="auto"/>
        </w:rPr>
        <w:t xml:space="preserve"> </w:t>
      </w:r>
      <w:r>
        <w:rPr>
          <w:rFonts w:ascii="Arial" w:cs="Arial" w:eastAsia="Arial" w:hAnsi="Arial"/>
          <w:sz w:val="19"/>
          <w:szCs w:val="19"/>
          <w:color w:val="auto"/>
        </w:rPr>
        <w:t>for any reason, Penn shall be entitled to designate another member of its faculty who is acceptable to Sponsor to serve as the Principal Investigator of the Sponsored Research thereunder. If an acceptable substitute Principal Investigator has not been designated within [**] after the original Principal Investigator ceases his or her services under the applicable SOW, either Party may terminate the SOW upon written notice thereof to the other Party, subject to the provisions of Article 7.</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REIMBURSEMENT OF COSTS &amp; PAYMENT</w:t>
      </w:r>
    </w:p>
    <w:p>
      <w:pPr>
        <w:spacing w:after="0" w:line="302" w:lineRule="exact"/>
        <w:rPr>
          <w:sz w:val="20"/>
          <w:szCs w:val="20"/>
          <w:color w:val="auto"/>
        </w:rPr>
      </w:pPr>
    </w:p>
    <w:p>
      <w:pPr>
        <w:jc w:val="both"/>
        <w:ind w:left="660" w:hanging="1296"/>
        <w:spacing w:after="0" w:line="245"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b w:val="1"/>
          <w:bCs w:val="1"/>
          <w:color w:val="auto"/>
        </w:rPr>
        <w:t>Reimbursement</w:t>
      </w:r>
      <w:r>
        <w:rPr>
          <w:rFonts w:ascii="Arial" w:cs="Arial" w:eastAsia="Arial" w:hAnsi="Arial"/>
          <w:sz w:val="20"/>
          <w:szCs w:val="20"/>
          <w:color w:val="auto"/>
        </w:rPr>
        <w:t>. Sponsor shall reimburse Penn for an amount equal to its expenditures and reasonable overhead incurred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of the Sponsored Research as set forth in the applicable SOW. Sponsor acknowledges that this amount is a good faith estimate only and not a guarantee of the cost to conduct the Sponsored Research. If at any time Penn determines that it will require additional funds for the Sponsored Research, it shall notify Sponsor and provide an estimate of the additional amount. Sponsor shall not be liable for any costs in excess of the amount set forth in the applicable SOW unless it has agreed in writing to provide additional funds.</w:t>
      </w:r>
    </w:p>
    <w:p>
      <w:pPr>
        <w:spacing w:after="0" w:line="253" w:lineRule="exact"/>
        <w:rPr>
          <w:sz w:val="20"/>
          <w:szCs w:val="20"/>
          <w:color w:val="auto"/>
        </w:rPr>
      </w:pPr>
    </w:p>
    <w:p>
      <w:pPr>
        <w:jc w:val="both"/>
        <w:ind w:left="660" w:right="20" w:hanging="1296"/>
        <w:spacing w:after="0" w:line="253"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b w:val="1"/>
          <w:bCs w:val="1"/>
          <w:color w:val="auto"/>
        </w:rPr>
        <w:t>Equipment</w:t>
      </w:r>
      <w:r>
        <w:rPr>
          <w:rFonts w:ascii="Arial" w:cs="Arial" w:eastAsia="Arial" w:hAnsi="Arial"/>
          <w:sz w:val="20"/>
          <w:szCs w:val="20"/>
          <w:color w:val="auto"/>
        </w:rPr>
        <w:t>. Title to any equipment, laboratory animals, or any other materials made or acquired with funds provided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vest in Penn, and such equipment, animals, or materials shall remain the property of Penn following termination of the applicable SOW.</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RESEARCH RESULTS; RECORDS AND REPORTS</w:t>
      </w:r>
    </w:p>
    <w:p>
      <w:pPr>
        <w:spacing w:after="0" w:line="302" w:lineRule="exact"/>
        <w:rPr>
          <w:sz w:val="20"/>
          <w:szCs w:val="20"/>
          <w:color w:val="auto"/>
        </w:rPr>
      </w:pPr>
    </w:p>
    <w:p>
      <w:pPr>
        <w:jc w:val="both"/>
        <w:ind w:left="660" w:hanging="1296"/>
        <w:spacing w:after="0" w:line="248"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b w:val="1"/>
          <w:bCs w:val="1"/>
          <w:color w:val="auto"/>
        </w:rPr>
        <w:t>Research Results</w:t>
      </w:r>
      <w:r>
        <w:rPr>
          <w:rFonts w:ascii="Arial" w:cs="Arial" w:eastAsia="Arial" w:hAnsi="Arial"/>
          <w:sz w:val="20"/>
          <w:szCs w:val="20"/>
          <w:color w:val="auto"/>
        </w:rPr>
        <w:t>. Sponsor shall have the right to use, copy and distribute and have used, copied and distributed Research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disclosed to Sponsor in records and reports for any reasonable purpose including for making IND and other regulatory filings with respect to the Product. The foregoing rights shall not grant Sponsor any rights under other copyrights or claims of patent applications or issued patents owned by Penn.</w:t>
      </w:r>
    </w:p>
    <w:p>
      <w:pPr>
        <w:spacing w:after="0" w:line="251" w:lineRule="exact"/>
        <w:rPr>
          <w:sz w:val="20"/>
          <w:szCs w:val="20"/>
          <w:color w:val="auto"/>
        </w:rPr>
      </w:pPr>
    </w:p>
    <w:p>
      <w:pPr>
        <w:jc w:val="both"/>
        <w:ind w:left="660" w:hanging="1296"/>
        <w:spacing w:after="0" w:line="245"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b w:val="1"/>
          <w:bCs w:val="1"/>
          <w:color w:val="auto"/>
        </w:rPr>
        <w:t>Records</w:t>
      </w:r>
      <w:r>
        <w:rPr>
          <w:rFonts w:ascii="Arial" w:cs="Arial" w:eastAsia="Arial" w:hAnsi="Arial"/>
          <w:sz w:val="20"/>
          <w:szCs w:val="20"/>
          <w:color w:val="auto"/>
        </w:rPr>
        <w:t>. Principal Investigator shall maintain accurate and complete records of the results of the Sponsored Research and shall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Sponsor with (a) reports of the progress and results of the Sponsored Research in accordance with the applicable SOW, and (b) ongoing informal updates on the progress and results of the Sponsored Research. Penn shall maintain accurate and complete records of the use of the funds provided by Sponsor and shall make such records available to Sponsor upon reasonable notice during Penn’s normal business hours, but not more frequently than [**] of the SOW Effective Date (as defined in the applicable SOW).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68" w:right="239" w:bottom="1440" w:gutter="0" w:footer="0" w:header="0"/>
        </w:sectPr>
      </w:pPr>
    </w:p>
    <w:bookmarkStart w:id="126" w:name="page127"/>
    <w:bookmarkEnd w:id="126"/>
    <w:p>
      <w:pPr>
        <w:jc w:val="both"/>
        <w:ind w:left="660" w:hanging="1296"/>
        <w:spacing w:after="0" w:line="248"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b w:val="1"/>
          <w:bCs w:val="1"/>
          <w:color w:val="auto"/>
        </w:rPr>
        <w:t>Research Reports</w:t>
      </w:r>
      <w:r>
        <w:rPr>
          <w:rFonts w:ascii="Arial" w:cs="Arial" w:eastAsia="Arial" w:hAnsi="Arial"/>
          <w:sz w:val="20"/>
          <w:szCs w:val="20"/>
          <w:color w:val="auto"/>
        </w:rPr>
        <w:t>. Penn hereby grants Sponsor a royalty-free, nontransferable, non-exclusive right to copy, reproduce and distribute</w:t>
      </w:r>
      <w:r>
        <w:rPr>
          <w:rFonts w:ascii="Arial" w:cs="Arial" w:eastAsia="Arial" w:hAnsi="Arial"/>
          <w:sz w:val="20"/>
          <w:szCs w:val="20"/>
          <w:b w:val="1"/>
          <w:bCs w:val="1"/>
          <w:color w:val="auto"/>
        </w:rPr>
        <w:t xml:space="preserve"> </w:t>
      </w:r>
      <w:r>
        <w:rPr>
          <w:rFonts w:ascii="Arial" w:cs="Arial" w:eastAsia="Arial" w:hAnsi="Arial"/>
          <w:sz w:val="20"/>
          <w:szCs w:val="20"/>
          <w:color w:val="auto"/>
        </w:rPr>
        <w:t>any research reports furnished to Sponsor under this Agreement. Sponsor may not charge fees for said research reports, use said research reports for advertising or promotional activities, or alter or modify said research reports without the prior written permission of Penn.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INTELLECTUAL PROPERTY</w:t>
      </w:r>
    </w:p>
    <w:p>
      <w:pPr>
        <w:spacing w:after="0" w:line="302" w:lineRule="exact"/>
        <w:rPr>
          <w:sz w:val="20"/>
          <w:szCs w:val="20"/>
          <w:color w:val="auto"/>
        </w:rPr>
      </w:pPr>
    </w:p>
    <w:p>
      <w:pPr>
        <w:jc w:val="both"/>
        <w:ind w:left="660" w:hanging="1296"/>
        <w:spacing w:after="0" w:line="253"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b w:val="1"/>
          <w:bCs w:val="1"/>
          <w:color w:val="auto"/>
        </w:rPr>
        <w:t>Penn Intellectual Property</w:t>
      </w:r>
      <w:r>
        <w:rPr>
          <w:rFonts w:ascii="Arial" w:cs="Arial" w:eastAsia="Arial" w:hAnsi="Arial"/>
          <w:sz w:val="20"/>
          <w:szCs w:val="20"/>
          <w:color w:val="auto"/>
        </w:rPr>
        <w:t>. Except as otherwise set forth in this Agreement or in any other agreement between the Parties, Penn shall</w:t>
      </w:r>
      <w:r>
        <w:rPr>
          <w:rFonts w:ascii="Arial" w:cs="Arial" w:eastAsia="Arial" w:hAnsi="Arial"/>
          <w:sz w:val="20"/>
          <w:szCs w:val="20"/>
          <w:b w:val="1"/>
          <w:bCs w:val="1"/>
          <w:color w:val="auto"/>
        </w:rPr>
        <w:t xml:space="preserve"> </w:t>
      </w:r>
      <w:r>
        <w:rPr>
          <w:rFonts w:ascii="Arial" w:cs="Arial" w:eastAsia="Arial" w:hAnsi="Arial"/>
          <w:sz w:val="20"/>
          <w:szCs w:val="20"/>
          <w:color w:val="auto"/>
        </w:rPr>
        <w:t>retain all right, title and interest in and to Penn Intellectual Property and any patents, copyrights, software and tangible research materials and other intellectual property related thereto.</w:t>
      </w:r>
    </w:p>
    <w:p>
      <w:pPr>
        <w:spacing w:after="0" w:line="245" w:lineRule="exact"/>
        <w:rPr>
          <w:sz w:val="20"/>
          <w:szCs w:val="20"/>
          <w:color w:val="auto"/>
        </w:rPr>
      </w:pPr>
    </w:p>
    <w:p>
      <w:pPr>
        <w:jc w:val="both"/>
        <w:ind w:left="660" w:hanging="1296"/>
        <w:spacing w:after="0" w:line="246"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b w:val="1"/>
          <w:bCs w:val="1"/>
          <w:color w:val="auto"/>
        </w:rPr>
        <w:t>Disclosure</w:t>
      </w:r>
      <w:r>
        <w:rPr>
          <w:rFonts w:ascii="Arial" w:cs="Arial" w:eastAsia="Arial" w:hAnsi="Arial"/>
          <w:sz w:val="20"/>
          <w:szCs w:val="20"/>
          <w:color w:val="auto"/>
        </w:rPr>
        <w:t>. Principal Investigator shall promptly provide Penn and Sponsor a written disclosure of any Penn Intellectual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Sponsor shall advise Penn in writing, no later than [**] after receipt of such disclosure, whether it requests Penn to file and prosecute patent applications related to such Penn Intellectual Property. If Sponsor does not request Penn to file and prosecute such patent applications, Penn may proceed with such preparation and prosecution at its own cost and expense; but such patent applications shall be excluded from Sponsor’s option under Section 5.5 hereof.</w:t>
      </w:r>
    </w:p>
    <w:p>
      <w:pPr>
        <w:spacing w:after="0" w:line="253" w:lineRule="exact"/>
        <w:rPr>
          <w:sz w:val="20"/>
          <w:szCs w:val="20"/>
          <w:color w:val="auto"/>
        </w:rPr>
      </w:pPr>
    </w:p>
    <w:p>
      <w:pPr>
        <w:jc w:val="both"/>
        <w:ind w:left="660" w:hanging="1296"/>
        <w:spacing w:after="0" w:line="258" w:lineRule="auto"/>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b w:val="1"/>
          <w:bCs w:val="1"/>
          <w:color w:val="auto"/>
        </w:rPr>
        <w:t>Prosecution</w:t>
      </w:r>
      <w:r>
        <w:rPr>
          <w:rFonts w:ascii="Arial" w:cs="Arial" w:eastAsia="Arial" w:hAnsi="Arial"/>
          <w:sz w:val="19"/>
          <w:szCs w:val="19"/>
          <w:color w:val="auto"/>
        </w:rPr>
        <w:t>. Penn shall control the preparation and prosecution of all patent applications and the maintenance of all patents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Penn Intellectual Property. Penn will reasonably consider Sponsor’s requests for Penn to file patent applications encompassing Penn Intellectual Property. With regard to any patent applications filed at the request and expense of Sponsor, Penn will consult with Sponsor on patent preparation, filing, prosecution and maintenance, including by providing Sponsor with a reasonable opportunity to provide suggestions or comments regarding the same, such suggestions or comments to be reasonably considered for inclusion by Penn in good faith. Sponsor shall reimburse Penn within [**] after receipt of invoice for all documented expenses incurred in connection with the filing and prosecution of the patent applications and maintenance of the patents that Sponsor has requested Penn to prosecute under Section 5.2 hereof.</w:t>
      </w:r>
    </w:p>
    <w:p>
      <w:pPr>
        <w:spacing w:after="0" w:line="241" w:lineRule="exact"/>
        <w:rPr>
          <w:sz w:val="20"/>
          <w:szCs w:val="20"/>
          <w:color w:val="auto"/>
        </w:rPr>
      </w:pPr>
    </w:p>
    <w:p>
      <w:pPr>
        <w:jc w:val="both"/>
        <w:ind w:left="660" w:hanging="1296"/>
        <w:spacing w:after="0" w:line="248" w:lineRule="auto"/>
        <w:tabs>
          <w:tab w:leader="none" w:pos="6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b w:val="1"/>
          <w:bCs w:val="1"/>
          <w:color w:val="auto"/>
        </w:rPr>
        <w:t>Software</w:t>
      </w:r>
      <w:r>
        <w:rPr>
          <w:rFonts w:ascii="Arial" w:cs="Arial" w:eastAsia="Arial" w:hAnsi="Arial"/>
          <w:sz w:val="20"/>
          <w:szCs w:val="20"/>
          <w:color w:val="auto"/>
        </w:rPr>
        <w:t>. Principal Investigator shall provide Penn and Sponsor a written disclosure of any copyrightable software created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of the Sponsored Research during the term of this Agreement that Principal Investigator reasonably considers to be scientifically valuable, provided that Principal Investigator shall have no obligation to provide the source code for such software.</w:t>
      </w:r>
    </w:p>
    <w:p>
      <w:pPr>
        <w:spacing w:after="0" w:line="251" w:lineRule="exact"/>
        <w:rPr>
          <w:sz w:val="20"/>
          <w:szCs w:val="20"/>
          <w:color w:val="auto"/>
        </w:rPr>
      </w:pPr>
    </w:p>
    <w:p>
      <w:pPr>
        <w:jc w:val="both"/>
        <w:ind w:left="660" w:hanging="1296"/>
        <w:spacing w:after="0" w:line="267" w:lineRule="auto"/>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b w:val="1"/>
          <w:bCs w:val="1"/>
          <w:color w:val="auto"/>
        </w:rPr>
        <w:t>Option</w:t>
      </w:r>
      <w:r>
        <w:rPr>
          <w:rFonts w:ascii="Arial" w:cs="Arial" w:eastAsia="Arial" w:hAnsi="Arial"/>
          <w:sz w:val="20"/>
          <w:szCs w:val="20"/>
          <w:color w:val="auto"/>
        </w:rPr>
        <w:t>. In consideration of Sponsor’s funding of the Sponsored Research and payment for intellectual property expenses as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for in Section 5.3, Penn shall grant Sponsor:</w:t>
      </w:r>
    </w:p>
    <w:p>
      <w:pPr>
        <w:spacing w:after="0" w:line="129" w:lineRule="exact"/>
        <w:rPr>
          <w:sz w:val="20"/>
          <w:szCs w:val="20"/>
          <w:color w:val="auto"/>
        </w:rPr>
      </w:pPr>
    </w:p>
    <w:p>
      <w:pPr>
        <w:ind w:left="2600" w:right="100" w:hanging="1944"/>
        <w:spacing w:after="0" w:line="246" w:lineRule="auto"/>
        <w:tabs>
          <w:tab w:leader="none" w:pos="1304"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 exclusive first option to amend the Option Agreement (or any license agreement entered into pursuant to such Option Agreement (a “</w:t>
      </w:r>
      <w:r>
        <w:rPr>
          <w:rFonts w:ascii="Arial" w:cs="Arial" w:eastAsia="Arial" w:hAnsi="Arial"/>
          <w:sz w:val="20"/>
          <w:szCs w:val="20"/>
          <w:b w:val="1"/>
          <w:bCs w:val="1"/>
          <w:color w:val="auto"/>
        </w:rPr>
        <w:t>License Agreement</w:t>
      </w:r>
      <w:r>
        <w:rPr>
          <w:rFonts w:ascii="Arial" w:cs="Arial" w:eastAsia="Arial" w:hAnsi="Arial"/>
          <w:sz w:val="20"/>
          <w:szCs w:val="20"/>
          <w:color w:val="auto"/>
        </w:rPr>
        <w:t>”) to include Related Penn Intellectual Property (as defined below), [**]. “Related Penn Intellectual Property”, as used herein, means Penn Intellectual Property that is “full-funded” by Sponsor.</w:t>
      </w:r>
    </w:p>
    <w:p>
      <w:pPr>
        <w:spacing w:after="0" w:line="151" w:lineRule="exact"/>
        <w:rPr>
          <w:rFonts w:ascii="Arial" w:cs="Arial" w:eastAsia="Arial" w:hAnsi="Arial"/>
          <w:sz w:val="20"/>
          <w:szCs w:val="20"/>
          <w:color w:val="auto"/>
        </w:rPr>
      </w:pPr>
    </w:p>
    <w:p>
      <w:pPr>
        <w:ind w:left="2600" w:right="100" w:hanging="1944"/>
        <w:spacing w:after="0" w:line="282" w:lineRule="auto"/>
        <w:tabs>
          <w:tab w:leader="none" w:pos="13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exclusive first option to negotiate to acquire an exclusive license on commercially reasonable terms to all or any portion of Penn Intellectual Property that is not Related Intellectual Property (“</w:t>
      </w:r>
      <w:r>
        <w:rPr>
          <w:rFonts w:ascii="Arial" w:cs="Arial" w:eastAsia="Arial" w:hAnsi="Arial"/>
          <w:sz w:val="18"/>
          <w:szCs w:val="18"/>
          <w:b w:val="1"/>
          <w:bCs w:val="1"/>
          <w:color w:val="auto"/>
        </w:rPr>
        <w:t>Unrelated Intellectual Property</w:t>
      </w:r>
      <w:r>
        <w:rPr>
          <w:rFonts w:ascii="Arial" w:cs="Arial" w:eastAsia="Arial" w:hAnsi="Arial"/>
          <w:sz w:val="18"/>
          <w:szCs w:val="18"/>
          <w:color w:val="auto"/>
        </w:rPr>
        <w:t>”). Penn and Sponsor will negotiate in good faith, for a period not to exceed [**] from the date of Penn’s receipt of the Option Exercise Notice, to determine the terms of a license agreement as to each item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68" w:right="239" w:bottom="1440" w:gutter="0" w:footer="0" w:header="0"/>
        </w:sectPr>
      </w:pPr>
    </w:p>
    <w:bookmarkStart w:id="127" w:name="page128"/>
    <w:bookmarkEnd w:id="127"/>
    <w:p>
      <w:pPr>
        <w:ind w:left="1300" w:right="720"/>
        <w:spacing w:after="0" w:line="289" w:lineRule="auto"/>
        <w:rPr>
          <w:sz w:val="20"/>
          <w:szCs w:val="20"/>
          <w:color w:val="auto"/>
        </w:rPr>
      </w:pPr>
      <w:r>
        <w:rPr>
          <w:rFonts w:ascii="Arial" w:cs="Arial" w:eastAsia="Arial" w:hAnsi="Arial"/>
          <w:sz w:val="20"/>
          <w:szCs w:val="20"/>
          <w:color w:val="auto"/>
        </w:rPr>
        <w:t>of Unrelated Intellectual Property for which Sponsor has agreed to make payment for intellectual property expenses as provided for in Section 5.3, if any.</w:t>
      </w:r>
    </w:p>
    <w:p>
      <w:pPr>
        <w:spacing w:after="0" w:line="121" w:lineRule="exact"/>
        <w:rPr>
          <w:sz w:val="20"/>
          <w:szCs w:val="20"/>
          <w:color w:val="auto"/>
        </w:rPr>
      </w:pPr>
    </w:p>
    <w:p>
      <w:pPr>
        <w:ind w:left="2600" w:right="140" w:hanging="1944"/>
        <w:spacing w:after="0" w:line="291" w:lineRule="auto"/>
        <w:tabs>
          <w:tab w:leader="none" w:pos="13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any and all Penn Intellectual Property, the Sponsor Option shall be exercisable at any time from the Effective Date through the time period that ends [**] after the receipt of the Final Report by Sponsor for the final SOW (the “</w:t>
      </w:r>
      <w:r>
        <w:rPr>
          <w:rFonts w:ascii="Arial" w:cs="Arial" w:eastAsia="Arial" w:hAnsi="Arial"/>
          <w:sz w:val="18"/>
          <w:szCs w:val="18"/>
          <w:b w:val="1"/>
          <w:bCs w:val="1"/>
          <w:color w:val="auto"/>
        </w:rPr>
        <w:t>Option Period</w:t>
      </w:r>
      <w:r>
        <w:rPr>
          <w:rFonts w:ascii="Arial" w:cs="Arial" w:eastAsia="Arial" w:hAnsi="Arial"/>
          <w:sz w:val="18"/>
          <w:szCs w:val="18"/>
          <w:color w:val="auto"/>
        </w:rPr>
        <w:t>”) by delivery of written notice (the “</w:t>
      </w:r>
      <w:r>
        <w:rPr>
          <w:rFonts w:ascii="Arial" w:cs="Arial" w:eastAsia="Arial" w:hAnsi="Arial"/>
          <w:sz w:val="18"/>
          <w:szCs w:val="18"/>
          <w:b w:val="1"/>
          <w:bCs w:val="1"/>
          <w:color w:val="auto"/>
        </w:rPr>
        <w:t>Option Exercise Notice</w:t>
      </w:r>
      <w:r>
        <w:rPr>
          <w:rFonts w:ascii="Arial" w:cs="Arial" w:eastAsia="Arial" w:hAnsi="Arial"/>
          <w:sz w:val="18"/>
          <w:szCs w:val="18"/>
          <w:color w:val="auto"/>
        </w:rPr>
        <w:t>”) from Sponsor to Penn.</w:t>
      </w:r>
    </w:p>
    <w:p>
      <w:pPr>
        <w:spacing w:after="0" w:line="111" w:lineRule="exact"/>
        <w:rPr>
          <w:rFonts w:ascii="Arial" w:cs="Arial" w:eastAsia="Arial" w:hAnsi="Arial"/>
          <w:sz w:val="18"/>
          <w:szCs w:val="18"/>
          <w:color w:val="auto"/>
        </w:rPr>
      </w:pPr>
    </w:p>
    <w:p>
      <w:pPr>
        <w:ind w:left="2600" w:right="120" w:hanging="1944"/>
        <w:spacing w:after="0" w:line="291" w:lineRule="auto"/>
        <w:tabs>
          <w:tab w:leader="none" w:pos="13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Sponsor fails to exercise its option within the Option Period, or if Sponsor fails to make payment for intellectual property expenses as provided for in Section 5.3, Penn shall be free to license the applicable Penn Intellectual Property to any party upon such terms as Penn deems appropriate, without any further obligation to Sponsor.</w:t>
      </w:r>
    </w:p>
    <w:p>
      <w:pPr>
        <w:spacing w:after="0" w:line="111" w:lineRule="exact"/>
        <w:rPr>
          <w:rFonts w:ascii="Arial" w:cs="Arial" w:eastAsia="Arial" w:hAnsi="Arial"/>
          <w:sz w:val="18"/>
          <w:szCs w:val="18"/>
          <w:color w:val="auto"/>
        </w:rPr>
      </w:pPr>
    </w:p>
    <w:p>
      <w:pPr>
        <w:ind w:left="2600" w:right="400" w:hanging="1944"/>
        <w:spacing w:after="0" w:line="260" w:lineRule="auto"/>
        <w:tabs>
          <w:tab w:leader="none" w:pos="1304" w:val="left"/>
        </w:tabs>
        <w:numPr>
          <w:ilvl w:val="0"/>
          <w:numId w:val="96"/>
        </w:numPr>
        <w:rPr>
          <w:rFonts w:ascii="Arial" w:cs="Arial" w:eastAsia="Arial" w:hAnsi="Arial"/>
          <w:sz w:val="20"/>
          <w:szCs w:val="20"/>
          <w:color w:val="auto"/>
        </w:rPr>
      </w:pPr>
      <w:r>
        <w:rPr>
          <w:rFonts w:ascii="Arial" w:cs="Arial" w:eastAsia="Arial" w:hAnsi="Arial"/>
          <w:sz w:val="20"/>
          <w:szCs w:val="20"/>
          <w:color w:val="auto"/>
        </w:rPr>
        <w:t>[**] until [**] following the expiration of the Term of this Agreement, members of the Investigator Group identified in the applicable SOW shall agree by signature thereto that they will not [**].</w:t>
      </w:r>
    </w:p>
    <w:p>
      <w:pPr>
        <w:spacing w:after="0" w:line="239" w:lineRule="exact"/>
        <w:rPr>
          <w:sz w:val="20"/>
          <w:szCs w:val="20"/>
          <w:color w:val="auto"/>
        </w:rPr>
      </w:pPr>
    </w:p>
    <w:p>
      <w:pPr>
        <w:jc w:val="both"/>
        <w:ind w:left="660" w:hanging="1296"/>
        <w:spacing w:after="0" w:line="248" w:lineRule="auto"/>
        <w:tabs>
          <w:tab w:leader="none" w:pos="6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20"/>
          <w:szCs w:val="20"/>
          <w:b w:val="1"/>
          <w:bCs w:val="1"/>
          <w:color w:val="auto"/>
        </w:rPr>
        <w:t>Government Rights</w:t>
      </w:r>
      <w:r>
        <w:rPr>
          <w:rFonts w:ascii="Arial" w:cs="Arial" w:eastAsia="Arial" w:hAnsi="Arial"/>
          <w:sz w:val="20"/>
          <w:szCs w:val="20"/>
          <w:color w:val="auto"/>
        </w:rPr>
        <w:t>. Any license granted to Sponsor pursuant to Section 5.5 hereof shall be subject to Penn’s right to use and permit</w:t>
      </w:r>
      <w:r>
        <w:rPr>
          <w:rFonts w:ascii="Arial" w:cs="Arial" w:eastAsia="Arial" w:hAnsi="Arial"/>
          <w:sz w:val="20"/>
          <w:szCs w:val="20"/>
          <w:b w:val="1"/>
          <w:bCs w:val="1"/>
          <w:color w:val="auto"/>
        </w:rPr>
        <w:t xml:space="preserve"> </w:t>
      </w:r>
      <w:r>
        <w:rPr>
          <w:rFonts w:ascii="Arial" w:cs="Arial" w:eastAsia="Arial" w:hAnsi="Arial"/>
          <w:sz w:val="20"/>
          <w:szCs w:val="20"/>
          <w:color w:val="auto"/>
        </w:rPr>
        <w:t>other non-profit organizations to use Penn Intellectual Property for educational and academic research purposes and, if applicable, to the rights of the United States government reserved under Public Laws 96-517, 97-256 and 98-620, codified at 35 U.S.C. 200-212, and any regulations issued thereunder.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CONFIDENTIALITY&amp; PUBLICATION</w:t>
      </w:r>
    </w:p>
    <w:p>
      <w:pPr>
        <w:spacing w:after="0" w:line="302" w:lineRule="exact"/>
        <w:rPr>
          <w:sz w:val="20"/>
          <w:szCs w:val="20"/>
          <w:color w:val="auto"/>
        </w:rPr>
      </w:pPr>
    </w:p>
    <w:p>
      <w:pPr>
        <w:jc w:val="both"/>
        <w:ind w:left="660" w:hanging="1296"/>
        <w:spacing w:after="0" w:line="244" w:lineRule="auto"/>
        <w:tabs>
          <w:tab w:leader="none" w:pos="6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b w:val="1"/>
          <w:bCs w:val="1"/>
          <w:color w:val="auto"/>
        </w:rPr>
        <w:t>Confidential Information</w:t>
      </w:r>
      <w:r>
        <w:rPr>
          <w:rFonts w:ascii="Arial" w:cs="Arial" w:eastAsia="Arial" w:hAnsi="Arial"/>
          <w:sz w:val="20"/>
          <w:szCs w:val="20"/>
          <w:color w:val="auto"/>
        </w:rPr>
        <w:t>. Sponsor shall not disclose confidential information to Penn unless it is related to the Product or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to the performance of the Sponsored Research. Any confidential information provided by Sponsor will be in writing and clearly marked by Sponsor as “Confidential” or, if disclosed orally, written notice will be provided within [**] of disclosure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Penn shall protect Confidential Information with the same degree of care as Penn’s own confidential information. Penn’s and the Principal Investigator’s obligations of confidentiality will exist during the performance of the applicable SOW and for [**] following termination or expiration of the applicable SOW, unless disclosure is required by law or regulation.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confidentiality obligations contained herein shall not apply to Confidential Information that is:</w:t>
      </w:r>
    </w:p>
    <w:p>
      <w:pPr>
        <w:spacing w:after="0" w:line="216"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Known by Penn or Principal Investigator without restriction prior to disclosure under this Agreement;</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Disclosed to Penn or Principal Investigator by a third party that is not under an obligation of confidentiality;</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Available to the public not through a breach of this Agreement by Penn;</w:t>
      </w:r>
    </w:p>
    <w:p>
      <w:pPr>
        <w:spacing w:after="0" w:line="175" w:lineRule="exact"/>
        <w:rPr>
          <w:rFonts w:ascii="Arial" w:cs="Arial" w:eastAsia="Arial" w:hAnsi="Arial"/>
          <w:sz w:val="20"/>
          <w:szCs w:val="20"/>
          <w:color w:val="auto"/>
        </w:rPr>
      </w:pPr>
    </w:p>
    <w:p>
      <w:pPr>
        <w:ind w:left="2600" w:right="80" w:hanging="1944"/>
        <w:spacing w:after="0" w:line="260" w:lineRule="auto"/>
        <w:tabs>
          <w:tab w:leader="none" w:pos="1304" w:val="left"/>
        </w:tabs>
        <w:numPr>
          <w:ilvl w:val="0"/>
          <w:numId w:val="97"/>
        </w:numPr>
        <w:rPr>
          <w:rFonts w:ascii="Arial" w:cs="Arial" w:eastAsia="Arial" w:hAnsi="Arial"/>
          <w:sz w:val="20"/>
          <w:szCs w:val="20"/>
          <w:color w:val="auto"/>
        </w:rPr>
      </w:pPr>
      <w:r>
        <w:rPr>
          <w:rFonts w:ascii="Arial" w:cs="Arial" w:eastAsia="Arial" w:hAnsi="Arial"/>
          <w:sz w:val="20"/>
          <w:szCs w:val="20"/>
          <w:color w:val="auto"/>
        </w:rPr>
        <w:t>Independently developed by Penn or Principal Investigator without knowledge or use of Confidential Information disclosed by Sponsor under this Agreement;</w:t>
      </w:r>
    </w:p>
    <w:p>
      <w:pPr>
        <w:spacing w:after="0" w:line="136" w:lineRule="exact"/>
        <w:rPr>
          <w:rFonts w:ascii="Arial" w:cs="Arial" w:eastAsia="Arial" w:hAnsi="Arial"/>
          <w:sz w:val="20"/>
          <w:szCs w:val="20"/>
          <w:color w:val="auto"/>
        </w:rPr>
      </w:pPr>
    </w:p>
    <w:p>
      <w:pPr>
        <w:ind w:left="1300" w:hanging="644"/>
        <w:spacing w:after="0"/>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Published or disclosed in accordance with the terms of this Agreement; or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9" w:right="239" w:bottom="1440" w:gutter="0" w:footer="0" w:header="0"/>
        </w:sectPr>
      </w:pPr>
    </w:p>
    <w:bookmarkStart w:id="128" w:name="page129"/>
    <w:bookmarkEnd w:id="128"/>
    <w:p>
      <w:pPr>
        <w:ind w:left="2600" w:right="480" w:hanging="1944"/>
        <w:spacing w:after="0" w:line="250" w:lineRule="auto"/>
        <w:tabs>
          <w:tab w:leader="none" w:pos="1304" w:val="left"/>
        </w:tabs>
        <w:numPr>
          <w:ilvl w:val="0"/>
          <w:numId w:val="98"/>
        </w:numPr>
        <w:rPr>
          <w:rFonts w:ascii="Arial" w:cs="Arial" w:eastAsia="Arial" w:hAnsi="Arial"/>
          <w:sz w:val="20"/>
          <w:szCs w:val="20"/>
          <w:color w:val="auto"/>
        </w:rPr>
      </w:pPr>
      <w:r>
        <w:rPr>
          <w:rFonts w:ascii="Arial" w:cs="Arial" w:eastAsia="Arial" w:hAnsi="Arial"/>
          <w:sz w:val="20"/>
          <w:szCs w:val="20"/>
          <w:color w:val="auto"/>
        </w:rPr>
        <w:t>Required to be produced in litigation or a public investigation. To the extent feasible and permitted by law, Penn will give reasonable notice to Sponsor to allow Sponsor to offer its objections to the production of Confidential Information.</w:t>
      </w:r>
    </w:p>
    <w:p>
      <w:pPr>
        <w:spacing w:after="0" w:line="248" w:lineRule="exact"/>
        <w:rPr>
          <w:sz w:val="20"/>
          <w:szCs w:val="20"/>
          <w:color w:val="auto"/>
        </w:rPr>
      </w:pPr>
    </w:p>
    <w:p>
      <w:pPr>
        <w:jc w:val="both"/>
        <w:ind w:left="660" w:hanging="1296"/>
        <w:spacing w:after="0" w:line="254" w:lineRule="auto"/>
        <w:tabs>
          <w:tab w:leader="none" w:pos="6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b w:val="1"/>
          <w:bCs w:val="1"/>
          <w:color w:val="auto"/>
        </w:rPr>
        <w:t>Penn Intellectual Property</w:t>
      </w:r>
      <w:r>
        <w:rPr>
          <w:rFonts w:ascii="Arial" w:cs="Arial" w:eastAsia="Arial" w:hAnsi="Arial"/>
          <w:sz w:val="19"/>
          <w:szCs w:val="19"/>
          <w:color w:val="auto"/>
        </w:rPr>
        <w:t>. In order to preserve the patentability of Penn Intellectual Property and to preserve Penn’s publication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rights, Sponsor shall maintain Penn Intellectual Property, Research Results and information provided by Penn pursuant to the Sponsored Research (whether oral or written) as confidential and shall not disclose such information to any third party until the publication of such information by the Principal Investigator or until Penn provides Sponsor with written verification that all desirable patentable inventions have been protected, whichever occurs sooner. In the event that Sponsor wishes to disclose Research Results or any other information provided by Penn pursuant to the Sponsored Research to a third party prior to the publication of such information by the Principal Investigator or such time as Penn provides Sponsor with written verification that all desirable patentable inventions have been protected, whichever occurs sooner, Sponsor shall obtain Penn’s written permission for such disclosure pursuant to a confidentiality agreement with such third party (provided that no Confidentiality Agreement is required for disclosure to a regulatory agency in connection with any IND or other regulatory filing with respect to the Product), which permission shall not be unreasonably withheld delayed or conditioned;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permission shall not be required with respect to disclosure of information to a regulatory agency in connection with any IND or other regulatory filing with respect to the Product that occurs [**] or more after the termination or expiration of the applicable SOW. For the sake of clarity, once permission has been granted for a disclosure in connection with any IND or other regulatory filing with respect to the Product, no additional permission shall be required for subsequent disclosures in connection with additional IND or other regulatory filings with respect to the Product.</w:t>
      </w:r>
    </w:p>
    <w:p>
      <w:pPr>
        <w:spacing w:after="0" w:line="257" w:lineRule="exact"/>
        <w:rPr>
          <w:sz w:val="20"/>
          <w:szCs w:val="20"/>
          <w:color w:val="auto"/>
        </w:rPr>
      </w:pPr>
    </w:p>
    <w:p>
      <w:pPr>
        <w:jc w:val="both"/>
        <w:ind w:left="660" w:hanging="1296"/>
        <w:spacing w:after="0" w:line="242" w:lineRule="auto"/>
        <w:tabs>
          <w:tab w:leader="none" w:pos="6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b w:val="1"/>
          <w:bCs w:val="1"/>
          <w:color w:val="auto"/>
        </w:rPr>
        <w:t>Publications</w:t>
      </w:r>
      <w:r>
        <w:rPr>
          <w:rFonts w:ascii="Arial" w:cs="Arial" w:eastAsia="Arial" w:hAnsi="Arial"/>
          <w:sz w:val="20"/>
          <w:szCs w:val="20"/>
          <w:color w:val="auto"/>
        </w:rPr>
        <w:t>. Penn shall have the first right to publish, present or otherwise disclose (each a “</w:t>
      </w:r>
      <w:r>
        <w:rPr>
          <w:rFonts w:ascii="Arial" w:cs="Arial" w:eastAsia="Arial" w:hAnsi="Arial"/>
          <w:sz w:val="20"/>
          <w:szCs w:val="20"/>
          <w:b w:val="1"/>
          <w:bCs w:val="1"/>
          <w:color w:val="auto"/>
        </w:rPr>
        <w:t>Publication</w:t>
      </w:r>
      <w:r>
        <w:rPr>
          <w:rFonts w:ascii="Arial" w:cs="Arial" w:eastAsia="Arial" w:hAnsi="Arial"/>
          <w:sz w:val="20"/>
          <w:szCs w:val="20"/>
          <w:color w:val="auto"/>
        </w:rPr>
        <w:t>”) Research Results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and material resulting from the Sponsored Research for any academic purpose. Penn shall furnish the Sponsor with a copy of any proposed Publication at least [**] in advance of the date of the submission of said proposed Publication in order for Sponsor to review and comment on said proposed Publication to (a) determine whether such contains any Confidential Information and (b) enable Sponsor to identify any Penn Intellectual Property that it wishes Penn to file patent applications on or to seek other intellectual property protection for. If within the [**] review period (i) Sponsor notifies Penn that the Sponsor requires deletion from the publication or presentation of Confidential Information, the Parties will cooperate to modify the disclosure to ensure Confidential Information is not disclosed or (ii) if Sponsor requests that publication or presentation be delayed to allow for patent filings or other intellectual property protection on certain items in the proposed publication or presentation, Penn shall delay the Publication for up to an additional [**] to allow for the filing of patent applications or other intellectual property protection.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TERM &amp; TERMINATION</w:t>
      </w:r>
    </w:p>
    <w:p>
      <w:pPr>
        <w:spacing w:after="0" w:line="194" w:lineRule="exact"/>
        <w:rPr>
          <w:sz w:val="20"/>
          <w:szCs w:val="20"/>
          <w:color w:val="auto"/>
        </w:rPr>
      </w:pPr>
    </w:p>
    <w:p>
      <w:pPr>
        <w:jc w:val="both"/>
        <w:ind w:left="660" w:hanging="1296"/>
        <w:spacing w:after="0" w:line="253"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b w:val="1"/>
          <w:bCs w:val="1"/>
          <w:color w:val="auto"/>
        </w:rPr>
        <w:t>Term</w:t>
      </w:r>
      <w:r>
        <w:rPr>
          <w:rFonts w:ascii="Arial" w:cs="Arial" w:eastAsia="Arial" w:hAnsi="Arial"/>
          <w:sz w:val="20"/>
          <w:szCs w:val="20"/>
          <w:color w:val="auto"/>
        </w:rPr>
        <w:t>. The initial term of this Agreement shall begin on the Effective Date of this Agreement and shall end three (3) years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unless terminated sooner pursuant to Sections 2.2 or 7.2 hereof (“</w:t>
      </w:r>
      <w:r>
        <w:rPr>
          <w:rFonts w:ascii="Arial" w:cs="Arial" w:eastAsia="Arial" w:hAnsi="Arial"/>
          <w:sz w:val="20"/>
          <w:szCs w:val="20"/>
          <w:b w:val="1"/>
          <w:bCs w:val="1"/>
          <w:color w:val="auto"/>
        </w:rPr>
        <w:t>Term”)</w:t>
      </w:r>
      <w:r>
        <w:rPr>
          <w:rFonts w:ascii="Arial" w:cs="Arial" w:eastAsia="Arial" w:hAnsi="Arial"/>
          <w:sz w:val="20"/>
          <w:szCs w:val="20"/>
          <w:color w:val="auto"/>
        </w:rPr>
        <w:t>. This Agreement may be extended or renewed only by mutual written agreement executed by duly authorized representatives of the Parties.</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b w:val="1"/>
          <w:bCs w:val="1"/>
          <w:color w:val="auto"/>
        </w:rPr>
        <w:t>Termination</w:t>
      </w:r>
      <w:r>
        <w:rPr>
          <w:rFonts w:ascii="Arial" w:cs="Arial" w:eastAsia="Arial" w:hAnsi="Arial"/>
          <w:sz w:val="18"/>
          <w:szCs w:val="18"/>
          <w:color w:val="auto"/>
        </w:rPr>
        <w:t>. In addition to the termination right set forth in Section 2.2 hereof: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29" w:name="page130"/>
    <w:bookmarkEnd w:id="129"/>
    <w:p>
      <w:pPr>
        <w:ind w:left="2600" w:right="60" w:hanging="1944"/>
        <w:spacing w:after="0" w:line="244" w:lineRule="auto"/>
        <w:tabs>
          <w:tab w:leader="none" w:pos="1304" w:val="left"/>
        </w:tabs>
        <w:numPr>
          <w:ilvl w:val="0"/>
          <w:numId w:val="99"/>
        </w:numPr>
        <w:rPr>
          <w:rFonts w:ascii="Arial" w:cs="Arial" w:eastAsia="Arial" w:hAnsi="Arial"/>
          <w:sz w:val="20"/>
          <w:szCs w:val="20"/>
          <w:color w:val="auto"/>
        </w:rPr>
      </w:pPr>
      <w:r>
        <w:rPr>
          <w:rFonts w:ascii="Arial" w:cs="Arial" w:eastAsia="Arial" w:hAnsi="Arial"/>
          <w:sz w:val="20"/>
          <w:szCs w:val="20"/>
          <w:color w:val="auto"/>
        </w:rPr>
        <w:t>either Party may terminate this Agreement or any SOW effective upon written notice to the other Party, if the other Party breaches any of the terms or conditions of this Agreement or the applicable SOW and fails to cure such breach within [**] after receiving written notice thereof. In the event of an incurable breach, the non-breaching Party may terminate this Agreement or the applicable SOW effective immediately upon written notice to the breaching Party; and</w:t>
      </w:r>
    </w:p>
    <w:p>
      <w:pPr>
        <w:spacing w:after="0" w:line="154" w:lineRule="exact"/>
        <w:rPr>
          <w:rFonts w:ascii="Arial" w:cs="Arial" w:eastAsia="Arial" w:hAnsi="Arial"/>
          <w:sz w:val="20"/>
          <w:szCs w:val="20"/>
          <w:color w:val="auto"/>
        </w:rPr>
      </w:pPr>
    </w:p>
    <w:p>
      <w:pPr>
        <w:ind w:left="2600" w:right="80" w:hanging="1944"/>
        <w:spacing w:after="0" w:line="250" w:lineRule="auto"/>
        <w:tabs>
          <w:tab w:leader="none" w:pos="1304"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Sponsor, Penn and UFRF fail to enter into a License Agreement in accordance with the Option Agreement by the end of Term (as defined in the Option Agreement), then Sponsor may terminate this Agreement upon thirty (30) days written notice of such termination to Penn.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b w:val="1"/>
          <w:bCs w:val="1"/>
          <w:color w:val="auto"/>
        </w:rPr>
        <w:t>Effects of Termination</w:t>
      </w:r>
      <w:r>
        <w:rPr>
          <w:rFonts w:ascii="Arial" w:cs="Arial" w:eastAsia="Arial" w:hAnsi="Arial"/>
          <w:sz w:val="20"/>
          <w:szCs w:val="20"/>
          <w:color w:val="auto"/>
        </w:rPr>
        <w:t>.</w:t>
      </w:r>
    </w:p>
    <w:p>
      <w:pPr>
        <w:spacing w:after="0" w:line="181" w:lineRule="exact"/>
        <w:rPr>
          <w:sz w:val="20"/>
          <w:szCs w:val="20"/>
          <w:color w:val="auto"/>
        </w:rPr>
      </w:pPr>
    </w:p>
    <w:p>
      <w:pPr>
        <w:ind w:left="2600" w:hanging="1944"/>
        <w:spacing w:after="0" w:line="270" w:lineRule="auto"/>
        <w:tabs>
          <w:tab w:leader="none" w:pos="1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event of termination of any SOW prior to its stated term, Penn shall be entitled to payment for the work in progress up to the date of termination, and for allowable costs. Allowable costs include, without limitation, all costs or non-cancellable commitments incurred prior to the receipt, or issuance, by Penn of the notice of termination, and the full cost of each employee, student and faculty member supported hereunder through the end of such commitments to the extent they cannot be transferred to other projects, each to the extent incurred in accordance with the terms and conditions of this Agreement and in any event, in the case of costs for employees, students and faculty members, for a period not in excess of [**] from the SOW Effective Date (as defined in the applicable SOW). In the event of termination, Penn shall submit a final report of all costs incurred and all funds received under the applicable SOW within [**] after the effective termination date. The report shall be accompanied by a check in the amount of any excess of funds advanced over costs and allowable commitments incurred. In case of a deficit of funds, Sponsor shall pay Penn the amount needed to cover costs and allowable commitments incurred by Penn under the applicable SOW.</w:t>
      </w:r>
    </w:p>
    <w:p>
      <w:pPr>
        <w:spacing w:after="0" w:line="136" w:lineRule="exact"/>
        <w:rPr>
          <w:rFonts w:ascii="Arial" w:cs="Arial" w:eastAsia="Arial" w:hAnsi="Arial"/>
          <w:sz w:val="18"/>
          <w:szCs w:val="18"/>
          <w:color w:val="auto"/>
        </w:rPr>
      </w:pPr>
    </w:p>
    <w:p>
      <w:pPr>
        <w:ind w:left="2600" w:hanging="1944"/>
        <w:spacing w:after="0" w:line="291" w:lineRule="auto"/>
        <w:tabs>
          <w:tab w:leader="none" w:pos="1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event of termination of this Agreement, any SOW(s) in effect at the time of such termination shall continue in effect until expiration or termination of such SOW(s) and the terms of this Agreement shall remain applicable to such SOW(s) unless otherwise specified in the notice of termination by the terminating Party.</w:t>
      </w:r>
    </w:p>
    <w:p>
      <w:pPr>
        <w:spacing w:after="0" w:line="111" w:lineRule="exact"/>
        <w:rPr>
          <w:rFonts w:ascii="Arial" w:cs="Arial" w:eastAsia="Arial" w:hAnsi="Arial"/>
          <w:sz w:val="18"/>
          <w:szCs w:val="18"/>
          <w:color w:val="auto"/>
        </w:rPr>
      </w:pPr>
    </w:p>
    <w:p>
      <w:pPr>
        <w:ind w:left="2600" w:hanging="1944"/>
        <w:spacing w:after="0" w:line="260" w:lineRule="auto"/>
        <w:tabs>
          <w:tab w:leader="none" w:pos="130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Termination of any individual SOW will not result in termination of this Agreement or any other SOW unless the Parties specify such intention in the termination notice.</w:t>
      </w:r>
    </w:p>
    <w:p>
      <w:pPr>
        <w:spacing w:after="0" w:line="136" w:lineRule="exact"/>
        <w:rPr>
          <w:rFonts w:ascii="Arial" w:cs="Arial" w:eastAsia="Arial" w:hAnsi="Arial"/>
          <w:sz w:val="20"/>
          <w:szCs w:val="20"/>
          <w:color w:val="auto"/>
        </w:rPr>
      </w:pPr>
    </w:p>
    <w:p>
      <w:pPr>
        <w:ind w:left="2600" w:hanging="1944"/>
        <w:spacing w:after="0" w:line="250" w:lineRule="auto"/>
        <w:tabs>
          <w:tab w:leader="none" w:pos="130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Termination of this Agreement shall not affect the rights and obligations of the Parties accrued prior to termination hereof. The provisions of ARTICLE 3; ARTICLE 4; ARTICLE 5; ARTICLE 6; ARTICLE 7; ARTICLE 8; and ARTICLE 9, shall survive such termination.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DISCLAIMER OF WARRANTIES, INDEMNIFICATION</w:t>
      </w:r>
    </w:p>
    <w:p>
      <w:pPr>
        <w:spacing w:after="0" w:line="308" w:lineRule="exact"/>
        <w:rPr>
          <w:sz w:val="20"/>
          <w:szCs w:val="20"/>
          <w:color w:val="auto"/>
        </w:rPr>
      </w:pPr>
    </w:p>
    <w:p>
      <w:pPr>
        <w:jc w:val="both"/>
        <w:ind w:left="660" w:hanging="1296"/>
        <w:spacing w:after="0" w:line="244" w:lineRule="auto"/>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Both Parties represent that its execution of this Agreement and its performance of its obligations hereunder do not conflict with any agreement with or obligation to any third party. Penn further represents that the Principal Investigator and any other Penn personnel assisting the Principal Investigator with performance of the Sponsored Research on behalf of Penn shall be under a duty to assign their entire right, title and interest in and to Penn Intellectual Property to Penn. Without limiting Sponsor’s remedies with respect to any breach of Penn’s representations and covenants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30" w:name="page131"/>
    <w:bookmarkEnd w:id="130"/>
    <w:p>
      <w:pPr>
        <w:jc w:val="both"/>
        <w:ind w:left="660"/>
        <w:spacing w:after="0" w:line="284" w:lineRule="auto"/>
        <w:rPr>
          <w:sz w:val="20"/>
          <w:szCs w:val="20"/>
          <w:color w:val="auto"/>
        </w:rPr>
      </w:pPr>
      <w:r>
        <w:rPr>
          <w:rFonts w:ascii="Arial" w:cs="Arial" w:eastAsia="Arial" w:hAnsi="Arial"/>
          <w:sz w:val="19"/>
          <w:szCs w:val="19"/>
          <w:color w:val="auto"/>
        </w:rPr>
        <w:t>hereunder, if at any time the staff of the Penn Center for Innovation becomes aware of any inaccuracy in, noncompliance with, or change in the foregoing representations and covenants of Penn, it will provide Sponsor with prompt written notice thereof. EXCEPT FOR THE FOREGOING REPRESENTATIONS AND COVENANTS, PENN MAKES NO WARRANTIES, EXPRESS OR IMPLIED, AS TO ANY MATTER WHATSOEVER, INCLUDING, WITHOUT LIMITATION, WARRANTIES WITH RESPECT TO THE CONDUCT, COMPLETION, SUCCESS OR PARTICULAR RESULTS OF THE SPONSORED RESEARCH, OR THE CONDITION, OWNERSHIP, MERCHANTABILITY, OR FITNESS FOR A PARTICULAR PURPOSE OF THE SPONSORED RESEARCH OR ANY PENN INTELLECTUAL PROPERTY OR RESEARCH RESULTS OR THAT USE OF PENN INTELLECTUAL PROPERTY OR RESEARCH RESULTS WILL NOT INFRINGE ANY PATENT, COPYRIGHT, TRADEMARK OR OTHER INTELLECTUAL PROPERTY RIGHT OF A THIRD PARTY. WITHOUT LIMITING PENN’S OBLIGATIONS TO PERFORM THE SPONSORED RESEARCH IN ACCORDANCE WITH THIS AGREEMENT, PENN SHALL NOT BE LIABLE FOR ANY DIRECT, INDIRECT, CONSEQUENTIAL, PUNITIVE OR OTHER DAMAGES SUFFERED BY SPONSOR OR ANY OTHER PERSON RESULTING FROM THE SPONSORED RESEARCH OR THE USE OF ANY PENN INTELLECTUAL PROPERTY, ANY RESEARCH RESULTS OR ANY PRODUCTS RESULTING THEREFROM. NOTWITHSTANDING THE FOREGOING, ABSENT SPONSOR’S NEGLIGENCE OR WILLFUL MISCONDUCT, PENN SHALL BE RESPONSIBLE FOR ANY PERSONAL INJURY OR DEATH RESULTING FROM THE CONDUCT OF THE SPONSORED RESEARCH EXCEPT AS SET FORTH IN SECTION 8.2 HERETO.</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color w:val="auto"/>
        </w:rPr>
        <w:t>I</w:t>
      </w:r>
      <w:r>
        <w:rPr>
          <w:rFonts w:ascii="Arial" w:cs="Arial" w:eastAsia="Arial" w:hAnsi="Arial"/>
          <w:sz w:val="16"/>
          <w:szCs w:val="16"/>
          <w:b w:val="1"/>
          <w:bCs w:val="1"/>
          <w:color w:val="auto"/>
        </w:rPr>
        <w:t>ndemnification</w:t>
      </w:r>
      <w:r>
        <w:rPr>
          <w:rFonts w:ascii="Arial" w:cs="Arial" w:eastAsia="Arial" w:hAnsi="Arial"/>
          <w:sz w:val="16"/>
          <w:szCs w:val="16"/>
          <w:color w:val="auto"/>
        </w:rPr>
        <w:t>.</w:t>
      </w:r>
    </w:p>
    <w:p>
      <w:pPr>
        <w:spacing w:after="0" w:line="181" w:lineRule="exact"/>
        <w:rPr>
          <w:sz w:val="20"/>
          <w:szCs w:val="20"/>
          <w:color w:val="auto"/>
        </w:rPr>
      </w:pPr>
    </w:p>
    <w:p>
      <w:pPr>
        <w:ind w:left="2600" w:hanging="1944"/>
        <w:spacing w:after="0" w:line="256" w:lineRule="auto"/>
        <w:tabs>
          <w:tab w:leader="none" w:pos="130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Sponsor shall indemnify, defend and hold harmless Penn and its respective trustees, officers, faculty, students, employees, contractors and agents (the “</w:t>
      </w:r>
      <w:r>
        <w:rPr>
          <w:rFonts w:ascii="Arial" w:cs="Arial" w:eastAsia="Arial" w:hAnsi="Arial"/>
          <w:sz w:val="19"/>
          <w:szCs w:val="19"/>
          <w:b w:val="1"/>
          <w:bCs w:val="1"/>
          <w:color w:val="auto"/>
        </w:rPr>
        <w:t>Penn Indemnitees</w:t>
      </w:r>
      <w:r>
        <w:rPr>
          <w:rFonts w:ascii="Arial" w:cs="Arial" w:eastAsia="Arial" w:hAnsi="Arial"/>
          <w:sz w:val="19"/>
          <w:szCs w:val="19"/>
          <w:color w:val="auto"/>
        </w:rPr>
        <w:t>”) from and against any and all liability, damage, loss, cost or expense (including reasonable attorneys’ fees), which the Penn Indemnitees may hereafter incur, or be required to pay as a result of third party claims based on Sponsor's use of the results of Sponsored Research or any Penn Intellectual Property or Research Results or as a result of any third party claims based on a breach of this Agreement or any act or omission of Sponsor, its employees, affiliates, contractors, licensees or agents, provided that Sponsor’s obligations pursuant to this Section 8.2(i) shall not apply to the extent such claims or suits result from the negligence or willful misconduct of any of Penn Indemnitees as determined by a court of law.</w:t>
      </w:r>
    </w:p>
    <w:p>
      <w:pPr>
        <w:spacing w:after="0" w:line="144" w:lineRule="exact"/>
        <w:rPr>
          <w:rFonts w:ascii="Arial" w:cs="Arial" w:eastAsia="Arial" w:hAnsi="Arial"/>
          <w:sz w:val="19"/>
          <w:szCs w:val="19"/>
          <w:color w:val="auto"/>
        </w:rPr>
      </w:pPr>
    </w:p>
    <w:p>
      <w:pPr>
        <w:jc w:val="right"/>
        <w:ind w:left="2600" w:hanging="1944"/>
        <w:spacing w:after="0" w:line="275" w:lineRule="auto"/>
        <w:tabs>
          <w:tab w:leader="none" w:pos="13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a condition to a Penn Indemnitee’s right to receive indemnification under this Section 8.2, Penn shall: (a) promptly notify Sponsor when it becomes aware of a claim or suit for which indemnification may be sought pursuant hereto;</w:t>
      </w:r>
    </w:p>
    <w:p>
      <w:pPr>
        <w:jc w:val="both"/>
        <w:ind w:left="2600" w:firstLine="1"/>
        <w:spacing w:after="0" w:line="299" w:lineRule="auto"/>
        <w:tabs>
          <w:tab w:leader="none" w:pos="289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cooperate with Sponsor in the defense, settlement or compromise of such claim or suit; and (c) permit the Sponsor to control the defense, settlement or compromise of such claim or suit, including the right to select defense counsel. In no event, however, may Sponsor compromise or settle any claim or suit in a manner which</w:t>
      </w:r>
    </w:p>
    <w:p>
      <w:pPr>
        <w:spacing w:after="0" w:line="1" w:lineRule="exact"/>
        <w:rPr>
          <w:rFonts w:ascii="Arial" w:cs="Arial" w:eastAsia="Arial" w:hAnsi="Arial"/>
          <w:sz w:val="16"/>
          <w:szCs w:val="16"/>
          <w:color w:val="auto"/>
        </w:rPr>
      </w:pPr>
    </w:p>
    <w:p>
      <w:pPr>
        <w:jc w:val="both"/>
        <w:ind w:left="2600" w:firstLine="1"/>
        <w:spacing w:after="0" w:line="241" w:lineRule="auto"/>
        <w:tabs>
          <w:tab w:leader="none" w:pos="2882" w:val="left"/>
        </w:tabs>
        <w:numPr>
          <w:ilvl w:val="1"/>
          <w:numId w:val="102"/>
        </w:numPr>
        <w:rPr>
          <w:rFonts w:ascii="Arial" w:cs="Arial" w:eastAsia="Arial" w:hAnsi="Arial"/>
          <w:sz w:val="20"/>
          <w:szCs w:val="20"/>
          <w:color w:val="auto"/>
        </w:rPr>
      </w:pPr>
      <w:r>
        <w:rPr>
          <w:rFonts w:ascii="Arial" w:cs="Arial" w:eastAsia="Arial" w:hAnsi="Arial"/>
          <w:sz w:val="20"/>
          <w:szCs w:val="20"/>
          <w:color w:val="auto"/>
        </w:rPr>
        <w:t>admits fault or negligence on the part of Penn or any other Penn Indemnitee; or (b) commits Penn or any other Penn Indemnitee to take, or forbear to take, any action, without the prior written consent of Penn. Penn shall reasonably cooperate with Sponsor and its counsel in the course of the defense of any such suit, claim or demand.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ADDITIONAL PROVISIONS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87" w:right="239" w:bottom="1440" w:gutter="0" w:footer="0" w:header="0"/>
        </w:sectPr>
      </w:pPr>
    </w:p>
    <w:bookmarkStart w:id="131" w:name="page132"/>
    <w:bookmarkEnd w:id="131"/>
    <w:p>
      <w:pPr>
        <w:jc w:val="both"/>
        <w:ind w:left="660" w:hanging="1296"/>
        <w:spacing w:after="0" w:line="262"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b w:val="1"/>
          <w:bCs w:val="1"/>
          <w:color w:val="auto"/>
        </w:rPr>
        <w:t>Force Majeure</w:t>
      </w:r>
      <w:r>
        <w:rPr>
          <w:rFonts w:ascii="Arial" w:cs="Arial" w:eastAsia="Arial" w:hAnsi="Arial"/>
          <w:sz w:val="19"/>
          <w:szCs w:val="19"/>
          <w:color w:val="auto"/>
        </w:rPr>
        <w:t>. Neither Party shall be liable for any failure to perform as required by this Agreement to the extent such failure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is due to circumstances reasonably beyond such Party’s control, including, without limitation, labor disturbances or labor disputes of any kind, accidents, failure of any governmental approval required for full performance, civil disorders or commotions, terrorism, acts of aggression, acts of God, energy or other conservation measures imposed by law or regulation, explosions, failure of utilities, mechanical breakdowns, material shortages, disease, or other such occurrences.</w:t>
      </w:r>
    </w:p>
    <w:p>
      <w:pPr>
        <w:spacing w:after="0" w:line="239" w:lineRule="exact"/>
        <w:rPr>
          <w:sz w:val="20"/>
          <w:szCs w:val="20"/>
          <w:color w:val="auto"/>
        </w:rPr>
      </w:pPr>
    </w:p>
    <w:p>
      <w:pPr>
        <w:jc w:val="both"/>
        <w:ind w:left="660" w:hanging="1296"/>
        <w:spacing w:after="0" w:line="248"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b w:val="1"/>
          <w:bCs w:val="1"/>
          <w:color w:val="auto"/>
        </w:rPr>
        <w:t>Relationship of the Parties</w:t>
      </w:r>
      <w:r>
        <w:rPr>
          <w:rFonts w:ascii="Arial" w:cs="Arial" w:eastAsia="Arial" w:hAnsi="Arial"/>
          <w:sz w:val="20"/>
          <w:szCs w:val="20"/>
          <w:color w:val="auto"/>
        </w:rPr>
        <w:t>. Nothing in this Agreement is intended or shall be deemed, for financial, tax, legal or other purposes, to</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a partnership, agency, joint venture or employer-employee relationship between the Parties. The Parties are independent contractors and at no time will either Party make commitments or incur any charges or expenses for or on behalf of the other Party.</w:t>
      </w:r>
    </w:p>
    <w:p>
      <w:pPr>
        <w:spacing w:after="0" w:line="251" w:lineRule="exact"/>
        <w:rPr>
          <w:sz w:val="20"/>
          <w:szCs w:val="20"/>
          <w:color w:val="auto"/>
        </w:rPr>
      </w:pPr>
    </w:p>
    <w:p>
      <w:pPr>
        <w:jc w:val="both"/>
        <w:ind w:left="660" w:hanging="1296"/>
        <w:spacing w:after="0" w:line="267"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b w:val="1"/>
          <w:bCs w:val="1"/>
          <w:color w:val="auto"/>
        </w:rPr>
        <w:t>Expenses</w:t>
      </w:r>
      <w:r>
        <w:rPr>
          <w:rFonts w:ascii="Arial" w:cs="Arial" w:eastAsia="Arial" w:hAnsi="Arial"/>
          <w:sz w:val="20"/>
          <w:szCs w:val="20"/>
          <w:color w:val="auto"/>
        </w:rPr>
        <w:t>. Except as otherwise provided in this Agreement, each Party shall pay its own expenses and costs incidental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preparation of this Agreement and to the consummation of the transactions contemplated hereby</w:t>
      </w:r>
    </w:p>
    <w:p>
      <w:pPr>
        <w:spacing w:after="0" w:line="231" w:lineRule="exact"/>
        <w:rPr>
          <w:sz w:val="20"/>
          <w:szCs w:val="20"/>
          <w:color w:val="auto"/>
        </w:rPr>
      </w:pPr>
    </w:p>
    <w:p>
      <w:pPr>
        <w:jc w:val="both"/>
        <w:ind w:left="660" w:hanging="1296"/>
        <w:spacing w:after="0" w:line="267" w:lineRule="auto"/>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b w:val="1"/>
          <w:bCs w:val="1"/>
          <w:color w:val="auto"/>
        </w:rPr>
        <w:t>Third Party Beneficiary</w:t>
      </w:r>
      <w:r>
        <w:rPr>
          <w:rFonts w:ascii="Arial" w:cs="Arial" w:eastAsia="Arial" w:hAnsi="Arial"/>
          <w:sz w:val="20"/>
          <w:szCs w:val="20"/>
          <w:color w:val="auto"/>
        </w:rPr>
        <w:t>. No party, other than Penn or Sponsor shall be entitled to any rights whatsoever by virtue of the relationships</w:t>
      </w:r>
      <w:r>
        <w:rPr>
          <w:rFonts w:ascii="Arial" w:cs="Arial" w:eastAsia="Arial" w:hAnsi="Arial"/>
          <w:sz w:val="20"/>
          <w:szCs w:val="20"/>
          <w:b w:val="1"/>
          <w:bCs w:val="1"/>
          <w:color w:val="auto"/>
        </w:rPr>
        <w:t xml:space="preserve"> </w:t>
      </w:r>
      <w:r>
        <w:rPr>
          <w:rFonts w:ascii="Arial" w:cs="Arial" w:eastAsia="Arial" w:hAnsi="Arial"/>
          <w:sz w:val="20"/>
          <w:szCs w:val="20"/>
          <w:color w:val="auto"/>
        </w:rPr>
        <w:t>created by or arising under this Agreement, including, without limitation, rights as a third party beneficiary</w:t>
      </w:r>
    </w:p>
    <w:p>
      <w:pPr>
        <w:spacing w:after="0" w:line="231" w:lineRule="exact"/>
        <w:rPr>
          <w:sz w:val="20"/>
          <w:szCs w:val="20"/>
          <w:color w:val="auto"/>
        </w:rPr>
      </w:pPr>
    </w:p>
    <w:p>
      <w:pPr>
        <w:jc w:val="both"/>
        <w:ind w:left="660" w:hanging="1296"/>
        <w:spacing w:after="0" w:line="244" w:lineRule="auto"/>
        <w:tabs>
          <w:tab w:leader="none" w:pos="6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b w:val="1"/>
          <w:bCs w:val="1"/>
          <w:color w:val="auto"/>
        </w:rPr>
        <w:t>Use of Names</w:t>
      </w:r>
      <w:r>
        <w:rPr>
          <w:rFonts w:ascii="Arial" w:cs="Arial" w:eastAsia="Arial" w:hAnsi="Arial"/>
          <w:sz w:val="20"/>
          <w:szCs w:val="20"/>
          <w:color w:val="auto"/>
        </w:rPr>
        <w:t>. Except as otherwise agreed in writing, Sponsor and its affiliates may not use the name, logo, seal, trademark, or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mark (including any adaptation of them) of Penn or any Penn school, organization, employee, student or representative, without the prior written consent of Penn. Notwithstanding the foregoing, Sponsor may use the name of Penn in a non-misleading and factual manner solely to state Sponsor’s funding of this Sponsored Research. Penn shall not use Sponsor’s name without Sponsor’s prior written consent except that Penn may acknowledge Sponsor’s funding of this Sponsored Research and any scientific contributions in scientific publications, in listings of sponsored research projects and for other academic purposes.</w:t>
      </w:r>
    </w:p>
    <w:p>
      <w:pPr>
        <w:spacing w:after="0" w:line="254" w:lineRule="exact"/>
        <w:rPr>
          <w:sz w:val="20"/>
          <w:szCs w:val="20"/>
          <w:color w:val="auto"/>
        </w:rPr>
      </w:pPr>
    </w:p>
    <w:p>
      <w:pPr>
        <w:jc w:val="both"/>
        <w:ind w:left="660" w:right="20" w:hanging="1296"/>
        <w:spacing w:after="0" w:line="293" w:lineRule="auto"/>
        <w:tabs>
          <w:tab w:leader="none" w:pos="6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9"/>
          <w:szCs w:val="19"/>
          <w:b w:val="1"/>
          <w:bCs w:val="1"/>
          <w:color w:val="auto"/>
        </w:rPr>
        <w:t>No Discrimination</w:t>
      </w:r>
      <w:r>
        <w:rPr>
          <w:rFonts w:ascii="Arial" w:cs="Arial" w:eastAsia="Arial" w:hAnsi="Arial"/>
          <w:sz w:val="19"/>
          <w:szCs w:val="19"/>
          <w:color w:val="auto"/>
        </w:rPr>
        <w:t>. Neither Penn nor Sponsor will discriminate against any employee or applicant for employment because of race,</w:t>
      </w:r>
      <w:r>
        <w:rPr>
          <w:rFonts w:ascii="Arial" w:cs="Arial" w:eastAsia="Arial" w:hAnsi="Arial"/>
          <w:sz w:val="19"/>
          <w:szCs w:val="19"/>
          <w:b w:val="1"/>
          <w:bCs w:val="1"/>
          <w:color w:val="auto"/>
        </w:rPr>
        <w:t xml:space="preserve"> </w:t>
      </w:r>
      <w:r>
        <w:rPr>
          <w:rFonts w:ascii="Arial" w:cs="Arial" w:eastAsia="Arial" w:hAnsi="Arial"/>
          <w:sz w:val="19"/>
          <w:szCs w:val="19"/>
          <w:color w:val="auto"/>
        </w:rPr>
        <w:t>color, sex, sexual or affectional preference, age, religion, national or ethnic origin, handicap, or veteran status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6"/>
          <w:szCs w:val="16"/>
          <w:b w:val="1"/>
          <w:bCs w:val="1"/>
          <w:color w:val="auto"/>
        </w:rPr>
        <w:t>Successors and Assignment</w:t>
      </w:r>
      <w:r>
        <w:rPr>
          <w:rFonts w:ascii="Arial" w:cs="Arial" w:eastAsia="Arial" w:hAnsi="Arial"/>
          <w:sz w:val="16"/>
          <w:szCs w:val="16"/>
          <w:color w:val="auto"/>
        </w:rPr>
        <w:t>.</w:t>
      </w:r>
    </w:p>
    <w:p>
      <w:pPr>
        <w:spacing w:after="0" w:line="181" w:lineRule="exact"/>
        <w:rPr>
          <w:sz w:val="20"/>
          <w:szCs w:val="20"/>
          <w:color w:val="auto"/>
        </w:rPr>
      </w:pPr>
    </w:p>
    <w:p>
      <w:pPr>
        <w:ind w:left="2600" w:right="240" w:hanging="1944"/>
        <w:spacing w:after="0" w:line="260" w:lineRule="auto"/>
        <w:tabs>
          <w:tab w:leader="none" w:pos="130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terms and provisions hereof shall inure to the benefit of, and be binding upon, the Parties and their respective successors and permitted assigns.</w:t>
      </w:r>
    </w:p>
    <w:p>
      <w:pPr>
        <w:spacing w:after="0" w:line="136" w:lineRule="exact"/>
        <w:rPr>
          <w:rFonts w:ascii="Arial" w:cs="Arial" w:eastAsia="Arial" w:hAnsi="Arial"/>
          <w:sz w:val="20"/>
          <w:szCs w:val="20"/>
          <w:color w:val="auto"/>
        </w:rPr>
      </w:pPr>
    </w:p>
    <w:p>
      <w:pPr>
        <w:ind w:left="2600" w:right="20" w:hanging="1944"/>
        <w:spacing w:after="0" w:line="256" w:lineRule="auto"/>
        <w:tabs>
          <w:tab w:leader="none" w:pos="130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Sponsor may not assign or transfer this Agreement, any of Sponsor’s rights or obligations created hereunder, any SOW, or any of Sponsor’s rights or obligations thereunder, by operation of law or otherwise, without the prior written consent of Penn, except to an affiliate or in connection with the sale or transfer of all or substantially all of Sponsor’s business or assets relating to the subject matter of this Agreement, whether by merger, sale of assets or otherwise provided, that, in either case, (a) there exists no material breach by Sponsor of any material term of this Agreement and/or the applicable SOW; (b) Sponsor provides prompt written notice of the affiliate assignment or transaction to Penn; and (c) the assignee agrees in writing to be legally bound by this Agreement and/or the applicable SOW. Any permitted assignment will not relieve Sponsor of any obligation of Sponsor that has accrued at the time of assignment.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68" w:right="239" w:bottom="1440" w:gutter="0" w:footer="0" w:header="0"/>
        </w:sectPr>
      </w:pPr>
    </w:p>
    <w:bookmarkStart w:id="132" w:name="page133"/>
    <w:bookmarkEnd w:id="132"/>
    <w:p>
      <w:pPr>
        <w:ind w:left="644" w:hanging="644"/>
        <w:spacing w:after="0"/>
        <w:tabs>
          <w:tab w:leader="none" w:pos="6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Any assignment not in accordance with this </w:t>
      </w:r>
      <w:r>
        <w:rPr>
          <w:rFonts w:ascii="Arial" w:cs="Arial" w:eastAsia="Arial" w:hAnsi="Arial"/>
          <w:sz w:val="20"/>
          <w:szCs w:val="20"/>
          <w:u w:val="single" w:color="auto"/>
          <w:color w:val="auto"/>
        </w:rPr>
        <w:t>Section 9.7</w:t>
      </w:r>
      <w:r>
        <w:rPr>
          <w:rFonts w:ascii="Arial" w:cs="Arial" w:eastAsia="Arial" w:hAnsi="Arial"/>
          <w:sz w:val="20"/>
          <w:szCs w:val="20"/>
          <w:color w:val="auto"/>
        </w:rPr>
        <w:t xml:space="preserve"> shall be void.</w:t>
      </w:r>
    </w:p>
    <w:p>
      <w:pPr>
        <w:spacing w:after="0" w:line="277" w:lineRule="exact"/>
        <w:rPr>
          <w:sz w:val="20"/>
          <w:szCs w:val="20"/>
          <w:color w:val="auto"/>
        </w:rPr>
      </w:pPr>
    </w:p>
    <w:p>
      <w:pPr>
        <w:jc w:val="both"/>
        <w:ind w:left="4" w:hanging="1296"/>
        <w:spacing w:after="0" w:line="267" w:lineRule="auto"/>
        <w:rPr>
          <w:sz w:val="20"/>
          <w:szCs w:val="20"/>
          <w:color w:val="auto"/>
        </w:rPr>
      </w:pPr>
      <w:r>
        <w:rPr>
          <w:rFonts w:ascii="Arial" w:cs="Arial" w:eastAsia="Arial" w:hAnsi="Arial"/>
          <w:sz w:val="20"/>
          <w:szCs w:val="20"/>
          <w:color w:val="auto"/>
        </w:rPr>
        <w:t>9.8</w:t>
      </w:r>
      <w:r>
        <w:rPr>
          <w:sz w:val="20"/>
          <w:szCs w:val="20"/>
          <w:color w:val="auto"/>
        </w:rPr>
        <w:t xml:space="preserve"> </w:t>
      </w:r>
      <w:r>
        <w:rPr>
          <w:rFonts w:ascii="Arial" w:cs="Arial" w:eastAsia="Arial" w:hAnsi="Arial"/>
          <w:sz w:val="20"/>
          <w:szCs w:val="20"/>
          <w:b w:val="1"/>
          <w:bCs w:val="1"/>
          <w:color w:val="auto"/>
        </w:rPr>
        <w:t>Further Actions</w:t>
      </w:r>
      <w:r>
        <w:rPr>
          <w:rFonts w:ascii="Arial" w:cs="Arial" w:eastAsia="Arial" w:hAnsi="Arial"/>
          <w:sz w:val="20"/>
          <w:szCs w:val="20"/>
          <w:color w:val="auto"/>
        </w:rPr>
        <w:t>. Each Party agrees to execute, acknowledge and deliver such further instruments and to do all such other acts as may</w:t>
      </w:r>
      <w:r>
        <w:rPr>
          <w:rFonts w:ascii="Arial" w:cs="Arial" w:eastAsia="Arial" w:hAnsi="Arial"/>
          <w:sz w:val="20"/>
          <w:szCs w:val="20"/>
          <w:b w:val="1"/>
          <w:bCs w:val="1"/>
          <w:color w:val="auto"/>
        </w:rPr>
        <w:t xml:space="preserve"> </w:t>
      </w:r>
      <w:r>
        <w:rPr>
          <w:rFonts w:ascii="Arial" w:cs="Arial" w:eastAsia="Arial" w:hAnsi="Arial"/>
          <w:sz w:val="20"/>
          <w:szCs w:val="20"/>
          <w:color w:val="auto"/>
        </w:rPr>
        <w:t>be necessary or appropriate in order to carry out the purposes and intent of this Agreement.</w:t>
      </w:r>
    </w:p>
    <w:p>
      <w:pPr>
        <w:spacing w:after="0" w:line="231" w:lineRule="exact"/>
        <w:rPr>
          <w:sz w:val="20"/>
          <w:szCs w:val="20"/>
          <w:color w:val="auto"/>
        </w:rPr>
      </w:pPr>
    </w:p>
    <w:p>
      <w:pPr>
        <w:jc w:val="both"/>
        <w:ind w:left="4" w:hanging="1296"/>
        <w:spacing w:after="0" w:line="262" w:lineRule="auto"/>
        <w:rPr>
          <w:sz w:val="20"/>
          <w:szCs w:val="20"/>
          <w:color w:val="auto"/>
        </w:rPr>
      </w:pPr>
      <w:r>
        <w:rPr>
          <w:rFonts w:ascii="Arial" w:cs="Arial" w:eastAsia="Arial" w:hAnsi="Arial"/>
          <w:sz w:val="20"/>
          <w:szCs w:val="20"/>
          <w:color w:val="auto"/>
        </w:rPr>
        <w:t>9.9</w:t>
      </w:r>
      <w:r>
        <w:rPr>
          <w:sz w:val="20"/>
          <w:szCs w:val="20"/>
          <w:color w:val="auto"/>
        </w:rPr>
        <w:t xml:space="preserve"> </w:t>
      </w:r>
      <w:r>
        <w:rPr>
          <w:rFonts w:ascii="Arial" w:cs="Arial" w:eastAsia="Arial" w:hAnsi="Arial"/>
          <w:sz w:val="19"/>
          <w:szCs w:val="19"/>
          <w:b w:val="1"/>
          <w:bCs w:val="1"/>
          <w:color w:val="auto"/>
        </w:rPr>
        <w:t>Entire Agreement of the Parties; Amendments</w:t>
      </w:r>
      <w:r>
        <w:rPr>
          <w:rFonts w:ascii="Arial" w:cs="Arial" w:eastAsia="Arial" w:hAnsi="Arial"/>
          <w:sz w:val="19"/>
          <w:szCs w:val="19"/>
          <w:color w:val="auto"/>
        </w:rPr>
        <w:t>. This Agreement and the Schedules and Attachments hereto constitute and contain</w:t>
      </w:r>
      <w:r>
        <w:rPr>
          <w:rFonts w:ascii="Arial" w:cs="Arial" w:eastAsia="Arial" w:hAnsi="Arial"/>
          <w:sz w:val="19"/>
          <w:szCs w:val="19"/>
          <w:b w:val="1"/>
          <w:bCs w:val="1"/>
          <w:color w:val="auto"/>
        </w:rPr>
        <w:t xml:space="preserve"> </w:t>
      </w:r>
      <w:r>
        <w:rPr>
          <w:rFonts w:ascii="Arial" w:cs="Arial" w:eastAsia="Arial" w:hAnsi="Arial"/>
          <w:sz w:val="19"/>
          <w:szCs w:val="19"/>
          <w:color w:val="auto"/>
        </w:rPr>
        <w:t>the entire 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239" w:lineRule="exact"/>
        <w:rPr>
          <w:sz w:val="20"/>
          <w:szCs w:val="20"/>
          <w:color w:val="auto"/>
        </w:rPr>
      </w:pPr>
    </w:p>
    <w:p>
      <w:pPr>
        <w:jc w:val="both"/>
        <w:ind w:left="4" w:hanging="1296"/>
        <w:spacing w:after="0" w:line="253" w:lineRule="auto"/>
        <w:rPr>
          <w:sz w:val="20"/>
          <w:szCs w:val="20"/>
          <w:color w:val="auto"/>
        </w:rPr>
      </w:pPr>
      <w:r>
        <w:rPr>
          <w:rFonts w:ascii="Arial" w:cs="Arial" w:eastAsia="Arial" w:hAnsi="Arial"/>
          <w:sz w:val="20"/>
          <w:szCs w:val="20"/>
          <w:color w:val="auto"/>
        </w:rPr>
        <w:t>9.10</w:t>
      </w:r>
      <w:r>
        <w:rPr>
          <w:sz w:val="20"/>
          <w:szCs w:val="20"/>
          <w:color w:val="auto"/>
        </w:rPr>
        <w:t xml:space="preserve"> </w:t>
      </w:r>
      <w:r>
        <w:rPr>
          <w:rFonts w:ascii="Arial" w:cs="Arial" w:eastAsia="Arial" w:hAnsi="Arial"/>
          <w:sz w:val="20"/>
          <w:szCs w:val="20"/>
          <w:b w:val="1"/>
          <w:bCs w:val="1"/>
          <w:color w:val="auto"/>
        </w:rPr>
        <w:t>Governing Law</w:t>
      </w:r>
      <w:r>
        <w:rPr>
          <w:rFonts w:ascii="Arial" w:cs="Arial" w:eastAsia="Arial" w:hAnsi="Arial"/>
          <w:sz w:val="20"/>
          <w:szCs w:val="20"/>
          <w:color w:val="auto"/>
        </w:rPr>
        <w:t>. This Agreement shall be governed by and interpreted in accordance with the laws of the Commonwealth of</w:t>
      </w:r>
      <w:r>
        <w:rPr>
          <w:rFonts w:ascii="Arial" w:cs="Arial" w:eastAsia="Arial" w:hAnsi="Arial"/>
          <w:sz w:val="20"/>
          <w:szCs w:val="20"/>
          <w:b w:val="1"/>
          <w:bCs w:val="1"/>
          <w:color w:val="auto"/>
        </w:rPr>
        <w:t xml:space="preserve"> </w:t>
      </w:r>
      <w:r>
        <w:rPr>
          <w:rFonts w:ascii="Arial" w:cs="Arial" w:eastAsia="Arial" w:hAnsi="Arial"/>
          <w:sz w:val="20"/>
          <w:szCs w:val="20"/>
          <w:color w:val="auto"/>
        </w:rPr>
        <w:t>Pennsylvania, excluding application of any conflict of laws principles that would require application of the law of a jurisdiction outside of the Commonwealth of Pennsylvania.</w:t>
      </w:r>
    </w:p>
    <w:p>
      <w:pPr>
        <w:spacing w:after="0" w:line="245" w:lineRule="exact"/>
        <w:rPr>
          <w:sz w:val="20"/>
          <w:szCs w:val="20"/>
          <w:color w:val="auto"/>
        </w:rPr>
      </w:pPr>
    </w:p>
    <w:p>
      <w:pPr>
        <w:jc w:val="both"/>
        <w:ind w:left="4" w:hanging="1296"/>
        <w:spacing w:after="0" w:line="248" w:lineRule="auto"/>
        <w:rPr>
          <w:sz w:val="20"/>
          <w:szCs w:val="20"/>
          <w:color w:val="auto"/>
        </w:rPr>
      </w:pPr>
      <w:r>
        <w:rPr>
          <w:rFonts w:ascii="Arial" w:cs="Arial" w:eastAsia="Arial" w:hAnsi="Arial"/>
          <w:sz w:val="20"/>
          <w:szCs w:val="20"/>
          <w:color w:val="auto"/>
        </w:rPr>
        <w:t>9.11</w:t>
      </w:r>
      <w:r>
        <w:rPr>
          <w:sz w:val="20"/>
          <w:szCs w:val="20"/>
          <w:color w:val="auto"/>
        </w:rPr>
        <w:t xml:space="preserve"> </w:t>
      </w:r>
      <w:r>
        <w:rPr>
          <w:rFonts w:ascii="Arial" w:cs="Arial" w:eastAsia="Arial" w:hAnsi="Arial"/>
          <w:sz w:val="20"/>
          <w:szCs w:val="20"/>
          <w:b w:val="1"/>
          <w:bCs w:val="1"/>
          <w:color w:val="auto"/>
        </w:rPr>
        <w:t>Dispute Resolution</w:t>
      </w:r>
      <w:r>
        <w:rPr>
          <w:rFonts w:ascii="Arial" w:cs="Arial" w:eastAsia="Arial" w:hAnsi="Arial"/>
          <w:sz w:val="20"/>
          <w:szCs w:val="20"/>
          <w:color w:val="auto"/>
        </w:rPr>
        <w:t>. If a dispute arises between the Parties concerning this Agreement, then the Parties will confer, as soon as</w:t>
      </w:r>
      <w:r>
        <w:rPr>
          <w:rFonts w:ascii="Arial" w:cs="Arial" w:eastAsia="Arial" w:hAnsi="Arial"/>
          <w:sz w:val="20"/>
          <w:szCs w:val="20"/>
          <w:b w:val="1"/>
          <w:bCs w:val="1"/>
          <w:color w:val="auto"/>
        </w:rPr>
        <w:t xml:space="preserve"> </w:t>
      </w:r>
      <w:r>
        <w:rPr>
          <w:rFonts w:ascii="Arial" w:cs="Arial" w:eastAsia="Arial" w:hAnsi="Arial"/>
          <w:sz w:val="20"/>
          <w:szCs w:val="20"/>
          <w:color w:val="auto"/>
        </w:rPr>
        <w:t>practicable, in an attempt to resolve the dispute. If the Parties are unable to resolve such dispute amicably, then the Parties will submit to the exclusive jurisdiction of, and venue in, the state and Federal courts located in the Eastern District of Pennsylvania.</w:t>
      </w:r>
    </w:p>
    <w:p>
      <w:pPr>
        <w:spacing w:after="0" w:line="251" w:lineRule="exact"/>
        <w:rPr>
          <w:sz w:val="20"/>
          <w:szCs w:val="20"/>
          <w:color w:val="auto"/>
        </w:rPr>
      </w:pPr>
    </w:p>
    <w:p>
      <w:pPr>
        <w:jc w:val="both"/>
        <w:ind w:left="4" w:hanging="1296"/>
        <w:spacing w:after="0" w:line="266" w:lineRule="auto"/>
        <w:rPr>
          <w:sz w:val="20"/>
          <w:szCs w:val="20"/>
          <w:color w:val="auto"/>
        </w:rPr>
      </w:pPr>
      <w:r>
        <w:rPr>
          <w:rFonts w:ascii="Arial" w:cs="Arial" w:eastAsia="Arial" w:hAnsi="Arial"/>
          <w:sz w:val="20"/>
          <w:szCs w:val="20"/>
          <w:color w:val="auto"/>
        </w:rPr>
        <w:t>9.12</w:t>
      </w:r>
      <w:r>
        <w:rPr>
          <w:sz w:val="20"/>
          <w:szCs w:val="20"/>
          <w:color w:val="auto"/>
        </w:rPr>
        <w:t xml:space="preserve"> </w:t>
      </w:r>
      <w:r>
        <w:rPr>
          <w:rFonts w:ascii="Arial" w:cs="Arial" w:eastAsia="Arial" w:hAnsi="Arial"/>
          <w:sz w:val="19"/>
          <w:szCs w:val="19"/>
          <w:b w:val="1"/>
          <w:bCs w:val="1"/>
          <w:color w:val="auto"/>
        </w:rPr>
        <w:t>Notices and Deliveries</w:t>
      </w:r>
      <w:r>
        <w:rPr>
          <w:rFonts w:ascii="Arial" w:cs="Arial" w:eastAsia="Arial" w:hAnsi="Arial"/>
          <w:sz w:val="19"/>
          <w:szCs w:val="19"/>
          <w:color w:val="auto"/>
        </w:rPr>
        <w:t>. Any notice, request, approval or consent required or permitted to be given under this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directed to a Party at its address shown below or such other address as such Party shall have last given by notice to the other Party. A notice will be deemed received: if delivered personally, on the date of delivery; if mailed, five (5) days after deposit in the United States mail; if sent via courier, one (1) business day after deposit with the courier service.</w:t>
      </w:r>
    </w:p>
    <w:p>
      <w:pPr>
        <w:spacing w:after="0" w:line="269" w:lineRule="exact"/>
        <w:rPr>
          <w:sz w:val="20"/>
          <w:szCs w:val="20"/>
          <w:color w:val="auto"/>
        </w:rPr>
      </w:pPr>
    </w:p>
    <w:tbl>
      <w:tblPr>
        <w:tblLayout w:type="fixed"/>
        <w:tblInd w:w="44" w:type="dxa"/>
        <w:tblCellMar>
          <w:top w:w="0" w:type="dxa"/>
          <w:left w:w="0" w:type="dxa"/>
          <w:bottom w:w="0" w:type="dxa"/>
          <w:right w:w="0" w:type="dxa"/>
        </w:tblCellMar>
      </w:tblPr>
      <w:tr>
        <w:trPr>
          <w:trHeight w:val="230"/>
        </w:trPr>
        <w:tc>
          <w:tcPr>
            <w:tcW w:w="370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For Penn</w:t>
            </w:r>
          </w:p>
        </w:tc>
        <w:tc>
          <w:tcPr>
            <w:tcW w:w="4060" w:type="dxa"/>
            <w:vAlign w:val="bottom"/>
            <w:gridSpan w:val="3"/>
          </w:tcPr>
          <w:p>
            <w:pPr>
              <w:ind w:left="1060"/>
              <w:spacing w:after="0"/>
              <w:rPr>
                <w:sz w:val="20"/>
                <w:szCs w:val="20"/>
                <w:color w:val="auto"/>
              </w:rPr>
            </w:pPr>
            <w:r>
              <w:rPr>
                <w:rFonts w:ascii="Arial" w:cs="Arial" w:eastAsia="Arial" w:hAnsi="Arial"/>
                <w:sz w:val="20"/>
                <w:szCs w:val="20"/>
                <w:b w:val="1"/>
                <w:bCs w:val="1"/>
                <w:i w:val="1"/>
                <w:iCs w:val="1"/>
                <w:color w:val="auto"/>
              </w:rPr>
              <w:t>with a copy to:</w:t>
            </w:r>
          </w:p>
        </w:tc>
      </w:tr>
      <w:tr>
        <w:trPr>
          <w:trHeight w:val="20"/>
        </w:trPr>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605"/>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Office of Research Services</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rPr>
              <w:t>Penn Center for Innovation</w:t>
            </w: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University of Pennsylvania</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w w:val="94"/>
              </w:rPr>
              <w:t>3160 Chestnut Street, Suite 200</w:t>
            </w: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P221 Franklin Building</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rPr>
              <w:t>Philadelphia, PA 19104-6283</w:t>
            </w: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3451 Walnut Street</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rPr>
              <w:t>Attn: Managing Director</w:t>
            </w: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Philadelphia, PA 19104-6283</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rPr>
              <w:t>Penn Institution #: [**]</w:t>
            </w: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Attention: Executive Director</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Penn Institution #: [**]</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536"/>
        </w:trPr>
        <w:tc>
          <w:tcPr>
            <w:tcW w:w="1100" w:type="dxa"/>
            <w:vAlign w:val="bottom"/>
            <w:gridSpan w:val="2"/>
          </w:tcPr>
          <w:p>
            <w:pPr>
              <w:spacing w:after="0"/>
              <w:rPr>
                <w:sz w:val="20"/>
                <w:szCs w:val="20"/>
                <w:color w:val="auto"/>
              </w:rPr>
            </w:pPr>
            <w:r>
              <w:rPr>
                <w:rFonts w:ascii="Arial" w:cs="Arial" w:eastAsia="Arial" w:hAnsi="Arial"/>
                <w:sz w:val="20"/>
                <w:szCs w:val="20"/>
                <w:b w:val="1"/>
                <w:bCs w:val="1"/>
                <w:i w:val="1"/>
                <w:iCs w:val="1"/>
                <w:color w:val="auto"/>
                <w:w w:val="85"/>
              </w:rPr>
              <w:t>For Sponsor:</w:t>
            </w:r>
          </w:p>
        </w:tc>
        <w:tc>
          <w:tcPr>
            <w:tcW w:w="2600" w:type="dxa"/>
            <w:vAlign w:val="bottom"/>
          </w:tcPr>
          <w:p>
            <w:pPr>
              <w:spacing w:after="0"/>
              <w:rPr>
                <w:sz w:val="24"/>
                <w:szCs w:val="24"/>
                <w:color w:val="auto"/>
              </w:rPr>
            </w:pPr>
          </w:p>
        </w:tc>
        <w:tc>
          <w:tcPr>
            <w:tcW w:w="4060" w:type="dxa"/>
            <w:vAlign w:val="bottom"/>
            <w:gridSpan w:val="3"/>
          </w:tcPr>
          <w:p>
            <w:pPr>
              <w:ind w:left="1060"/>
              <w:spacing w:after="0"/>
              <w:rPr>
                <w:sz w:val="20"/>
                <w:szCs w:val="20"/>
                <w:color w:val="auto"/>
              </w:rPr>
            </w:pPr>
            <w:r>
              <w:rPr>
                <w:rFonts w:ascii="Arial" w:cs="Arial" w:eastAsia="Arial" w:hAnsi="Arial"/>
                <w:sz w:val="20"/>
                <w:szCs w:val="20"/>
                <w:b w:val="1"/>
                <w:bCs w:val="1"/>
                <w:i w:val="1"/>
                <w:iCs w:val="1"/>
                <w:color w:val="auto"/>
              </w:rPr>
              <w:t>with a copy to:</w:t>
            </w:r>
          </w:p>
        </w:tc>
      </w:tr>
      <w:tr>
        <w:trPr>
          <w:trHeight w:val="20"/>
        </w:trPr>
        <w:tc>
          <w:tcPr>
            <w:tcW w:w="1100" w:type="dxa"/>
            <w:vAlign w:val="bottom"/>
            <w:gridSpan w:val="2"/>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605"/>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Ophthotech Corporation</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rPr>
              <w:t>WilmerHale LLP</w:t>
            </w: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One Penn Plaza, Suite 3520</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rPr>
              <w:t>60 State Street</w:t>
            </w: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New York, NY 10119</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rPr>
              <w:t>Boston, MA 02109</w:t>
            </w:r>
          </w:p>
        </w:tc>
      </w:tr>
      <w:tr>
        <w:trPr>
          <w:trHeight w:val="284"/>
        </w:trPr>
        <w:tc>
          <w:tcPr>
            <w:tcW w:w="3700" w:type="dxa"/>
            <w:vAlign w:val="bottom"/>
            <w:gridSpan w:val="3"/>
          </w:tcPr>
          <w:p>
            <w:pPr>
              <w:ind w:left="300"/>
              <w:spacing w:after="0"/>
              <w:rPr>
                <w:sz w:val="20"/>
                <w:szCs w:val="20"/>
                <w:color w:val="auto"/>
              </w:rPr>
            </w:pPr>
            <w:r>
              <w:rPr>
                <w:rFonts w:ascii="Arial" w:cs="Arial" w:eastAsia="Arial" w:hAnsi="Arial"/>
                <w:sz w:val="20"/>
                <w:szCs w:val="20"/>
                <w:color w:val="auto"/>
              </w:rPr>
              <w:t>Attention: Legal Department</w:t>
            </w:r>
          </w:p>
        </w:tc>
        <w:tc>
          <w:tcPr>
            <w:tcW w:w="1060" w:type="dxa"/>
            <w:vAlign w:val="bottom"/>
          </w:tcPr>
          <w:p>
            <w:pPr>
              <w:spacing w:after="0"/>
              <w:rPr>
                <w:sz w:val="24"/>
                <w:szCs w:val="24"/>
                <w:color w:val="auto"/>
              </w:rPr>
            </w:pPr>
          </w:p>
        </w:tc>
        <w:tc>
          <w:tcPr>
            <w:tcW w:w="3000" w:type="dxa"/>
            <w:vAlign w:val="bottom"/>
            <w:gridSpan w:val="2"/>
          </w:tcPr>
          <w:p>
            <w:pPr>
              <w:ind w:left="280"/>
              <w:spacing w:after="0"/>
              <w:rPr>
                <w:sz w:val="20"/>
                <w:szCs w:val="20"/>
                <w:color w:val="auto"/>
              </w:rPr>
            </w:pPr>
            <w:r>
              <w:rPr>
                <w:rFonts w:ascii="Arial" w:cs="Arial" w:eastAsia="Arial" w:hAnsi="Arial"/>
                <w:sz w:val="20"/>
                <w:szCs w:val="20"/>
                <w:color w:val="auto"/>
                <w:w w:val="91"/>
              </w:rPr>
              <w:t>Attention: Steven D. Barrett, Esq.</w:t>
            </w:r>
          </w:p>
        </w:tc>
      </w:tr>
      <w:tr>
        <w:trPr>
          <w:trHeight w:val="284"/>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0" w:type="dxa"/>
            <w:vAlign w:val="bottom"/>
            <w:gridSpan w:val="2"/>
          </w:tcPr>
          <w:p>
            <w:pPr>
              <w:ind w:left="340"/>
              <w:spacing w:after="0"/>
              <w:rPr>
                <w:sz w:val="20"/>
                <w:szCs w:val="20"/>
                <w:color w:val="auto"/>
              </w:rPr>
            </w:pPr>
            <w:r>
              <w:rPr>
                <w:rFonts w:ascii="Arial" w:cs="Arial" w:eastAsia="Arial" w:hAnsi="Arial"/>
                <w:sz w:val="20"/>
                <w:szCs w:val="20"/>
                <w:color w:val="auto"/>
                <w:w w:val="89"/>
              </w:rPr>
              <w:t>(steven.barrett@wilmerhale.com)</w:t>
            </w:r>
          </w:p>
        </w:tc>
      </w:tr>
      <w:tr>
        <w:trPr>
          <w:trHeight w:val="496"/>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40" w:type="dxa"/>
            <w:vAlign w:val="bottom"/>
            <w:gridSpan w:val="2"/>
          </w:tcPr>
          <w:p>
            <w:pPr>
              <w:jc w:val="right"/>
              <w:ind w:right="741"/>
              <w:spacing w:after="0"/>
              <w:rPr>
                <w:sz w:val="20"/>
                <w:szCs w:val="20"/>
                <w:color w:val="auto"/>
              </w:rPr>
            </w:pPr>
            <w:r>
              <w:rPr>
                <w:rFonts w:ascii="Arial" w:cs="Arial" w:eastAsia="Arial" w:hAnsi="Arial"/>
                <w:sz w:val="18"/>
                <w:szCs w:val="18"/>
                <w:color w:val="auto"/>
              </w:rPr>
              <w:t>10</w:t>
            </w:r>
          </w:p>
        </w:tc>
        <w:tc>
          <w:tcPr>
            <w:tcW w:w="1820" w:type="dxa"/>
            <w:vAlign w:val="bottom"/>
          </w:tcPr>
          <w:p>
            <w:pPr>
              <w:spacing w:after="0"/>
              <w:rPr>
                <w:sz w:val="24"/>
                <w:szCs w:val="24"/>
                <w:color w:val="auto"/>
              </w:rPr>
            </w:pPr>
          </w:p>
        </w:tc>
      </w:tr>
    </w:tbl>
    <w:p>
      <w:pPr>
        <w:sectPr>
          <w:pgSz w:w="11900" w:h="16838" w:orient="portrait"/>
          <w:cols w:equalWidth="0" w:num="1">
            <w:col w:w="10764"/>
          </w:cols>
          <w:pgMar w:left="896" w:top="366" w:right="239" w:bottom="1440" w:gutter="0" w:footer="0" w:header="0"/>
        </w:sectPr>
      </w:pPr>
    </w:p>
    <w:bookmarkStart w:id="133" w:name="page134"/>
    <w:bookmarkEnd w:id="133"/>
    <w:p>
      <w:pPr>
        <w:ind w:left="640"/>
        <w:spacing w:after="0"/>
        <w:rPr>
          <w:sz w:val="20"/>
          <w:szCs w:val="20"/>
          <w:color w:val="auto"/>
        </w:rPr>
      </w:pPr>
      <w:r>
        <w:rPr>
          <w:rFonts w:ascii="Arial" w:cs="Arial" w:eastAsia="Arial" w:hAnsi="Arial"/>
          <w:sz w:val="18"/>
          <w:szCs w:val="18"/>
          <w:color w:val="auto"/>
        </w:rPr>
        <w:t xml:space="preserve">Any invoice for Sponsor shall be sent by electronic mail to </w:t>
      </w:r>
      <w:r>
        <w:rPr>
          <w:rFonts w:ascii="Arial" w:cs="Arial" w:eastAsia="Arial" w:hAnsi="Arial"/>
          <w:sz w:val="18"/>
          <w:szCs w:val="18"/>
          <w:u w:val="single" w:color="auto"/>
          <w:color w:val="auto"/>
        </w:rPr>
        <w:t>[**]</w:t>
      </w:r>
      <w:r>
        <w:rPr>
          <w:rFonts w:ascii="Arial" w:cs="Arial" w:eastAsia="Arial" w:hAnsi="Arial"/>
          <w:sz w:val="18"/>
          <w:szCs w:val="18"/>
          <w:color w:val="auto"/>
        </w:rPr>
        <w:t>, with a manual copy to the address for Sponsor set forth above.</w:t>
      </w:r>
    </w:p>
    <w:p>
      <w:pPr>
        <w:spacing w:after="0" w:line="289" w:lineRule="exact"/>
        <w:rPr>
          <w:sz w:val="20"/>
          <w:szCs w:val="20"/>
          <w:color w:val="auto"/>
        </w:rPr>
      </w:pPr>
    </w:p>
    <w:p>
      <w:pPr>
        <w:jc w:val="both"/>
        <w:ind w:left="640" w:hanging="1296"/>
        <w:spacing w:after="0" w:line="261" w:lineRule="auto"/>
        <w:tabs>
          <w:tab w:leader="none" w:pos="62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8"/>
          <w:szCs w:val="18"/>
          <w:b w:val="1"/>
          <w:bCs w:val="1"/>
          <w:color w:val="auto"/>
        </w:rPr>
        <w:t>Waiver</w:t>
      </w:r>
      <w:r>
        <w:rPr>
          <w:rFonts w:ascii="Arial" w:cs="Arial" w:eastAsia="Arial" w:hAnsi="Arial"/>
          <w:sz w:val="18"/>
          <w:szCs w:val="18"/>
          <w:color w:val="auto"/>
        </w:rPr>
        <w:t>. A waiver by either Party of any of the terms and conditions of this Agreement in any instance shall not be deemed or construed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248" w:lineRule="exact"/>
        <w:rPr>
          <w:sz w:val="20"/>
          <w:szCs w:val="20"/>
          <w:color w:val="auto"/>
        </w:rPr>
      </w:pPr>
    </w:p>
    <w:p>
      <w:pPr>
        <w:jc w:val="both"/>
        <w:ind w:left="640" w:hanging="1296"/>
        <w:spacing w:after="0" w:line="258" w:lineRule="auto"/>
        <w:tabs>
          <w:tab w:leader="none" w:pos="62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When possible, each provision of this Agreement will be interpreted in such manner as to be effective and valid under law, but if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251" w:lineRule="exact"/>
        <w:rPr>
          <w:sz w:val="20"/>
          <w:szCs w:val="20"/>
          <w:color w:val="auto"/>
        </w:rPr>
      </w:pPr>
    </w:p>
    <w:p>
      <w:pPr>
        <w:jc w:val="both"/>
        <w:ind w:left="640" w:hanging="1296"/>
        <w:spacing w:after="0" w:line="266" w:lineRule="auto"/>
        <w:tabs>
          <w:tab w:leader="none" w:pos="62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8"/>
          <w:szCs w:val="18"/>
          <w:b w:val="1"/>
          <w:bCs w:val="1"/>
          <w:color w:val="auto"/>
        </w:rPr>
        <w:t>Interpretation</w:t>
      </w:r>
      <w:r>
        <w:rPr>
          <w:rFonts w:ascii="Arial" w:cs="Arial" w:eastAsia="Arial" w:hAnsi="Arial"/>
          <w:sz w:val="18"/>
          <w:szCs w:val="18"/>
          <w:color w:val="auto"/>
        </w:rPr>
        <w:t>. The words “include,” “includes” and “including” shall be deemed to be followed by the phrase “without limitation.” All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to Articles, Sections, and Schedules shall be deemed references to Articles and Sections of, and Schedules to, this Agreement unless the context shall otherwise require.</w:t>
      </w:r>
    </w:p>
    <w:p>
      <w:pPr>
        <w:spacing w:after="0" w:line="244" w:lineRule="exact"/>
        <w:rPr>
          <w:sz w:val="20"/>
          <w:szCs w:val="20"/>
          <w:color w:val="auto"/>
        </w:rPr>
      </w:pPr>
    </w:p>
    <w:p>
      <w:pPr>
        <w:jc w:val="both"/>
        <w:ind w:left="640" w:hanging="1296"/>
        <w:spacing w:after="0" w:line="266" w:lineRule="auto"/>
        <w:tabs>
          <w:tab w:leader="none" w:pos="62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will be deemed an original, and all of which together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one and the same instrument. A portable document format (PDF) or electronic copy of this Agreement, including the signature pages, will be deemed an original.</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476" w:right="239" w:bottom="1440" w:gutter="0" w:footer="0" w:header="0"/>
        </w:sectPr>
      </w:pPr>
    </w:p>
    <w:bookmarkStart w:id="134" w:name="page135"/>
    <w:bookmarkEnd w:id="134"/>
    <w:p>
      <w:pPr>
        <w:ind w:firstLine="648"/>
        <w:spacing w:after="0" w:line="30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duly authorized representatives of the Parties hereby execute this Agreement as of the date first</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above.</w:t>
      </w:r>
    </w:p>
    <w:p>
      <w:pPr>
        <w:spacing w:after="0" w:line="200" w:lineRule="exact"/>
        <w:rPr>
          <w:sz w:val="20"/>
          <w:szCs w:val="20"/>
          <w:color w:val="auto"/>
        </w:rPr>
      </w:pPr>
    </w:p>
    <w:p>
      <w:pPr>
        <w:spacing w:after="0" w:line="32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20"/>
                <w:szCs w:val="20"/>
                <w:b w:val="1"/>
                <w:bCs w:val="1"/>
                <w:color w:val="auto"/>
              </w:rPr>
              <w:t>THE TRUSTEES OF THE</w:t>
            </w:r>
          </w:p>
        </w:tc>
        <w:tc>
          <w:tcPr>
            <w:tcW w:w="4240" w:type="dxa"/>
            <w:vAlign w:val="bottom"/>
            <w:gridSpan w:val="3"/>
          </w:tcPr>
          <w:p>
            <w:pPr>
              <w:ind w:left="1280"/>
              <w:spacing w:after="0"/>
              <w:rPr>
                <w:sz w:val="20"/>
                <w:szCs w:val="20"/>
                <w:color w:val="auto"/>
              </w:rPr>
            </w:pPr>
            <w:r>
              <w:rPr>
                <w:rFonts w:ascii="Arial" w:cs="Arial" w:eastAsia="Arial" w:hAnsi="Arial"/>
                <w:sz w:val="20"/>
                <w:szCs w:val="20"/>
                <w:b w:val="1"/>
                <w:bCs w:val="1"/>
                <w:color w:val="auto"/>
                <w:w w:val="99"/>
              </w:rPr>
              <w:t>OPHTHOTECH CORPORATION</w:t>
            </w:r>
          </w:p>
        </w:tc>
      </w:tr>
      <w:tr>
        <w:trPr>
          <w:trHeight w:val="256"/>
        </w:trPr>
        <w:tc>
          <w:tcPr>
            <w:tcW w:w="4400" w:type="dxa"/>
            <w:vAlign w:val="bottom"/>
            <w:gridSpan w:val="3"/>
          </w:tcPr>
          <w:p>
            <w:pPr>
              <w:spacing w:after="0"/>
              <w:rPr>
                <w:sz w:val="20"/>
                <w:szCs w:val="20"/>
                <w:color w:val="auto"/>
              </w:rPr>
            </w:pPr>
            <w:r>
              <w:rPr>
                <w:rFonts w:ascii="Arial" w:cs="Arial" w:eastAsia="Arial" w:hAnsi="Arial"/>
                <w:sz w:val="20"/>
                <w:szCs w:val="20"/>
                <w:b w:val="1"/>
                <w:bCs w:val="1"/>
                <w:color w:val="auto"/>
              </w:rPr>
              <w:t>UNIVERSITY OF PENNSYLVANIA</w:t>
            </w:r>
          </w:p>
        </w:tc>
        <w:tc>
          <w:tcPr>
            <w:tcW w:w="16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15"/>
        </w:trPr>
        <w:tc>
          <w:tcPr>
            <w:tcW w:w="4400" w:type="dxa"/>
            <w:vAlign w:val="bottom"/>
            <w:gridSpan w:val="3"/>
          </w:tcPr>
          <w:p>
            <w:pPr>
              <w:spacing w:after="0"/>
              <w:rPr>
                <w:sz w:val="20"/>
                <w:szCs w:val="20"/>
                <w:color w:val="auto"/>
              </w:rPr>
            </w:pPr>
            <w:r>
              <w:rPr>
                <w:rFonts w:ascii="Arial" w:cs="Arial" w:eastAsia="Arial" w:hAnsi="Arial"/>
                <w:sz w:val="20"/>
                <w:szCs w:val="20"/>
                <w:color w:val="auto"/>
              </w:rPr>
              <w:t>By: /s/ Christine Baxter</w:t>
            </w:r>
          </w:p>
        </w:tc>
        <w:tc>
          <w:tcPr>
            <w:tcW w:w="4240" w:type="dxa"/>
            <w:vAlign w:val="bottom"/>
            <w:gridSpan w:val="3"/>
          </w:tcPr>
          <w:p>
            <w:pPr>
              <w:ind w:left="1280"/>
              <w:spacing w:after="0"/>
              <w:rPr>
                <w:sz w:val="20"/>
                <w:szCs w:val="20"/>
                <w:color w:val="auto"/>
              </w:rPr>
            </w:pPr>
            <w:r>
              <w:rPr>
                <w:rFonts w:ascii="Arial" w:cs="Arial" w:eastAsia="Arial" w:hAnsi="Arial"/>
                <w:sz w:val="20"/>
                <w:szCs w:val="20"/>
                <w:color w:val="auto"/>
              </w:rPr>
              <w:t>By: /s/ Glenn Sblendorio</w:t>
            </w: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4"/>
        </w:trPr>
        <w:tc>
          <w:tcPr>
            <w:tcW w:w="4400" w:type="dxa"/>
            <w:vAlign w:val="bottom"/>
            <w:gridSpan w:val="3"/>
          </w:tcPr>
          <w:p>
            <w:pPr>
              <w:spacing w:after="0"/>
              <w:rPr>
                <w:sz w:val="20"/>
                <w:szCs w:val="20"/>
                <w:color w:val="auto"/>
              </w:rPr>
            </w:pPr>
            <w:r>
              <w:rPr>
                <w:rFonts w:ascii="Arial" w:cs="Arial" w:eastAsia="Arial" w:hAnsi="Arial"/>
                <w:sz w:val="20"/>
                <w:szCs w:val="20"/>
                <w:color w:val="auto"/>
              </w:rPr>
              <w:t>Name: Christine Baxter</w:t>
            </w:r>
          </w:p>
        </w:tc>
        <w:tc>
          <w:tcPr>
            <w:tcW w:w="4240" w:type="dxa"/>
            <w:vAlign w:val="bottom"/>
            <w:gridSpan w:val="3"/>
          </w:tcPr>
          <w:p>
            <w:pPr>
              <w:ind w:left="1280"/>
              <w:spacing w:after="0"/>
              <w:rPr>
                <w:sz w:val="20"/>
                <w:szCs w:val="20"/>
                <w:color w:val="auto"/>
              </w:rPr>
            </w:pPr>
            <w:r>
              <w:rPr>
                <w:rFonts w:ascii="Arial" w:cs="Arial" w:eastAsia="Arial" w:hAnsi="Arial"/>
                <w:sz w:val="20"/>
                <w:szCs w:val="20"/>
                <w:color w:val="auto"/>
              </w:rPr>
              <w:t>Name: Glenn Sblendorio</w:t>
            </w:r>
          </w:p>
        </w:tc>
      </w:tr>
      <w:tr>
        <w:trPr>
          <w:trHeight w:val="454"/>
        </w:trPr>
        <w:tc>
          <w:tcPr>
            <w:tcW w:w="4400" w:type="dxa"/>
            <w:vAlign w:val="bottom"/>
            <w:gridSpan w:val="3"/>
          </w:tcPr>
          <w:p>
            <w:pPr>
              <w:spacing w:after="0"/>
              <w:rPr>
                <w:sz w:val="20"/>
                <w:szCs w:val="20"/>
                <w:color w:val="auto"/>
              </w:rPr>
            </w:pPr>
            <w:r>
              <w:rPr>
                <w:rFonts w:ascii="Arial" w:cs="Arial" w:eastAsia="Arial" w:hAnsi="Arial"/>
                <w:sz w:val="20"/>
                <w:szCs w:val="20"/>
                <w:color w:val="auto"/>
              </w:rPr>
              <w:t>Title: Senior Associate Director</w:t>
            </w:r>
          </w:p>
        </w:tc>
        <w:tc>
          <w:tcPr>
            <w:tcW w:w="4240" w:type="dxa"/>
            <w:vAlign w:val="bottom"/>
            <w:gridSpan w:val="3"/>
          </w:tcPr>
          <w:p>
            <w:pPr>
              <w:ind w:left="1280"/>
              <w:spacing w:after="0"/>
              <w:rPr>
                <w:sz w:val="20"/>
                <w:szCs w:val="20"/>
                <w:color w:val="auto"/>
              </w:rPr>
            </w:pPr>
            <w:r>
              <w:rPr>
                <w:rFonts w:ascii="Arial" w:cs="Arial" w:eastAsia="Arial" w:hAnsi="Arial"/>
                <w:sz w:val="20"/>
                <w:szCs w:val="20"/>
                <w:color w:val="auto"/>
              </w:rPr>
              <w:t>Title: CEO &amp; President</w:t>
            </w:r>
          </w:p>
        </w:tc>
      </w:tr>
    </w:tbl>
    <w:p>
      <w:pPr>
        <w:ind w:left="500"/>
        <w:spacing w:after="0"/>
        <w:rPr>
          <w:sz w:val="20"/>
          <w:szCs w:val="20"/>
          <w:color w:val="auto"/>
        </w:rPr>
      </w:pPr>
      <w:r>
        <w:rPr>
          <w:rFonts w:ascii="Arial" w:cs="Arial" w:eastAsia="Arial" w:hAnsi="Arial"/>
          <w:sz w:val="20"/>
          <w:szCs w:val="20"/>
          <w:color w:val="auto"/>
        </w:rPr>
        <w:t>Corporate Contracts</w:t>
      </w:r>
    </w:p>
    <w:p>
      <w:pPr>
        <w:ind w:left="500"/>
        <w:spacing w:after="0"/>
        <w:rPr>
          <w:sz w:val="20"/>
          <w:szCs w:val="20"/>
          <w:color w:val="auto"/>
        </w:rPr>
      </w:pPr>
      <w:r>
        <w:rPr>
          <w:rFonts w:ascii="Arial" w:cs="Arial" w:eastAsia="Arial" w:hAnsi="Arial"/>
          <w:sz w:val="20"/>
          <w:szCs w:val="20"/>
          <w:color w:val="auto"/>
        </w:rPr>
        <w:t>Penn Center for Innovation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Sponsored Research Agreement]</w:t>
      </w:r>
    </w:p>
    <w:p>
      <w:pPr>
        <w:sectPr>
          <w:pgSz w:w="11900" w:h="16838" w:orient="portrait"/>
          <w:cols w:equalWidth="0" w:num="1">
            <w:col w:w="11400"/>
          </w:cols>
          <w:pgMar w:left="240" w:top="1278" w:right="25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20"/>
          <w:szCs w:val="20"/>
          <w:b w:val="1"/>
          <w:bCs w:val="1"/>
          <w:color w:val="auto"/>
        </w:rPr>
        <w:t>IVERIC BIO,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22"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9"/>
          <w:szCs w:val="19"/>
          <w:color w:val="auto"/>
        </w:rPr>
        <w:t>The purpose of this Non-Employee Director Compensation Policy (this “Policy”) of IVERIC bio, Inc. (the “Company”) is to set forth the total compensation payable to non-employee directors of the Company for their service as members of the Company’s Board of Directors (the “Board”). In furtherance of this purpose, effective as of the Effective Date (as defined below), all non-employee directors shall be entitled to receive the compensation described in, and subject to the terms and conditions of, this Policy.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Compensation Limits</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Subject to the provisions of this Policy, commencing in calendar year 2019, the following limits shall be in effect for compensation to be paid to each non-employee director of the Company:</w:t>
      </w:r>
    </w:p>
    <w:p>
      <w:pPr>
        <w:spacing w:after="0" w:line="177" w:lineRule="exact"/>
        <w:rPr>
          <w:sz w:val="20"/>
          <w:szCs w:val="20"/>
          <w:color w:val="auto"/>
        </w:rPr>
      </w:pPr>
    </w:p>
    <w:p>
      <w:pPr>
        <w:ind w:left="1300" w:right="40" w:hanging="320"/>
        <w:spacing w:after="0" w:line="246" w:lineRule="auto"/>
        <w:tabs>
          <w:tab w:leader="none" w:pos="1300" w:val="left"/>
        </w:tabs>
        <w:numPr>
          <w:ilvl w:val="0"/>
          <w:numId w:val="105"/>
        </w:numPr>
        <w:rPr>
          <w:rFonts w:ascii="Arial" w:cs="Arial" w:eastAsia="Arial" w:hAnsi="Arial"/>
          <w:sz w:val="20"/>
          <w:szCs w:val="20"/>
          <w:color w:val="auto"/>
        </w:rPr>
      </w:pPr>
      <w:r>
        <w:rPr>
          <w:rFonts w:ascii="Arial" w:cs="Arial" w:eastAsia="Arial" w:hAnsi="Arial"/>
          <w:sz w:val="20"/>
          <w:szCs w:val="20"/>
          <w:i w:val="1"/>
          <w:iCs w:val="1"/>
          <w:color w:val="auto"/>
        </w:rPr>
        <w:t>Compensation Limits for Incumbent Non-Employee Directors</w:t>
      </w:r>
      <w:r>
        <w:rPr>
          <w:rFonts w:ascii="Arial" w:cs="Arial" w:eastAsia="Arial" w:hAnsi="Arial"/>
          <w:sz w:val="20"/>
          <w:szCs w:val="20"/>
          <w:color w:val="auto"/>
        </w:rPr>
        <w:t>: The total annual base compensation, including cash and equity</w:t>
      </w:r>
      <w:r>
        <w:rPr>
          <w:rFonts w:ascii="Arial" w:cs="Arial" w:eastAsia="Arial" w:hAnsi="Arial"/>
          <w:sz w:val="20"/>
          <w:szCs w:val="20"/>
          <w:i w:val="1"/>
          <w:iCs w:val="1"/>
          <w:color w:val="auto"/>
        </w:rPr>
        <w:t xml:space="preserve"> </w:t>
      </w:r>
      <w:r>
        <w:rPr>
          <w:rFonts w:ascii="Arial" w:cs="Arial" w:eastAsia="Arial" w:hAnsi="Arial"/>
          <w:sz w:val="20"/>
          <w:szCs w:val="20"/>
          <w:color w:val="auto"/>
        </w:rPr>
        <w:t>components (based on grant date fair value for financial reporting purposes), for each non-employee director who served as a director of the Company for any amount of time during the prior calendar year (each, an “Incumbent Non-Employee Director”) will be no more than $275,000 per calendar year.</w:t>
      </w:r>
    </w:p>
    <w:p>
      <w:pPr>
        <w:spacing w:after="0" w:line="205" w:lineRule="exact"/>
        <w:rPr>
          <w:rFonts w:ascii="Arial" w:cs="Arial" w:eastAsia="Arial" w:hAnsi="Arial"/>
          <w:sz w:val="20"/>
          <w:szCs w:val="20"/>
          <w:color w:val="auto"/>
        </w:rPr>
      </w:pPr>
    </w:p>
    <w:p>
      <w:pPr>
        <w:ind w:left="1300" w:right="40" w:hanging="320"/>
        <w:spacing w:after="0" w:line="282"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Compensation Limits for Newly-Elected or Appointed Non-Employee Directors</w:t>
      </w:r>
      <w:r>
        <w:rPr>
          <w:rFonts w:ascii="Arial" w:cs="Arial" w:eastAsia="Arial" w:hAnsi="Arial"/>
          <w:sz w:val="18"/>
          <w:szCs w:val="18"/>
          <w:color w:val="auto"/>
        </w:rPr>
        <w:t>: The total annual base compensation,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equity components (based on grant date fair value for financial reporting purposes), for each non-employee director who did not serve as a director of the Company for any amount of time during the prior calendar year (each, a “New Non-Employee Director”) will be no more than $550,000 within his or her first calendar year of election or appointment.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w:t>
      </w:r>
    </w:p>
    <w:p>
      <w:pPr>
        <w:spacing w:after="0" w:line="222"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Each non-employee director shall be entitled to receive the compensation described below while serving as a director of the Company. The form of equity compensation and amounts of equity compensation and cash compensation described below may be modified for years after 2019 by the Board in its discretion, subject to compliance with the compensation limits set forth in this Policy under the heading “General Compensation Limits” and the other provisions of this Policy.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Equity Compensation</w:t>
      </w:r>
    </w:p>
    <w:p>
      <w:pPr>
        <w:spacing w:after="0" w:line="216"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i w:val="1"/>
          <w:iCs w:val="1"/>
          <w:color w:val="auto"/>
        </w:rPr>
        <w:t xml:space="preserve">Initial Stock Option Grant. </w:t>
      </w:r>
      <w:r>
        <w:rPr>
          <w:rFonts w:ascii="Arial" w:cs="Arial" w:eastAsia="Arial" w:hAnsi="Arial"/>
          <w:sz w:val="18"/>
          <w:szCs w:val="18"/>
          <w:color w:val="auto"/>
        </w:rPr>
        <w:t>Upon his or her initial election or appointment to the Board, each New Non-Employee Director shall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and without the need for any further action by the Board, be granted an option under the Company’s 2013 Stock Incentive Plan, as amended from time to time, or any successor or other new stock or equity incentive plan (the “Plan”) to purchase 32,000 shares of the Company’s common stock, par value $0.001 per share (the “Common Stock”). Unless otherwise provided at the time of grant, subject to each such person’s continued service with the Company, the option will vest with respect to 1/36th of the shares subject to such option at the end of each successive one-month period following the grant date until the third anniversary of the grant date and, in the event of a “Change in Control Event” of the Company (as defined in the Plan), the option shall immediately become fully vested and exercisable.</w:t>
      </w:r>
    </w:p>
    <w:p>
      <w:pPr>
        <w:spacing w:after="0" w:line="169"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i w:val="1"/>
          <w:iCs w:val="1"/>
          <w:color w:val="auto"/>
        </w:rPr>
        <w:t xml:space="preserve">Annual Stock Option Grant. </w:t>
      </w:r>
      <w:r>
        <w:rPr>
          <w:rFonts w:ascii="Arial" w:cs="Arial" w:eastAsia="Arial" w:hAnsi="Arial"/>
          <w:sz w:val="20"/>
          <w:szCs w:val="20"/>
          <w:color w:val="auto"/>
        </w:rPr>
        <w:t>On the date of each annual meeting of stockholders of the Company, each non-employee director who has</w:t>
      </w:r>
      <w:r>
        <w:rPr>
          <w:rFonts w:ascii="Arial" w:cs="Arial" w:eastAsia="Arial" w:hAnsi="Arial"/>
          <w:sz w:val="20"/>
          <w:szCs w:val="20"/>
          <w:i w:val="1"/>
          <w:iCs w:val="1"/>
          <w:color w:val="auto"/>
        </w:rPr>
        <w:t xml:space="preserve"> </w:t>
      </w:r>
      <w:r>
        <w:rPr>
          <w:rFonts w:ascii="Arial" w:cs="Arial" w:eastAsia="Arial" w:hAnsi="Arial"/>
          <w:sz w:val="20"/>
          <w:szCs w:val="20"/>
          <w:color w:val="auto"/>
        </w:rPr>
        <w:t>served on the Board for at least four months, and is both serving as a director of the Company immediately prior to and immediately following such annual meeting, shall automatically, and without the need for any further action by the Board, be granted an option under the Plan to purchase 16,000 shares of</w:t>
      </w:r>
    </w:p>
    <w:p>
      <w:pPr>
        <w:sectPr>
          <w:pgSz w:w="11900" w:h="16838" w:orient="portrait"/>
          <w:cols w:equalWidth="0" w:num="1">
            <w:col w:w="11420"/>
          </w:cols>
          <w:pgMar w:left="240" w:top="1021" w:right="239" w:bottom="1440" w:gutter="0" w:footer="0" w:header="0"/>
        </w:sectPr>
      </w:pPr>
    </w:p>
    <w:bookmarkStart w:id="136" w:name="page137"/>
    <w:bookmarkEnd w:id="136"/>
    <w:p>
      <w:pPr>
        <w:spacing w:after="0" w:line="260" w:lineRule="auto"/>
        <w:rPr>
          <w:sz w:val="20"/>
          <w:szCs w:val="20"/>
          <w:color w:val="auto"/>
        </w:rPr>
      </w:pPr>
      <w:r>
        <w:rPr>
          <w:rFonts w:ascii="Arial" w:cs="Arial" w:eastAsia="Arial" w:hAnsi="Arial"/>
          <w:sz w:val="19"/>
          <w:szCs w:val="19"/>
          <w:color w:val="auto"/>
        </w:rPr>
        <w:t>Common Stock. Unless otherwise provided at the time of grant, subject to the non-employee director’s continued service with the Company, the option will vest with respect to 1/12th of the shares subject to such option at the end of each successive one-month period following the grant date until the earlier of (a) the day that is one business day prior to the date of the next annual meeting and (b) the first anniversary of the grant date, at which time such option shall be fully vested and exercisable, and, in the event of a “Change in Control Event” of the Company (as defined in the Plan), the option shall immediately become fully vested and exercisable.</w:t>
      </w:r>
    </w:p>
    <w:p>
      <w:pPr>
        <w:spacing w:after="0" w:line="181" w:lineRule="exact"/>
        <w:rPr>
          <w:sz w:val="20"/>
          <w:szCs w:val="20"/>
          <w:color w:val="auto"/>
        </w:rPr>
      </w:pPr>
    </w:p>
    <w:p>
      <w:pPr>
        <w:ind w:right="20" w:firstLine="648"/>
        <w:spacing w:after="0" w:line="27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Each initial option grant award and each annual option grant award to the non-employee directors shall have a term of ten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from the date of the award. The exercise price of each option will be equal to the closing sale price (for the primary trading session) of the Common Stock on the national securities exchange on which the Common Stock is then traded on the date of grant (or if the date of grant is not a trading day on such exchange, the trading day immediately prior to the date of grant) or if the Common Stock is not then traded on a national securities exchange, the fair market value of the Common Stock on such date as determined by the Board.</w:t>
      </w:r>
    </w:p>
    <w:p>
      <w:pPr>
        <w:spacing w:after="0" w:line="165"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 foregoing share amounts with respect to option grants to the non-employee directors shall be automatically adjusted in the event of any stock split, combination, recapitalization and other similar event affecting the Common Stock, all as provided for under the terms of the Plan.</w:t>
      </w:r>
    </w:p>
    <w:p>
      <w:pPr>
        <w:spacing w:after="0" w:line="186" w:lineRule="exact"/>
        <w:rPr>
          <w:sz w:val="20"/>
          <w:szCs w:val="20"/>
          <w:color w:val="auto"/>
        </w:rPr>
      </w:pPr>
    </w:p>
    <w:p>
      <w:pPr>
        <w:ind w:right="500" w:firstLine="648"/>
        <w:spacing w:after="0" w:line="316" w:lineRule="auto"/>
        <w:rPr>
          <w:sz w:val="20"/>
          <w:szCs w:val="20"/>
          <w:color w:val="auto"/>
        </w:rPr>
      </w:pPr>
      <w:r>
        <w:rPr>
          <w:rFonts w:ascii="Arial" w:cs="Arial" w:eastAsia="Arial" w:hAnsi="Arial"/>
          <w:sz w:val="18"/>
          <w:szCs w:val="18"/>
          <w:color w:val="auto"/>
        </w:rPr>
        <w:t>The initial option grant awards and the annual option grant awards to the non-employee directors shall be subject to the terms and conditions of the Plan and the terms of any option agreements entered into with each director in connection with such awards.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Cash Compensation</w:t>
      </w:r>
    </w:p>
    <w:p>
      <w:pPr>
        <w:spacing w:after="0" w:line="216"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The cash fees to be paid to non-employee directors for service on the Board, for service on each committee of the Board on which the director is then a member and for service in such additional Board positions as are described below shall be as follows:</w:t>
      </w:r>
    </w:p>
    <w:p>
      <w:pPr>
        <w:spacing w:after="0" w:line="153" w:lineRule="exact"/>
        <w:rPr>
          <w:sz w:val="20"/>
          <w:szCs w:val="20"/>
          <w:color w:val="auto"/>
        </w:rPr>
      </w:pPr>
    </w:p>
    <w:p>
      <w:pPr>
        <w:ind w:left="1300" w:hanging="320"/>
        <w:spacing w:after="0"/>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each non-employee director is eligible to receive an annual fee of $45,000;</w:t>
      </w:r>
    </w:p>
    <w:p>
      <w:pPr>
        <w:spacing w:after="0" w:line="229" w:lineRule="exact"/>
        <w:rPr>
          <w:rFonts w:ascii="Arial" w:cs="Arial" w:eastAsia="Arial" w:hAnsi="Arial"/>
          <w:sz w:val="20"/>
          <w:szCs w:val="20"/>
          <w:color w:val="auto"/>
        </w:rPr>
      </w:pPr>
    </w:p>
    <w:p>
      <w:pPr>
        <w:ind w:left="1300" w:right="340" w:hanging="320"/>
        <w:spacing w:after="0" w:line="260" w:lineRule="auto"/>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chairman of the audit committee is eligible to receive an additional annual fee of $20,000, and the other members of the audit committee are eligible to receive an additional annual fee of $10,000;</w:t>
      </w:r>
    </w:p>
    <w:p>
      <w:pPr>
        <w:spacing w:after="0" w:line="190" w:lineRule="exact"/>
        <w:rPr>
          <w:rFonts w:ascii="Arial" w:cs="Arial" w:eastAsia="Arial" w:hAnsi="Arial"/>
          <w:sz w:val="20"/>
          <w:szCs w:val="20"/>
          <w:color w:val="auto"/>
        </w:rPr>
      </w:pPr>
    </w:p>
    <w:p>
      <w:pPr>
        <w:ind w:left="1300" w:right="140" w:hanging="320"/>
        <w:spacing w:after="0" w:line="260" w:lineRule="auto"/>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chairman of the compensation committee is eligible to receive an additional annual fee of $15,000, and the other members of the compensation committee are eligible to receive an additional annual fee of $7,500;</w:t>
      </w:r>
    </w:p>
    <w:p>
      <w:pPr>
        <w:spacing w:after="0" w:line="190" w:lineRule="exact"/>
        <w:rPr>
          <w:rFonts w:ascii="Arial" w:cs="Arial" w:eastAsia="Arial" w:hAnsi="Arial"/>
          <w:sz w:val="20"/>
          <w:szCs w:val="20"/>
          <w:color w:val="auto"/>
        </w:rPr>
      </w:pPr>
    </w:p>
    <w:p>
      <w:pPr>
        <w:jc w:val="both"/>
        <w:ind w:left="1300" w:right="100" w:hanging="320"/>
        <w:spacing w:after="0" w:line="250" w:lineRule="auto"/>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chairman of the nominating and corporate governance committee is eligible to receive an additional annual fee of $10,000, and the other members of the nominating and corporate governance committee are eligible to receive an additional annual fee of $5,000;</w:t>
      </w:r>
    </w:p>
    <w:p>
      <w:pPr>
        <w:spacing w:after="0" w:line="199" w:lineRule="exact"/>
        <w:rPr>
          <w:rFonts w:ascii="Arial" w:cs="Arial" w:eastAsia="Arial" w:hAnsi="Arial"/>
          <w:sz w:val="20"/>
          <w:szCs w:val="20"/>
          <w:color w:val="auto"/>
        </w:rPr>
      </w:pPr>
    </w:p>
    <w:p>
      <w:pPr>
        <w:ind w:left="1300" w:right="300" w:hanging="320"/>
        <w:spacing w:after="0" w:line="260" w:lineRule="auto"/>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chairman of the R&amp;D committee is eligible to receive an additional annual fee of $10,000, and the other members of the R&amp;D Committee are eligible to receive an additional annual fee of $5,000; and</w:t>
      </w:r>
    </w:p>
    <w:p>
      <w:pPr>
        <w:spacing w:after="0" w:line="190" w:lineRule="exact"/>
        <w:rPr>
          <w:rFonts w:ascii="Arial" w:cs="Arial" w:eastAsia="Arial" w:hAnsi="Arial"/>
          <w:sz w:val="20"/>
          <w:szCs w:val="20"/>
          <w:color w:val="auto"/>
        </w:rPr>
      </w:pPr>
    </w:p>
    <w:p>
      <w:pPr>
        <w:ind w:left="1300" w:hanging="320"/>
        <w:spacing w:after="0"/>
        <w:tabs>
          <w:tab w:leader="none" w:pos="13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Independent Lead Director is eligible to receive an additional annual fee of $25,000.</w:t>
      </w:r>
    </w:p>
    <w:p>
      <w:pPr>
        <w:spacing w:after="0" w:line="229"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The foregoing fees are payable in arrears in four equal quarterly installments on the last day of each quarter, with such installments to be paid for any quarter during which the director served on the Board, on such committee or in such position.</w:t>
      </w:r>
    </w:p>
    <w:p>
      <w:pPr>
        <w:spacing w:after="0" w:line="177"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In addition to the above fees, the Board may determine that additional committee fees are appropriate and should be payable for any newly created committee of the Board. The Board also may determine that an additional</w:t>
      </w:r>
    </w:p>
    <w:p>
      <w:pPr>
        <w:sectPr>
          <w:pgSz w:w="11900" w:h="16838" w:orient="portrait"/>
          <w:cols w:equalWidth="0" w:num="1">
            <w:col w:w="11420"/>
          </w:cols>
          <w:pgMar w:left="240" w:top="582" w:right="239" w:bottom="1440" w:gutter="0" w:footer="0" w:header="0"/>
        </w:sectPr>
      </w:pPr>
    </w:p>
    <w:bookmarkStart w:id="137" w:name="page138"/>
    <w:bookmarkEnd w:id="137"/>
    <w:p>
      <w:pPr>
        <w:ind w:right="100"/>
        <w:spacing w:after="0" w:line="250" w:lineRule="auto"/>
        <w:rPr>
          <w:sz w:val="20"/>
          <w:szCs w:val="20"/>
          <w:color w:val="auto"/>
        </w:rPr>
      </w:pPr>
      <w:r>
        <w:rPr>
          <w:rFonts w:ascii="Arial" w:cs="Arial" w:eastAsia="Arial" w:hAnsi="Arial"/>
          <w:sz w:val="20"/>
          <w:szCs w:val="20"/>
          <w:color w:val="auto"/>
        </w:rPr>
        <w:t>fee is appropriate and shall be payable to a non-employee Chairman of the Board, if one is then appointed. Consistent with this Policy, in determining any such additional fees, the Board will be guided by compensation paid to non-employee directors of a peer group of companies as well as current best practices.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Expenses</w:t>
      </w:r>
    </w:p>
    <w:p>
      <w:pPr>
        <w:spacing w:after="0" w:line="22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color w:val="auto"/>
        </w:rPr>
        <w:t>Upon presentation of documentation of such expenses reasonably satisfactory to the Company, each non-employee director is entitled to be reimbursed for reasonable travel and other expenses incurred in connection with attending meetings of the Board and any committee of the Board on which he or she serves. The amount of such reimbursed expenses shall not apply toward or otherwise be subject to the compensation limits set forth in this Policy under the heading “General Compensation Limits.”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Compensation</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will not provide additional compensation to non-employee directors, directly or indirectly, other than as disclosed in this Policy or the Company’s filings with the U.S.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w:t>
      </w:r>
    </w:p>
    <w:p>
      <w:pPr>
        <w:spacing w:after="0" w:line="222"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This Policy was adopted by the Board on February 22, 2019 and shall become effective on the date on which it is approved by the Company’s stockholders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Amendments; Termination</w:t>
      </w:r>
    </w:p>
    <w:p>
      <w:pPr>
        <w:spacing w:after="0" w:line="222" w:lineRule="exact"/>
        <w:rPr>
          <w:sz w:val="20"/>
          <w:szCs w:val="20"/>
          <w:color w:val="auto"/>
        </w:rPr>
      </w:pPr>
    </w:p>
    <w:p>
      <w:pPr>
        <w:ind w:right="300" w:firstLine="648"/>
        <w:spacing w:after="0" w:line="269" w:lineRule="auto"/>
        <w:rPr>
          <w:sz w:val="20"/>
          <w:szCs w:val="20"/>
          <w:color w:val="auto"/>
        </w:rPr>
      </w:pPr>
      <w:r>
        <w:rPr>
          <w:rFonts w:ascii="Arial" w:cs="Arial" w:eastAsia="Arial" w:hAnsi="Arial"/>
          <w:sz w:val="19"/>
          <w:szCs w:val="19"/>
          <w:color w:val="auto"/>
        </w:rPr>
        <w:t>This Policy may be amended or terminated upon the adoption of a resolution of the Board; provided that no such amendment to the provisions of this Policy set forth under the headings “General Compensation Limits,” “Additional Compensation” or “Amendments; Terminations” shall be effective prior to the 2022 annual meeting of stockholders without stockholder approval.</w:t>
      </w:r>
    </w:p>
    <w:p>
      <w:pPr>
        <w:spacing w:after="0" w:line="170" w:lineRule="exact"/>
        <w:rPr>
          <w:sz w:val="20"/>
          <w:szCs w:val="20"/>
          <w:color w:val="auto"/>
        </w:rPr>
      </w:pPr>
    </w:p>
    <w:p>
      <w:pPr>
        <w:ind w:right="520" w:firstLine="648"/>
        <w:spacing w:after="0" w:line="316" w:lineRule="auto"/>
        <w:rPr>
          <w:sz w:val="20"/>
          <w:szCs w:val="20"/>
          <w:color w:val="auto"/>
        </w:rPr>
      </w:pPr>
      <w:r>
        <w:rPr>
          <w:rFonts w:ascii="Arial" w:cs="Arial" w:eastAsia="Arial" w:hAnsi="Arial"/>
          <w:sz w:val="18"/>
          <w:szCs w:val="18"/>
          <w:color w:val="auto"/>
        </w:rPr>
        <w:t>Notwithstanding the foregoing, the Board may adjust the compensation limits set forth in this Policy under the heading “General Compensation Limits,” without stockholder approval, in the event of a material change in the Company’s market capitalization.</w:t>
      </w:r>
    </w:p>
    <w:p>
      <w:pPr>
        <w:spacing w:after="0" w:line="13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9"/>
          <w:szCs w:val="19"/>
          <w:color w:val="auto"/>
        </w:rPr>
        <w:t>As is the Company’s current practice, in enacting or proposing any amendments to the Policy, including any amendment of the annual retainers for Board and committee service, and fees for Board and committee service, the Board (or a committee of the Board) will be guided by compensation paid to non-employee directors of a peer group of companies as well as current best practices. The Board (or a committee of the Board) shall review this non-employee director compensation peer group on an annual basis.</w:t>
      </w:r>
    </w:p>
    <w:p>
      <w:pPr>
        <w:sectPr>
          <w:pgSz w:w="11900" w:h="16838" w:orient="portrait"/>
          <w:cols w:equalWidth="0" w:num="1">
            <w:col w:w="11360"/>
          </w:cols>
          <w:pgMar w:left="240" w:top="582" w:right="299" w:bottom="1440" w:gutter="0" w:footer="0" w:header="0"/>
        </w:sectPr>
      </w:pPr>
    </w:p>
    <w:bookmarkStart w:id="138" w:name="page139"/>
    <w:bookmarkEnd w:id="138"/>
    <w:p>
      <w:pPr>
        <w:ind w:left="10540"/>
        <w:spacing w:after="0"/>
        <w:rPr>
          <w:sz w:val="20"/>
          <w:szCs w:val="20"/>
          <w:color w:val="auto"/>
        </w:rPr>
      </w:pPr>
      <w:r>
        <w:rPr>
          <w:rFonts w:ascii="Arial" w:cs="Arial" w:eastAsia="Arial" w:hAnsi="Arial"/>
          <w:sz w:val="15"/>
          <w:szCs w:val="15"/>
          <w:b w:val="1"/>
          <w:bCs w:val="1"/>
          <w:color w:val="auto"/>
        </w:rPr>
        <w:t>Exhibit 31.1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190"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2019 of IVERIC bio,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980" w:right="20" w:hanging="324"/>
        <w:spacing w:after="0" w:line="261" w:lineRule="auto"/>
        <w:tabs>
          <w:tab w:leader="none" w:pos="95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60" w:hanging="328"/>
        <w:spacing w:after="0" w:line="275" w:lineRule="auto"/>
        <w:tabs>
          <w:tab w:leader="none" w:pos="69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August 1,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39" w:name="page140"/>
    <w:bookmarkEnd w:id="139"/>
    <w:p>
      <w:pPr>
        <w:ind w:left="10540"/>
        <w:spacing w:after="0"/>
        <w:rPr>
          <w:sz w:val="20"/>
          <w:szCs w:val="20"/>
          <w:color w:val="auto"/>
        </w:rPr>
      </w:pPr>
      <w:r>
        <w:rPr>
          <w:rFonts w:ascii="Arial" w:cs="Arial" w:eastAsia="Arial" w:hAnsi="Arial"/>
          <w:sz w:val="15"/>
          <w:szCs w:val="15"/>
          <w:b w:val="1"/>
          <w:bCs w:val="1"/>
          <w:color w:val="auto"/>
        </w:rPr>
        <w:t>Exhibit 31.2</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194"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2019 of IVERIC bio,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w:t>
      </w:r>
    </w:p>
    <w:p>
      <w:pPr>
        <w:spacing w:after="0" w:line="30"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4"/>
          <w:szCs w:val="14"/>
          <w:color w:val="auto"/>
        </w:rPr>
        <w:t>Rules 13a-15(e) and 15d-15(e)) and internal control over financial reporting (as defined in Exchange Act Rules 13a-15(f) and 15d-15(f)) for the registrant and have:</w:t>
      </w:r>
    </w:p>
    <w:p>
      <w:pPr>
        <w:spacing w:after="0" w:line="203" w:lineRule="exact"/>
        <w:rPr>
          <w:rFonts w:ascii="Arial" w:cs="Arial" w:eastAsia="Arial" w:hAnsi="Arial"/>
          <w:sz w:val="15"/>
          <w:szCs w:val="15"/>
          <w:color w:val="auto"/>
        </w:rPr>
      </w:pPr>
    </w:p>
    <w:p>
      <w:pPr>
        <w:ind w:left="980" w:right="20" w:hanging="324"/>
        <w:spacing w:after="0" w:line="261" w:lineRule="auto"/>
        <w:tabs>
          <w:tab w:leader="none" w:pos="95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980" w:right="80" w:hanging="324"/>
        <w:spacing w:after="0" w:line="261" w:lineRule="auto"/>
        <w:tabs>
          <w:tab w:leader="none" w:pos="96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right="440" w:hanging="324"/>
        <w:spacing w:after="0" w:line="275" w:lineRule="auto"/>
        <w:tabs>
          <w:tab w:leader="none" w:pos="95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right="100" w:hanging="324"/>
        <w:spacing w:after="0" w:line="261" w:lineRule="auto"/>
        <w:tabs>
          <w:tab w:leader="none" w:pos="96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500" w:hanging="328"/>
        <w:spacing w:after="0" w:line="275" w:lineRule="auto"/>
        <w:tabs>
          <w:tab w:leader="none" w:pos="65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980" w:right="600" w:hanging="324"/>
        <w:spacing w:after="0" w:line="275" w:lineRule="auto"/>
        <w:tabs>
          <w:tab w:leader="none" w:pos="94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right="220" w:hanging="324"/>
        <w:spacing w:after="0" w:line="275" w:lineRule="auto"/>
        <w:tabs>
          <w:tab w:leader="none" w:pos="957"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7100" w:val="left"/>
          <w:tab w:leader="none" w:pos="7900" w:val="left"/>
        </w:tabs>
        <w:rPr>
          <w:sz w:val="20"/>
          <w:szCs w:val="20"/>
          <w:color w:val="auto"/>
        </w:rPr>
      </w:pPr>
      <w:r>
        <w:rPr>
          <w:rFonts w:ascii="Arial" w:cs="Arial" w:eastAsia="Arial" w:hAnsi="Arial"/>
          <w:sz w:val="16"/>
          <w:szCs w:val="16"/>
          <w:color w:val="auto"/>
        </w:rPr>
        <w:t>Date: August 1,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34925</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792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0" w:name="page141"/>
    <w:bookmarkEnd w:id="140"/>
    <w:p>
      <w:pPr>
        <w:ind w:left="10540"/>
        <w:spacing w:after="0"/>
        <w:rPr>
          <w:sz w:val="20"/>
          <w:szCs w:val="20"/>
          <w:color w:val="auto"/>
        </w:rPr>
      </w:pPr>
      <w:r>
        <w:rPr>
          <w:rFonts w:ascii="Arial" w:cs="Arial" w:eastAsia="Arial" w:hAnsi="Arial"/>
          <w:sz w:val="15"/>
          <w:szCs w:val="15"/>
          <w:b w:val="1"/>
          <w:bCs w:val="1"/>
          <w:color w:val="auto"/>
        </w:rPr>
        <w:t>Exhibit 32.1</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connection with the Quarterly Report on Form 10-Q of IVERIC bio, Inc. (the "Company") for the period ended June 30, 2019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56" w:lineRule="exact"/>
        <w:rPr>
          <w:sz w:val="20"/>
          <w:szCs w:val="20"/>
          <w:color w:val="auto"/>
        </w:rPr>
      </w:pPr>
    </w:p>
    <w:p>
      <w:pPr>
        <w:ind w:left="640" w:hanging="308"/>
        <w:spacing w:after="0"/>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820" w:val="left"/>
          <w:tab w:leader="none" w:pos="6500" w:val="left"/>
        </w:tabs>
        <w:rPr>
          <w:sz w:val="20"/>
          <w:szCs w:val="20"/>
          <w:color w:val="auto"/>
        </w:rPr>
      </w:pPr>
      <w:r>
        <w:rPr>
          <w:rFonts w:ascii="Arial" w:cs="Arial" w:eastAsia="Arial" w:hAnsi="Arial"/>
          <w:sz w:val="16"/>
          <w:szCs w:val="16"/>
          <w:color w:val="auto"/>
        </w:rPr>
        <w:t>Date: August 1,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34925</wp:posOffset>
            </wp:positionV>
            <wp:extent cx="3095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66"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Glenn P. Sblendorio</w:t>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141" w:name="page142"/>
    <w:bookmarkEnd w:id="141"/>
    <w:p>
      <w:pPr>
        <w:ind w:left="10540"/>
        <w:spacing w:after="0"/>
        <w:rPr>
          <w:sz w:val="20"/>
          <w:szCs w:val="20"/>
          <w:color w:val="auto"/>
        </w:rPr>
      </w:pPr>
      <w:r>
        <w:rPr>
          <w:rFonts w:ascii="Arial" w:cs="Arial" w:eastAsia="Arial" w:hAnsi="Arial"/>
          <w:sz w:val="15"/>
          <w:szCs w:val="15"/>
          <w:b w:val="1"/>
          <w:bCs w:val="1"/>
          <w:color w:val="auto"/>
        </w:rPr>
        <w:t>Exhibit 32.2</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9"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In connection with the Quarterly Report on Form 10-Q of IVERIC bio, Inc. (the "Company") for the period ended June 30, 2019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56" w:lineRule="exact"/>
        <w:rPr>
          <w:sz w:val="20"/>
          <w:szCs w:val="20"/>
          <w:color w:val="auto"/>
        </w:rPr>
      </w:pPr>
    </w:p>
    <w:p>
      <w:pPr>
        <w:ind w:left="640" w:hanging="308"/>
        <w:spacing w:after="0"/>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40" w:hanging="308"/>
        <w:spacing w:after="0"/>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5960" w:val="left"/>
          <w:tab w:leader="none" w:pos="6640" w:val="left"/>
        </w:tabs>
        <w:rPr>
          <w:sz w:val="20"/>
          <w:szCs w:val="20"/>
          <w:color w:val="auto"/>
        </w:rPr>
      </w:pPr>
      <w:r>
        <w:rPr>
          <w:rFonts w:ascii="Arial" w:cs="Arial" w:eastAsia="Arial" w:hAnsi="Arial"/>
          <w:sz w:val="16"/>
          <w:szCs w:val="16"/>
          <w:color w:val="auto"/>
        </w:rPr>
        <w:t>Date: August 1,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David F. Carroll</w:t>
      </w:r>
    </w:p>
    <w:p>
      <w:pPr>
        <w:spacing w:after="0" w:line="2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666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80"/>
      </w:cols>
      <w:pgMar w:left="240" w:top="8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o"/>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1."/>
      <w:numFmt w:val="decimal"/>
      <w:start w:val="842"/>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1)"/>
      <w:numFmt w:val="decimal"/>
      <w:start w:val="1"/>
    </w:lvl>
    <w:lvl w:ilvl="1">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lowerLetter"/>
      <w:start w:val="1"/>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54">
    <w:nsid w:val="7FFFCA11"/>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1"/>
    </w:lvl>
  </w:abstractNum>
  <w:abstractNum w:abstractNumId="55">
    <w:nsid w:val="1A27709E"/>
    <w:multiLevelType w:val="hybridMultilevel"/>
    <w:lvl w:ilvl="0">
      <w:lvlJc w:val="left"/>
      <w:lvlText w:val="(%1)"/>
      <w:numFmt w:val="lowerRoman"/>
      <w:start w:val="2"/>
    </w:lvl>
  </w:abstractNum>
  <w:abstractNum w:abstractNumId="56">
    <w:nsid w:val="71EA1109"/>
    <w:multiLevelType w:val="hybridMultilevel"/>
    <w:lvl w:ilvl="0">
      <w:lvlJc w:val="left"/>
      <w:lvlText w:val="(%1)"/>
      <w:numFmt w:val="lowerRoman"/>
      <w:start w:val="5"/>
    </w:lvl>
  </w:abstractNum>
  <w:abstractNum w:abstractNumId="57">
    <w:nsid w:val="100F59DC"/>
    <w:multiLevelType w:val="hybridMultilevel"/>
    <w:lvl w:ilvl="0">
      <w:lvlJc w:val="left"/>
      <w:lvlText w:val="(%1)"/>
      <w:numFmt w:val="lowerLetter"/>
      <w:start w:val="2"/>
    </w:lvl>
  </w:abstractNum>
  <w:abstractNum w:abstractNumId="58">
    <w:nsid w:val="7FB7E0AA"/>
    <w:multiLevelType w:val="hybridMultilevel"/>
    <w:lvl w:ilvl="0">
      <w:lvlJc w:val="left"/>
      <w:lvlText w:val="(%1)"/>
      <w:numFmt w:val="lowerLetter"/>
      <w:start w:val="1"/>
    </w:lvl>
  </w:abstractNum>
  <w:abstractNum w:abstractNumId="59">
    <w:nsid w:val="6EB5BD4"/>
    <w:multiLevelType w:val="hybridMultilevel"/>
    <w:lvl w:ilvl="0">
      <w:lvlJc w:val="left"/>
      <w:lvlText w:val="(%1)"/>
      <w:numFmt w:val="lowerLetter"/>
      <w:start w:val="1"/>
    </w:lvl>
    <w:lvl w:ilvl="1">
      <w:lvlJc w:val="left"/>
      <w:lvlText w:val="(%2)"/>
      <w:numFmt w:val="lowerRoman"/>
      <w:start w:val="1"/>
    </w:lvl>
  </w:abstractNum>
  <w:abstractNum w:abstractNumId="60">
    <w:nsid w:val="6F6DD9AC"/>
    <w:multiLevelType w:val="hybridMultilevel"/>
    <w:lvl w:ilvl="0">
      <w:lvlJc w:val="left"/>
      <w:lvlText w:val="[**]"/>
      <w:numFmt w:val="bullet"/>
      <w:start w:val="1"/>
    </w:lvl>
    <w:lvl w:ilvl="1">
      <w:lvlJc w:val="left"/>
      <w:lvlText w:val="(%2)"/>
      <w:numFmt w:val="lowerLetter"/>
      <w:start w:val="2"/>
    </w:lvl>
  </w:abstractNum>
  <w:abstractNum w:abstractNumId="61">
    <w:nsid w:val="94211F2"/>
    <w:multiLevelType w:val="hybridMultilevel"/>
    <w:lvl w:ilvl="0">
      <w:lvlJc w:val="left"/>
      <w:lvlText w:val="(%1)"/>
      <w:numFmt w:val="lowerLetter"/>
      <w:start w:val="1"/>
    </w:lvl>
  </w:abstractNum>
  <w:abstractNum w:abstractNumId="62">
    <w:nsid w:val="885E1B"/>
    <w:multiLevelType w:val="hybridMultilevel"/>
    <w:lvl w:ilvl="0">
      <w:lvlJc w:val="left"/>
      <w:lvlText w:val="(%1)"/>
      <w:numFmt w:val="lowerLetter"/>
      <w:start w:val="3"/>
    </w:lvl>
  </w:abstractNum>
  <w:abstractNum w:abstractNumId="63">
    <w:nsid w:val="76272110"/>
    <w:multiLevelType w:val="hybridMultilevel"/>
    <w:lvl w:ilvl="0">
      <w:lvlJc w:val="left"/>
      <w:lvlText w:val="%1"/>
      <w:numFmt w:val="lowerLetter"/>
      <w:start w:val="1"/>
    </w:lvl>
    <w:lvl w:ilvl="1">
      <w:lvlJc w:val="left"/>
      <w:lvlText w:val="(%2)"/>
      <w:numFmt w:val="lowerLetter"/>
      <w:start w:val="1"/>
    </w:lvl>
  </w:abstractNum>
  <w:abstractNum w:abstractNumId="64">
    <w:nsid w:val="4C04A8AF"/>
    <w:multiLevelType w:val="hybridMultilevel"/>
    <w:lvl w:ilvl="0">
      <w:lvlJc w:val="left"/>
      <w:lvlText w:val="(%1)"/>
      <w:numFmt w:val="lowerLetter"/>
      <w:start w:val="35"/>
    </w:lvl>
    <w:lvl w:ilvl="1">
      <w:lvlJc w:val="left"/>
      <w:lvlText w:val="%2"/>
      <w:numFmt w:val="lowerLetter"/>
      <w:start w:val="1"/>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1)"/>
      <w:numFmt w:val="lowerLetter"/>
      <w:start w:val="2"/>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1)"/>
      <w:numFmt w:val="lowerLetter"/>
      <w:start w:val="1"/>
    </w:lvl>
    <w:lvl w:ilvl="1">
      <w:lvlJc w:val="left"/>
      <w:lvlText w:val="(%2)"/>
      <w:numFmt w:val="lowerLetter"/>
      <w:start w:val="9"/>
    </w:lvl>
  </w:abstractNum>
  <w:abstractNum w:abstractNumId="70">
    <w:nsid w:val="2DF6D648"/>
    <w:multiLevelType w:val="hybridMultilevel"/>
    <w:lvl w:ilvl="0">
      <w:lvlJc w:val="left"/>
      <w:lvlText w:val="%1"/>
      <w:numFmt w:val="lowerLetter"/>
      <w:start w:val="1"/>
    </w:lvl>
    <w:lvl w:ilvl="1">
      <w:lvlJc w:val="left"/>
      <w:lvlText w:val="(%2)"/>
      <w:numFmt w:val="lowerRoman"/>
      <w:start w:val="2"/>
    </w:lvl>
  </w:abstractNum>
  <w:abstractNum w:abstractNumId="71">
    <w:nsid w:val="46B7D447"/>
    <w:multiLevelType w:val="hybridMultilevel"/>
    <w:lvl w:ilvl="0">
      <w:lvlJc w:val="left"/>
      <w:lvlText w:val="(%1)"/>
      <w:numFmt w:val="lowerLetter"/>
      <w:start w:val="2"/>
    </w:lvl>
    <w:lvl w:ilvl="1">
      <w:lvlJc w:val="left"/>
      <w:lvlText w:val="%2"/>
      <w:numFmt w:val="lowerRoman"/>
      <w:start w:val="1"/>
    </w:lvl>
  </w:abstractNum>
  <w:abstractNum w:abstractNumId="72">
    <w:nsid w:val="4A2AC315"/>
    <w:multiLevelType w:val="hybridMultilevel"/>
    <w:lvl w:ilvl="0">
      <w:lvlJc w:val="left"/>
      <w:lvlText w:val="(%1)"/>
      <w:numFmt w:val="lowerLetter"/>
      <w:start w:val="3"/>
    </w:lvl>
  </w:abstractNum>
  <w:abstractNum w:abstractNumId="73">
    <w:nsid w:val="39EE015C"/>
    <w:multiLevelType w:val="hybridMultilevel"/>
    <w:lvl w:ilvl="0">
      <w:lvlJc w:val="left"/>
      <w:lvlText w:val="(%1)"/>
      <w:numFmt w:val="lowerLetter"/>
      <w:start w:val="1"/>
    </w:lvl>
    <w:lvl w:ilvl="1">
      <w:lvlJc w:val="left"/>
      <w:lvlText w:val="(%2)"/>
      <w:numFmt w:val="lowerRoman"/>
      <w:start w:val="1"/>
    </w:lvl>
  </w:abstractNum>
  <w:abstractNum w:abstractNumId="74">
    <w:nsid w:val="57FC4FBB"/>
    <w:multiLevelType w:val="hybridMultilevel"/>
    <w:lvl w:ilvl="0">
      <w:lvlJc w:val="left"/>
      <w:lvlText w:val="(%1)"/>
      <w:numFmt w:val="lowerRoman"/>
      <w:start w:val="3"/>
    </w:lvl>
  </w:abstractNum>
  <w:abstractNum w:abstractNumId="75">
    <w:nsid w:val="CC1016F"/>
    <w:multiLevelType w:val="hybridMultilevel"/>
    <w:lvl w:ilvl="0">
      <w:lvlJc w:val="left"/>
      <w:lvlText w:val="(%1)"/>
      <w:numFmt w:val="lowerLetter"/>
      <w:start w:val="1"/>
    </w:lvl>
    <w:lvl w:ilvl="1">
      <w:lvlJc w:val="left"/>
      <w:lvlText w:val="(%2)"/>
      <w:numFmt w:val="lowerRoman"/>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1)"/>
      <w:numFmt w:val="lowerLetter"/>
      <w:start w:val="1"/>
    </w:lvl>
  </w:abstractNum>
  <w:abstractNum w:abstractNumId="78">
    <w:nsid w:val="26F324BA"/>
    <w:multiLevelType w:val="hybridMultilevel"/>
    <w:lvl w:ilvl="0">
      <w:lvlJc w:val="left"/>
      <w:lvlText w:val="(%1)"/>
      <w:numFmt w:val="lowerLetter"/>
      <w:start w:val="3"/>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lowerLetter"/>
      <w:start w:val="1"/>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lowerLetter"/>
      <w:start w:val="3"/>
    </w:lvl>
  </w:abstractNum>
  <w:abstractNum w:abstractNumId="83">
    <w:nsid w:val="50801EE1"/>
    <w:multiLevelType w:val="hybridMultilevel"/>
    <w:lvl w:ilvl="0">
      <w:lvlJc w:val="left"/>
      <w:lvlText w:val="[**]"/>
      <w:numFmt w:val="bullet"/>
      <w:start w:val="1"/>
    </w:lvl>
    <w:lvl w:ilvl="1">
      <w:lvlJc w:val="left"/>
      <w:lvlText w:val="(%2)"/>
      <w:numFmt w:val="lowerLetter"/>
      <w:start w:val="1"/>
    </w:lvl>
  </w:abstractNum>
  <w:abstractNum w:abstractNumId="84">
    <w:nsid w:val="488AC1A"/>
    <w:multiLevelType w:val="hybridMultilevel"/>
    <w:lvl w:ilvl="0">
      <w:lvlJc w:val="left"/>
      <w:lvlText w:val="[**]"/>
      <w:numFmt w:val="bullet"/>
      <w:start w:val="1"/>
    </w:lvl>
    <w:lvl w:ilvl="1">
      <w:lvlJc w:val="left"/>
      <w:lvlText w:val="(%2)"/>
      <w:numFmt w:val="lowerLetter"/>
      <w:start w:val="1"/>
    </w:lvl>
  </w:abstractNum>
  <w:abstractNum w:abstractNumId="85">
    <w:nsid w:val="5FB8011C"/>
    <w:multiLevelType w:val="hybridMultilevel"/>
    <w:lvl w:ilvl="0">
      <w:lvlJc w:val="left"/>
      <w:lvlText w:val="[**]"/>
      <w:numFmt w:val="bullet"/>
      <w:start w:val="1"/>
    </w:lvl>
    <w:lvl w:ilvl="1">
      <w:lvlJc w:val="left"/>
      <w:lvlText w:val="(%2)"/>
      <w:numFmt w:val="lowerLetter"/>
      <w:start w:val="3"/>
    </w:lvl>
  </w:abstractNum>
  <w:abstractNum w:abstractNumId="86">
    <w:nsid w:val="6AA78F7F"/>
    <w:multiLevelType w:val="hybridMultilevel"/>
    <w:lvl w:ilvl="0">
      <w:lvlJc w:val="left"/>
      <w:lvlText w:val="(%1)"/>
      <w:numFmt w:val="lowerLetter"/>
      <w:start w:val="1"/>
    </w:lvl>
  </w:abstractNum>
  <w:abstractNum w:abstractNumId="87">
    <w:nsid w:val="7672BD23"/>
    <w:multiLevelType w:val="hybridMultilevel"/>
    <w:lvl w:ilvl="0">
      <w:lvlJc w:val="left"/>
      <w:lvlText w:val="[**]"/>
      <w:numFmt w:val="bullet"/>
      <w:start w:val="1"/>
    </w:lvl>
    <w:lvl w:ilvl="1">
      <w:lvlJc w:val="left"/>
      <w:lvlText w:val="(%2)"/>
      <w:numFmt w:val="lowerLetter"/>
      <w:start w:val="2"/>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lowerLetter"/>
      <w:start w:val="2"/>
    </w:lvl>
  </w:abstractNum>
  <w:abstractNum w:abstractNumId="90">
    <w:nsid w:val="7D5E18F8"/>
    <w:multiLevelType w:val="hybridMultilevel"/>
    <w:lvl w:ilvl="0">
      <w:lvlJc w:val="left"/>
      <w:lvlText w:val="(%1)"/>
      <w:numFmt w:val="lowerLetter"/>
      <w:start w:val="1"/>
    </w:lvl>
  </w:abstractNum>
  <w:abstractNum w:abstractNumId="91">
    <w:nsid w:val="5F3534A4"/>
    <w:multiLevelType w:val="hybridMultilevel"/>
    <w:lvl w:ilvl="0">
      <w:lvlJc w:val="left"/>
      <w:lvlText w:val="(%1)"/>
      <w:numFmt w:val="lowerLetter"/>
      <w:start w:val="2"/>
    </w:lvl>
  </w:abstractNum>
  <w:abstractNum w:abstractNumId="92">
    <w:nsid w:val="73A1821B"/>
    <w:multiLevelType w:val="hybridMultilevel"/>
    <w:lvl w:ilvl="0">
      <w:lvlJc w:val="left"/>
      <w:lvlText w:val="(%1)"/>
      <w:numFmt w:val="lowerLetter"/>
      <w:start w:val="1"/>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Roman"/>
      <w:start w:val="1"/>
    </w:lvl>
  </w:abstractNum>
  <w:abstractNum w:abstractNumId="95">
    <w:nsid w:val="3FA62ACA"/>
    <w:multiLevelType w:val="hybridMultilevel"/>
    <w:lvl w:ilvl="0">
      <w:lvlJc w:val="left"/>
      <w:lvlText w:val="(%1)"/>
      <w:numFmt w:val="lowerRoman"/>
      <w:start w:val="3"/>
    </w:lvl>
  </w:abstractNum>
  <w:abstractNum w:abstractNumId="96">
    <w:nsid w:val="14FCE74E"/>
    <w:multiLevelType w:val="hybridMultilevel"/>
    <w:lvl w:ilvl="0">
      <w:lvlJc w:val="left"/>
      <w:lvlText w:val="(%1)"/>
      <w:numFmt w:val="lowerRoman"/>
      <w:start w:val="1"/>
    </w:lvl>
  </w:abstractNum>
  <w:abstractNum w:abstractNumId="97">
    <w:nsid w:val="6A3DD3E8"/>
    <w:multiLevelType w:val="hybridMultilevel"/>
    <w:lvl w:ilvl="0">
      <w:lvlJc w:val="left"/>
      <w:lvlText w:val="(%1)"/>
      <w:numFmt w:val="lowerRoman"/>
      <w:start w:val="6"/>
    </w:lvl>
  </w:abstractNum>
  <w:abstractNum w:abstractNumId="98">
    <w:nsid w:val="71C91298"/>
    <w:multiLevelType w:val="hybridMultilevel"/>
    <w:lvl w:ilvl="0">
      <w:lvlJc w:val="left"/>
      <w:lvlText w:val="(%1)"/>
      <w:numFmt w:val="lowerRoman"/>
      <w:start w:val="1"/>
    </w:lvl>
  </w:abstractNum>
  <w:abstractNum w:abstractNumId="99">
    <w:nsid w:val="9DAF632"/>
    <w:multiLevelType w:val="hybridMultilevel"/>
    <w:lvl w:ilvl="0">
      <w:lvlJc w:val="left"/>
      <w:lvlText w:val="(%1)"/>
      <w:numFmt w:val="lowerRoman"/>
      <w:start w:val="1"/>
    </w:lvl>
  </w:abstractNum>
  <w:abstractNum w:abstractNumId="100">
    <w:nsid w:val="53299938"/>
    <w:multiLevelType w:val="hybridMultilevel"/>
    <w:lvl w:ilvl="0">
      <w:lvlJc w:val="left"/>
      <w:lvlText w:val="(%1)"/>
      <w:numFmt w:val="lowerRoman"/>
      <w:start w:val="1"/>
    </w:lvl>
    <w:lvl w:ilvl="1">
      <w:lvlJc w:val="left"/>
      <w:lvlText w:val="(%2)"/>
      <w:numFmt w:val="lowerLetter"/>
      <w:start w:val="2"/>
    </w:lvl>
  </w:abstractNum>
  <w:abstractNum w:abstractNumId="101">
    <w:nsid w:val="1FBFE8E0"/>
    <w:multiLevelType w:val="hybridMultilevel"/>
    <w:lvl w:ilvl="0">
      <w:lvlJc w:val="left"/>
      <w:lvlText w:val="%1"/>
      <w:numFmt w:val="lowerRoman"/>
      <w:start w:val="1"/>
    </w:lvl>
    <w:lvl w:ilvl="1">
      <w:lvlJc w:val="left"/>
      <w:lvlText w:val="(%2)"/>
      <w:numFmt w:val="lowerLetter"/>
      <w:start w:val="1"/>
    </w:lvl>
  </w:abstractNum>
  <w:abstractNum w:abstractNumId="102">
    <w:nsid w:val="5092CA79"/>
    <w:multiLevelType w:val="hybridMultilevel"/>
    <w:lvl w:ilvl="0">
      <w:lvlJc w:val="left"/>
      <w:lvlText w:val="(%1)"/>
      <w:numFmt w:val="lowerRoman"/>
      <w:start w:val="1"/>
    </w:lvl>
  </w:abstractNum>
  <w:abstractNum w:abstractNumId="103">
    <w:nsid w:val="1D545C4D"/>
    <w:multiLevelType w:val="hybridMultilevel"/>
    <w:lvl w:ilvl="0">
      <w:lvlJc w:val="left"/>
      <w:lvlText w:val="(%1)"/>
      <w:numFmt w:val="lowerRoman"/>
      <w:start w:val="3"/>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4" Type="http://schemas.openxmlformats.org/officeDocument/2006/relationships/hyperlink" Target="http://www.sec.gov/Archives/edgar/data/1410939/000119312513360785/d560505dex33.htm" TargetMode="External"/><Relationship Id="rId15" Type="http://schemas.openxmlformats.org/officeDocument/2006/relationships/hyperlink" Target="http://www.sec.gov/Archives/edgar/data/1410939/000141093919000021/opht-charteramendmentnamec.htm" TargetMode="External"/><Relationship Id="rId16" Type="http://schemas.openxmlformats.org/officeDocument/2006/relationships/hyperlink" Target="http://www.sec.gov/Archives/edgar/data/1410939/000119312513360785/d560505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2019-12-28T09:28:04Z</dcterms:created>
  <dcterms:modified xsi:type="dcterms:W3CDTF">2019-12-28T09:28:04Z</dcterms:modified>
</cp:coreProperties>
</file>