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99"/>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90805</wp:posOffset>
            </wp:positionV>
            <wp:extent cx="1311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1275" cy="17145"/>
                    </a:xfrm>
                    <a:prstGeom prst="rect">
                      <a:avLst/>
                    </a:prstGeom>
                    <a:noFill/>
                  </pic:spPr>
                </pic:pic>
              </a:graphicData>
            </a:graphic>
          </wp:anchor>
        </w:drawing>
      </w:r>
    </w:p>
    <w:p>
      <w:pPr>
        <w:spacing w:after="0" w:line="35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10-Q</w:t>
      </w:r>
    </w:p>
    <w:p>
      <w:pPr>
        <w:sectPr>
          <w:pgSz w:w="11900" w:h="16838" w:orient="portrait"/>
          <w:cols w:equalWidth="0" w:num="1">
            <w:col w:w="11160"/>
          </w:cols>
          <w:pgMar w:left="320" w:top="233" w:right="419" w:bottom="1440" w:gutter="0" w:footer="0" w:header="0"/>
        </w:sectPr>
      </w:pPr>
    </w:p>
    <w:p>
      <w:pPr>
        <w:spacing w:after="0" w:line="172" w:lineRule="exact"/>
        <w:rPr>
          <w:sz w:val="24"/>
          <w:szCs w:val="24"/>
          <w:color w:val="auto"/>
        </w:rPr>
      </w:pPr>
    </w:p>
    <w:p>
      <w:pPr>
        <w:jc w:val="center"/>
        <w:ind w:left="1300"/>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jc w:val="center"/>
        <w:ind w:left="130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60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ind w:left="1740" w:right="1420" w:hanging="1743"/>
        <w:spacing w:after="0" w:line="379" w:lineRule="auto"/>
        <w:rPr>
          <w:sz w:val="20"/>
          <w:szCs w:val="20"/>
          <w:color w:val="auto"/>
        </w:rPr>
      </w:pPr>
      <w:r>
        <w:rPr>
          <w:rFonts w:ascii="Arial" w:cs="Arial" w:eastAsia="Arial" w:hAnsi="Arial"/>
          <w:sz w:val="14"/>
          <w:szCs w:val="14"/>
          <w:b w:val="1"/>
          <w:bCs w:val="1"/>
          <w:color w:val="auto"/>
        </w:rPr>
        <w:t>QUARTERLY REPORT PURSUANT TO SECTION 13 OR 15(d) OF THE SECURITIES EXCHANGE ACT OF 1934 For the quarterly period ended March 31, 2020</w:t>
      </w:r>
    </w:p>
    <w:p>
      <w:pPr>
        <w:spacing w:after="0" w:line="72" w:lineRule="exact"/>
        <w:rPr>
          <w:sz w:val="24"/>
          <w:szCs w:val="24"/>
          <w:color w:val="auto"/>
        </w:rPr>
      </w:pPr>
    </w:p>
    <w:p>
      <w:pPr>
        <w:ind w:left="3100"/>
        <w:spacing w:after="0"/>
        <w:rPr>
          <w:sz w:val="20"/>
          <w:szCs w:val="20"/>
          <w:color w:val="auto"/>
        </w:rPr>
      </w:pPr>
      <w:r>
        <w:rPr>
          <w:rFonts w:ascii="Arial" w:cs="Arial" w:eastAsia="Arial" w:hAnsi="Arial"/>
          <w:sz w:val="14"/>
          <w:szCs w:val="14"/>
          <w:b w:val="1"/>
          <w:bCs w:val="1"/>
          <w:color w:val="auto"/>
        </w:rPr>
        <w:t>Or</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09" w:lineRule="exact"/>
        <w:rPr>
          <w:sz w:val="24"/>
          <w:szCs w:val="24"/>
          <w:color w:val="auto"/>
        </w:rPr>
      </w:pPr>
    </w:p>
    <w:p>
      <w:pPr>
        <w:ind w:left="1820"/>
        <w:spacing w:after="0"/>
        <w:tabs>
          <w:tab w:leader="none" w:pos="40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77" w:lineRule="exact"/>
        <w:rPr>
          <w:sz w:val="24"/>
          <w:szCs w:val="24"/>
          <w:color w:val="auto"/>
        </w:rPr>
      </w:pPr>
    </w:p>
    <w:p>
      <w:pPr>
        <w:ind w:left="2080"/>
        <w:spacing w:after="0"/>
        <w:rPr>
          <w:sz w:val="20"/>
          <w:szCs w:val="20"/>
          <w:color w:val="auto"/>
        </w:rPr>
      </w:pPr>
      <w:r>
        <w:rPr>
          <w:rFonts w:ascii="Arial" w:cs="Arial" w:eastAsia="Arial" w:hAnsi="Arial"/>
          <w:sz w:val="14"/>
          <w:szCs w:val="14"/>
          <w:b w:val="1"/>
          <w:bCs w:val="1"/>
          <w:color w:val="auto"/>
        </w:rPr>
        <w:t>Commission file number: 001-36080</w:t>
      </w:r>
    </w:p>
    <w:p>
      <w:pPr>
        <w:spacing w:after="0" w:line="100" w:lineRule="exact"/>
        <w:rPr>
          <w:sz w:val="24"/>
          <w:szCs w:val="24"/>
          <w:color w:val="auto"/>
        </w:rPr>
      </w:pPr>
    </w:p>
    <w:p>
      <w:pPr>
        <w:jc w:val="center"/>
        <w:ind w:right="2340"/>
        <w:spacing w:after="0"/>
        <w:rPr>
          <w:sz w:val="20"/>
          <w:szCs w:val="20"/>
          <w:color w:val="auto"/>
        </w:rPr>
      </w:pPr>
      <w:r>
        <w:rPr>
          <w:rFonts w:ascii="Arial" w:cs="Arial" w:eastAsia="Arial" w:hAnsi="Arial"/>
          <w:sz w:val="29"/>
          <w:szCs w:val="29"/>
          <w:b w:val="1"/>
          <w:bCs w:val="1"/>
          <w:color w:val="auto"/>
        </w:rPr>
        <w:t>IVERIC bio, Inc.</w:t>
      </w:r>
    </w:p>
    <w:p>
      <w:pPr>
        <w:spacing w:after="0" w:line="44" w:lineRule="exact"/>
        <w:rPr>
          <w:sz w:val="24"/>
          <w:szCs w:val="24"/>
          <w:color w:val="auto"/>
        </w:rPr>
      </w:pPr>
    </w:p>
    <w:p>
      <w:pPr>
        <w:ind w:left="1700"/>
        <w:spacing w:after="0"/>
        <w:rPr>
          <w:sz w:val="20"/>
          <w:szCs w:val="20"/>
          <w:color w:val="auto"/>
        </w:rPr>
      </w:pPr>
      <w:r>
        <w:rPr>
          <w:rFonts w:ascii="Arial" w:cs="Arial" w:eastAsia="Arial" w:hAnsi="Arial"/>
          <w:sz w:val="14"/>
          <w:szCs w:val="14"/>
          <w:color w:val="auto"/>
        </w:rPr>
        <w:t>(Exact name of registrant as specified in its charter)</w:t>
      </w:r>
    </w:p>
    <w:p>
      <w:pPr>
        <w:spacing w:after="0" w:line="200" w:lineRule="exact"/>
        <w:rPr>
          <w:sz w:val="24"/>
          <w:szCs w:val="24"/>
          <w:color w:val="auto"/>
        </w:rPr>
      </w:pPr>
    </w:p>
    <w:p>
      <w:pPr>
        <w:sectPr>
          <w:pgSz w:w="11900" w:h="16838" w:orient="portrait"/>
          <w:cols w:equalWidth="0" w:num="2">
            <w:col w:w="2040" w:space="400"/>
            <w:col w:w="8720"/>
          </w:cols>
          <w:pgMar w:left="320" w:top="233" w:right="419" w:bottom="1440" w:gutter="0" w:footer="0" w:header="0"/>
          <w:type w:val="continuous"/>
        </w:sectPr>
      </w:pPr>
    </w:p>
    <w:p>
      <w:pPr>
        <w:spacing w:after="0" w:line="108" w:lineRule="exact"/>
        <w:rPr>
          <w:sz w:val="24"/>
          <w:szCs w:val="24"/>
          <w:color w:val="auto"/>
        </w:rPr>
      </w:pPr>
    </w:p>
    <w:tbl>
      <w:tblPr>
        <w:tblLayout w:type="fixed"/>
        <w:tblInd w:w="1040" w:type="dxa"/>
        <w:tblCellMar>
          <w:top w:w="0" w:type="dxa"/>
          <w:left w:w="0" w:type="dxa"/>
          <w:bottom w:w="0" w:type="dxa"/>
          <w:right w:w="0" w:type="dxa"/>
        </w:tblCellMar>
      </w:tblPr>
      <w:tr>
        <w:trPr>
          <w:trHeight w:val="186"/>
        </w:trPr>
        <w:tc>
          <w:tcPr>
            <w:tcW w:w="1680" w:type="dxa"/>
            <w:vAlign w:val="bottom"/>
          </w:tcPr>
          <w:p>
            <w:pPr>
              <w:spacing w:after="0"/>
              <w:rPr>
                <w:sz w:val="16"/>
                <w:szCs w:val="16"/>
                <w:color w:val="auto"/>
              </w:rPr>
            </w:pPr>
          </w:p>
        </w:tc>
        <w:tc>
          <w:tcPr>
            <w:tcW w:w="3520" w:type="dxa"/>
            <w:vAlign w:val="bottom"/>
            <w:gridSpan w:val="2"/>
          </w:tcPr>
          <w:p>
            <w:pPr>
              <w:jc w:val="center"/>
              <w:ind w:right="1748"/>
              <w:spacing w:after="0"/>
              <w:rPr>
                <w:sz w:val="20"/>
                <w:szCs w:val="20"/>
                <w:color w:val="auto"/>
              </w:rPr>
            </w:pPr>
            <w:r>
              <w:rPr>
                <w:rFonts w:ascii="Arial" w:cs="Arial" w:eastAsia="Arial" w:hAnsi="Arial"/>
                <w:sz w:val="14"/>
                <w:szCs w:val="14"/>
                <w:b w:val="1"/>
                <w:bCs w:val="1"/>
                <w:color w:val="auto"/>
                <w:w w:val="94"/>
              </w:rPr>
              <w:t>Delaware</w:t>
            </w:r>
          </w:p>
        </w:tc>
        <w:tc>
          <w:tcPr>
            <w:tcW w:w="282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20-8185347</w:t>
            </w:r>
          </w:p>
        </w:tc>
      </w:tr>
      <w:tr>
        <w:trPr>
          <w:trHeight w:val="270"/>
        </w:trPr>
        <w:tc>
          <w:tcPr>
            <w:tcW w:w="5200" w:type="dxa"/>
            <w:vAlign w:val="bottom"/>
            <w:gridSpan w:val="3"/>
          </w:tcPr>
          <w:p>
            <w:pPr>
              <w:jc w:val="center"/>
              <w:ind w:right="4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820" w:type="dxa"/>
            <w:vAlign w:val="bottom"/>
            <w:gridSpan w:val="2"/>
          </w:tcPr>
          <w:p>
            <w:pPr>
              <w:jc w:val="center"/>
              <w:ind w:right="20"/>
              <w:spacing w:after="0"/>
              <w:rPr>
                <w:sz w:val="20"/>
                <w:szCs w:val="20"/>
                <w:color w:val="auto"/>
              </w:rPr>
            </w:pPr>
            <w:r>
              <w:rPr>
                <w:rFonts w:ascii="Arial" w:cs="Arial" w:eastAsia="Arial" w:hAnsi="Arial"/>
                <w:sz w:val="14"/>
                <w:szCs w:val="14"/>
                <w:color w:val="auto"/>
                <w:w w:val="96"/>
              </w:rPr>
              <w:t>(I.R.S. Employer Identification No.)</w:t>
            </w:r>
          </w:p>
        </w:tc>
      </w:tr>
      <w:tr>
        <w:trPr>
          <w:trHeight w:val="324"/>
        </w:trPr>
        <w:tc>
          <w:tcPr>
            <w:tcW w:w="5200" w:type="dxa"/>
            <w:vAlign w:val="bottom"/>
            <w:gridSpan w:val="3"/>
          </w:tcPr>
          <w:p>
            <w:pPr>
              <w:ind w:left="1500"/>
              <w:spacing w:after="0"/>
              <w:rPr>
                <w:sz w:val="20"/>
                <w:szCs w:val="20"/>
                <w:color w:val="auto"/>
              </w:rPr>
            </w:pPr>
            <w:r>
              <w:rPr>
                <w:rFonts w:ascii="Arial" w:cs="Arial" w:eastAsia="Arial" w:hAnsi="Arial"/>
                <w:sz w:val="14"/>
                <w:szCs w:val="14"/>
                <w:b w:val="1"/>
                <w:bCs w:val="1"/>
                <w:color w:val="auto"/>
              </w:rPr>
              <w:t>One Penn Plaza, 35th Floor</w:t>
            </w:r>
          </w:p>
        </w:tc>
        <w:tc>
          <w:tcPr>
            <w:tcW w:w="282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rPr>
              <w:t>10119</w:t>
            </w:r>
          </w:p>
        </w:tc>
      </w:tr>
      <w:tr>
        <w:trPr>
          <w:trHeight w:val="270"/>
        </w:trPr>
        <w:tc>
          <w:tcPr>
            <w:tcW w:w="1680" w:type="dxa"/>
            <w:vAlign w:val="bottom"/>
          </w:tcPr>
          <w:p>
            <w:pPr>
              <w:spacing w:after="0"/>
              <w:rPr>
                <w:sz w:val="23"/>
                <w:szCs w:val="23"/>
                <w:color w:val="auto"/>
              </w:rPr>
            </w:pPr>
          </w:p>
        </w:tc>
        <w:tc>
          <w:tcPr>
            <w:tcW w:w="3520" w:type="dxa"/>
            <w:vAlign w:val="bottom"/>
            <w:gridSpan w:val="2"/>
          </w:tcPr>
          <w:p>
            <w:pPr>
              <w:ind w:left="180"/>
              <w:spacing w:after="0"/>
              <w:rPr>
                <w:sz w:val="20"/>
                <w:szCs w:val="20"/>
                <w:color w:val="auto"/>
              </w:rPr>
            </w:pPr>
            <w:r>
              <w:rPr>
                <w:rFonts w:ascii="Arial" w:cs="Arial" w:eastAsia="Arial" w:hAnsi="Arial"/>
                <w:sz w:val="14"/>
                <w:szCs w:val="14"/>
                <w:b w:val="1"/>
                <w:bCs w:val="1"/>
                <w:color w:val="auto"/>
              </w:rPr>
              <w:t>New York, NY</w:t>
            </w:r>
          </w:p>
        </w:tc>
        <w:tc>
          <w:tcPr>
            <w:tcW w:w="2820" w:type="dxa"/>
            <w:vAlign w:val="bottom"/>
            <w:gridSpan w:val="2"/>
          </w:tcPr>
          <w:p>
            <w:pPr>
              <w:jc w:val="center"/>
              <w:ind w:right="20"/>
              <w:spacing w:after="0"/>
              <w:rPr>
                <w:sz w:val="20"/>
                <w:szCs w:val="20"/>
                <w:color w:val="auto"/>
              </w:rPr>
            </w:pPr>
            <w:r>
              <w:rPr>
                <w:rFonts w:ascii="Arial" w:cs="Arial" w:eastAsia="Arial" w:hAnsi="Arial"/>
                <w:sz w:val="14"/>
                <w:szCs w:val="14"/>
                <w:color w:val="auto"/>
                <w:w w:val="96"/>
              </w:rPr>
              <w:t>(Zip Code)</w:t>
            </w:r>
          </w:p>
        </w:tc>
      </w:tr>
      <w:tr>
        <w:trPr>
          <w:trHeight w:val="270"/>
        </w:trPr>
        <w:tc>
          <w:tcPr>
            <w:tcW w:w="5200" w:type="dxa"/>
            <w:vAlign w:val="bottom"/>
            <w:gridSpan w:val="3"/>
          </w:tcPr>
          <w:p>
            <w:pPr>
              <w:jc w:val="center"/>
              <w:ind w:right="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09"/>
        </w:trPr>
        <w:tc>
          <w:tcPr>
            <w:tcW w:w="1680" w:type="dxa"/>
            <w:vAlign w:val="bottom"/>
          </w:tcPr>
          <w:p>
            <w:pPr>
              <w:spacing w:after="0"/>
              <w:rPr>
                <w:sz w:val="18"/>
                <w:szCs w:val="18"/>
                <w:color w:val="auto"/>
              </w:rPr>
            </w:pPr>
          </w:p>
        </w:tc>
        <w:tc>
          <w:tcPr>
            <w:tcW w:w="3520" w:type="dxa"/>
            <w:vAlign w:val="bottom"/>
            <w:gridSpan w:val="2"/>
          </w:tcPr>
          <w:p>
            <w:pPr>
              <w:jc w:val="center"/>
              <w:ind w:left="2228"/>
              <w:spacing w:after="0"/>
              <w:rPr>
                <w:sz w:val="20"/>
                <w:szCs w:val="20"/>
                <w:color w:val="auto"/>
              </w:rPr>
            </w:pPr>
            <w:r>
              <w:rPr>
                <w:rFonts w:ascii="Arial" w:cs="Arial" w:eastAsia="Arial" w:hAnsi="Arial"/>
                <w:sz w:val="14"/>
                <w:szCs w:val="14"/>
                <w:b w:val="1"/>
                <w:bCs w:val="1"/>
                <w:color w:val="auto"/>
                <w:w w:val="93"/>
              </w:rPr>
              <w:t>(212) 845-8200</w:t>
            </w: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82"/>
        </w:trPr>
        <w:tc>
          <w:tcPr>
            <w:tcW w:w="1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520" w:type="dxa"/>
            <w:vAlign w:val="bottom"/>
            <w:gridSpan w:val="3"/>
          </w:tcPr>
          <w:p>
            <w:pPr>
              <w:jc w:val="center"/>
              <w:ind w:right="1360"/>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316"/>
        </w:trPr>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80" w:type="dxa"/>
            <w:vAlign w:val="bottom"/>
            <w:tcBorders>
              <w:bottom w:val="single" w:sz="8" w:color="auto"/>
            </w:tcBorders>
            <w:gridSpan w:val="2"/>
          </w:tcPr>
          <w:p>
            <w:pPr>
              <w:spacing w:after="0"/>
              <w:rPr>
                <w:sz w:val="24"/>
                <w:szCs w:val="24"/>
                <w:color w:val="auto"/>
              </w:rPr>
            </w:pPr>
          </w:p>
        </w:tc>
        <w:tc>
          <w:tcPr>
            <w:tcW w:w="1340" w:type="dxa"/>
            <w:vAlign w:val="bottom"/>
          </w:tcPr>
          <w:p>
            <w:pPr>
              <w:spacing w:after="0"/>
              <w:rPr>
                <w:sz w:val="24"/>
                <w:szCs w:val="24"/>
                <w:color w:val="auto"/>
              </w:rPr>
            </w:pPr>
          </w:p>
        </w:tc>
      </w:tr>
      <w:tr>
        <w:trPr>
          <w:trHeight w:val="474"/>
        </w:trPr>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520" w:type="dxa"/>
            <w:vAlign w:val="bottom"/>
            <w:gridSpan w:val="3"/>
          </w:tcPr>
          <w:p>
            <w:pPr>
              <w:jc w:val="center"/>
              <w:ind w:right="1360"/>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351"/>
        </w:trPr>
        <w:tc>
          <w:tcPr>
            <w:tcW w:w="1680" w:type="dxa"/>
            <w:vAlign w:val="bottom"/>
          </w:tcPr>
          <w:p>
            <w:pPr>
              <w:jc w:val="center"/>
              <w:ind w:left="168"/>
              <w:spacing w:after="0"/>
              <w:rPr>
                <w:sz w:val="20"/>
                <w:szCs w:val="20"/>
                <w:color w:val="auto"/>
              </w:rPr>
            </w:pPr>
            <w:r>
              <w:rPr>
                <w:rFonts w:ascii="Arial" w:cs="Arial" w:eastAsia="Arial" w:hAnsi="Arial"/>
                <w:sz w:val="14"/>
                <w:szCs w:val="14"/>
                <w:b w:val="1"/>
                <w:bCs w:val="1"/>
                <w:color w:val="auto"/>
                <w:w w:val="89"/>
              </w:rPr>
              <w:t>Title of each class</w:t>
            </w:r>
          </w:p>
        </w:tc>
        <w:tc>
          <w:tcPr>
            <w:tcW w:w="3520" w:type="dxa"/>
            <w:vAlign w:val="bottom"/>
            <w:gridSpan w:val="2"/>
          </w:tcPr>
          <w:p>
            <w:pPr>
              <w:jc w:val="center"/>
              <w:ind w:right="688"/>
              <w:spacing w:after="0"/>
              <w:rPr>
                <w:sz w:val="20"/>
                <w:szCs w:val="20"/>
                <w:color w:val="auto"/>
              </w:rPr>
            </w:pPr>
            <w:r>
              <w:rPr>
                <w:rFonts w:ascii="Arial" w:cs="Arial" w:eastAsia="Arial" w:hAnsi="Arial"/>
                <w:sz w:val="14"/>
                <w:szCs w:val="14"/>
                <w:b w:val="1"/>
                <w:bCs w:val="1"/>
                <w:color w:val="auto"/>
                <w:w w:val="94"/>
              </w:rPr>
              <w:t>Trading Symbol(s)</w:t>
            </w:r>
          </w:p>
        </w:tc>
        <w:tc>
          <w:tcPr>
            <w:tcW w:w="282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69"/>
        </w:trPr>
        <w:tc>
          <w:tcPr>
            <w:tcW w:w="5200" w:type="dxa"/>
            <w:vAlign w:val="bottom"/>
            <w:gridSpan w:val="3"/>
          </w:tcPr>
          <w:p>
            <w:pPr>
              <w:jc w:val="center"/>
              <w:ind w:right="3208"/>
              <w:spacing w:after="0"/>
              <w:rPr>
                <w:sz w:val="20"/>
                <w:szCs w:val="20"/>
                <w:color w:val="auto"/>
              </w:rPr>
            </w:pPr>
            <w:r>
              <w:rPr>
                <w:rFonts w:ascii="Arial" w:cs="Arial" w:eastAsia="Arial" w:hAnsi="Arial"/>
                <w:sz w:val="14"/>
                <w:szCs w:val="14"/>
                <w:color w:val="auto"/>
                <w:w w:val="92"/>
              </w:rPr>
              <w:t>Common Stock, $0.001 par value</w:t>
            </w: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82"/>
        </w:trPr>
        <w:tc>
          <w:tcPr>
            <w:tcW w:w="1680" w:type="dxa"/>
            <w:vAlign w:val="bottom"/>
          </w:tcPr>
          <w:p>
            <w:pPr>
              <w:jc w:val="center"/>
              <w:ind w:left="168"/>
              <w:spacing w:after="0"/>
              <w:rPr>
                <w:sz w:val="20"/>
                <w:szCs w:val="20"/>
                <w:color w:val="auto"/>
              </w:rPr>
            </w:pPr>
            <w:r>
              <w:rPr>
                <w:rFonts w:ascii="Arial" w:cs="Arial" w:eastAsia="Arial" w:hAnsi="Arial"/>
                <w:sz w:val="14"/>
                <w:szCs w:val="14"/>
                <w:color w:val="auto"/>
                <w:w w:val="87"/>
              </w:rPr>
              <w:t>per share</w:t>
            </w:r>
          </w:p>
        </w:tc>
        <w:tc>
          <w:tcPr>
            <w:tcW w:w="820" w:type="dxa"/>
            <w:vAlign w:val="bottom"/>
          </w:tcPr>
          <w:p>
            <w:pPr>
              <w:spacing w:after="0"/>
              <w:rPr>
                <w:sz w:val="15"/>
                <w:szCs w:val="15"/>
                <w:color w:val="auto"/>
              </w:rPr>
            </w:pPr>
          </w:p>
        </w:tc>
        <w:tc>
          <w:tcPr>
            <w:tcW w:w="2700" w:type="dxa"/>
            <w:vAlign w:val="bottom"/>
          </w:tcPr>
          <w:p>
            <w:pPr>
              <w:jc w:val="center"/>
              <w:ind w:right="1508"/>
              <w:spacing w:after="0"/>
              <w:rPr>
                <w:sz w:val="20"/>
                <w:szCs w:val="20"/>
                <w:color w:val="auto"/>
              </w:rPr>
            </w:pPr>
            <w:r>
              <w:rPr>
                <w:rFonts w:ascii="Arial" w:cs="Arial" w:eastAsia="Arial" w:hAnsi="Arial"/>
                <w:sz w:val="14"/>
                <w:szCs w:val="14"/>
                <w:color w:val="auto"/>
              </w:rPr>
              <w:t>ISEE</w:t>
            </w:r>
          </w:p>
        </w:tc>
        <w:tc>
          <w:tcPr>
            <w:tcW w:w="28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The Nasdaq Global Select Market</w:t>
            </w:r>
          </w:p>
        </w:tc>
      </w:tr>
    </w:tbl>
    <w:p>
      <w:pPr>
        <w:spacing w:after="0" w:line="263" w:lineRule="exact"/>
        <w:rPr>
          <w:sz w:val="24"/>
          <w:szCs w:val="24"/>
          <w:color w:val="auto"/>
        </w:rPr>
      </w:pPr>
    </w:p>
    <w:p>
      <w:pPr>
        <w:ind w:right="14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34"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34" w:lineRule="exact"/>
        <w:rPr>
          <w:sz w:val="24"/>
          <w:szCs w:val="24"/>
          <w:color w:val="auto"/>
        </w:rPr>
      </w:pPr>
    </w:p>
    <w:p>
      <w:pPr>
        <w:ind w:right="36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p>
      <w:pPr>
        <w:ind w:left="720"/>
        <w:spacing w:after="0" w:line="161" w:lineRule="exact"/>
        <w:tabs>
          <w:tab w:leader="none" w:pos="3280" w:val="left"/>
          <w:tab w:leader="none" w:pos="5280" w:val="left"/>
          <w:tab w:leader="none" w:pos="7140" w:val="left"/>
          <w:tab w:leader="none" w:pos="938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90" w:lineRule="exact"/>
        <w:rPr>
          <w:sz w:val="24"/>
          <w:szCs w:val="24"/>
          <w:color w:val="auto"/>
        </w:rPr>
      </w:pPr>
    </w:p>
    <w:p>
      <w:pPr>
        <w:ind w:right="4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2" w:lineRule="exact"/>
        <w:rPr>
          <w:sz w:val="24"/>
          <w:szCs w:val="24"/>
          <w:color w:val="auto"/>
        </w:rPr>
      </w:pPr>
    </w:p>
    <w:p>
      <w:pPr>
        <w:spacing w:after="0" w:line="150" w:lineRule="exact"/>
        <w:tabs>
          <w:tab w:leader="none" w:pos="708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310" w:lineRule="exact"/>
        <w:rPr>
          <w:sz w:val="24"/>
          <w:szCs w:val="24"/>
          <w:color w:val="auto"/>
        </w:rPr>
      </w:pPr>
    </w:p>
    <w:p>
      <w:pPr>
        <w:spacing w:after="0"/>
        <w:rPr>
          <w:sz w:val="20"/>
          <w:szCs w:val="20"/>
          <w:color w:val="auto"/>
        </w:rPr>
      </w:pPr>
      <w:r>
        <w:rPr>
          <w:rFonts w:ascii="Arial" w:cs="Arial" w:eastAsia="Arial" w:hAnsi="Arial"/>
          <w:sz w:val="14"/>
          <w:szCs w:val="14"/>
          <w:color w:val="auto"/>
        </w:rPr>
        <w:t>As of April 30, 2020 there were 50,255,898 shares of Common Stock, $0.001 par value per share, outstanding.</w:t>
      </w:r>
    </w:p>
    <w:p>
      <w:pPr>
        <w:sectPr>
          <w:pgSz w:w="11900" w:h="16838" w:orient="portrait"/>
          <w:cols w:equalWidth="0" w:num="1">
            <w:col w:w="11160"/>
          </w:cols>
          <w:pgMar w:left="320" w:top="233"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8400" w:type="dxa"/>
            <w:vAlign w:val="bottom"/>
          </w:tcPr>
          <w:p>
            <w:pPr>
              <w:jc w:val="center"/>
              <w:ind w:left="550"/>
              <w:spacing w:after="0"/>
              <w:rPr>
                <w:sz w:val="20"/>
                <w:szCs w:val="20"/>
                <w:color w:val="auto"/>
              </w:rPr>
            </w:pPr>
            <w:r>
              <w:rPr>
                <w:rFonts w:ascii="Arial" w:cs="Arial" w:eastAsia="Arial" w:hAnsi="Arial"/>
                <w:sz w:val="18"/>
                <w:szCs w:val="18"/>
                <w:b w:val="1"/>
                <w:bCs w:val="1"/>
                <w:color w:val="auto"/>
                <w:w w:val="98"/>
              </w:rPr>
              <w:t>TABLE OF CONTENTS</w:t>
            </w:r>
          </w:p>
        </w:tc>
        <w:tc>
          <w:tcPr>
            <w:tcW w:w="1720" w:type="dxa"/>
            <w:vAlign w:val="bottom"/>
          </w:tcPr>
          <w:p>
            <w:pPr>
              <w:spacing w:after="0"/>
              <w:rPr>
                <w:sz w:val="20"/>
                <w:szCs w:val="20"/>
                <w:color w:val="auto"/>
              </w:rPr>
            </w:pPr>
          </w:p>
        </w:tc>
      </w:tr>
      <w:tr>
        <w:trPr>
          <w:trHeight w:val="729"/>
        </w:trPr>
        <w:tc>
          <w:tcPr>
            <w:tcW w:w="1060" w:type="dxa"/>
            <w:vAlign w:val="bottom"/>
          </w:tcPr>
          <w:p>
            <w:pPr>
              <w:spacing w:after="0"/>
              <w:rPr>
                <w:sz w:val="24"/>
                <w:szCs w:val="24"/>
                <w:color w:val="auto"/>
              </w:rPr>
            </w:pPr>
          </w:p>
        </w:tc>
        <w:tc>
          <w:tcPr>
            <w:tcW w:w="8400" w:type="dxa"/>
            <w:vAlign w:val="bottom"/>
          </w:tcPr>
          <w:p>
            <w:pPr>
              <w:jc w:val="center"/>
              <w:ind w:left="55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I—FINANCIAL INFORMATION</w:t>
              </w:r>
            </w:hyperlink>
          </w:p>
        </w:tc>
        <w:tc>
          <w:tcPr>
            <w:tcW w:w="1720" w:type="dxa"/>
            <w:vAlign w:val="bottom"/>
          </w:tcPr>
          <w:p>
            <w:pPr>
              <w:spacing w:after="0"/>
              <w:rPr>
                <w:sz w:val="24"/>
                <w:szCs w:val="24"/>
                <w:color w:val="auto"/>
              </w:rPr>
            </w:pPr>
          </w:p>
        </w:tc>
      </w:tr>
      <w:tr>
        <w:trPr>
          <w:trHeight w:val="270"/>
        </w:trPr>
        <w:tc>
          <w:tcPr>
            <w:tcW w:w="106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w:t>
              </w:r>
            </w:hyperlink>
          </w:p>
        </w:tc>
        <w:tc>
          <w:tcPr>
            <w:tcW w:w="8400" w:type="dxa"/>
            <w:vAlign w:val="bottom"/>
          </w:tcPr>
          <w:p>
            <w:pPr>
              <w:ind w:left="4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w:t>
              </w:r>
            </w:hyperlink>
          </w:p>
        </w:tc>
        <w:tc>
          <w:tcPr>
            <w:tcW w:w="172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270"/>
        </w:trPr>
        <w:tc>
          <w:tcPr>
            <w:tcW w:w="1060" w:type="dxa"/>
            <w:vAlign w:val="bottom"/>
          </w:tcPr>
          <w:p>
            <w:pPr>
              <w:spacing w:after="0"/>
              <w:rPr>
                <w:sz w:val="23"/>
                <w:szCs w:val="23"/>
                <w:color w:val="auto"/>
              </w:rPr>
            </w:pPr>
          </w:p>
        </w:tc>
        <w:tc>
          <w:tcPr>
            <w:tcW w:w="8400" w:type="dxa"/>
            <w:vAlign w:val="bottom"/>
          </w:tcPr>
          <w:p>
            <w:pPr>
              <w:ind w:left="5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Consolidated Balance Sheets</w:t>
              </w:r>
            </w:hyperlink>
          </w:p>
        </w:tc>
        <w:tc>
          <w:tcPr>
            <w:tcW w:w="172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270"/>
        </w:trPr>
        <w:tc>
          <w:tcPr>
            <w:tcW w:w="1060" w:type="dxa"/>
            <w:vAlign w:val="bottom"/>
          </w:tcPr>
          <w:p>
            <w:pPr>
              <w:spacing w:after="0"/>
              <w:rPr>
                <w:sz w:val="23"/>
                <w:szCs w:val="23"/>
                <w:color w:val="auto"/>
              </w:rPr>
            </w:pPr>
          </w:p>
        </w:tc>
        <w:tc>
          <w:tcPr>
            <w:tcW w:w="8400" w:type="dxa"/>
            <w:vAlign w:val="bottom"/>
          </w:tcPr>
          <w:p>
            <w:pPr>
              <w:ind w:left="5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Consolidated Statements of Operations and Comprehensive Loss</w:t>
              </w:r>
            </w:hyperlink>
          </w:p>
        </w:tc>
        <w:tc>
          <w:tcPr>
            <w:tcW w:w="172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tc>
      </w:tr>
      <w:tr>
        <w:trPr>
          <w:trHeight w:val="270"/>
        </w:trPr>
        <w:tc>
          <w:tcPr>
            <w:tcW w:w="1060" w:type="dxa"/>
            <w:vAlign w:val="bottom"/>
          </w:tcPr>
          <w:p>
            <w:pPr>
              <w:spacing w:after="0"/>
              <w:rPr>
                <w:sz w:val="23"/>
                <w:szCs w:val="23"/>
                <w:color w:val="auto"/>
              </w:rPr>
            </w:pPr>
          </w:p>
        </w:tc>
        <w:tc>
          <w:tcPr>
            <w:tcW w:w="8400" w:type="dxa"/>
            <w:vAlign w:val="bottom"/>
          </w:tcPr>
          <w:p>
            <w:pPr>
              <w:ind w:left="5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Consolidated Statements of Stockholders' Equity</w:t>
              </w:r>
            </w:hyperlink>
          </w:p>
        </w:tc>
        <w:tc>
          <w:tcPr>
            <w:tcW w:w="172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270"/>
        </w:trPr>
        <w:tc>
          <w:tcPr>
            <w:tcW w:w="1060" w:type="dxa"/>
            <w:vAlign w:val="bottom"/>
          </w:tcPr>
          <w:p>
            <w:pPr>
              <w:spacing w:after="0"/>
              <w:rPr>
                <w:sz w:val="23"/>
                <w:szCs w:val="23"/>
                <w:color w:val="auto"/>
              </w:rPr>
            </w:pPr>
          </w:p>
        </w:tc>
        <w:tc>
          <w:tcPr>
            <w:tcW w:w="8400" w:type="dxa"/>
            <w:vAlign w:val="bottom"/>
          </w:tcPr>
          <w:p>
            <w:pPr>
              <w:ind w:left="5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Unaudited Consolidated Statements of Cash Flows</w:t>
              </w:r>
            </w:hyperlink>
          </w:p>
        </w:tc>
        <w:tc>
          <w:tcPr>
            <w:tcW w:w="172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6</w:t>
              </w:r>
            </w:hyperlink>
          </w:p>
        </w:tc>
      </w:tr>
      <w:tr>
        <w:trPr>
          <w:trHeight w:val="270"/>
        </w:trPr>
        <w:tc>
          <w:tcPr>
            <w:tcW w:w="1060" w:type="dxa"/>
            <w:vAlign w:val="bottom"/>
          </w:tcPr>
          <w:p>
            <w:pPr>
              <w:spacing w:after="0"/>
              <w:rPr>
                <w:sz w:val="23"/>
                <w:szCs w:val="23"/>
                <w:color w:val="auto"/>
              </w:rPr>
            </w:pPr>
          </w:p>
        </w:tc>
        <w:tc>
          <w:tcPr>
            <w:tcW w:w="8400" w:type="dxa"/>
            <w:vAlign w:val="bottom"/>
          </w:tcPr>
          <w:p>
            <w:pPr>
              <w:ind w:left="5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Consolidated Financial Statements</w:t>
              </w:r>
            </w:hyperlink>
          </w:p>
        </w:tc>
        <w:tc>
          <w:tcPr>
            <w:tcW w:w="172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7</w:t>
              </w:r>
            </w:hyperlink>
          </w:p>
        </w:tc>
      </w:tr>
      <w:tr>
        <w:trPr>
          <w:trHeight w:val="270"/>
        </w:trPr>
        <w:tc>
          <w:tcPr>
            <w:tcW w:w="106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2.</w:t>
              </w:r>
            </w:hyperlink>
          </w:p>
        </w:tc>
        <w:tc>
          <w:tcPr>
            <w:tcW w:w="8400" w:type="dxa"/>
            <w:vAlign w:val="bottom"/>
          </w:tcPr>
          <w:p>
            <w:pPr>
              <w:ind w:left="40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Management’s Discussion and Analysis of Financial Condition and Results of Operations</w:t>
              </w:r>
            </w:hyperlink>
          </w:p>
        </w:tc>
        <w:tc>
          <w:tcPr>
            <w:tcW w:w="1720" w:type="dxa"/>
            <w:vAlign w:val="bottom"/>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19</w:t>
              </w:r>
            </w:hyperlink>
          </w:p>
        </w:tc>
      </w:tr>
      <w:tr>
        <w:trPr>
          <w:trHeight w:val="270"/>
        </w:trPr>
        <w:tc>
          <w:tcPr>
            <w:tcW w:w="106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3.</w:t>
              </w:r>
            </w:hyperlink>
          </w:p>
        </w:tc>
        <w:tc>
          <w:tcPr>
            <w:tcW w:w="8400" w:type="dxa"/>
            <w:vAlign w:val="bottom"/>
          </w:tcPr>
          <w:p>
            <w:pPr>
              <w:ind w:left="40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Quantitative and Qualitative Disclosures About Market Risk</w:t>
              </w:r>
            </w:hyperlink>
          </w:p>
        </w:tc>
        <w:tc>
          <w:tcPr>
            <w:tcW w:w="1720" w:type="dxa"/>
            <w:vAlign w:val="bottom"/>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33</w:t>
              </w:r>
            </w:hyperlink>
          </w:p>
        </w:tc>
      </w:tr>
      <w:tr>
        <w:trPr>
          <w:trHeight w:val="270"/>
        </w:trPr>
        <w:tc>
          <w:tcPr>
            <w:tcW w:w="106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4.</w:t>
              </w:r>
            </w:hyperlink>
          </w:p>
        </w:tc>
        <w:tc>
          <w:tcPr>
            <w:tcW w:w="8400" w:type="dxa"/>
            <w:vAlign w:val="bottom"/>
          </w:tcPr>
          <w:p>
            <w:pPr>
              <w:ind w:left="40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Controls and Procedures</w:t>
              </w:r>
            </w:hyperlink>
          </w:p>
        </w:tc>
        <w:tc>
          <w:tcPr>
            <w:tcW w:w="1720" w:type="dxa"/>
            <w:vAlign w:val="bottom"/>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33</w:t>
              </w:r>
            </w:hyperlink>
          </w:p>
        </w:tc>
      </w:tr>
      <w:tr>
        <w:trPr>
          <w:trHeight w:val="594"/>
        </w:trPr>
        <w:tc>
          <w:tcPr>
            <w:tcW w:w="1060" w:type="dxa"/>
            <w:vAlign w:val="bottom"/>
          </w:tcPr>
          <w:p>
            <w:pPr>
              <w:spacing w:after="0"/>
              <w:rPr>
                <w:sz w:val="24"/>
                <w:szCs w:val="24"/>
                <w:color w:val="auto"/>
              </w:rPr>
            </w:pPr>
          </w:p>
        </w:tc>
        <w:tc>
          <w:tcPr>
            <w:tcW w:w="8400" w:type="dxa"/>
            <w:vAlign w:val="bottom"/>
          </w:tcPr>
          <w:p>
            <w:pPr>
              <w:jc w:val="center"/>
              <w:ind w:left="570"/>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PART II—OTHER INFORMATION</w:t>
              </w:r>
            </w:hyperlink>
          </w:p>
        </w:tc>
        <w:tc>
          <w:tcPr>
            <w:tcW w:w="1720" w:type="dxa"/>
            <w:vAlign w:val="bottom"/>
          </w:tcPr>
          <w:p>
            <w:pPr>
              <w:spacing w:after="0"/>
              <w:rPr>
                <w:sz w:val="24"/>
                <w:szCs w:val="24"/>
                <w:color w:val="auto"/>
              </w:rPr>
            </w:pPr>
          </w:p>
        </w:tc>
      </w:tr>
      <w:tr>
        <w:trPr>
          <w:trHeight w:val="594"/>
        </w:trPr>
        <w:tc>
          <w:tcPr>
            <w:tcW w:w="106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1.</w:t>
              </w:r>
            </w:hyperlink>
          </w:p>
        </w:tc>
        <w:tc>
          <w:tcPr>
            <w:tcW w:w="8400" w:type="dxa"/>
            <w:vAlign w:val="bottom"/>
          </w:tcPr>
          <w:p>
            <w:pPr>
              <w:ind w:left="4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Legal Proceedings</w:t>
              </w:r>
            </w:hyperlink>
          </w:p>
        </w:tc>
        <w:tc>
          <w:tcPr>
            <w:tcW w:w="1720" w:type="dxa"/>
            <w:vAlign w:val="bottom"/>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34</w:t>
              </w:r>
            </w:hyperlink>
          </w:p>
        </w:tc>
      </w:tr>
      <w:tr>
        <w:trPr>
          <w:trHeight w:val="270"/>
        </w:trPr>
        <w:tc>
          <w:tcPr>
            <w:tcW w:w="1060" w:type="dxa"/>
            <w:vAlign w:val="bottom"/>
          </w:tcPr>
          <w:p>
            <w:pPr>
              <w:spacing w:after="0"/>
              <w:rPr>
                <w:rFonts w:ascii="Arial" w:cs="Arial" w:eastAsia="Arial" w:hAnsi="Arial"/>
                <w:sz w:val="18"/>
                <w:szCs w:val="18"/>
                <w:color w:val="0000EE"/>
              </w:rPr>
            </w:pPr>
            <w:hyperlink w:anchor="page37">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8400" w:type="dxa"/>
            <w:vAlign w:val="bottom"/>
          </w:tcPr>
          <w:p>
            <w:pPr>
              <w:ind w:left="40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Risk Factors</w:t>
              </w:r>
            </w:hyperlink>
          </w:p>
        </w:tc>
        <w:tc>
          <w:tcPr>
            <w:tcW w:w="1720" w:type="dxa"/>
            <w:vAlign w:val="bottom"/>
          </w:tcPr>
          <w:p>
            <w:pPr>
              <w:jc w:val="right"/>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35</w:t>
              </w:r>
            </w:hyperlink>
          </w:p>
        </w:tc>
      </w:tr>
      <w:tr>
        <w:trPr>
          <w:trHeight w:val="270"/>
        </w:trPr>
        <w:tc>
          <w:tcPr>
            <w:tcW w:w="1060" w:type="dxa"/>
            <w:vAlign w:val="bottom"/>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Item 2.</w:t>
              </w:r>
            </w:hyperlink>
          </w:p>
        </w:tc>
        <w:tc>
          <w:tcPr>
            <w:tcW w:w="8400" w:type="dxa"/>
            <w:vAlign w:val="bottom"/>
          </w:tcPr>
          <w:p>
            <w:pPr>
              <w:ind w:left="40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Unregistered Sales of Equity Securities and Use of Proceeds</w:t>
              </w:r>
            </w:hyperlink>
          </w:p>
        </w:tc>
        <w:tc>
          <w:tcPr>
            <w:tcW w:w="1720" w:type="dxa"/>
            <w:vAlign w:val="bottom"/>
          </w:tcPr>
          <w:p>
            <w:pPr>
              <w:jc w:val="right"/>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86</w:t>
              </w:r>
            </w:hyperlink>
          </w:p>
        </w:tc>
      </w:tr>
      <w:tr>
        <w:trPr>
          <w:trHeight w:val="270"/>
        </w:trPr>
        <w:tc>
          <w:tcPr>
            <w:tcW w:w="1060" w:type="dxa"/>
            <w:vAlign w:val="bottom"/>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Item 5.</w:t>
              </w:r>
            </w:hyperlink>
          </w:p>
        </w:tc>
        <w:tc>
          <w:tcPr>
            <w:tcW w:w="8400" w:type="dxa"/>
            <w:vAlign w:val="bottom"/>
          </w:tcPr>
          <w:p>
            <w:pPr>
              <w:ind w:left="40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Other Information</w:t>
              </w:r>
            </w:hyperlink>
          </w:p>
        </w:tc>
        <w:tc>
          <w:tcPr>
            <w:tcW w:w="1720" w:type="dxa"/>
            <w:vAlign w:val="bottom"/>
          </w:tcPr>
          <w:p>
            <w:pPr>
              <w:jc w:val="right"/>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86</w:t>
              </w:r>
            </w:hyperlink>
          </w:p>
        </w:tc>
      </w:tr>
      <w:tr>
        <w:trPr>
          <w:trHeight w:val="270"/>
        </w:trPr>
        <w:tc>
          <w:tcPr>
            <w:tcW w:w="1060" w:type="dxa"/>
            <w:vAlign w:val="bottom"/>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Item 6.</w:t>
              </w:r>
            </w:hyperlink>
          </w:p>
        </w:tc>
        <w:tc>
          <w:tcPr>
            <w:tcW w:w="8400" w:type="dxa"/>
            <w:vAlign w:val="bottom"/>
          </w:tcPr>
          <w:p>
            <w:pPr>
              <w:ind w:left="40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Exhibits</w:t>
              </w:r>
            </w:hyperlink>
          </w:p>
        </w:tc>
        <w:tc>
          <w:tcPr>
            <w:tcW w:w="1720" w:type="dxa"/>
            <w:vAlign w:val="bottom"/>
          </w:tcPr>
          <w:p>
            <w:pPr>
              <w:jc w:val="right"/>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86</w:t>
              </w:r>
            </w:hyperlink>
          </w:p>
        </w:tc>
      </w:tr>
      <w:tr>
        <w:trPr>
          <w:trHeight w:val="270"/>
        </w:trPr>
        <w:tc>
          <w:tcPr>
            <w:tcW w:w="1060" w:type="dxa"/>
            <w:vAlign w:val="bottom"/>
          </w:tcPr>
          <w:p>
            <w:pPr>
              <w:spacing w:after="0"/>
              <w:rPr>
                <w:sz w:val="23"/>
                <w:szCs w:val="23"/>
                <w:color w:val="auto"/>
              </w:rPr>
            </w:pPr>
          </w:p>
        </w:tc>
        <w:tc>
          <w:tcPr>
            <w:tcW w:w="8400" w:type="dxa"/>
            <w:vAlign w:val="bottom"/>
          </w:tcPr>
          <w:p>
            <w:pPr>
              <w:ind w:left="40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Signatures</w:t>
              </w:r>
            </w:hyperlink>
          </w:p>
        </w:tc>
        <w:tc>
          <w:tcPr>
            <w:tcW w:w="1720" w:type="dxa"/>
            <w:vAlign w:val="bottom"/>
          </w:tcPr>
          <w:p>
            <w:pPr>
              <w:jc w:val="right"/>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88</w:t>
              </w:r>
            </w:hyperlink>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360" w:top="958"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85" w:lineRule="exact"/>
        <w:rPr>
          <w:sz w:val="20"/>
          <w:szCs w:val="20"/>
          <w:color w:val="auto"/>
        </w:rPr>
      </w:pPr>
    </w:p>
    <w:p>
      <w:pPr>
        <w:ind w:left="660" w:right="20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potential benefits of our business plan and strategy to develop our therapeutic and gene therapy product candidates and programs and pursue our collaborative gene therapy sponsored research programs;</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effects of the COVID-19 pandemic and related response measures on our business and operations, including the timing, costs, conduct and outcome of our research and development programs, and financial position;</w:t>
      </w:r>
    </w:p>
    <w:p>
      <w:pPr>
        <w:spacing w:after="0" w:line="170"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the impact of results from our OPH2003 pivotal clinical trial evaluating Zimura for the treatment of geographic atrophy secondary to age-related macular degeneration on our business strategy, including our plans to pursue further development of Zimura and/or seek potential collaboration or outlicensing opportunities;</w:t>
      </w:r>
    </w:p>
    <w:p>
      <w:pPr>
        <w:spacing w:after="0" w:line="183" w:lineRule="exact"/>
        <w:rPr>
          <w:rFonts w:ascii="Arial" w:cs="Arial" w:eastAsia="Arial" w:hAnsi="Arial"/>
          <w:sz w:val="18"/>
          <w:szCs w:val="18"/>
          <w:color w:val="auto"/>
        </w:rPr>
      </w:pPr>
    </w:p>
    <w:p>
      <w:pPr>
        <w:ind w:left="660" w:right="100" w:hanging="328"/>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costs, conduct and outcome of ISEE2008, our planned Phase 3 clinical trial evaluating Zimura for the treatment of geographic atrophy secondary to age-related macular degeneration, and expectations regarding the potential for Zimura to receive regulatory approval for the treatment of geographic atrophy secondary to age-related macular degeneration based on the clinical trial results we have received to date and future results from the ISEE2008 clinical trial and any other trials we may conduct;</w:t>
      </w:r>
    </w:p>
    <w:p>
      <w:pPr>
        <w:spacing w:after="0" w:line="186"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and capabilities for the manufacture of our therapeutics and gene therapy product candidates, including scale up and validation of the manufacturing process for Zimura;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related to our use of available cash;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and ability to obtain, additional financing;</w:t>
      </w:r>
    </w:p>
    <w:p>
      <w:pPr>
        <w:spacing w:after="0" w:line="225" w:lineRule="exact"/>
        <w:rPr>
          <w:rFonts w:ascii="Arial" w:cs="Arial" w:eastAsia="Arial" w:hAnsi="Arial"/>
          <w:sz w:val="18"/>
          <w:szCs w:val="18"/>
          <w:color w:val="auto"/>
        </w:rPr>
      </w:pPr>
    </w:p>
    <w:p>
      <w:pPr>
        <w:ind w:left="660" w:right="220" w:hanging="328"/>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costs, conduct and outcome of our ongoing and planned clinical trials, including statements regarding the timing of the initiation and completion of, and the receipt of results from, such clinical trials, the costs to conduct such clinical trials, and the impact of the results of such clinical trials on our business strategy;</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costs, conduct and outcome of our ongoing and planned research and preclinical development activities, including statements regarding the timing of the initiation and completion of, and the receipt of results from, such activities, the costs to conduct such activities, and the impact of the results of such activities on our business strategy;</w:t>
      </w:r>
    </w:p>
    <w:p>
      <w:pPr>
        <w:spacing w:after="0" w:line="183" w:lineRule="exact"/>
        <w:rPr>
          <w:rFonts w:ascii="Arial" w:cs="Arial" w:eastAsia="Arial" w:hAnsi="Arial"/>
          <w:sz w:val="18"/>
          <w:szCs w:val="18"/>
          <w:color w:val="auto"/>
        </w:rPr>
      </w:pPr>
    </w:p>
    <w:p>
      <w:pPr>
        <w:ind w:left="660" w:right="500" w:hanging="328"/>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 and other technologies that we are pursuing, including the advantages and limitations of inhibition of complement factor C5 and HtrA1, including our hypotheses regarding complement inhibition as a mechanism of action to treat geographic atrophy, and of gene therapy, including the use of minigenes;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estimates regarding the number of patients affected by the diseases our product candidates and development programs are intended to treat;</w:t>
      </w:r>
    </w:p>
    <w:p>
      <w:pPr>
        <w:spacing w:after="0" w:line="248" w:lineRule="exact"/>
        <w:rPr>
          <w:rFonts w:ascii="Arial" w:cs="Arial" w:eastAsia="Arial" w:hAnsi="Arial"/>
          <w:sz w:val="16"/>
          <w:szCs w:val="16"/>
          <w:color w:val="auto"/>
        </w:rPr>
      </w:pPr>
    </w:p>
    <w:p>
      <w:pPr>
        <w:ind w:left="660" w:right="1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of and our ability to obtain marketing approval of our product candidates, and the ability of our product candidates to meet existing or future regulatory standards;</w:t>
      </w:r>
    </w:p>
    <w:p>
      <w:pPr>
        <w:spacing w:after="0" w:line="170" w:lineRule="exact"/>
        <w:rPr>
          <w:rFonts w:ascii="Arial" w:cs="Arial" w:eastAsia="Arial" w:hAnsi="Arial"/>
          <w:sz w:val="18"/>
          <w:szCs w:val="18"/>
          <w:color w:val="auto"/>
        </w:rPr>
      </w:pPr>
    </w:p>
    <w:p>
      <w:pPr>
        <w:ind w:left="660" w:right="220" w:hanging="328"/>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consummate business development transactions, including potential collaboration or out-licensing opportunities for further development and potential commercialization of Zimura or in-license or other opportunities to acquire rights to additional product candidates or technologies to treat retinal diseases;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and degree of potential market acceptance and clinical utility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receipt of revenues from future sales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existing and new governmental laws and regulations;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36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our stockholders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could cause actual results or events to differ materially from the forward-looking statements that we make. Our forward-looking statements do not reflect the potential impact of any future acquisitions, mergers, licenses, dispositions, joint ventures or investments we may make.</w:t>
      </w:r>
    </w:p>
    <w:p>
      <w:pPr>
        <w:spacing w:after="0" w:line="24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You should read this Quarterly Report on Form 10-Q and the documents that we have filed as exhibits to this Quarterly Report on Form 10-Q and our other periodic reports,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TRADEMARKS</w:t>
      </w:r>
    </w:p>
    <w:p>
      <w:pPr>
        <w:spacing w:after="0" w:line="14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212529"/>
        </w:rPr>
        <w:t xml:space="preserve">The trademarks, trade names and service marks appearing in this Quarterly Report on Form 10-Q are the property of their respective owners. </w:t>
      </w:r>
      <w:r>
        <w:rPr>
          <w:rFonts w:ascii="Arial" w:cs="Arial" w:eastAsia="Arial" w:hAnsi="Arial"/>
          <w:sz w:val="18"/>
          <w:szCs w:val="18"/>
          <w:color w:val="000000"/>
        </w:rPr>
        <w:t>We</w:t>
      </w:r>
      <w:r>
        <w:rPr>
          <w:rFonts w:ascii="Arial" w:cs="Arial" w:eastAsia="Arial" w:hAnsi="Arial"/>
          <w:sz w:val="18"/>
          <w:szCs w:val="18"/>
          <w:color w:val="212529"/>
        </w:rPr>
        <w:t xml:space="preserve"> </w:t>
      </w:r>
      <w:r>
        <w:rPr>
          <w:rFonts w:ascii="Arial" w:cs="Arial" w:eastAsia="Arial" w:hAnsi="Arial"/>
          <w:sz w:val="18"/>
          <w:szCs w:val="18"/>
          <w:color w:val="000000"/>
        </w:rPr>
        <w:t>have omitted the ® and ™ designations, as applicable, for the trademarks named in this Quarterly Report on Form 10-Q after their first reference in this Quarterly Report on Form 10-Q.</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6"/>
                <w:szCs w:val="16"/>
                <w:color w:val="auto"/>
              </w:rPr>
            </w:pPr>
          </w:p>
        </w:tc>
        <w:tc>
          <w:tcPr>
            <w:tcW w:w="1400" w:type="dxa"/>
            <w:vAlign w:val="bottom"/>
          </w:tcPr>
          <w:p>
            <w:pPr>
              <w:jc w:val="right"/>
              <w:ind w:right="111"/>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50"/>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108,352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125,699</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receivable</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37"/>
        </w:trPr>
        <w:tc>
          <w:tcPr>
            <w:tcW w:w="798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115,241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128,624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Right-of-use asset, net</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 non-current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115,714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130,187</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Accrued research and development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8,384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6,860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Lease liability</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12,984</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Lease liability, non-current</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12,984</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stock—$0.001 par value, 5,000,000 shares authorized, no shares issued or outstanding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w w:val="94"/>
              </w:rPr>
              <w:t>Common stock—$0.001 par value, 200,000,000 shares authorized, 49,731,811 and 49,627,064 shares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issued and outstanding at March 31, 2020 and December 31, 2019, respectively</w:t>
            </w:r>
          </w:p>
        </w:tc>
        <w:tc>
          <w:tcPr>
            <w:tcW w:w="22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600,182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597,679</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(495,602)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(480,526)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117,203</w:t>
            </w:r>
          </w:p>
        </w:tc>
        <w:tc>
          <w:tcPr>
            <w:tcW w:w="0" w:type="dxa"/>
            <w:vAlign w:val="bottom"/>
          </w:tcPr>
          <w:p>
            <w:pPr>
              <w:spacing w:after="0"/>
              <w:rPr>
                <w:sz w:val="1"/>
                <w:szCs w:val="1"/>
                <w:color w:val="auto"/>
              </w:rPr>
            </w:pPr>
          </w:p>
        </w:tc>
      </w:tr>
      <w:tr>
        <w:trPr>
          <w:trHeight w:val="257"/>
        </w:trPr>
        <w:tc>
          <w:tcPr>
            <w:tcW w:w="7980" w:type="dxa"/>
            <w:vAlign w:val="bottom"/>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115,714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130,187</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IVERIC bio,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Unaudited Consolidated Statements of Operations and Comprehensive Loss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154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5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13,750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7,685</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4,998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5,481</w:t>
            </w:r>
          </w:p>
        </w:tc>
        <w:tc>
          <w:tcPr>
            <w:tcW w:w="0" w:type="dxa"/>
            <w:vAlign w:val="bottom"/>
          </w:tcPr>
          <w:p>
            <w:pPr>
              <w:spacing w:after="0"/>
              <w:rPr>
                <w:sz w:val="1"/>
                <w:szCs w:val="1"/>
                <w:color w:val="auto"/>
              </w:rPr>
            </w:pPr>
          </w:p>
        </w:tc>
      </w:tr>
      <w:tr>
        <w:trPr>
          <w:trHeight w:val="237"/>
        </w:trPr>
        <w:tc>
          <w:tcPr>
            <w:tcW w:w="522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18,748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13,166</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(13,166)</w:t>
            </w: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20" w:type="dxa"/>
            <w:vAlign w:val="bottom"/>
          </w:tcPr>
          <w:p>
            <w:pPr>
              <w:ind w:left="140"/>
              <w:spacing w:after="0"/>
              <w:rPr>
                <w:sz w:val="20"/>
                <w:szCs w:val="20"/>
                <w:color w:val="auto"/>
              </w:rPr>
            </w:pPr>
            <w:r>
              <w:rPr>
                <w:rFonts w:ascii="Arial" w:cs="Arial" w:eastAsia="Arial" w:hAnsi="Arial"/>
                <w:sz w:val="18"/>
                <w:szCs w:val="18"/>
                <w:color w:val="auto"/>
              </w:rPr>
              <w:t>Loss before income tax provision (benefit)</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(18,385)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(12,496)</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97"/>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(15,076)</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(12,501)</w:t>
            </w: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(12,501)</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20"/>
              <w:spacing w:after="0"/>
              <w:rPr>
                <w:sz w:val="20"/>
                <w:szCs w:val="20"/>
                <w:color w:val="auto"/>
              </w:rPr>
            </w:pPr>
            <w:r>
              <w:rPr>
                <w:rFonts w:ascii="Arial" w:cs="Arial" w:eastAsia="Arial" w:hAnsi="Arial"/>
                <w:sz w:val="18"/>
                <w:szCs w:val="18"/>
                <w:color w:val="auto"/>
              </w:rPr>
              <w:t>Net loss per common share:</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53,426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41,427</w:t>
            </w:r>
          </w:p>
        </w:tc>
        <w:tc>
          <w:tcPr>
            <w:tcW w:w="0" w:type="dxa"/>
            <w:vAlign w:val="bottom"/>
          </w:tcPr>
          <w:p>
            <w:pPr>
              <w:spacing w:after="0"/>
              <w:rPr>
                <w:sz w:val="1"/>
                <w:szCs w:val="1"/>
                <w:color w:val="auto"/>
              </w:rPr>
            </w:pPr>
          </w:p>
        </w:tc>
      </w:tr>
      <w:tr>
        <w:trPr>
          <w:trHeight w:val="27"/>
        </w:trPr>
        <w:tc>
          <w:tcPr>
            <w:tcW w:w="5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39"/>
          </w:cols>
          <w:pgMar w:left="320" w:top="125"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60" w:type="dxa"/>
            <w:vAlign w:val="bottom"/>
          </w:tcPr>
          <w:p>
            <w:pPr>
              <w:spacing w:after="0"/>
              <w:rPr>
                <w:sz w:val="13"/>
                <w:szCs w:val="13"/>
                <w:color w:val="auto"/>
              </w:rPr>
            </w:pPr>
          </w:p>
        </w:tc>
        <w:tc>
          <w:tcPr>
            <w:tcW w:w="1640" w:type="dxa"/>
            <w:vAlign w:val="bottom"/>
            <w:gridSpan w:val="5"/>
          </w:tcPr>
          <w:p>
            <w:pPr>
              <w:ind w:left="340"/>
              <w:spacing w:after="0"/>
              <w:rPr>
                <w:sz w:val="20"/>
                <w:szCs w:val="20"/>
                <w:color w:val="auto"/>
              </w:rPr>
            </w:pPr>
            <w:r>
              <w:rPr>
                <w:rFonts w:ascii="Arial" w:cs="Arial" w:eastAsia="Arial" w:hAnsi="Arial"/>
                <w:sz w:val="13"/>
                <w:szCs w:val="13"/>
                <w:b w:val="1"/>
                <w:bCs w:val="1"/>
                <w:color w:val="auto"/>
              </w:rPr>
              <w:t>Preferred Stock</w:t>
            </w:r>
          </w:p>
        </w:tc>
        <w:tc>
          <w:tcPr>
            <w:tcW w:w="1560" w:type="dxa"/>
            <w:vAlign w:val="bottom"/>
            <w:gridSpan w:val="5"/>
          </w:tcPr>
          <w:p>
            <w:pPr>
              <w:ind w:left="32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49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paid-in</w:t>
            </w:r>
          </w:p>
        </w:tc>
        <w:tc>
          <w:tcPr>
            <w:tcW w:w="160" w:type="dxa"/>
            <w:vAlign w:val="bottom"/>
          </w:tcPr>
          <w:p>
            <w:pPr>
              <w:spacing w:after="0"/>
              <w:rPr>
                <w:sz w:val="2"/>
                <w:szCs w:val="2"/>
                <w:color w:val="auto"/>
              </w:rPr>
            </w:pPr>
          </w:p>
        </w:tc>
        <w:tc>
          <w:tcPr>
            <w:tcW w:w="106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49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9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5"/>
              </w:rPr>
              <w:t>Amount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2019</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49,627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597,679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(480,526)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117,203</w:t>
            </w:r>
          </w:p>
        </w:tc>
        <w:tc>
          <w:tcPr>
            <w:tcW w:w="0" w:type="dxa"/>
            <w:vAlign w:val="bottom"/>
          </w:tcPr>
          <w:p>
            <w:pPr>
              <w:spacing w:after="0"/>
              <w:rPr>
                <w:sz w:val="1"/>
                <w:szCs w:val="1"/>
                <w:color w:val="auto"/>
              </w:rPr>
            </w:pPr>
          </w:p>
        </w:tc>
      </w:tr>
      <w:tr>
        <w:trPr>
          <w:trHeight w:val="262"/>
        </w:trPr>
        <w:tc>
          <w:tcPr>
            <w:tcW w:w="4960" w:type="dxa"/>
            <w:vAlign w:val="bottom"/>
          </w:tcPr>
          <w:p>
            <w:pPr>
              <w:ind w:left="40"/>
              <w:spacing w:after="0"/>
              <w:rPr>
                <w:sz w:val="20"/>
                <w:szCs w:val="20"/>
                <w:color w:val="auto"/>
              </w:rPr>
            </w:pPr>
            <w:r>
              <w:rPr>
                <w:rFonts w:ascii="Arial" w:cs="Arial" w:eastAsia="Arial" w:hAnsi="Arial"/>
                <w:sz w:val="13"/>
                <w:szCs w:val="13"/>
                <w:color w:val="auto"/>
              </w:rPr>
              <w:t>Issuance of common stock under employee stock compensation plans</w:t>
            </w: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179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278"/>
        </w:trPr>
        <w:tc>
          <w:tcPr>
            <w:tcW w:w="4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compensation</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2,324</w:t>
            </w:r>
          </w:p>
        </w:tc>
        <w:tc>
          <w:tcPr>
            <w:tcW w:w="0" w:type="dxa"/>
            <w:vAlign w:val="bottom"/>
          </w:tcPr>
          <w:p>
            <w:pPr>
              <w:spacing w:after="0"/>
              <w:rPr>
                <w:sz w:val="1"/>
                <w:szCs w:val="1"/>
                <w:color w:val="auto"/>
              </w:rPr>
            </w:pPr>
          </w:p>
        </w:tc>
      </w:tr>
      <w:tr>
        <w:trPr>
          <w:trHeight w:val="263"/>
        </w:trPr>
        <w:tc>
          <w:tcPr>
            <w:tcW w:w="49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loss</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(15,076)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(15,076)</w:t>
            </w:r>
          </w:p>
        </w:tc>
        <w:tc>
          <w:tcPr>
            <w:tcW w:w="0" w:type="dxa"/>
            <w:vAlign w:val="bottom"/>
          </w:tcPr>
          <w:p>
            <w:pPr>
              <w:spacing w:after="0"/>
              <w:rPr>
                <w:sz w:val="1"/>
                <w:szCs w:val="1"/>
                <w:color w:val="auto"/>
              </w:rPr>
            </w:pPr>
          </w:p>
        </w:tc>
      </w:tr>
      <w:tr>
        <w:trPr>
          <w:trHeight w:val="242"/>
        </w:trPr>
        <w:tc>
          <w:tcPr>
            <w:tcW w:w="49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March 31, 2020</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49,732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600,182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(495,602)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104,630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60" w:type="dxa"/>
            <w:vAlign w:val="bottom"/>
          </w:tcPr>
          <w:p>
            <w:pPr>
              <w:spacing w:after="0"/>
              <w:rPr>
                <w:sz w:val="13"/>
                <w:szCs w:val="13"/>
                <w:color w:val="auto"/>
              </w:rPr>
            </w:pPr>
          </w:p>
        </w:tc>
        <w:tc>
          <w:tcPr>
            <w:tcW w:w="1640" w:type="dxa"/>
            <w:vAlign w:val="bottom"/>
            <w:gridSpan w:val="5"/>
          </w:tcPr>
          <w:p>
            <w:pPr>
              <w:ind w:left="340"/>
              <w:spacing w:after="0"/>
              <w:rPr>
                <w:sz w:val="20"/>
                <w:szCs w:val="20"/>
                <w:color w:val="auto"/>
              </w:rPr>
            </w:pPr>
            <w:r>
              <w:rPr>
                <w:rFonts w:ascii="Arial" w:cs="Arial" w:eastAsia="Arial" w:hAnsi="Arial"/>
                <w:sz w:val="13"/>
                <w:szCs w:val="13"/>
                <w:b w:val="1"/>
                <w:bCs w:val="1"/>
                <w:color w:val="auto"/>
              </w:rPr>
              <w:t>Preferred Stock</w:t>
            </w:r>
          </w:p>
        </w:tc>
        <w:tc>
          <w:tcPr>
            <w:tcW w:w="1560" w:type="dxa"/>
            <w:vAlign w:val="bottom"/>
            <w:gridSpan w:val="5"/>
          </w:tcPr>
          <w:p>
            <w:pPr>
              <w:ind w:left="32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49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paid-in</w:t>
            </w:r>
          </w:p>
        </w:tc>
        <w:tc>
          <w:tcPr>
            <w:tcW w:w="160" w:type="dxa"/>
            <w:vAlign w:val="bottom"/>
          </w:tcPr>
          <w:p>
            <w:pPr>
              <w:spacing w:after="0"/>
              <w:rPr>
                <w:sz w:val="2"/>
                <w:szCs w:val="2"/>
                <w:color w:val="auto"/>
              </w:rPr>
            </w:pPr>
          </w:p>
        </w:tc>
        <w:tc>
          <w:tcPr>
            <w:tcW w:w="106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49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9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5"/>
              </w:rPr>
              <w:t>Amount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2018</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41,397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545,585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(421,667)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123,959</w:t>
            </w:r>
          </w:p>
        </w:tc>
        <w:tc>
          <w:tcPr>
            <w:tcW w:w="0" w:type="dxa"/>
            <w:vAlign w:val="bottom"/>
          </w:tcPr>
          <w:p>
            <w:pPr>
              <w:spacing w:after="0"/>
              <w:rPr>
                <w:sz w:val="1"/>
                <w:szCs w:val="1"/>
                <w:color w:val="auto"/>
              </w:rPr>
            </w:pPr>
          </w:p>
        </w:tc>
      </w:tr>
      <w:tr>
        <w:trPr>
          <w:trHeight w:val="262"/>
        </w:trPr>
        <w:tc>
          <w:tcPr>
            <w:tcW w:w="4960" w:type="dxa"/>
            <w:vAlign w:val="bottom"/>
          </w:tcPr>
          <w:p>
            <w:pPr>
              <w:ind w:left="40"/>
              <w:spacing w:after="0"/>
              <w:rPr>
                <w:sz w:val="20"/>
                <w:szCs w:val="20"/>
                <w:color w:val="auto"/>
              </w:rPr>
            </w:pPr>
            <w:r>
              <w:rPr>
                <w:rFonts w:ascii="Arial" w:cs="Arial" w:eastAsia="Arial" w:hAnsi="Arial"/>
                <w:sz w:val="13"/>
                <w:szCs w:val="13"/>
                <w:color w:val="auto"/>
              </w:rPr>
              <w:t>Issuance of common stock under employee stock compensation plans</w:t>
            </w: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278"/>
        </w:trPr>
        <w:tc>
          <w:tcPr>
            <w:tcW w:w="4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compensation</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2,470</w:t>
            </w:r>
          </w:p>
        </w:tc>
        <w:tc>
          <w:tcPr>
            <w:tcW w:w="0" w:type="dxa"/>
            <w:vAlign w:val="bottom"/>
          </w:tcPr>
          <w:p>
            <w:pPr>
              <w:spacing w:after="0"/>
              <w:rPr>
                <w:sz w:val="1"/>
                <w:szCs w:val="1"/>
                <w:color w:val="auto"/>
              </w:rPr>
            </w:pPr>
          </w:p>
        </w:tc>
      </w:tr>
      <w:tr>
        <w:trPr>
          <w:trHeight w:val="263"/>
        </w:trPr>
        <w:tc>
          <w:tcPr>
            <w:tcW w:w="49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loss</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(12,501)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(12,501)</w:t>
            </w:r>
          </w:p>
        </w:tc>
        <w:tc>
          <w:tcPr>
            <w:tcW w:w="0" w:type="dxa"/>
            <w:vAlign w:val="bottom"/>
          </w:tcPr>
          <w:p>
            <w:pPr>
              <w:spacing w:after="0"/>
              <w:rPr>
                <w:sz w:val="1"/>
                <w:szCs w:val="1"/>
                <w:color w:val="auto"/>
              </w:rPr>
            </w:pPr>
          </w:p>
        </w:tc>
      </w:tr>
      <w:tr>
        <w:trPr>
          <w:trHeight w:val="242"/>
        </w:trPr>
        <w:tc>
          <w:tcPr>
            <w:tcW w:w="49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March 31, 2019</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41,453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548,096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(434,168)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113,969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56"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23495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3"/>
                <w:szCs w:val="13"/>
                <w:b w:val="1"/>
                <w:bCs w:val="1"/>
                <w:color w:val="auto"/>
              </w:rPr>
              <w:t>2019</w:t>
            </w: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(15,076)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(12,501)</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Depreciation and other expense</w:t>
            </w: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43</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Prepaid expense and other assets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research and development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(2,882)</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(14,603)</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employee stock plan purchases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r>
      <w:tr>
        <w:trPr>
          <w:trHeight w:val="237"/>
        </w:trPr>
        <w:tc>
          <w:tcPr>
            <w:tcW w:w="8440" w:type="dxa"/>
            <w:vAlign w:val="bottom"/>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(14,562)</w:t>
            </w:r>
          </w:p>
        </w:tc>
      </w:tr>
      <w:tr>
        <w:trPr>
          <w:trHeight w:val="236"/>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125,699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131,201</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108,352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116,639</w:t>
            </w:r>
          </w:p>
        </w:tc>
      </w:tr>
      <w:tr>
        <w:trPr>
          <w:trHeight w:val="27"/>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Organization</w:t>
      </w:r>
    </w:p>
    <w:p>
      <w:pPr>
        <w:spacing w:after="0" w:line="28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IVERIC bio, Inc. (the “Company”), formerly Ophthotech Corporation, was incorporated on January 5, 2007, in Delaware. The Company is a science-driven biopharmaceutical company focused on the discovery and development of novel treatment options for retinal diseases with significant unmet medical needs. The Company is currently developing both therapeutic product candidates for age-related retinal diseases and gene therapy product candidates for orphan inherited retinal diseases ("IRDs").</w:t>
      </w:r>
    </w:p>
    <w:p>
      <w:pPr>
        <w:spacing w:after="0" w:line="241"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The Company's therapeutics portfolio consists of Zimura® (avacincaptad pegol), a complement C5 inhibitor, and its preclinical development program of High temperature requirement A serine peptidase 1 protein ("HtrA1") inhibitors. The Company is currently targeting the following diseases with Zimura:</w:t>
      </w:r>
    </w:p>
    <w:p>
      <w:pPr>
        <w:spacing w:after="0" w:line="238" w:lineRule="exact"/>
        <w:rPr>
          <w:sz w:val="20"/>
          <w:szCs w:val="20"/>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geographic atrophy ("GA"), which is the advanced stage of age-related macular degeneration ("AMD") and is characterized by marked thinning or atrophy of retinal tissue, leading to irreversible loss of vision; and</w:t>
      </w:r>
    </w:p>
    <w:p>
      <w:pPr>
        <w:spacing w:after="0" w:line="224"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autosomal recessive Stargardt disease ("STGD1"), which is characterized by progressive damage to the central portion of the retina (the "macula") and other retinal tissue of young adults, leading to loss of vision.</w:t>
      </w:r>
    </w:p>
    <w:p>
      <w:pPr>
        <w:spacing w:after="0" w:line="8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Company is preparing for a second international, randomized, double masked, sham controlled, multi-center Phase 3 clinical trial of Zimura for the treatment of GA secondary to AMD (the "ISEE2008 trial"). In March 2020, because of the novel coronavirus ("COVID-19") global pandemic and out of an abundance of caution for the health and safety of its elderly patients and participating physicians and their staffs, the Company decided to delay the initiation of patient enrollment in the ISEE2008 trial even though it was on track to begin enrollment that month. Although it delayed the initiation of patient enrollment, it has continued trial initiation activities and plans to begin enrolling patients expeditiously once the COVID-19 situation stabilizes and the Company and its investigators determine it is safe to do so. The Company will continue to monitor the situation in the United States and across the world and may commence patient enrollment in stages based on the conditions in different communities and countries. It plans to enroll approximately 400 patients in this trial.</w:t>
      </w:r>
    </w:p>
    <w:p>
      <w:pPr>
        <w:spacing w:after="0" w:line="192"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In addition, the Company is expecting to receive, by the end of the second quarter of 2020, 18-month data from its international, randomized, double masked, sham controlled, multi-center Phase 2/3 clinical trial (the "OPH2003 trial") assessing the safety and efficacy of Zimura for the treatment of GA secondary to AMD, for which it announced positive, 12-month data in October 2019. 286 patients were enrolled in this trial across multiple treatment groups, including various Zimura doses and sham control groups. The 12-month data confirmed that Zimura met the prespecified primary endpoint in the trial in reducing the rate of GA growth in patients with GA. The reduction in the mean rate of GA growth over 12 months using the square root transformation was 0.110 mm (p-value = 0.0072) for the Zimura 2 mg group as compared to the corresponding sham control group and 0.124 mm (p-value</w:t>
      </w:r>
    </w:p>
    <w:p>
      <w:pPr>
        <w:spacing w:after="0" w:line="4" w:lineRule="exact"/>
        <w:rPr>
          <w:sz w:val="20"/>
          <w:szCs w:val="20"/>
          <w:color w:val="auto"/>
        </w:rPr>
      </w:pPr>
    </w:p>
    <w:p>
      <w:pPr>
        <w:ind w:right="100" w:firstLine="8"/>
        <w:spacing w:after="0" w:line="281" w:lineRule="auto"/>
        <w:tabs>
          <w:tab w:leader="none" w:pos="146" w:val="left"/>
        </w:tabs>
        <w:numPr>
          <w:ilvl w:val="0"/>
          <w:numId w:val="4"/>
        </w:numPr>
        <w:rPr>
          <w:rFonts w:ascii="Arial" w:cs="Arial" w:eastAsia="Arial" w:hAnsi="Arial"/>
          <w:sz w:val="16"/>
          <w:szCs w:val="16"/>
          <w:color w:val="auto"/>
        </w:rPr>
      </w:pPr>
      <w:r>
        <w:rPr>
          <w:rFonts w:ascii="Arial" w:cs="Arial" w:eastAsia="Arial" w:hAnsi="Arial"/>
          <w:sz w:val="16"/>
          <w:szCs w:val="16"/>
          <w:color w:val="auto"/>
        </w:rPr>
        <w:t>0.0051) for the Zimura 4 mg group as compared to the corresponding sham control group, indicating an approximate 27% relative reduction in the mean rate of GA growth over 12 months when compared with sham for both dose groups. These data for both dose groups were statistically significant and the Company believes, based on recent guidance from the U.S. Food and Drug Administration ("FDA"), demonstrate a clinically relevant reduction in rate of GA growth. Based on its review of the safety data to date, Zimura was generally well tolerated over 12 months of administration in this clinical</w:t>
      </w:r>
    </w:p>
    <w:p>
      <w:pPr>
        <w:spacing w:after="0" w:line="2"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trial. OPH2003 was designed to be a Phase 2b screening trial, with the potential to qualify as a pivotal trial depending on the magnitude and statistical significance of the potential benefit observed. Based on the 12-month data, the Company believes that the OPH2003 trial qualifies as the first of two Phase 3 trials typically required by the FDA for marketing approval of a pharmaceutical product. In light of the 12-month data, the Company has changed the phase designation of the OPH2003 trial to a Phase 2/3 trial. The primary purpose of the 18-month time point is to gather additional safety data. The primary efficacy analysis for this trial was conducted following the 12-month time point, and the reliability of any such comparison and the ability to rule out a “false positive” result was concentrated in the 12-month analysis. The prespecified statistical analysis plan for the trial, therefore, does not include assessing the statistical significance of 18-month data for rate of GA growth in the treatment groups as compared to the corresponding sham control groups. Any analysis of the 18-month GA growth data will be descriptive only and is intended primarily to evaluate the safety of Zimura.</w:t>
      </w: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developing its HtrA1 inhibitor program for GA and potentially other age-related retinal diseases.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9" w:name="page10"/>
    <w:bookmarkEnd w:id="9"/>
    <w:p>
      <w:pPr>
        <w:ind w:right="60" w:firstLine="648"/>
        <w:spacing w:after="0" w:line="263" w:lineRule="auto"/>
        <w:rPr>
          <w:sz w:val="20"/>
          <w:szCs w:val="20"/>
          <w:color w:val="auto"/>
        </w:rPr>
      </w:pPr>
      <w:r>
        <w:rPr>
          <w:rFonts w:ascii="Arial" w:cs="Arial" w:eastAsia="Arial" w:hAnsi="Arial"/>
          <w:sz w:val="18"/>
          <w:szCs w:val="18"/>
          <w:color w:val="auto"/>
        </w:rPr>
        <w:t>The Company's gene therapy portfolio consists of two product candidates in preclinical development and several ongoing collaborative sponsored research programs, each of which uses adeno-associated virus ("AAV") for gene delivery. These AAV mediated gene therapy programs are targeting the following orphan IRDs:</w:t>
      </w:r>
    </w:p>
    <w:p>
      <w:pPr>
        <w:spacing w:after="0" w:line="238" w:lineRule="exact"/>
        <w:rPr>
          <w:sz w:val="20"/>
          <w:szCs w:val="20"/>
          <w:color w:val="auto"/>
        </w:rPr>
      </w:pPr>
    </w:p>
    <w:p>
      <w:pPr>
        <w:ind w:left="660" w:right="2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("RHO-adRP") which is characterized by progressive and severe bilateral loss of vision leading to blindness;</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IRDs associated with mutations in the </w:t>
      </w:r>
      <w:r>
        <w:rPr>
          <w:rFonts w:ascii="Arial" w:cs="Arial" w:eastAsia="Arial" w:hAnsi="Arial"/>
          <w:sz w:val="18"/>
          <w:szCs w:val="18"/>
          <w:i w:val="1"/>
          <w:iCs w:val="1"/>
          <w:color w:val="auto"/>
        </w:rPr>
        <w:t>BEST1</w:t>
      </w:r>
      <w:r>
        <w:rPr>
          <w:rFonts w:ascii="Arial" w:cs="Arial" w:eastAsia="Arial" w:hAnsi="Arial"/>
          <w:sz w:val="18"/>
          <w:szCs w:val="18"/>
          <w:color w:val="auto"/>
        </w:rPr>
        <w:t xml:space="preserve"> gene, including Best vitelliform macular dystrophy, or Best disease, which is generally characterized by bilateral egg yolk-like lesions in the macula, which, over time, progress to atrophy and loss of vision;</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Leber congenital amaurosis type 10 ("LCA10") which is characterized by severe bilateral loss of vision at or soon after birth;</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autosomal recessive Stargardt disease; and</w:t>
      </w:r>
    </w:p>
    <w:p>
      <w:pPr>
        <w:spacing w:after="0" w:line="279"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IRDs associated with mutations in the USH2A gene, which include Usher syndrome type 2A and USH2A-associated nonsyndromic autosomal recessive retinitis pigmentosa.</w:t>
      </w:r>
    </w:p>
    <w:p>
      <w:pPr>
        <w:spacing w:after="0" w:line="22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The Company's lead gene therapy product candidate is IC-100, which it is developing for the treatment of RHO-adRP. Subject to successful completion of preclinical development and manufacturing under current good manufacturing practices ("cGMP"), the Company plans to file an investigational new drug application ("IND") for IC-100 by the end of 2020 or early 2021 with the goal of commencing patient enrollment in a Phase 1/2 clinical trial during the first half of 2021. The Company is also developing IC-200, its gene therapy product candidate for the treatment of IRDs associated with mutations in the </w:t>
      </w:r>
      <w:r>
        <w:rPr>
          <w:rFonts w:ascii="Arial" w:cs="Arial" w:eastAsia="Arial" w:hAnsi="Arial"/>
          <w:sz w:val="17"/>
          <w:szCs w:val="17"/>
          <w:i w:val="1"/>
          <w:iCs w:val="1"/>
          <w:color w:val="auto"/>
        </w:rPr>
        <w:t>BEST1</w:t>
      </w:r>
      <w:r>
        <w:rPr>
          <w:rFonts w:ascii="Arial" w:cs="Arial" w:eastAsia="Arial" w:hAnsi="Arial"/>
          <w:sz w:val="17"/>
          <w:szCs w:val="17"/>
          <w:color w:val="auto"/>
        </w:rPr>
        <w:t xml:space="preserve"> gene. Subject to successful completion of preclinical development and manufacturing under cGMP and regulatory review, it expects to initiate a Phase 1/2 clinical trial for IC-200 during the first half of 2021.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83"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The Company’s significant accounting policies are described in Note 2, “Summary of Significant Accounting Policies,” in the notes to the audited consolidated financial statements included in the Company’s Annual Report on Form 10-K (“Annual Report”) for the year ended December 31, 2019 filed with the Securities and Exchange Commission ("SEC") on February 27,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14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212529"/>
        </w:rPr>
        <w:t>In the opinion of management, the Company’s condensed consolidated financial statements include all adjustments, consisting of normal recurring accruals, necessary for a fair statement of the Company’s financial statements for interim periods in accordance with accounting principles generally accepted in the United States (U.S. GAAP). The consolidated financial statements include the accounts of the Company and its subsidiaries. All intercompany balances and transactions have been eliminated in consolidation. The information included in this quarterly report on Form 10-Q should be read in conjunction with the Company’s audited consolidated financial statements and the accompanying notes included in the Annual Report.</w:t>
      </w:r>
    </w:p>
    <w:p>
      <w:pPr>
        <w:spacing w:after="0" w:line="80"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212529"/>
        </w:rPr>
        <w:t>The year-end condensed consolidated balance sheet data presented for comparative purposes was derived from the Company’s audited financial statements but does not include all disclosures required by U.S. GAAP. The results of operations for the three months ended March 31, 2020 are not necessarily indicative of the operating results for the full year or for any other subsequent interim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83" w:lineRule="exact"/>
        <w:rPr>
          <w:sz w:val="20"/>
          <w:szCs w:val="20"/>
          <w:color w:val="auto"/>
        </w:rPr>
      </w:pPr>
    </w:p>
    <w:p>
      <w:pPr>
        <w:ind w:right="360" w:firstLine="432"/>
        <w:spacing w:after="0" w:line="263"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and reporting segment.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83"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preparation of financial statements and related disclosures in conformity with GAAP requires management to make estimates and judgments that affect the amounts reported in the financial statements and accompanying notes. The Company bases its estimates and judgments on historical experience and on various other assumptions that it believes are reasonable under the circumstances. The amounts of assets and liabilities reported in the Company's Consolidated Balance Sheets and the amount of expenses reported for each of the periods presented are affected by estimates and assumptions, which are used for, but not limited to, accounting for research and development costs, accounting for share-based compensation and accounting for income taxes. Actual results could differ from those estimates.</w:t>
      </w:r>
    </w:p>
    <w:p>
      <w:pPr>
        <w:sectPr>
          <w:pgSz w:w="11900" w:h="16838" w:orient="portrait"/>
          <w:cols w:equalWidth="0" w:num="1">
            <w:col w:w="11220"/>
          </w:cols>
          <w:pgMar w:left="320" w:top="476" w:right="359" w:bottom="1440"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20"/>
          </w:cols>
          <w:pgMar w:left="320" w:top="476" w:right="3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83" w:lineRule="exact"/>
        <w:rPr>
          <w:sz w:val="20"/>
          <w:szCs w:val="20"/>
          <w:color w:val="auto"/>
        </w:rPr>
      </w:pPr>
    </w:p>
    <w:p>
      <w:pPr>
        <w:ind w:right="520" w:firstLine="432"/>
        <w:spacing w:after="0" w:line="342" w:lineRule="auto"/>
        <w:rPr>
          <w:sz w:val="20"/>
          <w:szCs w:val="20"/>
          <w:color w:val="auto"/>
        </w:rPr>
      </w:pPr>
      <w:r>
        <w:rPr>
          <w:rFonts w:ascii="Arial" w:cs="Arial" w:eastAsia="Arial" w:hAnsi="Arial"/>
          <w:sz w:val="16"/>
          <w:szCs w:val="16"/>
          <w:color w:val="auto"/>
        </w:rPr>
        <w:t>The Company considers all highly liquid investments with an original maturity of 90 days or less when purchased to be cash equivalents. The carrying amounts reported in the Balance Sheets for cash and cash equivalents are valued at cost, which approximates their fair value.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2020, the Company had cash and cash equivalents of approximately $108.4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8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Company's financial instruments that are exposed to concentration of credit risk consist primarily of cash and cash equivalents. The Company maintains its cash in bank accounts, the balances of which generally exceed federally insured limits. The Company maintains its cash equivalents in investments in money market funds and, at times, in U.S. Treasury securities and investment-grade corporate debt securities with original maturities of 90 days or less.</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believes it is not exposed to significant credit risk on its cash and cash equivalents.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Suppliers</w:t>
      </w:r>
    </w:p>
    <w:p>
      <w:pPr>
        <w:spacing w:after="0" w:line="148"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The Company currently relies exclusively upon a single third-party manufacturer to provide the drug substance for Zimura on a purchase order basis. The Company also engages a single third-party manufacturer to provide fill/finish services for clinical supplies of Zimura. In addition, the Company currently relies upon a single third-party supplier to supply on a purchase order basis the proprietary polyethylene glycol reagent used to manufacture Zimura. Furthermore, the Company and its contract manufacturers currently rely upon sole-source suppliers of certain raw materials and other specialized components of production used in the manufacture and fill/finish of Zimura. The Company currently relies exclusively upon a single third-party contract manufacturer for IC-100 and IC-200 and also relies on sole-source suppliers for certain starting materials used in the manufacture of such product candidates. The Company currently relies upon a single third-party contract manufacturer to conduct process development, scale-up and cGMP manufacture of the lead compound for its HtrA1 inhibitors program for potential preclinical toxicology studies and clinical trials. If the Company’s third-party manufacturers or fill/finish service providers should become unavailable to the Company for any reason, including as a result of capacity constraints, different business objectives, financial difficulties, insolvency or the COVID-19 pandemic, the Company believes that there are a limited number of potential replacement manufacturers, and the Company likely would incur added costs and delays in identifying or qualifying such replacements.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8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considers the U.S. dollar to be its functional currency. Expenses denominated in foreign currencies are translated at the exchange rate on the date the expense is incurred. The effect of exchange rate fluctuations on translating foreign currency assets and liabilities into U.S. dollars is included in the Consolidated Statements of Operations and Comprehensive Loss. Foreign exchange transaction gains and losses are included in the results of operations and are not material in the Company's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83" w:lineRule="exact"/>
        <w:rPr>
          <w:sz w:val="20"/>
          <w:szCs w:val="20"/>
          <w:color w:val="auto"/>
        </w:rPr>
      </w:pPr>
    </w:p>
    <w:p>
      <w:pPr>
        <w:ind w:right="300" w:firstLine="432"/>
        <w:spacing w:after="0" w:line="263" w:lineRule="auto"/>
        <w:rPr>
          <w:sz w:val="20"/>
          <w:szCs w:val="20"/>
          <w:color w:val="auto"/>
        </w:rPr>
      </w:pPr>
      <w:r>
        <w:rPr>
          <w:rFonts w:ascii="Arial" w:cs="Arial" w:eastAsia="Arial" w:hAnsi="Arial"/>
          <w:sz w:val="18"/>
          <w:szCs w:val="18"/>
          <w:color w:val="auto"/>
        </w:rPr>
        <w:t>Cash equivalents and available for sale securities are reflected in the accompanying financial statements at fair value. The carrying amount of accounts payable and accrued expenses, including accrued research and development expenses, approximates fair value due to the short-term nature of those instruments.</w:t>
      </w:r>
    </w:p>
    <w:p>
      <w:pPr>
        <w:spacing w:after="0" w:line="10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 xml:space="preserve">Accounting Standards Codification, or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187" w:lineRule="exact"/>
        <w:rPr>
          <w:sz w:val="20"/>
          <w:szCs w:val="20"/>
          <w:color w:val="auto"/>
        </w:rPr>
      </w:pPr>
    </w:p>
    <w:p>
      <w:pPr>
        <w:ind w:right="40" w:firstLine="405"/>
        <w:spacing w:after="0" w:line="296" w:lineRule="auto"/>
        <w:rPr>
          <w:sz w:val="20"/>
          <w:szCs w:val="20"/>
          <w:color w:val="auto"/>
        </w:rPr>
      </w:pPr>
      <w:r>
        <w:rPr>
          <w:rFonts w:ascii="Arial" w:cs="Arial" w:eastAsia="Arial" w:hAnsi="Arial"/>
          <w:sz w:val="16"/>
          <w:szCs w:val="16"/>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financial assets. The market approach uses prices and other relevant information generated by market transactions involving identical or comparable assets. The Company classifies its corporate debt securities within the fair value hierarchy as Level 2 assets, as it primarily utilizes quoted market prices or rates for similar instruments to value these securities.</w:t>
      </w: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60"/>
          </w:cols>
          <w:pgMar w:left="320" w:top="125" w:right="4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valuation hierarchy is based upon the transparency of inputs to the valuation of an asset or liability on the measurement date. The three levels are defined as follows:</w:t>
      </w:r>
    </w:p>
    <w:p>
      <w:pPr>
        <w:spacing w:after="0" w:line="170" w:lineRule="exact"/>
        <w:rPr>
          <w:sz w:val="20"/>
          <w:szCs w:val="20"/>
          <w:color w:val="auto"/>
        </w:rPr>
      </w:pPr>
    </w:p>
    <w:p>
      <w:pPr>
        <w:ind w:left="660" w:right="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an identical asset or liability in an active market. The Company's Level 1 assets consist of investments in money market funds and U.S. Treasury securities.</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consist of investments in investment-grade corporate debt securities.</w:t>
      </w:r>
    </w:p>
    <w:p>
      <w:pPr>
        <w:spacing w:after="0" w:line="1" w:lineRule="exact"/>
        <w:rPr>
          <w:rFonts w:ascii="Arial" w:cs="Arial" w:eastAsia="Arial" w:hAnsi="Arial"/>
          <w:sz w:val="18"/>
          <w:szCs w:val="18"/>
          <w:color w:val="auto"/>
        </w:rPr>
      </w:pPr>
    </w:p>
    <w:p>
      <w:pPr>
        <w:ind w:left="660" w:right="660" w:hanging="328"/>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 of the asset or liability. The Company does not hold any assets that are measured using Level 3 inputs.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83" w:lineRule="exact"/>
        <w:rPr>
          <w:sz w:val="20"/>
          <w:szCs w:val="20"/>
          <w:color w:val="auto"/>
        </w:rPr>
      </w:pPr>
    </w:p>
    <w:p>
      <w:pPr>
        <w:ind w:firstLine="391"/>
        <w:spacing w:after="0" w:line="301" w:lineRule="auto"/>
        <w:rPr>
          <w:sz w:val="20"/>
          <w:szCs w:val="20"/>
          <w:color w:val="auto"/>
        </w:rPr>
      </w:pPr>
      <w:r>
        <w:rPr>
          <w:rFonts w:ascii="Arial" w:cs="Arial" w:eastAsia="Arial" w:hAnsi="Arial"/>
          <w:sz w:val="16"/>
          <w:szCs w:val="16"/>
          <w:color w:val="auto"/>
        </w:rPr>
        <w:t>The Company has leased its office spaces and has entered into various other agreements in conducting its business. At inception, the Company determines whether an agreement represents a lease and at commencement evaluates each lease agreement to determine whether the lease is an operating or financing lease. Some of the Company's lease agreements have contained renewal options, tenant improvement allowances, rent holidays and rent escalation clauses, although its remaining outstanding lease for its principal offices has no further options, allowances, holidays or clauses.</w:t>
      </w:r>
    </w:p>
    <w:p>
      <w:pPr>
        <w:spacing w:after="0" w:line="211" w:lineRule="exact"/>
        <w:rPr>
          <w:sz w:val="20"/>
          <w:szCs w:val="20"/>
          <w:color w:val="auto"/>
        </w:rPr>
      </w:pPr>
    </w:p>
    <w:p>
      <w:pPr>
        <w:ind w:right="40" w:firstLine="378"/>
        <w:spacing w:after="0" w:line="288" w:lineRule="auto"/>
        <w:rPr>
          <w:sz w:val="20"/>
          <w:szCs w:val="20"/>
          <w:color w:val="auto"/>
        </w:rPr>
      </w:pPr>
      <w:r>
        <w:rPr>
          <w:rFonts w:ascii="Arial" w:cs="Arial" w:eastAsia="Arial" w:hAnsi="Arial"/>
          <w:sz w:val="16"/>
          <w:szCs w:val="16"/>
          <w:color w:val="auto"/>
        </w:rPr>
        <w:t xml:space="preserve">Pursuant to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the Company records an operating lease right-of-use asset and an operating lease liability on its Consolidated Balance Sheet. Right-of-use lease assets represent the Company's right to use the underlying asset for the lease term and the lease obligation represents the Company's commitment to make the lease payments arising from the lease. Right-of-use lease assets and obligations are recognized at the commencement date based on the present value of remaining lease payments over the lease term. As the Company’s leases do not provide an implicit discount rate, the Company has used an estimated incremental borrowing rate based on the information available at the commencement date in determining the present value of lease payments. The right-of-use lease asset includes any lease payments made prior to commencement and excludes any lease incentives. The lease term may include options to extend or terminate the lease when it is reasonably certain that the Company will exercise that option. Operating lease expense is recognized on a straight-line basis over the lease term, subject to any changes in the lease or expectations regarding the terms. Variable lease costs such as common area costs and property taxes are expensed as incurred. For all office lease agreements the Company combines lease and nonlease components. Leases with an initial term of 12 months or less are not recorded on the Company's Consolidated Balance Sheet.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83"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Property and equipment, which consists mainly of clinical equipment, computers, software, other office equipment, and leasehold improvements, are carried at cost less accumulated depreciation. Depreciation is computed over the estimated useful lives of the respective assets, generally three to ten years, using the straight-line method. Amortization of leasehold improvements is recorded over the shorter of the lease term or estimated useful life of the related asset.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83"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color w:val="auto"/>
        </w:rPr>
        <w:t>The Company's research and development expenses primarily consist of costs associated with the manufacturing, development and preclinical and clinical testing of its product candidates and costs associated with its collaborative gene therapy sponsored research programs. The Company's research and development expenses consist of:</w:t>
      </w:r>
    </w:p>
    <w:p>
      <w:pPr>
        <w:spacing w:after="0" w:line="238" w:lineRule="exact"/>
        <w:rPr>
          <w:sz w:val="20"/>
          <w:szCs w:val="20"/>
          <w:color w:val="auto"/>
        </w:rPr>
      </w:pPr>
    </w:p>
    <w:p>
      <w:pPr>
        <w:ind w:left="980" w:right="20" w:hanging="324"/>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 parties, such as academic research collaborators, contract research organizations ("CROs"), and contract development and manufacturing organizations ("CDMOs") and other vendors for the production and analysis of drug substance and drug product; and</w:t>
      </w:r>
    </w:p>
    <w:p>
      <w:pPr>
        <w:spacing w:after="0" w:line="237"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224" w:lineRule="exact"/>
        <w:rPr>
          <w:sz w:val="20"/>
          <w:szCs w:val="20"/>
          <w:color w:val="auto"/>
        </w:rPr>
      </w:pPr>
    </w:p>
    <w:p>
      <w:pPr>
        <w:jc w:val="both"/>
        <w:ind w:right="280" w:firstLine="432"/>
        <w:spacing w:after="0" w:line="342" w:lineRule="auto"/>
        <w:rPr>
          <w:sz w:val="20"/>
          <w:szCs w:val="20"/>
          <w:color w:val="auto"/>
        </w:rPr>
      </w:pPr>
      <w:r>
        <w:rPr>
          <w:rFonts w:ascii="Arial" w:cs="Arial" w:eastAsia="Arial" w:hAnsi="Arial"/>
          <w:sz w:val="16"/>
          <w:szCs w:val="16"/>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collaborators.</w:t>
      </w:r>
    </w:p>
    <w:p>
      <w:pPr>
        <w:spacing w:after="0" w:line="178"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 xml:space="preserve">All research and development expenses are charged to operations as incurred in accordance with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The Company accounts for non-refundable advance payments for goods and services that will be used in future research and development activities as expenses when the service has been performed or when the goods have been received, rather than when the payment is made.</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Company utilizes the liability method of accounting for deferred income taxes, as set forth in ASC 740, Income Taxes.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48"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The Company follows the provisions of ASC 718, Compensation—Stock Compensation, which requires the measurement and recognition of compensation expense for all share-based payment awards made to employees and non-employee directors and consultants, including employee stock options, restricted stock units (“RSUs”) and options granted to employees to purchase shares under the 2016 Employee Stock Purchase Plan (the “ESPP”). Share-based compensation expense is based on the grant date fair value estimated in accordance with the provisions of ASC 718 and is generally recognized as an expense over the requisite service period, net of estimated forfeitures. For grants containing performance-based vesting provisions, expense is recognized over the estimated achievement period only when the performance-based milestone is deemed probable of achievement. If performance-based milestones are later determined not to be probable of achievement, then all previously recorded stock-based compensation expense associated with such options will be reversed during the period in which the Company makes this determination.</w:t>
      </w:r>
    </w:p>
    <w:p>
      <w:pPr>
        <w:spacing w:after="0" w:line="17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 estimates forfeitures at the time of grant and revises those estimates in subsequent periods if actual forfeitures differ from its estimates. The Company uses historical data to estimate pre-vesting forfeitures and record share-based compensation expense only for those awards that are expected to vest. To the extent that actual forfeitures differ from the Company's estimates, the difference is recorded as a cumulative adjustment in the period the estimates were revised.</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The Company estimates the fair value of stock options granted to employees, non-employee directors and consultants on the date of grant using the Black-Scholes option-pricing model. The Company's computation of stock-price volatility is based on daily historical volatility during the time period that corresponds to the expected option term. The Company's computation of expected term is determined using the expected term of stock option grants to employees based on an analysis of actual option exercises. The Company utilizes a dividend yield of zero based on the fact that the Company has never paid cash dividends to stockholders and has no current intentions to pay cash dividends. The risk-free interest rate is based on the zero-coupon U.S. Treasury yield at the date of grant for a term equivalent to the expected term of the option.</w:t>
      </w:r>
    </w:p>
    <w:p>
      <w:pPr>
        <w:spacing w:after="0" w:line="97"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weighted-average assumptions used to estimate grant date fair value of stock options using the Black-Scholes option pricing model were as follows for the three month periods ended March 31, 2020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0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2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common stock price volatility</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86%</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0.87%-1.34%</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2.50%-2.54%</w:t>
            </w: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of options (years)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6.2</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36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RSUs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estimates the fair value of RSUs granted to employees using the closing market price of the Company's common stock on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ESPP</w:t>
      </w:r>
    </w:p>
    <w:p>
      <w:pPr>
        <w:spacing w:after="0" w:line="27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April 2016, the Company's board of directors adopted the ESPP pursuant to which the Company may sell up to an aggregate of 1,000,000 shares of its common stock. The ESPP was approved by the Company’s stockholders in June 2016. The ESPP is considered compensatory and the fair value of the discount and look back provision are estimated using the Black-Scholes option-pricing model and recognized over the six month withholding period prior to purchase.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83"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June 2016, the Financial Accounting Standards Board (the "FASB") issued Accounting Standard Update ("ASU") 2016-13 “Financial Instruments (Topic 326) Measurement of Credit Losses on Financial Instrument" (“CECL”). ASU 2016-13 requires an allowance for expected credit losses on financial assets be recognized as early as day one of the instrument. This ASU departs from the incurred loss model which means the probability threshold is removed. It considers more forward-looking information and requires the entity to estimate its credit losses as far as it can reasonably estimate. This ASU is effective for fiscal years beginning after December 15, 2019, including interim periods within those fiscal years. The Company adopted this accounting standard effective January 1, 2020 with no material impact to its financial statements.</w:t>
      </w:r>
    </w:p>
    <w:p>
      <w:pPr>
        <w:spacing w:after="0" w:line="232"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which modifies the disclosure requirements on fair value measurements in Topic 820, Fair Value Measurement, including, among other changes, the consideration of costs and benefits when evaluating disclosure requirements. For public companies, the amendments became effective for annual reporting periods beginning after December 15, 2019, including interim periods within those annual periods. The Company adopted this accounting standard effective January 1, 2020 with no material impact to its financial statements.</w:t>
      </w:r>
    </w:p>
    <w:p>
      <w:pPr>
        <w:spacing w:after="0" w:line="242"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 Internal-Use Software</w:t>
      </w:r>
      <w:r>
        <w:rPr>
          <w:rFonts w:ascii="Arial" w:cs="Arial" w:eastAsia="Arial" w:hAnsi="Arial"/>
          <w:sz w:val="16"/>
          <w:szCs w:val="16"/>
          <w:color w:val="auto"/>
        </w:rPr>
        <w:t xml:space="preserve"> (Subtopic 350-40): </w:t>
      </w:r>
      <w:r>
        <w:rPr>
          <w:rFonts w:ascii="Arial" w:cs="Arial" w:eastAsia="Arial" w:hAnsi="Arial"/>
          <w:sz w:val="16"/>
          <w:szCs w:val="16"/>
          <w:i w:val="1"/>
          <w:iCs w:val="1"/>
          <w:color w:val="auto"/>
        </w:rPr>
        <w:t>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(a consensus of the FASB Emerging Issues</w:t>
      </w:r>
      <w:r>
        <w:rPr>
          <w:rFonts w:ascii="Arial" w:cs="Arial" w:eastAsia="Arial" w:hAnsi="Arial"/>
          <w:sz w:val="16"/>
          <w:szCs w:val="16"/>
          <w:i w:val="1"/>
          <w:iCs w:val="1"/>
          <w:color w:val="auto"/>
        </w:rPr>
        <w:t xml:space="preserve"> </w:t>
      </w:r>
      <w:r>
        <w:rPr>
          <w:rFonts w:ascii="Arial" w:cs="Arial" w:eastAsia="Arial" w:hAnsi="Arial"/>
          <w:sz w:val="16"/>
          <w:szCs w:val="16"/>
          <w:color w:val="auto"/>
        </w:rPr>
        <w:t>Task Force). ASU 2018-15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guidance became effective for fiscal years beginning after December 15, 2019, and for interim periods within those fiscal years. The Company adopted this accounting standard effective January 1, 2020 with no material impact to its financial statements.</w:t>
      </w:r>
    </w:p>
    <w:p>
      <w:pPr>
        <w:spacing w:after="0" w:line="21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w:t>
      </w:r>
      <w:r>
        <w:rPr>
          <w:rFonts w:ascii="Arial" w:cs="Arial" w:eastAsia="Arial" w:hAnsi="Arial"/>
          <w:sz w:val="18"/>
          <w:szCs w:val="18"/>
          <w:color w:val="auto"/>
        </w:rPr>
        <w:t>, which clarifies the interaction between the guidance for collaborative arrangements (Topic 808) and the new revenue recognition standard (Topic 606). For public companies, the amendments became effective for annual reporting periods beginning after December 15, 2019, including interim periods within those annual periods. The Company adopted this accounting standard effective January 1, 2020 with no material impact to its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83"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 which simplifies the accounting for income taxes, eliminates certain exceptions within ASC 740, </w:t>
      </w:r>
      <w:r>
        <w:rPr>
          <w:rFonts w:ascii="Arial" w:cs="Arial" w:eastAsia="Arial" w:hAnsi="Arial"/>
          <w:sz w:val="18"/>
          <w:szCs w:val="18"/>
          <w:i w:val="1"/>
          <w:iCs w:val="1"/>
          <w:color w:val="auto"/>
        </w:rPr>
        <w:t>Income Taxes</w:t>
      </w:r>
      <w:r>
        <w:rPr>
          <w:rFonts w:ascii="Arial" w:cs="Arial" w:eastAsia="Arial" w:hAnsi="Arial"/>
          <w:sz w:val="18"/>
          <w:szCs w:val="18"/>
          <w:color w:val="auto"/>
        </w:rPr>
        <w:t>, and clarifies certain aspects of the current guidance to promote consistency among reporting entities. ASU 2019-12 is effective for fiscal years beginning after December 15, 2021. Most amendments within the standard are required to be applied on a prospective basis, while certain amendments must be applied on a retrospective or modified retrospective basis. The Company is evaluating the effects, if any, of the adoption of ASU 2019-12 guidance on the Company’s financial position, results of operations and cash flows.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Common Share</w:t>
      </w:r>
    </w:p>
    <w:p>
      <w:pPr>
        <w:spacing w:after="0" w:line="148"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Basic and diluted net loss per common share is determined by dividing net loss by the weighted average common shares and pre-funded warrants outstanding during the period. For the periods when there is a net loss, shares underlying stock options and RSUs have been excluded from the calculation of diluted net loss per common share because the effect of including such shares would be anti-dilutive. Therefore, the weighted average common shares used to calculate both basic and diluted net loss per common share would be the same.</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computation of basic and diluted net loss per common share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5160" w:type="dxa"/>
            <w:vAlign w:val="bottom"/>
            <w:tcBorders>
              <w:bottom w:val="single" w:sz="8" w:color="CCEEFF"/>
            </w:tcBorders>
          </w:tcPr>
          <w:p>
            <w:pPr>
              <w:spacing w:after="0"/>
              <w:rPr>
                <w:sz w:val="22"/>
                <w:szCs w:val="22"/>
                <w:color w:val="auto"/>
              </w:rPr>
            </w:pPr>
          </w:p>
        </w:tc>
        <w:tc>
          <w:tcPr>
            <w:tcW w:w="30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net loss per common share calculation:</w:t>
            </w:r>
          </w:p>
        </w:tc>
        <w:tc>
          <w:tcPr>
            <w:tcW w:w="3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w:t>
            </w:r>
          </w:p>
        </w:tc>
        <w:tc>
          <w:tcPr>
            <w:tcW w:w="3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(12,501)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Weighted average common shares outstanding - basic and dilutive</w:t>
            </w:r>
          </w:p>
        </w:tc>
        <w:tc>
          <w:tcPr>
            <w:tcW w:w="30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53,426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41,427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Net loss per share of common stock - basic and diluted</w:t>
            </w:r>
          </w:p>
        </w:tc>
        <w:tc>
          <w:tcPr>
            <w:tcW w:w="3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60" w:type="dxa"/>
            <w:vAlign w:val="bottom"/>
            <w:vMerge w:val="restart"/>
          </w:tcPr>
          <w:p>
            <w:pPr>
              <w:jc w:val="right"/>
              <w:ind w:right="2410"/>
              <w:spacing w:after="0"/>
              <w:rPr>
                <w:sz w:val="20"/>
                <w:szCs w:val="20"/>
                <w:color w:val="auto"/>
              </w:rPr>
            </w:pPr>
            <w:r>
              <w:rPr>
                <w:rFonts w:ascii="Arial" w:cs="Arial" w:eastAsia="Arial" w:hAnsi="Arial"/>
                <w:sz w:val="18"/>
                <w:szCs w:val="18"/>
                <w:color w:val="auto"/>
              </w:rPr>
              <w:t>12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16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computations of diluted weighted average common shares outstanding for the periods presented, as the effect of including such shares would be anti-dilutive:</w:t>
      </w:r>
    </w:p>
    <w:p>
      <w:pPr>
        <w:spacing w:after="0" w:line="108"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23495</wp:posOffset>
            </wp:positionV>
            <wp:extent cx="1920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50"/>
        </w:trPr>
        <w:tc>
          <w:tcPr>
            <w:tcW w:w="9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outstanding</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6,635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5,844</w:t>
            </w:r>
          </w:p>
        </w:tc>
      </w:tr>
      <w:tr>
        <w:trPr>
          <w:trHeight w:val="243"/>
        </w:trPr>
        <w:tc>
          <w:tcPr>
            <w:tcW w:w="9120" w:type="dxa"/>
            <w:vAlign w:val="bottom"/>
            <w:gridSpan w:val="2"/>
          </w:tcPr>
          <w:p>
            <w:pPr>
              <w:ind w:left="40"/>
              <w:spacing w:after="0"/>
              <w:rPr>
                <w:sz w:val="20"/>
                <w:szCs w:val="20"/>
                <w:color w:val="auto"/>
              </w:rPr>
            </w:pPr>
            <w:r>
              <w:rPr>
                <w:rFonts w:ascii="Arial" w:cs="Arial" w:eastAsia="Arial" w:hAnsi="Arial"/>
                <w:sz w:val="18"/>
                <w:szCs w:val="18"/>
                <w:color w:val="auto"/>
              </w:rPr>
              <w:t>Restricted stock units</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1,401</w:t>
            </w:r>
          </w:p>
        </w:tc>
        <w:tc>
          <w:tcPr>
            <w:tcW w:w="10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664</w:t>
            </w:r>
          </w:p>
        </w:tc>
      </w:tr>
      <w:tr>
        <w:trPr>
          <w:trHeight w:val="27"/>
        </w:trPr>
        <w:tc>
          <w:tcPr>
            <w:tcW w:w="8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9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8,036</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6,508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Cash Equivalents and Available for Sale Securities</w:t>
      </w:r>
    </w:p>
    <w:p>
      <w:pPr>
        <w:spacing w:after="0" w:line="283"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The Company considers all highly liquid investments purchased with original maturities of 90 days or less at the date of purchase to be cash equivalents. As of March 31, 2020 and December 31, 2019, the Company had cash and cash equivalents of approximately $108.4 million and $125.7 million, respectively. Cash and cash equivalents included cash of $4.1 million at March 31, 2020 and $3.2 million at December 31, 2019. Cash and cash equivalents at March 31, 2020 and December 31, 2019 included $104.3 million and $122.5 million, respectively, of investments in money market funds and certain investment-grade corporate debt securities with original maturities of 90 days or less.</w:t>
      </w:r>
    </w:p>
    <w:p>
      <w:pPr>
        <w:spacing w:after="0" w:line="230"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Company considers securities with original maturities of greater than 90 days at the date of purchase to be available for sale securities. The Company held no available for sale securities at March 31, 2020 or at December 31, 2019, respectively.</w:t>
      </w:r>
    </w:p>
    <w:p>
      <w:pPr>
        <w:spacing w:after="0" w:line="22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Company believes that its existing cash and cash equivalents as of March 31, 2020 will be sufficient to fund its operations and capital expenditure requirements as currently planned for at least the next 12 months from the filing of this Quarterly Report on Form 10-Q. This estimate is based on the Company's current business plan, including the continuation of its current research and development programs. This estimate also does not reflect any additional expenditures, including associated development costs, in the event it in-licenses or acquires any new product candidates or if it commences any new sponsored research programs. The Company has based this estimate on assumptions that may prove to be wrong, and it could use its available capital resources sooner than it currently expects.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Compensation</w:t>
      </w:r>
    </w:p>
    <w:p>
      <w:pPr>
        <w:spacing w:after="0" w:line="28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Pursuant to the evergreen provisions of the Company's 2013 stock incentive plan (the "2013 Plan"), annual increases have resulted in the addition of an aggregate of approximately 10,539,000 additional shares to the 2013 Plan, including for 2020, an increase of approximately 1,985,000 shares, or approximately 4% of the total number of shares of the Company's common stock outstanding as of January 1, 2020. As of March 31, 2020, the Company had approximately 2,908,000 shares available for grant under the 2013 Plan.</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October 2019, the Company's board of directors adopted its 2019 Inducement Stock Incentive Plan (the “2019 Inducement Plan”) to</w:t>
      </w:r>
    </w:p>
    <w:p>
      <w:pPr>
        <w:spacing w:after="0" w:line="23"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reserve initially 1,000,000 shares of its common stock to be used exclusively for grants of awards to individuals who were not previously employees or directors of the Company as a material inducement to such individuals’ entry into employment with the Company within Rule 5635(c)(4) of the Nasdaq Listing Rules. The terms and conditions of the 2019 Inducement Plan are substantially similar to those of the 2013 Plan. In March 2020, the Company's board of directors amended the 2019 Inducement Plan to reserve an additional 1,000,000 shares of its common stock for issuance under the plan. As of March 31, 2020, the Company had approximately 1,622,000 shares available for grant under the 2019 Inducement Plan.</w:t>
      </w:r>
    </w:p>
    <w:p>
      <w:pPr>
        <w:spacing w:after="0" w:line="21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Share-based compensation expense, net of estimated forfeitures, includes expenses related to stock options and RSUs granted to employees, non-employee directors and consultants, as well as options granted to employees to purchase shares under the ESPP. Stock-based compensation by award type was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263"/>
        </w:trPr>
        <w:tc>
          <w:tcPr>
            <w:tcW w:w="82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1,374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1,622</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9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821</w:t>
            </w:r>
          </w:p>
        </w:tc>
      </w:tr>
      <w:tr>
        <w:trPr>
          <w:trHeight w:val="27"/>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purchase plan</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57"/>
        </w:trPr>
        <w:tc>
          <w:tcPr>
            <w:tcW w:w="8220" w:type="dxa"/>
            <w:vAlign w:val="bottom"/>
          </w:tcPr>
          <w:p>
            <w:pPr>
              <w:ind w:left="4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2,324</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2,470</w:t>
            </w:r>
          </w:p>
        </w:tc>
      </w:tr>
      <w:tr>
        <w:trPr>
          <w:trHeight w:val="20"/>
        </w:trPr>
        <w:tc>
          <w:tcPr>
            <w:tcW w:w="8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25" w:right="339" w:bottom="1440" w:gutter="0" w:footer="0" w:header="0"/>
          <w:type w:val="continuous"/>
        </w:sectPr>
      </w:pPr>
    </w:p>
    <w:bookmarkStart w:id="15" w:name="page16"/>
    <w:bookmarkEnd w:id="15"/>
    <w:p>
      <w:pPr>
        <w:ind w:right="320" w:firstLine="405"/>
        <w:spacing w:after="0" w:line="277" w:lineRule="auto"/>
        <w:rPr>
          <w:sz w:val="20"/>
          <w:szCs w:val="20"/>
          <w:color w:val="auto"/>
        </w:rPr>
      </w:pPr>
      <w:r>
        <w:rPr>
          <w:rFonts w:ascii="Arial" w:cs="Arial" w:eastAsia="Arial" w:hAnsi="Arial"/>
          <w:sz w:val="18"/>
          <w:szCs w:val="18"/>
          <w:color w:val="auto"/>
        </w:rPr>
        <w:t>The Company allocated stock-based compensation expense in the Company’s Consolidated Statements of Operations and Comprehensive Loss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263"/>
        </w:trPr>
        <w:tc>
          <w:tcPr>
            <w:tcW w:w="82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1,153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1,170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1,171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1,300</w:t>
            </w:r>
          </w:p>
        </w:tc>
      </w:tr>
      <w:tr>
        <w:trPr>
          <w:trHeight w:val="27"/>
        </w:trPr>
        <w:tc>
          <w:tcPr>
            <w:tcW w:w="8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2,324</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2,470</w:t>
            </w:r>
          </w:p>
        </w:tc>
      </w:tr>
      <w:tr>
        <w:trPr>
          <w:trHeight w:val="20"/>
        </w:trPr>
        <w:tc>
          <w:tcPr>
            <w:tcW w:w="8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7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 summary of the stock option activity, weighted average exercise prices, options outstanding, exercisable and expected to vest as of March 31, 2020 is as follows (in thousands except weighted average exercise price):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4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2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92"/>
        </w:trPr>
        <w:tc>
          <w:tcPr>
            <w:tcW w:w="82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Underlying Options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2019</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6,780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105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60" w:type="dxa"/>
            <w:vAlign w:val="bottom"/>
          </w:tcPr>
          <w:p>
            <w:pPr>
              <w:jc w:val="right"/>
              <w:spacing w:after="0"/>
              <w:rPr>
                <w:sz w:val="20"/>
                <w:szCs w:val="20"/>
                <w:color w:val="auto"/>
              </w:rPr>
            </w:pPr>
            <w:r>
              <w:rPr>
                <w:rFonts w:ascii="Arial" w:cs="Arial" w:eastAsia="Arial" w:hAnsi="Arial"/>
                <w:sz w:val="18"/>
                <w:szCs w:val="18"/>
                <w:color w:val="auto"/>
              </w:rPr>
              <w:t>(201)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March 31, 2020</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6,635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Vested and exercisable, March 31, 2020</w:t>
            </w: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3,482</w:t>
            </w:r>
          </w:p>
        </w:tc>
        <w:tc>
          <w:tcPr>
            <w:tcW w:w="3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51"/>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expected to vest, March 31, 2020</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6,383</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As of March 31, 2020, there were approximately $7.2 million of unrecognized compensation costs, net of estimated forfeitures, related to stock option awards grants, which are expected to be recognized over a remaining weighted average period of 2.7 years.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7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following table presents a summary of the Company's outstanding RSU awards granted as of March 31, 2020 (in thousands except weighted average grant-date fair value):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240" w:type="dxa"/>
            <w:vAlign w:val="bottom"/>
          </w:tcPr>
          <w:p>
            <w:pPr>
              <w:jc w:val="center"/>
              <w:ind w:left="488"/>
              <w:spacing w:after="0"/>
              <w:rPr>
                <w:sz w:val="20"/>
                <w:szCs w:val="20"/>
                <w:color w:val="auto"/>
              </w:rPr>
            </w:pPr>
            <w:r>
              <w:rPr>
                <w:rFonts w:ascii="Arial" w:cs="Arial" w:eastAsia="Arial" w:hAnsi="Arial"/>
                <w:sz w:val="14"/>
                <w:szCs w:val="14"/>
                <w:b w:val="1"/>
                <w:bCs w:val="1"/>
                <w:color w:val="auto"/>
                <w:w w:val="93"/>
              </w:rPr>
              <w:t>Restricted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Weighted Average</w:t>
            </w:r>
          </w:p>
        </w:tc>
      </w:tr>
      <w:tr>
        <w:trPr>
          <w:trHeight w:val="148"/>
        </w:trPr>
        <w:tc>
          <w:tcPr>
            <w:tcW w:w="7520" w:type="dxa"/>
            <w:vAlign w:val="bottom"/>
          </w:tcPr>
          <w:p>
            <w:pPr>
              <w:spacing w:after="0"/>
              <w:rPr>
                <w:sz w:val="12"/>
                <w:szCs w:val="12"/>
                <w:color w:val="auto"/>
              </w:rPr>
            </w:pPr>
          </w:p>
        </w:tc>
        <w:tc>
          <w:tcPr>
            <w:tcW w:w="124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94"/>
              </w:rPr>
              <w:t>Stock</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9"/>
              </w:rPr>
              <w:t>Grant-Date</w:t>
            </w:r>
          </w:p>
        </w:tc>
      </w:tr>
      <w:tr>
        <w:trPr>
          <w:trHeight w:val="192"/>
        </w:trPr>
        <w:tc>
          <w:tcPr>
            <w:tcW w:w="75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91"/>
              </w:rPr>
              <w:t>Units</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5"/>
              </w:rPr>
              <w:t>Fair Value</w:t>
            </w:r>
          </w:p>
        </w:tc>
      </w:tr>
      <w:tr>
        <w:trPr>
          <w:trHeight w:val="250"/>
        </w:trPr>
        <w:tc>
          <w:tcPr>
            <w:tcW w:w="8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December 31, 2019</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1,481</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7.79</w:t>
            </w:r>
          </w:p>
        </w:tc>
      </w:tr>
      <w:tr>
        <w:trPr>
          <w:trHeight w:val="243"/>
        </w:trPr>
        <w:tc>
          <w:tcPr>
            <w:tcW w:w="8760" w:type="dxa"/>
            <w:vAlign w:val="bottom"/>
            <w:gridSpan w:val="2"/>
          </w:tcPr>
          <w:p>
            <w:pPr>
              <w:ind w:left="40"/>
              <w:spacing w:after="0"/>
              <w:rPr>
                <w:sz w:val="20"/>
                <w:szCs w:val="20"/>
                <w:color w:val="auto"/>
              </w:rPr>
            </w:pPr>
            <w:r>
              <w:rPr>
                <w:rFonts w:ascii="Arial" w:cs="Arial" w:eastAsia="Arial" w:hAnsi="Arial"/>
                <w:sz w:val="18"/>
                <w:szCs w:val="18"/>
                <w:color w:val="auto"/>
              </w:rPr>
              <w:t>Awarded</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6.35</w:t>
            </w:r>
          </w:p>
        </w:tc>
      </w:tr>
      <w:tr>
        <w:trPr>
          <w:trHeight w:val="27"/>
        </w:trPr>
        <w:tc>
          <w:tcPr>
            <w:tcW w:w="7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72.92</w:t>
            </w:r>
          </w:p>
        </w:tc>
      </w:tr>
      <w:tr>
        <w:trPr>
          <w:trHeight w:val="243"/>
        </w:trPr>
        <w:tc>
          <w:tcPr>
            <w:tcW w:w="876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4.79</w:t>
            </w:r>
          </w:p>
        </w:tc>
      </w:tr>
      <w:tr>
        <w:trPr>
          <w:trHeight w:val="27"/>
        </w:trPr>
        <w:tc>
          <w:tcPr>
            <w:tcW w:w="75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March 31, 2020</w:t>
            </w:r>
          </w:p>
        </w:tc>
        <w:tc>
          <w:tcPr>
            <w:tcW w:w="12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1,401</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7.40</w:t>
            </w:r>
          </w:p>
        </w:tc>
      </w:tr>
      <w:tr>
        <w:trPr>
          <w:trHeight w:val="20"/>
        </w:trPr>
        <w:tc>
          <w:tcPr>
            <w:tcW w:w="75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0"/>
        </w:trPr>
        <w:tc>
          <w:tcPr>
            <w:tcW w:w="8760" w:type="dxa"/>
            <w:vAlign w:val="bottom"/>
            <w:gridSpan w:val="2"/>
          </w:tcPr>
          <w:p>
            <w:pPr>
              <w:ind w:left="40"/>
              <w:spacing w:after="0"/>
              <w:rPr>
                <w:sz w:val="20"/>
                <w:szCs w:val="20"/>
                <w:color w:val="auto"/>
              </w:rPr>
            </w:pPr>
            <w:r>
              <w:rPr>
                <w:rFonts w:ascii="Arial" w:cs="Arial" w:eastAsia="Arial" w:hAnsi="Arial"/>
                <w:sz w:val="18"/>
                <w:szCs w:val="18"/>
                <w:color w:val="auto"/>
              </w:rPr>
              <w:t>Outstanding, Expected to vest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1,228</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4.89</w:t>
            </w:r>
          </w:p>
        </w:tc>
      </w:tr>
      <w:tr>
        <w:trPr>
          <w:trHeight w:val="20"/>
        </w:trPr>
        <w:tc>
          <w:tcPr>
            <w:tcW w:w="75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As of March 31, 2020, there were approximately $4.1 million of unrecognized compensation costs, net of estimated forfeitures, related to RSUs grants, which are expected to be recognized over a remaining weighted average period of 2.8 years.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ESPP</w:t>
      </w:r>
    </w:p>
    <w:p>
      <w:pPr>
        <w:spacing w:after="0" w:line="279" w:lineRule="exact"/>
        <w:rPr>
          <w:sz w:val="20"/>
          <w:szCs w:val="20"/>
          <w:color w:val="auto"/>
        </w:rPr>
      </w:pPr>
    </w:p>
    <w:p>
      <w:pPr>
        <w:jc w:val="both"/>
        <w:ind w:right="220" w:firstLine="405"/>
        <w:spacing w:after="0" w:line="279" w:lineRule="auto"/>
        <w:rPr>
          <w:sz w:val="20"/>
          <w:szCs w:val="20"/>
          <w:color w:val="auto"/>
        </w:rPr>
      </w:pPr>
      <w:r>
        <w:rPr>
          <w:rFonts w:ascii="Arial" w:cs="Arial" w:eastAsia="Arial" w:hAnsi="Arial"/>
          <w:sz w:val="17"/>
          <w:szCs w:val="17"/>
          <w:color w:val="auto"/>
        </w:rPr>
        <w:t>As of March 31, 2020, there were 838,182 shares available for future purchases under the ESPP. There were 43,581 shares of common stock issued under the ESPP during the three months ended March 31, 2020. Cash proceeds from ESPP purchases were $42 thousand during the three months ended March 31, 2020. There were 31,522 shares of common stock issued under the ESPP during the three months ended March 31, 2019. Cash proceeds from ESPP purchases were $42 thousand during the three months ended March 31, 2019.</w:t>
      </w:r>
    </w:p>
    <w:p>
      <w:pPr>
        <w:sectPr>
          <w:pgSz w:w="11900" w:h="16838" w:orient="portrait"/>
          <w:cols w:equalWidth="0" w:num="1">
            <w:col w:w="11240"/>
          </w:cols>
          <w:pgMar w:left="320" w:top="476" w:right="33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476"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b w:val="1"/>
          <w:bCs w:val="1"/>
          <w:color w:val="auto"/>
        </w:rPr>
        <w:t>. Income Taxes</w:t>
      </w:r>
    </w:p>
    <w:p>
      <w:pPr>
        <w:spacing w:after="0" w:line="283"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For the three months ended March 31, 2020, the Company recorded a $3.3 million benefit for income taxes. For the three months ended March 31, 2019, the Company recorded a de minimis provision for income taxes. The income tax benefit for the three months ended March 31, 2020 was primarily to reflect a settlement of a local tax audit and the decrease in its related uncertain tax position, interest and penalties.</w:t>
      </w:r>
    </w:p>
    <w:p>
      <w:pPr>
        <w:spacing w:after="0" w:line="219"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In response to the COVID-19 pandemic, the U.S. Congress enacted the Coronavirus Aid, Relief, and Economic Security Act ("CARES Act") on March 27, 2020. The CARES Act provides numerous tax provisions and other stimulus measures, including the immediate refund of minimum tax credits. The Company has recorded a current tax receivable of approximately $1.8 million in anticipation of this refund.</w:t>
      </w:r>
    </w:p>
    <w:p>
      <w:pPr>
        <w:spacing w:after="0" w:line="23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Company will continue to evaluate its ability to realize its deferred tax assets on a quarterly basis and will adjust such amounts in light of changing facts and circumstances including, but not limited to, future projections of taxable income, tax legislation, rulings by relevant tax authorities, the progress of ongoing tax audits and the regulatory approval of products currently under development. Any additional changes to the valuation allowance recorded on deferred tax assets in the future would impact the Company’s income taxes.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83"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24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financial assets. The market approach uses prices and other relevant information generated by market transactions involving identical or comparable assets. The Company classifies its investment-grade corporate debt securities within the fair value hierarchy as Level 2 assets, as it primarily utilizes quoted market prices or rates for similar instruments to value these securities.</w:t>
      </w:r>
    </w:p>
    <w:p>
      <w:pPr>
        <w:spacing w:after="0" w:line="24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valuation hierarchy is based upon the transparency of inputs to the valuation of an asset or liability on the measurement date. The three levels are defined as follows:</w:t>
      </w:r>
    </w:p>
    <w:p>
      <w:pPr>
        <w:spacing w:after="0" w:line="224" w:lineRule="exact"/>
        <w:rPr>
          <w:sz w:val="20"/>
          <w:szCs w:val="20"/>
          <w:color w:val="auto"/>
        </w:rPr>
      </w:pPr>
    </w:p>
    <w:p>
      <w:pPr>
        <w:ind w:left="660" w:right="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an identical asset or liability in an active market. The Company's Level 1 assets consist of investments in money market funds and U.S. Treasury securities.</w:t>
      </w:r>
    </w:p>
    <w:p>
      <w:pPr>
        <w:spacing w:after="0" w:line="224"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may consist of investments in investment-grade corporate debt securities.</w:t>
      </w:r>
    </w:p>
    <w:p>
      <w:pPr>
        <w:spacing w:after="0" w:line="237"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 of the asset or liability. The Company does not hold any assets that are measured using Level 3 inputs.</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320" w:top="125" w:right="3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March 31,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Fair Value Measurement Using</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center"/>
              <w:ind w:right="60"/>
              <w:spacing w:after="0" w:line="153" w:lineRule="exact"/>
              <w:rPr>
                <w:sz w:val="20"/>
                <w:szCs w:val="20"/>
                <w:color w:val="auto"/>
              </w:rPr>
            </w:pPr>
            <w:r>
              <w:rPr>
                <w:rFonts w:ascii="Arial" w:cs="Arial" w:eastAsia="Arial" w:hAnsi="Arial"/>
                <w:sz w:val="14"/>
                <w:szCs w:val="14"/>
                <w:b w:val="1"/>
                <w:bCs w:val="1"/>
                <w:color w:val="auto"/>
                <w:w w:val="90"/>
              </w:rPr>
              <w:t>Quoted prices in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 other</w:t>
            </w:r>
          </w:p>
        </w:tc>
        <w:tc>
          <w:tcPr>
            <w:tcW w:w="260" w:type="dxa"/>
            <w:vAlign w:val="bottom"/>
          </w:tcPr>
          <w:p>
            <w:pPr>
              <w:spacing w:after="0"/>
              <w:rPr>
                <w:sz w:val="13"/>
                <w:szCs w:val="13"/>
                <w:color w:val="auto"/>
              </w:rPr>
            </w:pPr>
          </w:p>
        </w:tc>
        <w:tc>
          <w:tcPr>
            <w:tcW w:w="1400" w:type="dxa"/>
            <w:vAlign w:val="bottom"/>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60" w:type="dxa"/>
            <w:vAlign w:val="bottom"/>
          </w:tcPr>
          <w:p>
            <w:pPr>
              <w:spacing w:after="0"/>
              <w:rPr>
                <w:sz w:val="12"/>
                <w:szCs w:val="12"/>
                <w:color w:val="auto"/>
              </w:rPr>
            </w:pPr>
          </w:p>
        </w:tc>
        <w:tc>
          <w:tcPr>
            <w:tcW w:w="14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400" w:type="dxa"/>
            <w:vAlign w:val="bottom"/>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49"/>
        </w:trPr>
        <w:tc>
          <w:tcPr>
            <w:tcW w:w="5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Investments in 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94,322</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U.S. Treasury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Investments in corporate debt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9"/>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December 31,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Fair Value Measurement Using</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w w:val="90"/>
              </w:rPr>
              <w:t>Quoted prices in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 other</w:t>
            </w:r>
          </w:p>
        </w:tc>
        <w:tc>
          <w:tcPr>
            <w:tcW w:w="260" w:type="dxa"/>
            <w:vAlign w:val="bottom"/>
          </w:tcPr>
          <w:p>
            <w:pPr>
              <w:spacing w:after="0"/>
              <w:rPr>
                <w:sz w:val="13"/>
                <w:szCs w:val="13"/>
                <w:color w:val="auto"/>
              </w:rPr>
            </w:pPr>
          </w:p>
        </w:tc>
        <w:tc>
          <w:tcPr>
            <w:tcW w:w="1400" w:type="dxa"/>
            <w:vAlign w:val="bottom"/>
          </w:tcPr>
          <w:p>
            <w:pPr>
              <w:jc w:val="center"/>
              <w:ind w:right="222"/>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60" w:type="dxa"/>
            <w:vAlign w:val="bottom"/>
          </w:tcPr>
          <w:p>
            <w:pPr>
              <w:spacing w:after="0"/>
              <w:rPr>
                <w:sz w:val="12"/>
                <w:szCs w:val="12"/>
                <w:color w:val="auto"/>
              </w:rPr>
            </w:pPr>
          </w:p>
        </w:tc>
        <w:tc>
          <w:tcPr>
            <w:tcW w:w="140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400" w:type="dxa"/>
            <w:vAlign w:val="bottom"/>
          </w:tcPr>
          <w:p>
            <w:pPr>
              <w:jc w:val="center"/>
              <w:ind w:right="22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49"/>
        </w:trPr>
        <w:tc>
          <w:tcPr>
            <w:tcW w:w="59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gridSpan w:val="2"/>
          </w:tcPr>
          <w:p>
            <w:pPr>
              <w:ind w:left="40"/>
              <w:spacing w:after="0"/>
              <w:rPr>
                <w:sz w:val="20"/>
                <w:szCs w:val="20"/>
                <w:color w:val="auto"/>
              </w:rPr>
            </w:pPr>
            <w:r>
              <w:rPr>
                <w:rFonts w:ascii="Arial" w:cs="Arial" w:eastAsia="Arial" w:hAnsi="Arial"/>
                <w:sz w:val="18"/>
                <w:szCs w:val="18"/>
                <w:color w:val="auto"/>
              </w:rPr>
              <w:t>Investments in 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108,585</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Investments in corporate debt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13,875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200" w:type="dxa"/>
            <w:vAlign w:val="bottom"/>
            <w:tcBorders>
              <w:bottom w:val="single" w:sz="8" w:color="auto"/>
            </w:tcBorders>
          </w:tcPr>
          <w:p>
            <w:pPr>
              <w:spacing w:after="0"/>
              <w:rPr>
                <w:sz w:val="11"/>
                <w:szCs w:val="11"/>
                <w:color w:val="auto"/>
              </w:rPr>
            </w:pPr>
          </w:p>
        </w:tc>
        <w:tc>
          <w:tcPr>
            <w:tcW w:w="3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Investments in money market funds and investment-grade corporate debt securities with maturities less than 90 days are reflected in cash and cash equivalents in the accompanying Consolidated Balance Sheets.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 transfer of assets between Level 1 and Level 2 of the fair value measurement hierarchy occurred during the three months ended March 31, 2020.</w:t>
      </w:r>
    </w:p>
    <w:p>
      <w:pPr>
        <w:spacing w:after="0" w:line="3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held no available for sale securities at March 31, 2020 or at December 31,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Zimura - Archemix Corp.</w:t>
      </w:r>
    </w:p>
    <w:p>
      <w:pPr>
        <w:spacing w:after="0" w:line="27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Company is party to an agreement with Archemix Corp., or Archemix, under which the Company in-licensed rights in certain patents, patent applications and other intellectual property related to Zimura and pursuant to which the Company may be required to pay sublicense fees and make milestone payments (the "C5 License Agreement"). Under the C5 License Agreement, for each anti-C5 aptamer product that the Company may develop under the agreement, including Zimura, the Company is obligated to make payments to Archemix of up to an aggregate of $56.5 million if the Company achieves specified development, clinical and regulatory milestones, with $30.5 million of such payments relating to a first indication, $23.5 million of such payments relating to second and third indications and $2.5 million of such payments relating to sustained delivery applications. Under the C5 License Agreement, the Company is also obligated to make additional payments to Archemix of up to an aggregate of $22.5 million if the Company achieves specified commercial milestones based on net product sales of all anti-C5 products licensed under the agreement. The Company is also obligated to pay Archemix a double-digit percentage of specified non-royalty payments the Company may receive from any sublicensee of its rights under the C5 License Agreement. The Company is not obligated to pay Archemix a running royalty based on net product sales in connection with the C5 License Agreement.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IC-100 - University of Florida and the University of Pennsylvania</w:t>
      </w:r>
    </w:p>
    <w:p>
      <w:pPr>
        <w:spacing w:after="0" w:line="27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Under its exclusive license agreement with the University of Florida Research Foundation, Incorporated ("UFRF") and the University of Pennsylvania ("Penn") for rights to IC-100, the Company is obligated to make payments to UFRF, for the benefit of Penn and UFRF (together, the "Licensors"), of up to an aggregate of $23.5 million if the Company achieves specified clinical, marketing approval and reimbursement approval milestones with respect to a licensed product and up to an aggregate of an additional $70.0 million if the Company achieves specified commercial sales milestones with respect to a licensed product. The Company is also obligated to pay UFRF, for the benefit of the Licensors, a low single-digit percentage of net sales of licensed products. The Company is also obligated to pay UFRF, for the benefit of the Licensors, a double-digit</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percentage of specified non-royalty payments the Company may receive from any third-party sublicensee of the licensed patent rights. Further, if the Company receives a rare pediatric disease priority review voucher from the FDA in connection with obtaining marketing approval for a licensed product and the Company subsequently uses such priority review voucher in connection with a different product candidate, the Company will be obligated to pay UFRF,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UFRF, for the benefit of the Licensors, a low double-digit percentage of any consideration received from such third party in connection with such sale.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IC-200 - University of Pennsylvania and the University of Florida</w:t>
      </w:r>
    </w:p>
    <w:p>
      <w:pPr>
        <w:spacing w:after="0" w:line="27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Under its exclusive license agreement with Penn and UFRF for rights to IC-200, the Company is obligated to make payments to Penn, for the benefit of the Licensors, of up to an aggregate of $15.7 million if the Company achieves specified clinical, marketing approval and reimbursement approval milestones with respect to one licensed product and up to an aggregate of an additional $3.1 million if the Company achieves these same milestones with respect to a different licensed product. In addition, the Company is obligated to make payments to Penn, for the benefit of the Licensors, of up to an aggregate of $48.0 million if the Company achieves specified commercial sales milestones with respect to one licensed product and up to an aggregate of an additional $9.6 million if the Company achieves these same milestones with respect to a different licensed product. The Company is also obligated to pay Penn, for the benefit of the Licensors, a low single-digit percentage of net sales of licensed products. The Company is also obligated to pay Penn, for the benefit of the Licensors, a high single-digit to a mid-teen percentage of specified non-royalty payments the Company may receive from any third-party sublicensee of the licensed patent rights, with the applicable percentage based upon the stage of development of the sublicensed product at the time the Company enters into the sublicense. Further, if the Company receives a rare pediatric disease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Penn,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Penn, for the benefit of the Licensors, a high single-digit percentage of any consideration received from such third party in connection with such sale.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miniCEP290 Program - University of Massachusetts</w:t>
      </w:r>
    </w:p>
    <w:p>
      <w:pPr>
        <w:spacing w:after="0" w:line="27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Under its exclusive license agreement with the University of Massachusetts ("UMass") for its miniCEP290 program, which targets LCA10, which is associated with mutations in the </w:t>
      </w:r>
      <w:r>
        <w:rPr>
          <w:rFonts w:ascii="Arial" w:cs="Arial" w:eastAsia="Arial" w:hAnsi="Arial"/>
          <w:sz w:val="16"/>
          <w:szCs w:val="16"/>
          <w:i w:val="1"/>
          <w:iCs w:val="1"/>
          <w:color w:val="auto"/>
        </w:rPr>
        <w:t>CEP290</w:t>
      </w:r>
      <w:r>
        <w:rPr>
          <w:rFonts w:ascii="Arial" w:cs="Arial" w:eastAsia="Arial" w:hAnsi="Arial"/>
          <w:sz w:val="16"/>
          <w:szCs w:val="16"/>
          <w:color w:val="auto"/>
        </w:rPr>
        <w:t xml:space="preserve"> gene, the Company is obligated to pay UMass up to an aggregate of $14.75 million in cash and issue up to 75,000 shares of common stock of the Company if the Company achieves specified clinical and regulatory milestones with respect to a licensed product. In addition, the Company is obligated to pay UMass up to an aggregate of $48.0 million if the Company achieves specified commercial sales milestones with respect to a licensed product. The Company is also obligated to pay UMass royalties at a low single-digit percentage of net sales of licensed products. If the Company or any of its affiliates sublicenses any of the licensed patent rights or know-how to a third party, the Company will be obligated to pay UMass a high single-digit to a mid-tens percentage of the consideration received in exchange for such sublicense, with the applicable percentage based upon the stage of development of the licensed products at the time the Company or the applicable affiliate enters into the sublicense. If the Company receives a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product candidate. In addition, if the Company sells such a priority review voucher to a third party, the Company will be obligated to pay UMass a low-thirties percentage of any consideration received from such third party in connection with such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HtrA1 Inhibitors - Former Equityholders of Inception 4</w:t>
      </w:r>
    </w:p>
    <w:p>
      <w:pPr>
        <w:spacing w:after="0" w:line="279"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Under the agreement and plan of merger between the Company and Inception 4, Inc. ("Inception 4"), pursuant to which the Company acquired Inception 4 and its HtrA1 inhibitor program (the "Inception 4 Merger Agreement"), the Company is obligated to make payments to the former equityholders of Inception 4 of up to an aggregate of $105 million, subject to the terms and conditions of the Inception 4 Merger Agreement, if the Company achieves certain specified clinical and regulatory milestones with respect to a product candidate from its HtrA1 inhibitor program, with $45 million of such potential payments relating to GA and $60 million of such potential payments relating to wet AMD. Under the Inception 4 Merger Agreement, the Company does not owe any commercial milestones or royalties based on net sales. The future milestone payments will be payable in the form of shares of the Company's common stock, calculated based on the price of its common stock over a five-</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trading day period preceding the achievement of the relevant milestone, unless and until the issuance of such shares would, together with all other shares issued in connection with the acquisition, exceed an overall maximum limit of approximately 7.2 million shares, which is equal to 19.9% of the number of issued and outstanding shares of the Company's common stock as of the close of business on the business day prior to the closing date of the Inception 4 acquisition, and will be payable in cash thereafter. The Inception 4 Merger Agreement also includes customary indemnification obligations to the former equityholders of Inception 4, including for breaches of the representations and warranties, covenants and agreements of the Company and its subsidiaries (other than Inception 4) in the Inception 4 Merger Agreement.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w:t>
      </w:r>
    </w:p>
    <w:p>
      <w:pPr>
        <w:spacing w:after="0" w:line="27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 also has letter agreements with certain employees that require the funding of a specific level of payments if certain events, such as a termination of employment in connection with a change in control or termination of employment by the employee for good reason or by the Company without cause, occur.</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Service Providers</w:t>
      </w:r>
    </w:p>
    <w:p>
      <w:pPr>
        <w:spacing w:after="0" w:line="279"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In addition, in the course of normal business operations, the Company has agreements with contract service providers to assist in the performance of the Company’s research and development and manufacturing activities. Expenditures to CROs and CDMOs represent significant costs in preclinical and clinical development. Subject to required notice periods and the Company’s obligations under binding purchase orders and any cancellation fees that the Company may be obligated to pay, the Company can elect to discontinue the work under these agreements at any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January 11, 2017, a putative class action lawsuit was filed against the Company and certain of its current and former executive officers in the United States District Court for the Southern District of New York, captioned Frank Micholle v. Ophthotech Corporation, et al., No. 1:17-cv-00210. On March 9, 2017, a related putative class action lawsuit was filed against the Company and the same group of its current and former executive officers in the United States District Court for the Southern District of New York, captioned Wasson v. Ophthotech Corporation, et al., No. 1:17-cv-01758. These cases were consolidated on March 13, 2018. On June 4, 2018, the lead plaintiff filed a consolidated amended complaint (the “CAC”). The CAC purports to be brought on behalf of shareholders who purchased the Company’s common stock between March 2, 2015 and December 12, 2016. The CAC generally alleges that the Company and certain of its officers violated Sections 10(b) and/or 20(a) of the Securities Exchange Act of 1934 and Rule 10b-5 promulgated thereunder by making allegedly false and/or misleading statements concerning the results of the Company’s Phase 2b trial and the prospects of the Company’s Phase 3 trials for Fovista in combination with anti-VEGF agents for the treatment of wet AMD. The CAC seeks unspecified damages, attorneys’ fees, and other costs. The Company and individual defendants filed a motion to dismiss the CAC on July 27, 2018. On September 18, 2019, the court issued an order dismissing some, but not all, of the allegations in the CAC. On November 18, 2019, the Company and the individual defendants filed an answer to the complaint. This case is currently in the discovery phase.</w:t>
      </w:r>
    </w:p>
    <w:p>
      <w:pPr>
        <w:spacing w:after="0" w:line="23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August 31, 2018, a shareholder derivative action was filed against current and former members of the Company's board of directors and certain current and former officers of the Company in the United States District Court for the Southern District of New York, captioned Luis Pacheco v. David R. Guyer, et al., Case No. 1:18-cv-07999. The complaint, which is based substantially on the facts alleged in the CAC, alleges that the defendants breached their fiduciary duties to the Company and wasted the Company's corporate assets by failing to oversee the Company's business, and also alleges that the defendants were unjustly enriched as a result of the alleged conduct, including through receipt of bonuses, stock options and similar compensation from the Company, and through sales of the Company's stock between March 2, 2015 and December 12, 2016. The complaint purports to seek unspecified damages on the Company's behalf, attorneys’ fees, and other costs, as well as an order directing the Company to reform and improve its corporate governance and internal procedures to comply with applicable laws, including submitting certain proposed amendments to the Company's corporate charter, bylaws and corporate governance policies for vote by the Company's stockholders. On December 14, 2018, the Company filed a motion to dismiss the complaint. On September 19, 2019, the court denied the Company's motion to dismiss this complaint. This matter was subsequently referred to a special litigation committee of the Company's board of directors. On February 18, 2020, the Company filed an answer to the complaint. The Company and the plaintiff agreed to stay this litigation while the special litigation committee conducts its investigation. On May 5, 2020, the court approved the stipulation and stayed the litigation through November 1, 2020.</w:t>
      </w:r>
    </w:p>
    <w:p>
      <w:pPr>
        <w:spacing w:after="0" w:line="24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On October 16, 2018, the Company’s board of directors received a shareholder demand to investigate and commence legal proceedings against certain members of the Company’s board of directors. The demand alleges facts that are substantially similar to the facts alleged in the CAC and the Pacheco complaint and asserts claims that are substantially similar to the claims asserted in the Pacheco complaint. On January 30, 2019, the Company’s board of directors received a second shareholder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demand from a different shareholder to investigate and commence legal proceedings against certain current and former members of the Company’s board of directors based on allegations that are substantially similar to the allegations contained in the first demand letter. These shareholder demands have been referred to a demand review committee of the Company's board of directors. The Company has entered into tolling agreements with the directors named in the demands.</w:t>
      </w:r>
    </w:p>
    <w:p>
      <w:pPr>
        <w:spacing w:after="0" w:line="24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 denies any and all allegations of wrongdoing and intends to vigorously defend against these lawsuits. The Company is unable, however, to predict the outcome of these matters at this time. Moreover, any conclusion of these matters in a manner adverse to the Company and for which it incurs substantial costs or damages not covered by the Company's directors’ and officers’ liability insurance would have a material adverse effect on its financial condition and business. In addition, the litigation could adversely impact the Company's reputation and divert management’s attention and resources from other priorities, including the execution of its business plan and strategies that are important to the Company's ability to grow its business, any of which could have a material adverse effect on the Company's business.</w:t>
      </w:r>
    </w:p>
    <w:p>
      <w:pPr>
        <w:spacing w:after="0" w:line="22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83"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financial statements and related notes appearing elsewhere in this Quarterly Report on Form 10-Q and the audited financial statements and related notes and management’s discussion and analysis of financial condition and results of operations for the year ended December 31, 2019 included in our Annual Report on Form 10-K filed with the Securities and Exchange Commission on February 27, 2020.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and should be read together with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We are a science-driven biopharmaceutical company focused on the discovery and development of novel treatment options for retinal diseases with significant unmet medical needs. We are currently developing both therapeutic product candidates for age-related retinal diseases and gene therapy product candidates for orphan inherited retinal diseases, or IRDs.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therapeutics portfolio consists of Zimura® (avacincaptad pegol), a complement C5 inhibitor, and our preclinical development program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High temperature requirement A serine peptidase 1 protein, or HtrA1, inhibitors. We are currently targeting the following diseases with Zimura:</w:t>
      </w:r>
    </w:p>
    <w:p>
      <w:pPr>
        <w:spacing w:after="0" w:line="357" w:lineRule="exact"/>
        <w:rPr>
          <w:sz w:val="20"/>
          <w:szCs w:val="20"/>
          <w:color w:val="auto"/>
        </w:rPr>
      </w:pPr>
    </w:p>
    <w:p>
      <w:pPr>
        <w:ind w:left="660" w:right="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geographic atrophy, or GA, which is the advanced stage of age-related macular degeneration, or AMD, and is characterized by marked thinning or atrophy of retinal tissue, leading to irreversible loss of vision; and</w:t>
      </w:r>
    </w:p>
    <w:p>
      <w:pPr>
        <w:spacing w:after="0" w:line="224"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autosomal recessive Stargardt disease, or STGD1, which is characterized by progressive damage to the central portion of the retina, or the macula, and other retinal tissue of young adults, leading to loss of vision.</w:t>
      </w:r>
    </w:p>
    <w:p>
      <w:pPr>
        <w:spacing w:after="0" w:line="8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are preparing for a second international, randomized, double masked, sham controlled, multi-center Phase 3 clinical trial of Zimura for the treatment of GA secondary to AMD, which we refer to as the ISEE2008 trial. In March 2020, because of the novel coronavirus, or COVID-19, global pandemic and out of an abundance of caution for the health and safety of our elderly patients and participating physicians and their staffs, we decided to delay the initiation of patient enrollment in the ISEE2008 trial even though we were on track to begin enrollment that month. Although we delayed the initiation of patient enrollment, we have continued trial initiation activities and plan to begin enrolling patients expeditiously once the COVID-19 situation stabilizes and we and our investigators determine it is safe to do so. We will continue to monitor the situation in the United States and across the world and may commence patient enrollment in stages based on the conditions in different communities and countries. We plan to enroll approximately 400 patients in this trial.</w:t>
      </w:r>
    </w:p>
    <w:p>
      <w:pPr>
        <w:spacing w:after="0" w:line="192"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In addition, we are expecting to receive, by the end of the second quarter of 2020, 18-month data from our international, randomized, double masked, sham controlled, multi-center Phase 2/3 clinical trial, or the OPH2003 trial, assessing the safety and efficacy of Zimura for the treatment of GA secondary to AMD, for which we announced positive, 12-month data in October 2019. 286 patients were enrolled in this trial across multiple treatment groups, including various Zimura doses and sham control groups. The 12-month data confirmed that Zimura met the prespecified primary endpoint in the trial in reducing the rate of GA growth in patients with GA. The reduction in the mean rate of GA growth over 12 months using the square root transformation was 0.110 mm (p-value = 0.0072) for the Zimura 2 mg group as compared to the corresponding sham control group and 0.124 mm (p-value</w:t>
      </w:r>
    </w:p>
    <w:p>
      <w:pPr>
        <w:spacing w:after="0" w:line="4" w:lineRule="exact"/>
        <w:rPr>
          <w:sz w:val="20"/>
          <w:szCs w:val="20"/>
          <w:color w:val="auto"/>
        </w:rPr>
      </w:pPr>
    </w:p>
    <w:p>
      <w:pPr>
        <w:ind w:left="5540" w:right="5520" w:hanging="5532"/>
        <w:spacing w:after="0" w:line="887" w:lineRule="auto"/>
        <w:tabs>
          <w:tab w:leader="none" w:pos="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0.0051) for the Zimura 4 mg group as compared to the corresponding sham 19</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control group, indicating an approximate 27% relative reduction in the mean rate of GA growth over 12 months when compared with sham for both dose groups. These data for both dose groups were statistically significant and we believe, based on recent guidance from the U.S. Food and Drug Administration, or FDA, demonstrate a clinically relevant reduction in rate of GA growth. Based on our review of the safety data to date, Zimura was generally well tolerated over 12 months of administration in this clinical trial. OPH2003 was designed to be a Phase 2b screening trial, with the potential to qualify as a pivotal trial depending on the magnitude and statistical significance of the potential benefit observed. Based on the 12-month data, we believe that the OPH2003 trial qualifies as the first of two Phase 3 trials typically required by the FDA for marketing approval of a pharmaceutical product. In light of the 12-month data, we have changed the phase designation of the OPH2003 trial to a Phase 2/3 trial. The primary purpose of the 18-month time point is to gather additional safety data. The primary efficacy analysis for this trial was conducted following the 12-month time point, and the reliability of any such comparison and the ability to rule out a “false positive” result was concentrated in the 12-month analysis. The prespecified statistical analysis plan for the trial, therefore, does not include assessing the statistical significance of 18-month data for rate of GA growth in the treatment groups as compared to the corresponding sham control groups. Any analysis of the 18-month GA growth data will be descriptive only and is intended primarily to evaluate the safety of Zimura.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developing our HtrA1 inhibitor program for GA and potentially other age-related retinal diseases.</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Our gene therapy portfolio consists of two product candidates in preclinical development and several ongoing collaborative sponsored research programs, each of which uses adeno-associated virus, or AAV, for gene delivery. These AAV mediated gene therapy programs are targeting the following orphan IRDs:</w:t>
      </w:r>
    </w:p>
    <w:p>
      <w:pPr>
        <w:spacing w:after="0" w:line="184" w:lineRule="exact"/>
        <w:rPr>
          <w:sz w:val="20"/>
          <w:szCs w:val="20"/>
          <w:color w:val="auto"/>
        </w:rPr>
      </w:pPr>
    </w:p>
    <w:p>
      <w:pPr>
        <w:ind w:left="660" w:right="3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or RHO-adRP, which is characterized by progressive and severe bilateral loss of vision leading to blindness;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IRDs associated with mutations in the </w:t>
      </w:r>
      <w:r>
        <w:rPr>
          <w:rFonts w:ascii="Arial" w:cs="Arial" w:eastAsia="Arial" w:hAnsi="Arial"/>
          <w:sz w:val="18"/>
          <w:szCs w:val="18"/>
          <w:i w:val="1"/>
          <w:iCs w:val="1"/>
          <w:color w:val="auto"/>
        </w:rPr>
        <w:t>BEST1</w:t>
      </w:r>
      <w:r>
        <w:rPr>
          <w:rFonts w:ascii="Arial" w:cs="Arial" w:eastAsia="Arial" w:hAnsi="Arial"/>
          <w:sz w:val="18"/>
          <w:szCs w:val="18"/>
          <w:color w:val="auto"/>
        </w:rPr>
        <w:t xml:space="preserve"> gene, including Best vitelliform macular dystrophy, or Best disease, which is generally characterized by bilateral egg yolk-like lesions in the macula, which, over time, progress to atrophy and loss of vision;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Leber Congenital Amaurosis type 10, or LCA10, which is characterized by severe bilateral loss of vision at or soon after birth;</w:t>
      </w:r>
    </w:p>
    <w:p>
      <w:pPr>
        <w:spacing w:after="0" w:line="36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autosomal recessive Stargardt disease; and</w:t>
      </w:r>
    </w:p>
    <w:p>
      <w:pPr>
        <w:spacing w:after="0" w:line="279"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IRDs associated with mutations in the </w:t>
      </w:r>
      <w:r>
        <w:rPr>
          <w:rFonts w:ascii="Arial" w:cs="Arial" w:eastAsia="Arial" w:hAnsi="Arial"/>
          <w:sz w:val="18"/>
          <w:szCs w:val="18"/>
          <w:i w:val="1"/>
          <w:iCs w:val="1"/>
          <w:color w:val="auto"/>
        </w:rPr>
        <w:t>USH2A</w:t>
      </w:r>
      <w:r>
        <w:rPr>
          <w:rFonts w:ascii="Arial" w:cs="Arial" w:eastAsia="Arial" w:hAnsi="Arial"/>
          <w:sz w:val="18"/>
          <w:szCs w:val="18"/>
          <w:color w:val="auto"/>
        </w:rPr>
        <w:t xml:space="preserve"> gene, which include Usher syndrome type 2A, or Usher 2A, and </w:t>
      </w:r>
      <w:r>
        <w:rPr>
          <w:rFonts w:ascii="Arial" w:cs="Arial" w:eastAsia="Arial" w:hAnsi="Arial"/>
          <w:sz w:val="18"/>
          <w:szCs w:val="18"/>
          <w:i w:val="1"/>
          <w:iCs w:val="1"/>
          <w:color w:val="auto"/>
        </w:rPr>
        <w:t>USH2A</w:t>
      </w:r>
      <w:r>
        <w:rPr>
          <w:rFonts w:ascii="Arial" w:cs="Arial" w:eastAsia="Arial" w:hAnsi="Arial"/>
          <w:sz w:val="18"/>
          <w:szCs w:val="18"/>
          <w:color w:val="auto"/>
        </w:rPr>
        <w:t>-associated nonsyndromic autosomal recessive retinitis pigmentosa.</w:t>
      </w:r>
    </w:p>
    <w:p>
      <w:pPr>
        <w:spacing w:after="0" w:line="2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Our lead gene therapy product candidate is IC-100, which we are developing for the treatment of RHO-adRP. Subject to successful completion of preclinical development and manufacturing under current good manufacturing practices, or cGMP, we plan to file an investigational new drug application, or IND, for IC-100 by the end of 2020 or early 2021 with the goal of starting patient enrollment in a Phase 1/2 clinical trial during the first half of 2021. We are also developing IC-200, our gene therapy product candidate for the treatment of IRDs associated with mutations in the </w:t>
      </w:r>
      <w:r>
        <w:rPr>
          <w:rFonts w:ascii="Arial" w:cs="Arial" w:eastAsia="Arial" w:hAnsi="Arial"/>
          <w:sz w:val="18"/>
          <w:szCs w:val="18"/>
          <w:i w:val="1"/>
          <w:iCs w:val="1"/>
          <w:color w:val="auto"/>
        </w:rPr>
        <w:t>BEST1</w:t>
      </w:r>
      <w:r>
        <w:rPr>
          <w:rFonts w:ascii="Arial" w:cs="Arial" w:eastAsia="Arial" w:hAnsi="Arial"/>
          <w:sz w:val="18"/>
          <w:szCs w:val="18"/>
          <w:color w:val="auto"/>
        </w:rPr>
        <w:t xml:space="preserve"> gene. Subject to successful completion of preclinical development and manufacturing under cGMP and regulatory review, we expect to initiate a Phase 1/2 clinical trial for IC-200 during the first half of 2021.</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COVID-19 pandemic and measures taken to contain it have affected our business and operations in a number of ways. These include, but are not limited to, the following:</w:t>
      </w:r>
    </w:p>
    <w:p>
      <w:pPr>
        <w:spacing w:after="0" w:line="170" w:lineRule="exact"/>
        <w:rPr>
          <w:sz w:val="20"/>
          <w:szCs w:val="20"/>
          <w:color w:val="auto"/>
        </w:rPr>
      </w:pPr>
    </w:p>
    <w:p>
      <w:pPr>
        <w:ind w:left="660" w:right="40" w:hanging="328"/>
        <w:spacing w:after="0" w:line="30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March 2020, we decided to delay initiation of patient enrollment in our ISEE2008 trial. In the meantime, we have continued with trial initiation activities. Health authorities and ethics committees in certain countries, and many of the clinical trial sites we are planning to use for this trial, have reduced their staff and operations due to the COVID-19 pandemic. This reduction in operations has resulted in delays to the approval of our trial in certain countries outside the United States and delays in the activation process for a number of our planned clinical trial sites.</w:t>
      </w:r>
    </w:p>
    <w:p>
      <w:pPr>
        <w:spacing w:after="0" w:line="157" w:lineRule="exact"/>
        <w:rPr>
          <w:rFonts w:ascii="Arial" w:cs="Arial" w:eastAsia="Arial" w:hAnsi="Arial"/>
          <w:sz w:val="16"/>
          <w:szCs w:val="16"/>
          <w:color w:val="auto"/>
        </w:rPr>
      </w:pPr>
    </w:p>
    <w:p>
      <w:pPr>
        <w:ind w:left="660" w:right="26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instituted company-wide remote working starting in the middle of March 2020. Investor and scientific meetings and conferences have been canceled or are occurring virtually. We have been relying on remote means of working and communication both internally and externally.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80" w:hanging="328"/>
        <w:spacing w:after="0" w:line="273"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Many of our clinical trial sites for the OPH2003 and OPH2005 trials have been operating with reduced staff and other restrictions. We have increased our efforts to engage with our clinical trial sites with a focus on retaining patients and maintaining scheduled visits and treatments, and instituted practices such as flexible scheduling of visits for patients and remote monitoring. Based on the latest information we have available, we are aware that a few patients in the OPH2005 trial have missed consecutive trial visits during the pandemic. We continue to monitor the situation closely. We do not yet know whether this trend will continue or increase, or what the impact of these missed visits may be on the results of the trial, especially because we are masked to the treatment condition of these patients.</w:t>
      </w:r>
    </w:p>
    <w:p>
      <w:pPr>
        <w:spacing w:after="0" w:line="177" w:lineRule="exact"/>
        <w:rPr>
          <w:rFonts w:ascii="Arial" w:cs="Arial" w:eastAsia="Arial" w:hAnsi="Arial"/>
          <w:sz w:val="17"/>
          <w:szCs w:val="17"/>
          <w:color w:val="auto"/>
        </w:rPr>
      </w:pPr>
    </w:p>
    <w:p>
      <w:pPr>
        <w:jc w:val="both"/>
        <w:ind w:left="660" w:right="8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some instances, our third-party contract manufacturers, academic research collaborators and contract research organizations have limited their operations and staff, which has resulted in delays to some of our manufacturing and research and development activities and limited our ability to be on site to oversee these activities.</w:t>
      </w:r>
    </w:p>
    <w:p>
      <w:pPr>
        <w:spacing w:after="0" w:line="183"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Shortages and governmental restrictions arising from the COVID-19 pandemic may disrupt the ability of our contract manufacturers to procure items that are essential for our manufacturing activities, such as raw materials used in the manufacture of our product candidates. The manufacturer for our HtrA1 inhibitor program has experienced such a shortage.</w:t>
      </w:r>
    </w:p>
    <w:p>
      <w:pPr>
        <w:spacing w:after="0" w:line="183"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pandemic has caused significant disruption to the financial markets, and has caused increased volatility in the price of our stock and that of other companies in the biotechnology industry.</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212529"/>
        </w:rPr>
        <w:t xml:space="preserve">We do not believe that the COVID-19 pandemic, and our actions in response and the costs of those actions, have had a material impact on our financial position, results of operations, or cash flows for the quarter ended March 31, 2020. The progression of the COVID-19 pandemic remains fluid and its impact on our business and operations remains uncertain. The full extent to which the COVID-19 pandemic will directly or indirectly impact our business, results of operations and financial </w:t>
      </w:r>
      <w:r>
        <w:rPr>
          <w:rFonts w:ascii="Arial" w:cs="Arial" w:eastAsia="Arial" w:hAnsi="Arial"/>
          <w:sz w:val="18"/>
          <w:szCs w:val="18"/>
          <w:color w:val="000000"/>
        </w:rPr>
        <w:t>c</w:t>
      </w:r>
      <w:r>
        <w:rPr>
          <w:rFonts w:ascii="Arial" w:cs="Arial" w:eastAsia="Arial" w:hAnsi="Arial"/>
          <w:sz w:val="18"/>
          <w:szCs w:val="18"/>
          <w:color w:val="212529"/>
        </w:rPr>
        <w:t>ondition will depend on developments that are highly uncertain and cannot be accurately predicted, including new information that may emerge concerning COVID-19, the actions taken to contain it or lessen its impact and the economic impact on local, regional, national and international markets. If the delays and other disruptions due to the pandemic become prolonged or more extensive, then we may experience further delays or disruptions to our research and development programs and our financial position, results of operations or cash flows for future periods may be materially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1997710</wp:posOffset>
            </wp:positionH>
            <wp:positionV relativeFrom="paragraph">
              <wp:posOffset>-580390</wp:posOffset>
            </wp:positionV>
            <wp:extent cx="28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72"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212529"/>
        </w:rPr>
        <w:t>For further information on actual and potential impacts to us as a result of the COVID-19 pandemic, see the other sections of this Management's Discussion and Analysis of Results of Operations and Financial Position and the Risk Factors contained in this Quarterly Report on Form 10-Q.</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Therapeutic Development Programs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Zimura Clinical Programs</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Zimura, our C5 complement inhibitor, is a chemically-synthesized, pegylated RNA aptamer. Aptamers are short molecules made up of a single stranded nucleic acid sequence or amino acid sequence that binds molecular targets with high selectivity and specificity. In April 2020, we received fast track designation from the FDA for Zimura for the treatment of GA secondary to dry AMD. We currently have two clinical trials ongoing for Zimura and are planning an additional Phase 3 clinical trial. The following is a brief description of these trials and their current status:</w:t>
      </w:r>
    </w:p>
    <w:p>
      <w:pPr>
        <w:spacing w:after="0" w:line="167" w:lineRule="exact"/>
        <w:rPr>
          <w:sz w:val="20"/>
          <w:szCs w:val="20"/>
          <w:color w:val="auto"/>
        </w:rPr>
      </w:pPr>
    </w:p>
    <w:p>
      <w:pPr>
        <w:jc w:val="both"/>
        <w:ind w:left="980" w:right="60" w:hanging="324"/>
        <w:spacing w:after="0" w:line="258"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OPH2003 (GA secondary to AMD)</w:t>
      </w:r>
      <w:r>
        <w:rPr>
          <w:rFonts w:ascii="Arial" w:cs="Arial" w:eastAsia="Arial" w:hAnsi="Arial"/>
          <w:sz w:val="18"/>
          <w:szCs w:val="18"/>
          <w:color w:val="auto"/>
        </w:rPr>
        <w:t>: an ongoing international, randomized, double masked, sham controlled, multi-center Phase 2/3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trial evaluating the safety and efficacy of various doses of Zimura in patients with GA secondary to AMD. We enrolled a total of 286 patients in this trial. In October 2019, we announced data based on the first 12 months of this trial. This trial remains ongoing and, in accordance with the clinical trial protocol, we have continued to treat and follow patients through month 18. We expect top-line 18-month data to be available by the end of the second quarter of 2020.</w:t>
      </w:r>
    </w:p>
    <w:p>
      <w:pPr>
        <w:spacing w:after="0" w:line="183" w:lineRule="exact"/>
        <w:rPr>
          <w:rFonts w:ascii="Arial" w:cs="Arial" w:eastAsia="Arial" w:hAnsi="Arial"/>
          <w:sz w:val="18"/>
          <w:szCs w:val="18"/>
          <w:color w:val="auto"/>
        </w:rPr>
      </w:pPr>
    </w:p>
    <w:p>
      <w:pPr>
        <w:ind w:left="980" w:right="80" w:hanging="324"/>
        <w:spacing w:after="0" w:line="255" w:lineRule="auto"/>
        <w:tabs>
          <w:tab w:leader="none" w:pos="9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ISEE2008 (GA secondary to AMD): </w:t>
      </w:r>
      <w:r>
        <w:rPr>
          <w:rFonts w:ascii="Arial" w:cs="Arial" w:eastAsia="Arial" w:hAnsi="Arial"/>
          <w:sz w:val="18"/>
          <w:szCs w:val="18"/>
          <w:color w:val="auto"/>
        </w:rPr>
        <w:t>a planned international, randomized, double masked, sham controlled, multi-center Phase 3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trial evaluating the safety and efficacy of Zimura 2 mg in patients with GA secondary to AMD. The primary efficacy endpoint for this trial, the reduction in the mean rate of GA growth over 12 months measured using square root transformation, will be the same as the primary efficacy endpoint for the OPH2003 trial, and, if data from this confirmatory trial are positive, we expect to submit the data from this trial and the OPH2003 trial to support a marketing application for Zimura in GA. We have been continuing trial initiation activities and plan to begin enrolling patients expeditiously once the COVID-19 situation stabilizes and we and our investigators determine it is safe to do so. We plan to enroll approximately 400 patients in this trial.</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980" w:right="20" w:hanging="324"/>
        <w:spacing w:after="0" w:line="269" w:lineRule="auto"/>
        <w:tabs>
          <w:tab w:leader="none" w:pos="98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OPH2005 (STGD1)</w:t>
      </w:r>
      <w:r>
        <w:rPr>
          <w:rFonts w:ascii="Arial" w:cs="Arial" w:eastAsia="Arial" w:hAnsi="Arial"/>
          <w:sz w:val="17"/>
          <w:szCs w:val="17"/>
          <w:color w:val="auto"/>
        </w:rPr>
        <w:t>: an ongoing, randomized, double masked, sham controlled, multi-center Phase 2b clinical trial, which we refer to as the</w:t>
      </w:r>
      <w:r>
        <w:rPr>
          <w:rFonts w:ascii="Arial" w:cs="Arial" w:eastAsia="Arial" w:hAnsi="Arial"/>
          <w:sz w:val="17"/>
          <w:szCs w:val="17"/>
          <w:b w:val="1"/>
          <w:bCs w:val="1"/>
          <w:color w:val="auto"/>
        </w:rPr>
        <w:t xml:space="preserve"> </w:t>
      </w:r>
      <w:r>
        <w:rPr>
          <w:rFonts w:ascii="Arial" w:cs="Arial" w:eastAsia="Arial" w:hAnsi="Arial"/>
          <w:sz w:val="17"/>
          <w:szCs w:val="17"/>
          <w:color w:val="auto"/>
        </w:rPr>
        <w:t>OPH2005 trial, evaluating the safety and efficacy of Zimura for the treatment of STGD1. Similar to OPH2003, OPH2005 was designed to be a Phase 2b screening trial, with the potential to demonstrate statistically significant results depending on the magnitude of the potential benefit observed, and which we believe could potentially serve as a clinical trial that can support an application for marketing approval. We completed enrollment for this trial in February 2019 with a total of 95 patients enrolled. As of May 1, 2020, 49 patients were active in this trial and we have been focused on monitoring these patients and, together with participating investigators, efforts to retain patients and maintain scheduled visits and treatments in the trial in light of the COVID-19 pandemic. Most of our sites, even though they are operating with fewer staff and other restrictions, have continued to conduct patient visits for our clinical trials. We are aware that a small number patients in the OPH2005 trial have missed consecutive trial visits during the pandemic. We continue to monitor the situation closely. We do not yet know whether this trend will continue or increase, or what the impact of these missed visits may be on the results of the trial, especially because we are masked as to the treatment condition of these patients. We expect that initial, top-line data from this clinical trial will be available during the second half of 2020.</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previously completed multiple clinical trials evaluating various doses of Zimura in age-related retinal diseases, including:</w:t>
      </w:r>
    </w:p>
    <w:p>
      <w:pPr>
        <w:spacing w:after="0" w:line="225" w:lineRule="exact"/>
        <w:rPr>
          <w:sz w:val="20"/>
          <w:szCs w:val="20"/>
          <w:color w:val="auto"/>
        </w:rPr>
      </w:pPr>
    </w:p>
    <w:p>
      <w:pPr>
        <w:ind w:left="1300" w:right="68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OPH2001, a Phase 1/2a clinical trial of various doses of Zimura monotherapy for the treatment of GA, with a total of 47 patients enrolled;</w:t>
      </w:r>
    </w:p>
    <w:p>
      <w:pPr>
        <w:spacing w:after="0" w:line="170" w:lineRule="exact"/>
        <w:rPr>
          <w:rFonts w:ascii="Arial" w:cs="Arial" w:eastAsia="Arial" w:hAnsi="Arial"/>
          <w:sz w:val="18"/>
          <w:szCs w:val="18"/>
          <w:color w:val="auto"/>
        </w:rPr>
      </w:pPr>
    </w:p>
    <w:p>
      <w:pPr>
        <w:ind w:left="1300" w:right="360" w:hanging="320"/>
        <w:spacing w:after="0" w:line="308"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OPH2000: a Phase 1/2a clinical trial of various doses of Zimura administered in combination with Lucentis® (ranibizumab), an anti-vascular endothelial growth factor, or anti-VEGF, agent, for the treatment of wet AMD, with a total of 60 patients enrolled;</w:t>
      </w:r>
    </w:p>
    <w:p>
      <w:pPr>
        <w:spacing w:after="0" w:line="146" w:lineRule="exact"/>
        <w:rPr>
          <w:rFonts w:ascii="Arial" w:cs="Arial" w:eastAsia="Arial" w:hAnsi="Arial"/>
          <w:sz w:val="17"/>
          <w:szCs w:val="17"/>
          <w:color w:val="auto"/>
        </w:rPr>
      </w:pPr>
    </w:p>
    <w:p>
      <w:pPr>
        <w:ind w:left="1300" w:right="8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OPH2007, a Phase 2a clinical trial of various doses of Zimura administered in combination with Lucentis for the treatment of wet AMD, with a total of 64 patients enrolled, which concluded in the fourth quarter of 2018; and</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OPH2002: a very small Phase 2a clinical trial of Zimura in combination with anti-VEGF agents for the treatment of idiopathic polypoidal choroidal vasculopathy, or IPCV, in patients for whom anti-VEGF monotherapy had failed.</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Over 160 patients have been treated with Zimura in these previously completed trials, with treatment durations extending up to 48 weeks. All doses of Zimura administered in these trials were well-tolerated, with only a single adverse event, mild subcapsular cataract, assessed to be drug-related by participating investigators.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HtrA1 Inhibitor Program</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pursuing the preclinical development of our HtrA1 inhibitor program for the treatment of GA secondary to AMD and potentially other age-related retinal diseases. Our HtrA1 inhibitor program includes a number of small molecule compounds that show high affinity and specificity for HtrA1 when tested. We have identified a lead compound from this program. We are pursuing process development and formulation development with the goal of developing a manufacturing process and a formulation for intravitreal administration of this lead compound in the eye. If we are successful in developing a manufacturing process for and formulating this lead compound, we plan to initiate IND-enabling activities for this product candidate. Based on current timelines and subject to successful completion of preclinical development and cGMP manufacturing, we plan to file an IND for a product candidate from this program during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Research and Development Programs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IC-100: Product Candidate for RHO-adRP</w:t>
      </w:r>
    </w:p>
    <w:p>
      <w:pPr>
        <w:spacing w:after="0" w:line="225"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We are pursuing the preclinical development of IC-100, our novel AAV gene therapy product candidate for the treatment of RHO-adRP. We and the University of Pennsylvania, or Penn, are conducting preclinical studies of IC-100 and a natural history study of RHO-adRP patients. In parallel, we have engaged a gene therapy contract development and manufacturing organization, or CDMO, as the manufacturer for preclinical and Phase 1/2 clinical supply of IC-100. We are conducting Phase 1/2 clinical manufacturing and other IND-enabling activities. We recently identified an issue with one of the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starting materials used in the manufacturing process, which has delayed our timelines for this program. Based on current timelines and subject to successful completion of preclinical development and cGMP manufacturing, we plan to file an IND for IC-100 by the end of 2020 or early 2021 with the goal of starting patient enrollment in a Phase 1/2 clinical trial during the first half of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IC-200: Product Candidate for BEST1-Related IRDs</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 xml:space="preserve">We are pursuing the preclinical development of IC-200, our novel AAV gene therapy product candidate for the treatment of </w:t>
      </w:r>
      <w:r>
        <w:rPr>
          <w:rFonts w:ascii="Arial" w:cs="Arial" w:eastAsia="Arial" w:hAnsi="Arial"/>
          <w:sz w:val="16"/>
          <w:szCs w:val="16"/>
          <w:i w:val="1"/>
          <w:iCs w:val="1"/>
          <w:color w:val="auto"/>
        </w:rPr>
        <w:t>BEST1</w:t>
      </w:r>
      <w:r>
        <w:rPr>
          <w:rFonts w:ascii="Arial" w:cs="Arial" w:eastAsia="Arial" w:hAnsi="Arial"/>
          <w:sz w:val="16"/>
          <w:szCs w:val="16"/>
          <w:color w:val="auto"/>
        </w:rPr>
        <w:t xml:space="preserve">-related IRDs, including Best disease. We and Penn are conducting preclinical studies of IC-200 and natural history studies of patients with </w:t>
      </w:r>
      <w:r>
        <w:rPr>
          <w:rFonts w:ascii="Arial" w:cs="Arial" w:eastAsia="Arial" w:hAnsi="Arial"/>
          <w:sz w:val="16"/>
          <w:szCs w:val="16"/>
          <w:i w:val="1"/>
          <w:iCs w:val="1"/>
          <w:color w:val="auto"/>
        </w:rPr>
        <w:t>BEST1</w:t>
      </w:r>
      <w:r>
        <w:rPr>
          <w:rFonts w:ascii="Arial" w:cs="Arial" w:eastAsia="Arial" w:hAnsi="Arial"/>
          <w:sz w:val="16"/>
          <w:szCs w:val="16"/>
          <w:color w:val="auto"/>
        </w:rPr>
        <w:t>-related IRDs. In parallel, we have engaged a gene therapy CDMO as the manufacturer for preclinical and Phase 1/2 clinical supply of IC-200. We are planning for Phase 1/2 clinical manufacturing and other IND-enabling activities. Based on current timelines and subject to successful completion of preclinical development and cGMP manufacturing and regulatory review, we expect to initiate a Phase 1/2 clinical trial for IC-200 during the first half of 2021.</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Minigene Programs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AAV vectors are generally limited as a delivery vehicle by the size of their genetic cargo, which is restricted to approximately 4,700 base pairs of genetic code. The use of minigenes seeks to deliver a smaller but still functional form of a larger gene packaged into a standard-size AAV delivery vector. The goal of minigene therapy is to deliver a gene expressing a protein that, although different from the naturally occurring protein, is nonetheless functional for purposes of treating the associated disease.</w:t>
      </w:r>
    </w:p>
    <w:p>
      <w:pPr>
        <w:spacing w:after="0" w:line="187"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We are funding several sponsored research programs at the University of Massachusetts Medical School, or UMMS, seeking to use a minigene approach to develop new gene therapies for several orphan IRDs. The following is a summary of these minigene programs and their status:</w:t>
      </w:r>
    </w:p>
    <w:p>
      <w:pPr>
        <w:spacing w:after="0" w:line="120" w:lineRule="exact"/>
        <w:rPr>
          <w:sz w:val="20"/>
          <w:szCs w:val="20"/>
          <w:color w:val="auto"/>
        </w:rPr>
      </w:pPr>
    </w:p>
    <w:p>
      <w:pPr>
        <w:ind w:left="660" w:right="80" w:hanging="328"/>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miniCEP290 (LCA10): </w:t>
      </w:r>
      <w:r>
        <w:rPr>
          <w:rFonts w:ascii="Arial" w:cs="Arial" w:eastAsia="Arial" w:hAnsi="Arial"/>
          <w:sz w:val="18"/>
          <w:szCs w:val="18"/>
          <w:color w:val="auto"/>
        </w:rPr>
        <w:t>This program, which we refer to as the miniCEP290 program, is targeting LCA10, which is associated with mutations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i w:val="1"/>
          <w:iCs w:val="1"/>
          <w:color w:val="auto"/>
        </w:rPr>
        <w:t>CEP290</w:t>
      </w:r>
      <w:r>
        <w:rPr>
          <w:rFonts w:ascii="Arial" w:cs="Arial" w:eastAsia="Arial" w:hAnsi="Arial"/>
          <w:sz w:val="18"/>
          <w:szCs w:val="18"/>
          <w:color w:val="auto"/>
        </w:rPr>
        <w:t xml:space="preserve"> gene. In July 2019, we entered into a license agreement with the University of Massachusetts, or UMass, for exclusive development and commercialization rights to this program. The sponsored research, which is ongoing, has yielded a number of minigene constructs that show encouraging results when tested in a mouse model. UMMS is conducting additional experiments to optimize constructs, which have been delayed because of restrictions placed by UMMS on animal research activities as a result of the COVID-19 pandemic. We currently expect to identify a lead construct during the second half of 2020.</w:t>
      </w:r>
    </w:p>
    <w:p>
      <w:pPr>
        <w:spacing w:after="0" w:line="187" w:lineRule="exact"/>
        <w:rPr>
          <w:rFonts w:ascii="Arial" w:cs="Arial" w:eastAsia="Arial" w:hAnsi="Arial"/>
          <w:sz w:val="18"/>
          <w:szCs w:val="18"/>
          <w:color w:val="auto"/>
        </w:rPr>
      </w:pPr>
    </w:p>
    <w:p>
      <w:pPr>
        <w:ind w:left="660" w:right="100" w:hanging="328"/>
        <w:spacing w:after="0" w:line="314"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miniABCA4 (STGD1): </w:t>
      </w:r>
      <w:r>
        <w:rPr>
          <w:rFonts w:ascii="Arial" w:cs="Arial" w:eastAsia="Arial" w:hAnsi="Arial"/>
          <w:sz w:val="16"/>
          <w:szCs w:val="16"/>
          <w:color w:val="auto"/>
        </w:rPr>
        <w:t>This program, which we refer to as the miniABCA4 program, is targeting STGD1, which is associated with mutations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w:t>
      </w:r>
      <w:r>
        <w:rPr>
          <w:rFonts w:ascii="Arial" w:cs="Arial" w:eastAsia="Arial" w:hAnsi="Arial"/>
          <w:sz w:val="16"/>
          <w:szCs w:val="16"/>
          <w:i w:val="1"/>
          <w:iCs w:val="1"/>
          <w:color w:val="auto"/>
        </w:rPr>
        <w:t>ABCA4</w:t>
      </w:r>
      <w:r>
        <w:rPr>
          <w:rFonts w:ascii="Arial" w:cs="Arial" w:eastAsia="Arial" w:hAnsi="Arial"/>
          <w:sz w:val="16"/>
          <w:szCs w:val="16"/>
          <w:color w:val="auto"/>
        </w:rPr>
        <w:t xml:space="preserve"> gene. UMMS has generated and is evaluating several </w:t>
      </w:r>
      <w:r>
        <w:rPr>
          <w:rFonts w:ascii="Arial" w:cs="Arial" w:eastAsia="Arial" w:hAnsi="Arial"/>
          <w:sz w:val="16"/>
          <w:szCs w:val="16"/>
          <w:i w:val="1"/>
          <w:iCs w:val="1"/>
          <w:color w:val="auto"/>
        </w:rPr>
        <w:t>ABCA4</w:t>
      </w:r>
      <w:r>
        <w:rPr>
          <w:rFonts w:ascii="Arial" w:cs="Arial" w:eastAsia="Arial" w:hAnsi="Arial"/>
          <w:sz w:val="16"/>
          <w:szCs w:val="16"/>
          <w:color w:val="auto"/>
        </w:rPr>
        <w:t xml:space="preserve"> minigene constructs in both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experiments. We have received preliminary results and expect to receive additional results from the miniABCA4 program during the second half of 2020.</w:t>
      </w:r>
    </w:p>
    <w:p>
      <w:pPr>
        <w:spacing w:after="0" w:line="141" w:lineRule="exact"/>
        <w:rPr>
          <w:rFonts w:ascii="Arial" w:cs="Arial" w:eastAsia="Arial" w:hAnsi="Arial"/>
          <w:sz w:val="16"/>
          <w:szCs w:val="16"/>
          <w:color w:val="auto"/>
        </w:rPr>
      </w:pPr>
    </w:p>
    <w:p>
      <w:pPr>
        <w:ind w:left="660" w:right="140" w:hanging="328"/>
        <w:spacing w:after="0" w:line="26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miniUSH2A (</w:t>
      </w:r>
      <w:r>
        <w:rPr>
          <w:rFonts w:ascii="Arial" w:cs="Arial" w:eastAsia="Arial" w:hAnsi="Arial"/>
          <w:sz w:val="18"/>
          <w:szCs w:val="18"/>
          <w:b w:val="1"/>
          <w:bCs w:val="1"/>
          <w:i w:val="1"/>
          <w:iCs w:val="1"/>
          <w:color w:val="auto"/>
        </w:rPr>
        <w:t>USH2A</w:t>
      </w:r>
      <w:r>
        <w:rPr>
          <w:rFonts w:ascii="Arial" w:cs="Arial" w:eastAsia="Arial" w:hAnsi="Arial"/>
          <w:sz w:val="18"/>
          <w:szCs w:val="18"/>
          <w:b w:val="1"/>
          <w:bCs w:val="1"/>
          <w:color w:val="auto"/>
        </w:rPr>
        <w:t xml:space="preserve">-related IRDs): </w:t>
      </w:r>
      <w:r>
        <w:rPr>
          <w:rFonts w:ascii="Arial" w:cs="Arial" w:eastAsia="Arial" w:hAnsi="Arial"/>
          <w:sz w:val="18"/>
          <w:szCs w:val="18"/>
          <w:color w:val="auto"/>
        </w:rPr>
        <w:t>This program, which we refer to as the miniUSH2A program, is targeting IRDs associated with mutations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the </w:t>
      </w:r>
      <w:r>
        <w:rPr>
          <w:rFonts w:ascii="Arial" w:cs="Arial" w:eastAsia="Arial" w:hAnsi="Arial"/>
          <w:sz w:val="18"/>
          <w:szCs w:val="18"/>
          <w:i w:val="1"/>
          <w:iCs w:val="1"/>
          <w:color w:val="auto"/>
        </w:rPr>
        <w:t>USH2A</w:t>
      </w:r>
      <w:r>
        <w:rPr>
          <w:rFonts w:ascii="Arial" w:cs="Arial" w:eastAsia="Arial" w:hAnsi="Arial"/>
          <w:sz w:val="18"/>
          <w:szCs w:val="18"/>
          <w:color w:val="auto"/>
        </w:rPr>
        <w:t xml:space="preserve"> gene, including Usher 2A and </w:t>
      </w:r>
      <w:r>
        <w:rPr>
          <w:rFonts w:ascii="Arial" w:cs="Arial" w:eastAsia="Arial" w:hAnsi="Arial"/>
          <w:sz w:val="18"/>
          <w:szCs w:val="18"/>
          <w:i w:val="1"/>
          <w:iCs w:val="1"/>
          <w:color w:val="auto"/>
        </w:rPr>
        <w:t>USH2A</w:t>
      </w:r>
      <w:r>
        <w:rPr>
          <w:rFonts w:ascii="Arial" w:cs="Arial" w:eastAsia="Arial" w:hAnsi="Arial"/>
          <w:sz w:val="18"/>
          <w:szCs w:val="18"/>
          <w:color w:val="auto"/>
        </w:rPr>
        <w:t>-associated nonsyndromic autosomal recessive retinitis pigmentosa. We initiated this sponsored research with UMMS in July 2019 and expect to receive preliminary results by late 2020.</w:t>
      </w:r>
    </w:p>
    <w:p>
      <w:pPr>
        <w:spacing w:after="0" w:line="1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to the license agreement for the miniCEP290 program, UMMS has granted us an option to obtain an exclusive license to any patents or patent applications that result from any of these sponsored research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Pipeline</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have summarized the current status of our ongoing research and development programs in the table below. We have given an IC number (IC-100 and IC-200) to our preclinical gene therapy product candidates. In the future, we intend to give an IC number to other product candidates that advance to preclinical development, whether from our collaborative gene therapy sponsored research programs or our HtrA1 inhibitor program or that we may otherwise in-license or acquire, in each case, once a lead product candidate is identified for a particular program.</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846445" cy="3472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6445" cy="347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 and Financing Activities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we continue the development of our product candidates and programs and evaluate our overall strategic priorities, we will continue to pursue selective business development and financing opportunities that advance us toward our strategic goals. We have been, and plan to continue, exploring options for the future development and potential commercialization of Zimura, including potential collaboration and out-licensing opportunities, including for indications for which we previously developed Zimura such as wet AMD and IPCV. In addition, we expect to continue to evaluate, on a selective and targeted basis, opportunities to potentially obtain rights to additional product candidates and technologies for retinal diseases. We could also consider business development opportunities that also offer us a financing opportunity. We will continue to pursue capital raising opportunities when they are available on terms that are favorable to us and if the opportunity advances our strategic goals.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Matters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As of March 31, 2020, we had cash and cash equivalents of $108.4 million. We estimate that our year-end 2020 cash and cash equivalents will range between $65 million and $70 million. We also estimate that our cash and cash equivalents will be sufficient to fund our operations and capital expenditures as currently planned into the beginning of 2022. These estimates are based on our current 2020 business plan, including the initiation of the ISEE2008 trial and the continuation of our other ongoing research and development programs. These estimates do not reflect any additional expenditures, including associated development costs, in the event we in-license or acquire any new product candidates or if we commence any new sponsored research programs. We have based these estimates on assumptions that may prove to be wrong, and we could use our available capital resources sooner than we currently expect.</w:t>
      </w: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125" w:right="4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7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we have no products approved for sale, we do not expect to receive any revenue related to our product candidates until we obtain regulatory approval for and commercialize such products, or until we potentially enter into agreements with third parties for the development and commercialization of our product candidates. If our development efforts for any of our product candidates result in regulatory approval or if we enter into agreements with third parties, including for any collaborations or outlicensing of rights for further development and potential commercialization of Zimura, we may generate revenue from product sales or from such third parties.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Our research and development expenses primarily consist of costs associated with the manufacturing, development, and preclinical and clinical testing of our product candidates and costs associated with our collaborative gene therapy sponsored research programs. Our research and development expenses consist of:</w:t>
      </w:r>
    </w:p>
    <w:p>
      <w:pPr>
        <w:spacing w:after="0" w:line="238" w:lineRule="exact"/>
        <w:rPr>
          <w:sz w:val="20"/>
          <w:szCs w:val="20"/>
          <w:color w:val="auto"/>
        </w:rPr>
      </w:pPr>
    </w:p>
    <w:p>
      <w:pPr>
        <w:jc w:val="right"/>
        <w:ind w:left="1300" w:right="40" w:hanging="644"/>
        <w:spacing w:after="0" w:line="342" w:lineRule="auto"/>
        <w:tabs>
          <w:tab w:leader="none" w:pos="9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external research and development expenses incurred under arrangements with third parties, such as academic research collaborators, contract research organizations, or CROs, and CDMOs and other vendors for the production and analysis of drug substance and drug product; and</w:t>
      </w:r>
    </w:p>
    <w:p>
      <w:pPr>
        <w:spacing w:after="0" w:line="177" w:lineRule="exact"/>
        <w:rPr>
          <w:rFonts w:ascii="Arial" w:cs="Arial" w:eastAsia="Arial" w:hAnsi="Arial"/>
          <w:sz w:val="16"/>
          <w:szCs w:val="16"/>
          <w:color w:val="auto"/>
        </w:rPr>
      </w:pPr>
    </w:p>
    <w:p>
      <w:pPr>
        <w:ind w:left="1300" w:right="500" w:hanging="644"/>
        <w:spacing w:after="0" w:line="277" w:lineRule="auto"/>
        <w:tabs>
          <w:tab w:leader="none" w:pos="9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22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collaborators.</w:t>
      </w:r>
    </w:p>
    <w:p>
      <w:pPr>
        <w:spacing w:after="0" w:line="1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All research and development expenses are charged to operations as incurred in accordance with Financial Accounting Standards Board, or FASB, Accounting Standards Codification, or ASC,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or ASC 730</w:t>
      </w:r>
      <w:r>
        <w:rPr>
          <w:rFonts w:ascii="Arial" w:cs="Arial" w:eastAsia="Arial" w:hAnsi="Arial"/>
          <w:sz w:val="16"/>
          <w:szCs w:val="16"/>
          <w:i w:val="1"/>
          <w:iCs w:val="1"/>
          <w:color w:val="auto"/>
        </w:rPr>
        <w:t>.</w:t>
      </w:r>
      <w:r>
        <w:rPr>
          <w:rFonts w:ascii="Arial" w:cs="Arial" w:eastAsia="Arial" w:hAnsi="Arial"/>
          <w:sz w:val="16"/>
          <w:szCs w:val="16"/>
          <w:color w:val="auto"/>
        </w:rPr>
        <w:t xml:space="preserve"> We account for non-refundable advance payments for goods and services that will be used in future research and development activities as expenses when the service has been performed or when the goods have been received, rather than when the payment is made. We do not currently utilize a formal time allocation system to capture expenses on a project-by-project basis because we record expenses by functional department. Accordingly, we do not allocate all research and development expenses to individual projects or product candidates, although we do allocate some portion of these expenses by project or product candidate, as shown below.</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for the three months ended March 31, 2020 and 2019:</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920" w:type="dxa"/>
            <w:vAlign w:val="bottom"/>
          </w:tcPr>
          <w:p>
            <w:pPr>
              <w:spacing w:after="0"/>
              <w:rPr>
                <w:sz w:val="22"/>
                <w:szCs w:val="22"/>
                <w:color w:val="auto"/>
              </w:rPr>
            </w:pPr>
          </w:p>
        </w:tc>
        <w:tc>
          <w:tcPr>
            <w:tcW w:w="5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Zimura</w:t>
            </w:r>
          </w:p>
        </w:tc>
        <w:tc>
          <w:tcPr>
            <w:tcW w:w="5020" w:type="dxa"/>
            <w:vAlign w:val="bottom"/>
            <w:tcBorders>
              <w:bottom w:val="single" w:sz="8" w:color="CCEEFF"/>
            </w:tcBorders>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4,486</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3,201</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HtrA1</w:t>
            </w:r>
          </w:p>
        </w:tc>
        <w:tc>
          <w:tcPr>
            <w:tcW w:w="4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RHO-adRP</w:t>
            </w:r>
          </w:p>
        </w:tc>
        <w:tc>
          <w:tcPr>
            <w:tcW w:w="40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BEST1</w:t>
            </w:r>
          </w:p>
        </w:tc>
        <w:tc>
          <w:tcPr>
            <w:tcW w:w="4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2,222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gene therapy</w:t>
            </w:r>
          </w:p>
        </w:tc>
        <w:tc>
          <w:tcPr>
            <w:tcW w:w="40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Prior product candidate Fovista</w:t>
            </w:r>
          </w:p>
        </w:tc>
        <w:tc>
          <w:tcPr>
            <w:tcW w:w="4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Personnel-related</w:t>
            </w:r>
          </w:p>
        </w:tc>
        <w:tc>
          <w:tcPr>
            <w:tcW w:w="40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1,615</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4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1,170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w:t>
            </w:r>
          </w:p>
        </w:tc>
        <w:tc>
          <w:tcPr>
            <w:tcW w:w="40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36"/>
        </w:trPr>
        <w:tc>
          <w:tcPr>
            <w:tcW w:w="39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960" w:type="dxa"/>
            <w:vAlign w:val="bottom"/>
            <w:tcBorders>
              <w:top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0"/>
              </w:rPr>
              <w:t>13,750</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7,685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060" w:type="dxa"/>
            <w:vAlign w:val="bottom"/>
            <w:vMerge w:val="restart"/>
          </w:tcPr>
          <w:p>
            <w:pPr>
              <w:jc w:val="right"/>
              <w:ind w:right="2176"/>
              <w:spacing w:after="0"/>
              <w:rPr>
                <w:sz w:val="20"/>
                <w:szCs w:val="20"/>
                <w:color w:val="auto"/>
              </w:rPr>
            </w:pPr>
            <w:r>
              <w:rPr>
                <w:rFonts w:ascii="Arial" w:cs="Arial" w:eastAsia="Arial" w:hAnsi="Arial"/>
                <w:sz w:val="18"/>
                <w:szCs w:val="18"/>
                <w:color w:val="auto"/>
              </w:rPr>
              <w:t>25</w:t>
            </w: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060" w:type="dxa"/>
            <w:vAlign w:val="bottom"/>
            <w:vMerge w:val="continue"/>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92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we continue our ongoing clinical trials for Zimura and initiate our planned ISEE2008 trial, we expect our research and development expenses for Zimura to increase. We also expect our research and development expenses for each of IC-100, IC-200 and our HtrA1 inhibitors program to increase as development continues. We expect our research and development expenses for our miniCEP290 program and other collaborative gene therapy sponsored research programs to decrease as the sponsored research for those programs reaches completion. Our research and development expenses may also increase if we in-license or acquire any new product candidates, including from our collaborative gene therapy sponsored research programs, or commence any new sponsored research programs.</w:t>
      </w:r>
    </w:p>
    <w:p>
      <w:pPr>
        <w:spacing w:after="0" w:line="24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Although the future development of our product candidates is highly uncertain, we expect the development of our product candidates will continue for at least the next several years. At this time, we cannot reasonably estimate the total remaining costs necessary to complete development, to complete process development and manufacturing scale-up and validation activities and to potentially seek marketing approval for any of our product candidates.</w:t>
      </w:r>
    </w:p>
    <w:p>
      <w:pPr>
        <w:spacing w:after="0" w:line="20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successful development of our product candidates is subject to numerous risks and uncertainties associated with developing drugs, including the uncertainty of:</w:t>
      </w:r>
    </w:p>
    <w:p>
      <w:pPr>
        <w:spacing w:after="0" w:line="224" w:lineRule="exact"/>
        <w:rPr>
          <w:sz w:val="20"/>
          <w:szCs w:val="20"/>
          <w:color w:val="auto"/>
        </w:rPr>
      </w:pPr>
    </w:p>
    <w:p>
      <w:pPr>
        <w:ind w:left="980" w:hanging="243"/>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rate of progress and costs of our research and development activities, including manufacturing activities;</w:t>
      </w:r>
    </w:p>
    <w:p>
      <w:pPr>
        <w:spacing w:after="0" w:line="279" w:lineRule="exact"/>
        <w:rPr>
          <w:rFonts w:ascii="Arial" w:cs="Arial" w:eastAsia="Arial" w:hAnsi="Arial"/>
          <w:sz w:val="18"/>
          <w:szCs w:val="18"/>
          <w:color w:val="auto"/>
        </w:rPr>
      </w:pPr>
    </w:p>
    <w:p>
      <w:pPr>
        <w:ind w:left="980" w:hanging="243"/>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benefits of our product candidates over other therapies;</w:t>
      </w:r>
    </w:p>
    <w:p>
      <w:pPr>
        <w:spacing w:after="0" w:line="279" w:lineRule="exact"/>
        <w:rPr>
          <w:rFonts w:ascii="Arial" w:cs="Arial" w:eastAsia="Arial" w:hAnsi="Arial"/>
          <w:sz w:val="18"/>
          <w:szCs w:val="18"/>
          <w:color w:val="auto"/>
        </w:rPr>
      </w:pPr>
    </w:p>
    <w:p>
      <w:pPr>
        <w:ind w:left="980" w:hanging="243"/>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preclinical development results and clinical trial results;</w:t>
      </w:r>
    </w:p>
    <w:p>
      <w:pPr>
        <w:spacing w:after="0" w:line="279" w:lineRule="exact"/>
        <w:rPr>
          <w:rFonts w:ascii="Arial" w:cs="Arial" w:eastAsia="Arial" w:hAnsi="Arial"/>
          <w:sz w:val="18"/>
          <w:szCs w:val="18"/>
          <w:color w:val="auto"/>
        </w:rPr>
      </w:pPr>
    </w:p>
    <w:p>
      <w:pPr>
        <w:ind w:left="980" w:hanging="243"/>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and timing of regulatory approvals;</w:t>
      </w:r>
    </w:p>
    <w:p>
      <w:pPr>
        <w:spacing w:after="0" w:line="279" w:lineRule="exact"/>
        <w:rPr>
          <w:rFonts w:ascii="Arial" w:cs="Arial" w:eastAsia="Arial" w:hAnsi="Arial"/>
          <w:sz w:val="18"/>
          <w:szCs w:val="18"/>
          <w:color w:val="auto"/>
        </w:rPr>
      </w:pPr>
    </w:p>
    <w:p>
      <w:pPr>
        <w:ind w:left="980" w:hanging="243"/>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product candidates; and</w:t>
      </w:r>
    </w:p>
    <w:p>
      <w:pPr>
        <w:spacing w:after="0" w:line="279" w:lineRule="exact"/>
        <w:rPr>
          <w:rFonts w:ascii="Arial" w:cs="Arial" w:eastAsia="Arial" w:hAnsi="Arial"/>
          <w:sz w:val="18"/>
          <w:szCs w:val="18"/>
          <w:color w:val="auto"/>
        </w:rPr>
      </w:pPr>
    </w:p>
    <w:p>
      <w:pPr>
        <w:ind w:left="980" w:right="380" w:hanging="243"/>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file, prosecute, defend and enforce patent claims and other intellectual property rights, together with associated expenses.</w:t>
      </w:r>
    </w:p>
    <w:p>
      <w:pPr>
        <w:spacing w:after="0" w:line="22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could mean a significant change in the costs and timing associated with the development of that product candidate.</w:t>
      </w:r>
    </w:p>
    <w:p>
      <w:pPr>
        <w:spacing w:after="0" w:line="224"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We may require additional funding beyond what we currently expect due to unforeseen or other reasons. Our costs may exceed our expectations if we experience an issue in our ongoing clinical trials, such as issues with patient enrollment, the retention of enrolled patients, enrolled patients maintaining scheduled visits and receiving scheduled treatments, or the availability of drug supply, or in our preclinical development programs, such as inability to develop formulations or if we experience issues with manufacturing, or if we modify or further expand the scope of our clinical trials, preclinical development programs or collaborative gene therapy sponsored research programs. Our costs may also exceed our expectations for other reasons, for example, if we are required by the FDA, the European Medicines Agency, or the EMA, or regulatory authorities in other jurisdictions to perform clinical or nonclinical trials or other studies in addition to those we currently expect to conduct, if we experience issues with process development, establishing or scaling-up of manufacturing activities or activities to enable and qualify second source suppliers, or if we decide to increase preclinical and clinical research and development activities, build internal research capabilities or pursue internal research efforts. For example, we plan to begin the ISEE2008 trial, which is a single Phase 3 clinical trial evaluating Zimura for GA, with the expectation that data collected from such trial, if it is positive, together with data from our OPH2003 trial, will be sufficient to seek marketing approval in the United States and the European Union and we may subsequently decide to, or be required by regulatory authorities to, enroll additional patients in the ISEE2008 trial beyond our current expectations or conduct additional clinical trials for Zimura in GA in order to seek or maintain regulatory approval or qualify for reimbursement approval. In addition, in March 2020, we decided to delay the initiation of patient enrollment in the ISEE2008 trial because of the COVID-19 pandemic. The COVID-19 pandemic may result in additional delays to the initiation of the ISEE2008 trial or to our other research and development programs, which could cause us to continue to expend our cash resources while not progressing our research and development programs as expeditiously as we would have had the pandemic not occurred or persisted. For example, we may experience difficulty in enrolling or retaining patients or maintaining scheduled visits and treatments once we initiate patient enrollment in the ISEE2008 trial due to patients' fears of visiting clinical trial sites or ongoing restrictive measures requiring social distancing or limiting travel. As a result of any of the above, we may need or may seek to obtain additional funding for our continuing operations sooner or in greater amounts than expected.</w:t>
      </w:r>
    </w:p>
    <w:p>
      <w:pPr>
        <w:spacing w:after="0" w:line="24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See the “Liquidity and Capital Resources” section of this Quarterly Report on Form 10-Q for more information regarding our current and future financial resources and our expectations regarding our research and development expenses and funding requirements.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7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costs for personnel, including share-based compensation expense, in our executive, legal, finance, business development, human resources, investor relations and information technology functions. Other general and administrative expenses include facility costs and professional fees for legal, including patent-related, services and expenses, consulting and accounting services, and travel expenses.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currently have invested our cash and cash equivalents in money market funds and investment-grade corporate debt securities, which generate a nominal amount of interest income.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8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U.S. generally accepted accounting principles, or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share-based compensation and income taxes described in greater detail below. We base our estimates on our limited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32"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Our significant accounting policies are described in more detail in the notes to our financial statements appearing elsewhere in this Quarterly Report on Form 10-Q. Of those policies, we believe that the following accounting policies are the most critical to aid our stockholders in fully understanding and evaluating our financial condition and results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7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are related to expenses incurred with respect to academic research collaborators, CROs, CDMOs and other vendors in connection with research and development and manufacturing activities.</w:t>
      </w:r>
    </w:p>
    <w:p>
      <w:pPr>
        <w:spacing w:after="0" w:line="24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base our expenses related to academic research collaborators, CROs and CDMOs on our estimates of the services received and efforts expended pursuant to quotations and contracts with such vendors that conduct research and development and manufacturing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applicable research and development or manufacturing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There have been no material changes in estimates for the periods presented.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 Periods Ended March 31, 2020 and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3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ind w:right="433"/>
              <w:spacing w:after="0" w:line="13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64"/>
        </w:trPr>
        <w:tc>
          <w:tcPr>
            <w:tcW w:w="6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13,750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6,065</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4,998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5,481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18,748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13,166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(18,748)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(13,166)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income tax provision (benefit)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research and development expenses were $13.8 million for the three months ended March 31, 2020, an increase of $6.1 million compared to $7.7 million for the three months ended March 31, 2019. The increase in research and development expenses for the three months ended March 31, 2020 was primarily due to a $4.0 million increase in costs resulting from the progress of our gene therapy programs, $1.3 million increase in costs associated with our Zimura programs and a $0.3 million increase in costs resulting from the progress of our HtrA1 inhibitor program. The increased costs for our gene therapy programs primary reflect increased manufacturing and preclinical development costs associated with IC-100 and IC-200. The increased costs for our Zimura programs were primarily due to the initiation and start-up activities for our ISEE2008 trial, which was partially offset by lower clinical trial costs as a result of the near completion of our OPH2003 trial.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79"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Our general and administrative expenses were $5.0 million for the three months ended March 31, 2020, a decrease of $0.5 million, compared to $5.5 million for the three months ended March 31, 2019. The decrease in general and administrative expenses for the three months ended March 31, 2020 was primarily due to a decrease in general consulting costs and professional fees.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79"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Interest income for the three months ended March 31, 2020 was $0.4 million compared to interest income of $0.7 million for the three months ended March 31, 2019. The decrease in interest income was primarily due to the decrease in our investment balances and interest rate yields.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three months ended March 31, 2020, we recorded an income tax benefit which was primarily to reflect a settlement of a local tax audit. For the three months ended March 31, 2019, we recorded a de minimis provision for income taxes.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7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Since inception, we have financed our operations primarily through private placements of our preferred stock, venture debt borrowings, funding we received under our prior Fovista royalty purchase and sale agreement with Novo Holdings A/S, our initial public offering of common stock, which we closed in September 2013, funds we received under a prior Fovista licensing and commercialization agreement with Novartis Pharma AG, funds we received in connection with our acquisition of</w:t>
      </w:r>
    </w:p>
    <w:p>
      <w:pPr>
        <w:sectPr>
          <w:pgSz w:w="11900" w:h="16838" w:orient="portrait"/>
          <w:cols w:equalWidth="0" w:num="1">
            <w:col w:w="11240"/>
          </w:cols>
          <w:pgMar w:left="320" w:top="125" w:right="33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Inception 4, Inc., or Inception 4, in October 2018 and our follow-on public offerings of common stock, which we closed in February 2014 and December 2019. We do not have any committed external source of funds.</w:t>
      </w:r>
    </w:p>
    <w:p>
      <w:pPr>
        <w:spacing w:after="0" w:line="224"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We currently have an effective universal shelf registration statement on Form S-3, or the Shelf Registration, on file with the SEC registering for sale from time to time up to $150.0 million of common stock, preferred stock, debt securities, depositary shares, warrants and/or units in one or more registered offerings, of which $50.0 million may be offered, issued and sold under an “at-the-market” Sales Agreement, or the ATM Agreement, with Cowen and Company, LLC. We issued and sold shares and issued pre-funded warrants under the Shelf Registration in connection with our December 2019 follow-on public offering. We have not yet issued and sold any shares of our common stock under the ATM Agreement.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79"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As of March 31, 2020, we had cash and cash equivalents totaling $108.4 million and no debt. We currently have invested our cash and cash equivalents in money market funds and certain investment-grade corporate debt securities with original maturities of 90 days or less.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 summary of our cash flows for the three months ended March 31, 2020 and 2019:</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7"/>
                <w:szCs w:val="17"/>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(17,526)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(14,603)</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41</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(14,562)</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79"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Net cash used in operating activities in the three months ended March 31, 2020 and the three months ended March 31, 2019 related primarily to net cash used to fund our Zimura clinical trials, preclinical development of IC-100, IC-200 and our HtrA1 inhibitor program, and our collaborative gene therapy sponsored research programs and to support our general and administrative operations.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"—Funding Requirements" below for a description of how we expect to use our cash for operating activities in future periods.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had no net cash provided by investing activities for the three months ended March 31, 2020 and for the three months ended March 31, 2019.</w:t>
      </w:r>
    </w:p>
    <w:p>
      <w:pPr>
        <w:spacing w:after="0" w:line="30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79" w:lineRule="exact"/>
        <w:rPr>
          <w:sz w:val="20"/>
          <w:szCs w:val="20"/>
          <w:color w:val="auto"/>
        </w:rPr>
      </w:pPr>
    </w:p>
    <w:p>
      <w:pPr>
        <w:jc w:val="both"/>
        <w:ind w:right="240" w:firstLine="648"/>
        <w:spacing w:after="0" w:line="308" w:lineRule="auto"/>
        <w:rPr>
          <w:sz w:val="20"/>
          <w:szCs w:val="20"/>
          <w:color w:val="auto"/>
        </w:rPr>
      </w:pPr>
      <w:r>
        <w:rPr>
          <w:rFonts w:ascii="Arial" w:cs="Arial" w:eastAsia="Arial" w:hAnsi="Arial"/>
          <w:sz w:val="17"/>
          <w:szCs w:val="17"/>
          <w:color w:val="auto"/>
        </w:rPr>
        <w:t>Net cash provided by financing activities was $179 thousand for the three months ended March 31, 2020 and $41 thousand for the three months ended March 31, 2019 and related to stock option exercises and purchases made under our employee stock purchase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Zimura is in clinical development, our gene therapy product candidates IC-100 and IC-200 and our HtrA1 inhibitor program are each in preclinical development, and we are funding multiple ongoing collaborative gene therapy sponsored research programs. We expect our research and development expenses to increase as we pursue these programs as currently planned. Furthermore, we expect that if the delay in initiating patient enrollment for the ISEE2008 trial becomes prolonged, whether due to the COVID-19 pandemic or other reasons, or if we experience additional delays or disruptions to our research and development programs, including in the manufacture and supply of products for such programs, such delays or disruptions could increase our operating expenses or otherwise have a material adverse effect on our business and financial results. We could also incur additional research and development expenses as we evaluate and potentially in-license or acquire, and undertake development of, additional product candidates, including any promising product candidates that emerge from our collaborative gene therapy sponsored research programs. Furthermore, if we successfully develop and obtain marketing approval for any of our product candidates, we expect to incur significant commercialization expenses related to product sales,</w:t>
      </w:r>
    </w:p>
    <w:p>
      <w:pPr>
        <w:sectPr>
          <w:pgSz w:w="11900" w:h="16838" w:orient="portrait"/>
          <w:cols w:equalWidth="0" w:num="1">
            <w:col w:w="11240"/>
          </w:cols>
          <w:pgMar w:left="320" w:top="125" w:right="339" w:bottom="1440" w:gutter="0" w:footer="0" w:header="0"/>
        </w:sect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marketing, distribution and manufacturing. We are party to agreements with Archemix Corp., or Archemix, with respect to Zimura, the University of Florida Research Foundation, Incorporated, or UFRF, and Penn with respect to IC-100 and IC-200, UMMS with respect to any potential product candidates from our miniCEP290 program, and the former equityholders of Inception 4 with respect to our HtrA1 inhibitor program, in each case, that impose significant milestone payment obligations on us if we achieve specified clinical, regulatory and commercial milestones with respect to these product candidates or programs, as well as certain royalties on net sales with respect to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279"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the development of Zimura in GA and STGD1;</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the development of IC-100 and IC-200 and pursue our collaborative gene therapy sponsored research programs;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the preclinical development of our HtrA1 inhibitor program;</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in-license or acquire the rights to, and pursue the development of, other product candidates or technologies;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quality assurance and scientific personnel;</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w:t>
      </w:r>
    </w:p>
    <w:p>
      <w:pPr>
        <w:spacing w:after="0" w:line="279"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our outsourced manufacturing activities or establish commercial operations or sales, marketing and distribution capabilities, if we receive, or expect to receive, marketing approval for any of our product candidates; and</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future growth.</w:t>
      </w:r>
    </w:p>
    <w:p>
      <w:pPr>
        <w:spacing w:after="0" w:line="144"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As of March 31, 2020, we had cash and cash equivalents of $108.4 million. We estimate that our year-end 2020 cash and cash equivalents will range between $65 million and $70 million. We also estimate that our cash and cash equivalents will be sufficient to fund our operations and capital expenditures as currently planned into the beginning of 2022. These estimates are based on our current 2020 business plan, including the initiation of the ISEE2008 trial and the continuation of our other ongoing research and development programs. These estimates do not reflect any additional expenditures, including associated development costs, in the event we in-license or acquire any new product candidates or if we commence any new sponsored research programs. We have based these estimates on assumptions that may prove to be wrong, and we could use our available capital resources sooner than we currently expect.</w:t>
      </w:r>
    </w:p>
    <w:p>
      <w:pPr>
        <w:spacing w:after="0" w:line="33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expect we will require substantial, additional funding in order to complete the activities necessary to develop and commercialize one or more of our product candidates. Similar to the other risk factors pertinent to our business, the COVID-19 pandemic might unfavorably impact our ability to generate such additional funding. Although the future development of our product candidates is highly uncertain, we expect the development of our product candidates will continue for at least the next several years. At this time, we cannot reasonably estimate the total remaining costs necessary to complete development, to complete process development and manufacturing scale-up and validation activities and to potentially seek marketing approval for any of our product candidates.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79"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costs and results of our current and planned Zimura clinical programs;</w:t>
      </w:r>
    </w:p>
    <w:p>
      <w:pPr>
        <w:spacing w:after="0" w:line="279"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IC-100 and IC-200, including activities to establish manufacturing capabilities and preclinical testing to enable us to file INDs for these product candidates;</w:t>
      </w:r>
    </w:p>
    <w:p>
      <w:pPr>
        <w:spacing w:after="0" w:line="224" w:lineRule="exact"/>
        <w:rPr>
          <w:rFonts w:ascii="Arial" w:cs="Arial" w:eastAsia="Arial" w:hAnsi="Arial"/>
          <w:sz w:val="18"/>
          <w:szCs w:val="18"/>
          <w:color w:val="auto"/>
        </w:rPr>
      </w:pPr>
    </w:p>
    <w:p>
      <w:pPr>
        <w:ind w:left="980" w:right="440" w:hanging="32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scope, progress, costs and results from our collaborative gene therapy sponsored research programs, including costs related to the in-license and future development of any promising product candidates and technologies that emerge from these programs;</w:t>
      </w:r>
    </w:p>
    <w:p>
      <w:pPr>
        <w:spacing w:after="0" w:line="200" w:lineRule="exact"/>
        <w:rPr>
          <w:rFonts w:ascii="Arial" w:cs="Arial" w:eastAsia="Arial" w:hAnsi="Arial"/>
          <w:sz w:val="17"/>
          <w:szCs w:val="17"/>
          <w:color w:val="auto"/>
        </w:rPr>
      </w:pPr>
    </w:p>
    <w:p>
      <w:pPr>
        <w:ind w:left="980" w:right="20" w:hanging="324"/>
        <w:spacing w:after="0" w:line="263"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our HtrA1 inhibitor program, including activities to establish manufacturing capabilities and formulation development and other preclinical development activities to enable us to file an IND for a product candidate from this program;</w:t>
      </w: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right="1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progress and timing of process development, manufacturing scale-up and validation activities, analytical development and stability studies associated with our product candidates;</w:t>
      </w:r>
    </w:p>
    <w:p>
      <w:pPr>
        <w:spacing w:after="0" w:line="224"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length of the delay to the initiation of the ISEE2008 trial and any other delays or disruptions to our research and development programs as a result of the COVID-19 pandemic;</w:t>
      </w:r>
    </w:p>
    <w:p>
      <w:pPr>
        <w:spacing w:after="0" w:line="224" w:lineRule="exact"/>
        <w:rPr>
          <w:rFonts w:ascii="Arial" w:cs="Arial" w:eastAsia="Arial" w:hAnsi="Arial"/>
          <w:sz w:val="18"/>
          <w:szCs w:val="18"/>
          <w:color w:val="auto"/>
        </w:rPr>
      </w:pPr>
    </w:p>
    <w:p>
      <w:pPr>
        <w:ind w:left="980" w:right="96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and undertake research or development of, additional product candidates or technologies;</w:t>
      </w:r>
    </w:p>
    <w:p>
      <w:pPr>
        <w:spacing w:after="0" w:line="224" w:lineRule="exact"/>
        <w:rPr>
          <w:rFonts w:ascii="Arial" w:cs="Arial" w:eastAsia="Arial" w:hAnsi="Arial"/>
          <w:sz w:val="18"/>
          <w:szCs w:val="18"/>
          <w:color w:val="auto"/>
        </w:rPr>
      </w:pPr>
    </w:p>
    <w:p>
      <w:pPr>
        <w:ind w:left="980" w:right="86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 if we choose to do so, including any collaboration for the further development and potential commercialization of Zimura;</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w:t>
      </w:r>
    </w:p>
    <w:p>
      <w:pPr>
        <w:spacing w:after="0" w:line="279"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w:t>
      </w:r>
    </w:p>
    <w:p>
      <w:pPr>
        <w:spacing w:after="0" w:line="224"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224"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22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For example, the COVID-19 pandemic has caused significant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Although we were able to raise approximately $42.6 million in net proceeds through our December 2019 public offering, we may not be able to successfully raise additional capital in the future. The size of our company and our status as a company listed on The Nasdaq Global Select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our product candidates, our collaborative gene therapy sponsored research programs, or our future commercialization efforts.</w:t>
      </w:r>
    </w:p>
    <w:p>
      <w:pPr>
        <w:spacing w:after="0" w:line="23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or declaring dividends. In addition, we have issued, and may in the future issue additional, equity securities as consideration for business development transactions, which may also dilute our existing stockholders' ownership interests.</w:t>
      </w:r>
    </w:p>
    <w:p>
      <w:pPr>
        <w:spacing w:after="0" w:line="8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response to the COVID-19 pandemic, the U.S. Congress enacted the Coronavirus Aid, Relief, and Economic Security Act, or the CARES Act, on March 27, 2020. The CARES Act provides numerous tax provisions and other stimulus measures, including minimum tax credit refunds, temporary changes regarding the utilization of net operating losses, temporary changes to the prior and future limitations on interest deductions, deferral of certain payment requirements for the employer portion of Social Security taxes, technical corrections from prior tax legislation for tax depreciation of certain qualified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improved property, and the creation of certain refundable employee retention credits. We are currently evaluating how these provisions in the CARES Act will impact our financial position, results of operations and cash flows.</w:t>
      </w:r>
    </w:p>
    <w:p>
      <w:pPr>
        <w:spacing w:after="0" w:line="170"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9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 - Amendment to BEST1 License Agreement</w:t>
      </w:r>
    </w:p>
    <w:p>
      <w:pPr>
        <w:spacing w:after="0" w:line="279"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 xml:space="preserve">On May 1, 2020, we, Penn and UFRF entered into an amendment to the exclusive global license agreement through which we obtained rights to IC-200, or the BEST1 License Agreement. Under this amendment, we in-licensed exclusive rights to two patent applications covering certain methods of treating </w:t>
      </w:r>
      <w:r>
        <w:rPr>
          <w:rFonts w:ascii="Arial" w:cs="Arial" w:eastAsia="Arial" w:hAnsi="Arial"/>
          <w:sz w:val="16"/>
          <w:szCs w:val="16"/>
          <w:i w:val="1"/>
          <w:iCs w:val="1"/>
          <w:color w:val="auto"/>
        </w:rPr>
        <w:t>BEST1</w:t>
      </w:r>
      <w:r>
        <w:rPr>
          <w:rFonts w:ascii="Arial" w:cs="Arial" w:eastAsia="Arial" w:hAnsi="Arial"/>
          <w:sz w:val="16"/>
          <w:szCs w:val="16"/>
          <w:color w:val="auto"/>
        </w:rPr>
        <w:t>-related IRDs and these patent applications are thereafter considered licensed patent rights under the BEST1 License Agreement. We agreed to reimburse Penn approximately $16 thousand in accrued costs and expenses related to the filing and prosecution of these patent applications.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March 31, 2020:</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2"/>
              </w:rPr>
              <w:t>Payments Due by Period</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88"/>
              </w:rPr>
              <w:t>Less than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1 - 3 years</w:t>
            </w:r>
          </w:p>
        </w:tc>
        <w:tc>
          <w:tcPr>
            <w:tcW w:w="14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3</w:t>
            </w: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- 5 years</w:t>
            </w:r>
          </w:p>
        </w:tc>
        <w:tc>
          <w:tcPr>
            <w:tcW w:w="160" w:type="dxa"/>
            <w:vAlign w:val="bottom"/>
          </w:tcPr>
          <w:p>
            <w:pPr>
              <w:spacing w:after="0"/>
              <w:rPr>
                <w:sz w:val="13"/>
                <w:szCs w:val="13"/>
                <w:color w:val="auto"/>
              </w:rPr>
            </w:pPr>
          </w:p>
        </w:tc>
        <w:tc>
          <w:tcPr>
            <w:tcW w:w="86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27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9"/>
              </w:rPr>
              <w:t>(in thousands)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Sponsored Research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Purchase Obligations (2)</w:t>
            </w:r>
          </w:p>
        </w:tc>
        <w:tc>
          <w:tcPr>
            <w:tcW w:w="2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 (3)</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 (4)</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5,923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20" w:type="dxa"/>
            <w:vAlign w:val="bottom"/>
            <w:tcBorders>
              <w:bottom w:val="single" w:sz="8" w:color="auto"/>
            </w:tcBorders>
          </w:tcPr>
          <w:p>
            <w:pPr>
              <w:spacing w:after="0"/>
              <w:rPr>
                <w:sz w:val="11"/>
                <w:szCs w:val="11"/>
                <w:color w:val="auto"/>
              </w:rPr>
            </w:pPr>
          </w:p>
        </w:tc>
        <w:tc>
          <w:tcPr>
            <w:tcW w:w="3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item includes our contracted obligations under our sponsored research agreements.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item includes our contracted commitments under certain of our manufacturing and supply agreements.</w:t>
      </w:r>
    </w:p>
    <w:p>
      <w:pPr>
        <w:spacing w:after="0" w:line="27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item includes our continuing rent obligations, including for office space in New York, New York, the term for which is scheduled to expire at the end of December 2020.</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table does not include:</w:t>
      </w:r>
    </w:p>
    <w:p>
      <w:pPr>
        <w:spacing w:after="0" w:line="279" w:lineRule="exact"/>
        <w:rPr>
          <w:rFonts w:ascii="Arial" w:cs="Arial" w:eastAsia="Arial" w:hAnsi="Arial"/>
          <w:sz w:val="18"/>
          <w:szCs w:val="18"/>
          <w:color w:val="auto"/>
        </w:rPr>
      </w:pPr>
    </w:p>
    <w:p>
      <w:pPr>
        <w:ind w:left="980" w:right="240" w:hanging="324"/>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milestone payments which may become payable to third parties under license or acquisition agreements as the timing and likelihood of such payments are not known with certainty;</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royalty payments to third parties as the amounts, timing and likelihood of such payments are not known;</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anticipated expenditures under supply agreements for periods for which we are not yet bound under binding purchase orders; or</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contracts that are entered into in the ordinary course of business that are not material in the aggregate in any period presented above.</w:t>
      </w:r>
    </w:p>
    <w:p>
      <w:pPr>
        <w:spacing w:after="0" w:line="291"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In addition to the amounts set forth in the table above, we may be required, under the agreements under which we acquired rights to Zimura, IC-100, IC-200, our miniCEP290 program and our HtrA1 inhibitors program, to make milestone payments and/or pay royalties. These payments are described in "Note 8—Commitments and Contingencies" in our unaudited consolidated financial statements appearing elsewhere in this Quarterly Report.</w:t>
      </w:r>
    </w:p>
    <w:p>
      <w:pPr>
        <w:sectPr>
          <w:pgSz w:w="11900" w:h="16838" w:orient="portrait"/>
          <w:cols w:equalWidth="0" w:num="1">
            <w:col w:w="11240"/>
          </w:cols>
          <w:pgMar w:left="320" w:top="125" w:right="339" w:bottom="1440" w:gutter="0" w:footer="0" w:header="0"/>
        </w:sect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also have letter agreements with certain employees that require the funding of a specific level of payments if certain events, such as a termination of employment in connection with a change in control or termination of employment by the employee for good reason or by us without cause, occur. For a description of these obligations, see our definitive proxy statement on Schedule 14A for our 2020 annual meeting of stockholders, as filed with the SEC on April 28, 2020.</w:t>
      </w:r>
    </w:p>
    <w:p>
      <w:pPr>
        <w:spacing w:after="0" w:line="241"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In addition, in the course of normal business operations, we have agreements with contract service providers to assist in the performance of our research and development and manufacturing activities. Expenditures to CROs and CDMOs represent significant costs in preclinical and clinical development. Subject to required notice periods and our obligations under binding purchase orders and any cancellation fees that we may be obligated to pay, we can elect to discontinue the work under these agreements at any time. We may also enter into additional collaborative research, contract research, manufacturing, and supplier agreements in the future, which may require upfront payments and even long-term commitments of cash.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Securities and Exchange Commission rules.</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are exposed to market risk related to changes in interest rates. We had cash and cash equivalents of $108.4 million as of March 31, 2020, consisting of cash and investments in money market funds and certain investment-grade corporate debt securities. Our primary exposure to market risk is interest rate sensitivity, which is affected by changes in the general level of U.S. interest rates, particularly because a significant portion of our investments are in short-term securities. Due to the low risk profile of our investments, an immediate 100 basis point change in interest rates would not have a material effect on the fair market value of our portfolio.</w:t>
      </w:r>
    </w:p>
    <w:p>
      <w:pPr>
        <w:spacing w:after="0" w:line="242"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We contract with CROs and certain other vendors to perform services outside of the United States. We may be subject to fluctuations in foreign currency rates in connection with certain of these agreements. Transactions denominated in currencies other than the U.S. dollar are recorded based on exchange rates at the time such transactions arise. As of March 31, 2020, substantially all of our total liabilities were denominated in the U.S. dollar.</w:t>
      </w:r>
    </w:p>
    <w:p>
      <w:pPr>
        <w:spacing w:after="0" w:line="1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March 31, 2020.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39"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Based on the evaluation of our disclosure controls and procedures as of March 31, 2020, our chief executive officer and chief financial officer concluded that, as of such date, our disclosure controls and procedures were effective at the reasonable assurance level.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 changes in our internal control over financial reporting (as defined in Rules 13a-15(d) and 15d-15(d) under the Exchange Act) occurred during the quarter ended March 31, 2020 that have materially affected, or are reasonably likely to materially affect, our internal control over financial reporting. We have not experienced any material impact to our internal controls over financial reporting despite the fact that our employees are working remotely due to the COVID-19 pandemic. We are continually monitoring and assessing the impact the COVID-19 pandemic has on the operating effectiveness of our internal controls.</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125" w:right="3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January 11, 2017, a putative class action lawsuit was filed against us and certain of our current and former executive officers in the United States District Court for the Southern District of New York, captioned Frank Micholle v. Ophthotech Corporation, et al., No. 1:17-cv-00210. On March 9, 2017, a related putative class action lawsuit was filed against us and the same group of our current and former executive officers in the United States District Court for the Southern District of New York, captioned Wasson v. Ophthotech Corporation, et al., No. 1:17-cv-01758. These cases were consolidated on March 13, 2018. On June 4, 2018, the lead plaintiff filed a consolidated amended complaint, the CAC. The CAC purports to be brought on behalf of shareholders who purchased our common stock between March 2, 2015 and December 12, 2016. The CAC generally alleges that we and certain of our officers violated Sections 10(b) and/or 20(a) of the Securities Exchange Act of 1934 and Rule 10b-5 promulgated thereunder by making allegedly false and/or misleading statements concerning the results of our Phase 2b trial and the prospects of our Phase 3 trials for Fovista in combination with anti-VEGF agents for the treatment of wet AMD. The CAC seeks unspecified damages, attorneys' fees, and other costs. We and the individual defendants filed a motion to dismiss the CAC on July 27, 2018. On September 18, 2019, the court issued an order dismissing some, but not all, of the allegations in the CAC. On November 18, 2019, we and the individual defendants filed an answer to the complaint. This case is currently in the discovery phase.</w:t>
      </w:r>
    </w:p>
    <w:p>
      <w:pPr>
        <w:spacing w:after="0" w:line="22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August 31, 2018, a shareholder derivative action was filed against current and former members of our board of directors and certain of our current and former officers in the United States District Court for the Southern District of New York, captioned Luis Pacheco v. David R. Guyer, et al., Case No. 1:18-cv-07999. The complaint, which is based substantially on the facts alleged in the CAC, alleges that the defendants breached their fiduciary duties to our company and wasted our corporate assets by failing to oversee our business, and also alleges that the defendants were unjustly enriched as a result of the alleged conduct, including through receipt of bonuses, stock options and similar compensation from us, and through sales of our stock between March 2, 2015 and December 12, 2016. The complaint purports to seek unspecified damages on our behalf, attorneys’ fees, and other costs, as well as an order directing us to reform and improve our corporate governance and internal procedures to comply with applicable laws, including submitting certain proposed amendments to our corporate charter, bylaws and corporate governance policies for vote by our stockholders. On December 14, 2018, we filed a motion to dismiss the complaint. On September 19, 2019, the court denied our motion to dismiss this complaint. This matter was subsequently referred to a special litigation committee of our board of directors. On February 18, 2020, we filed an answer to the complaint. We and the plaintiff agreed to stay this litigation while the special litigation committee conducts its investigation. On May 5, 2020, the court approved the stipulation and stayed the litigation through November 1, 2020.</w:t>
      </w:r>
    </w:p>
    <w:p>
      <w:pPr>
        <w:spacing w:after="0" w:line="233"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On October 16, 2018, our board of directors received a shareholder demand to investigate and commence legal proceedings against certain members of our board of directors. The demand alleges facts that are substantially similar to the facts alleged in the CAC and the Pacheco complaint and asserts claims that are substantially similar to the claims asserted in the Pacheco complaint. On January 30, 2019, our board of directors received a second shareholder demand from a different shareholder to investigate and commence legal proceedings against certain current and former members of our board of directors based on allegations that are substantially similar to the allegations contained in the first demand letter. These shareholder demands have been referred to a demand review committee of our board of directors. We have entered into tolling agreements with the directors named in the demands.</w:t>
      </w:r>
    </w:p>
    <w:p>
      <w:pPr>
        <w:spacing w:after="0" w:line="218"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deny any and all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management’s attention and resources from other priorities, including the execution of our business plan and strategies that are important to our ability to grow our business, any of which could have a material adverse effect on our business.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The following risk factors and other information included in this Quarterly Report on Form 10-Q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Plan, Financial Position and Need for Additional Capital</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are a development-stage company without any commercial products. The value of our company, therefore, is highly dependent on the success of our research and development efforts and the amount of our available cash. Our research and development programs, which are focused on novel therapies and technologies, carry significant scientific and other risks. If any of these programs are not successful, the value of your investment may decline.</w:t>
      </w:r>
    </w:p>
    <w:p>
      <w:pPr>
        <w:spacing w:after="0" w:line="241"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are a development-stage company without any approved products. Our growth prospects and the future value of our company are highly dependent on the progress of our research and development programs, including our ongoing and future clinical trials for Zimura, our preclinical development programs for IC-100 and IC-200, our collaborative gene therapy sponsored research programs, and our preclinical development program for our HtrA1 inhibitors. Drug development is a highly uncertain undertaking and carries significant scientific and other risks.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may encounter unforeseen difficulties, complications, delays, expenses and other known and unknown factors. We may never be successful in developing or commercializing any of our product candidates or other programs. There is a high rate of failure in pharmaceutical research and development. Even if we have promising preclinical or clinical candidates, their development could fail at any time. Our failure could be due to unexpected scientific, safety or efficacy issues with our product candidates and other programs, invalid hypotheses regarding the molecular targets and mechanisms of action we choose to pursue or unexpected delays in our research and development programs resulting from applying the wrong criteria or experimental systems and procedures to our programs or lack of experience or other factors, including disruptions resulting from the COVID-19 pandemic, with the possible result that none of our product candidates or other programs result in the development of marketable products. We have not yet demonstrated our ability to successfully complete the development of a pharmaceutical product, including completion of large-scale, pivotal clinical trials with safety and efficacy data sufficient to obtain marketing approval or activities necessary to apply for and obtain marketing approval, including the qualification of a commercial manufacturer through a pre-approval inspection with regulatory authorities. If successful in developing and obtaining marketing approval of one of our product candidates, we would need to transition from a company with a product development focus to a company capable of commercializing pharmaceutical products. We may not be successful in such a transition, as our company has never conducted the sales, marketing and distribution activities necessary for successful product commercialization.</w:t>
      </w:r>
    </w:p>
    <w:p>
      <w:pPr>
        <w:spacing w:after="0" w:line="24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Because the value of our company is largely based on the prospects for our research and development programs and their potential to result in therapies capable of achieving marketing approval and generating future revenues, any failure, delay or setback for these programs will likely have a negative impact on the value of your investment. In addition, because a number of our product candidates are in an early, preclinical stage, even if we are successful in advancing the research and development of those product candidates, the value of our common stock may not rise in a meaningful way, which could affect our ability to raise additional finances. As we continue to invest in these research and development programs to generate data to support further development, the amount of our available cash will continue to decline until we raise additional finances.</w:t>
      </w:r>
    </w:p>
    <w:p>
      <w:pPr>
        <w:spacing w:after="0" w:line="2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a history of significant operating losses. We expect to continue to incur losses until such time, if ever, that we successfully commercialize our product candidates and may never achieve or maintain profitability.</w:t>
      </w:r>
    </w:p>
    <w:p>
      <w:pPr>
        <w:spacing w:after="0" w:line="22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Since inception, we have experienced significant cash outflows in funding our operations. To date, we have not generated any revenues from commercial product sales and have financed our operations primarily through private placements of our preferred stock, venture debt borrowings, funds received under our prior Fovista royalty purchase and sale agreement with Novo Holdings A/S, our initial public offering, which we closed in September 2013, funds we received under our prior Fovista licensing and commercialization agreement with Novartis Pharma AG, funds we received in connection with our acquisition of Inception 4 in October 2018, and our follow-on public offerings, which we closed in February 2014 and December 2019. As of March 31, 2020, we had an accumulated deficit of $495.6 million. Our net loss was $15.1 million for the three months ended March 31, 2020 and we expect to continue to incur significant operating losses for the foreseeable future.</w:t>
      </w:r>
    </w:p>
    <w:p>
      <w:pPr>
        <w:spacing w:after="0" w:line="23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Zimura is in clinical development, our gene therapy product candidates IC-100 and IC-200 and our HtrA1 inhibitor program are each in preclinical development, and we are funding multiple ongoing collaborative gene therapy sponsored</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research programs. We expect our research and development expenses to increase as we pursue these programs as currently planned. Furthermore, we expect that if the delay in initiating patient enrollment for the ISEE2008 trial becomes prolonged, whether due to the COVID-19 pandemic or other reasons, or if we experience additional delays or disruptions to our research and development programs, including in the manufacture and supply of products for such programs, such delays or disruptions could increase our operating expenses or otherwise have a material adverse effect on our business and financial results. We could also incur additional research and development expenses as we evaluate and potentially in-license or acquire, and undertake development of, additional product candidates, including any promising product candidates that emerge from our collaborative gene therapy sponsored research programs. Furthermore, if we successfully develop and obtain marketing approval for any of our product candidates, we expect to incur significant commercialization expenses related to product sales, marketing, distribution and manufacturing. We are party to agreements with Archemix Corp., or Archemix, with respect to Zimura, the University of Florida Research Foundation, Incorporated, or UFRF, and Penn with respect to IC-100 and IC-200, UMMS with respect to any potential product candidates from our miniCEP290 program, and the former equityholders of Inception 4 with respect to our HtrA1 inhibitor program, in each case, that impose significant milestone payment obligations on us if we achieve specified clinical, regulatory and commercial milestones with respect to these product candidates or programs, as well as certain royalties on net sales with respect to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279"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the development of Zimura in GA and STGD1;</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the development of IC-100 and IC-200 and pursue our collaborative gene therapy sponsored research programs;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the preclinical development of our HtrA1 inhibitor program;</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in-license or acquire the rights to, and pursue the development of, other product candidates or technologies;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quality assurance and scientific personnel;</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w:t>
      </w:r>
    </w:p>
    <w:p>
      <w:pPr>
        <w:spacing w:after="0" w:line="279"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 our outsourced manufacturing activities or establish commercial operations or sales, marketing and distribution capabilities, if we receive, or expect to receive, marketing approval for any of our product candidates; and</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future growth.</w:t>
      </w:r>
    </w:p>
    <w:p>
      <w:pPr>
        <w:spacing w:after="0" w:line="27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ability to become and remain profitable depends on our ability to generate revenue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 See “—Risks Related to Product Development and Commercialization” for a further discussion of the risks we face in successfully developing and commercializing our product candidates and achieving profitability.</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80"/>
        <w:spacing w:after="0" w:line="340" w:lineRule="auto"/>
        <w:rPr>
          <w:sz w:val="20"/>
          <w:szCs w:val="20"/>
          <w:color w:val="auto"/>
        </w:rPr>
      </w:pPr>
      <w:r>
        <w:rPr>
          <w:rFonts w:ascii="Arial" w:cs="Arial" w:eastAsia="Arial" w:hAnsi="Arial"/>
          <w:sz w:val="15"/>
          <w:szCs w:val="15"/>
          <w:b w:val="1"/>
          <w:bCs w:val="1"/>
          <w:i w:val="1"/>
          <w:iCs w:val="1"/>
          <w:color w:val="auto"/>
        </w:rPr>
        <w:t>We expect we will require substantial, additional funding in order to complete the activities necessary to develop and commercialize one or more of our product candidates. If we are unable to raise capital when needed, we could be forced to delay, reduce or eliminate our product development programs or commercialization efforts. We may require additional funding beyond what we currently expect or sooner than we currently expect.</w:t>
      </w:r>
    </w:p>
    <w:p>
      <w:pPr>
        <w:spacing w:after="0" w:line="50"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As of March 31, 2020, we had cash and cash equivalents of $108.4 million. We estimate that our year-end 2020 cash and cash equivalents will range between $65 million and $70 million. We also estimate that our cash and cash equivalents will be sufficient to fund our operations and capital expenditures as currently planned into the beginning of 2022. These estimates are based on our current 2020 business plan, including the initiation of the ISEE2008 trial and the continuation of our other ongoing research and development programs. These estimates do not reflect any additional expenditures, including associated development costs, in the event we in-license or acquire any new product candidates or if we commence any new sponsored research programs. We have based these estimates on assumptions that may prove to be wrong, and we could use our available capital resources sooner than we currently expect.</w:t>
      </w:r>
    </w:p>
    <w:p>
      <w:pPr>
        <w:spacing w:after="0" w:line="33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expect we will require substantial, additional funding in order to complete the activities necessary to develop and commercialize one or more of our product candidates. Similar to the other risk factors pertinent to our business, the COVID-19 pandemic might unfavorably impact our ability to generate such additional funding. Although the future development of our product candidates is highly uncertain, we expect the development of our product candidates will continue for at least the next several years. At this time, we cannot reasonably estimate the total remaining costs necessary to complete development, to complete process development and manufacturing scale-up and validation activities and to potentially seek marketing approval for any of our product candidates.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79"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progress, costs and results of our current and planned Zimura clinical programs;</w:t>
      </w:r>
    </w:p>
    <w:p>
      <w:pPr>
        <w:spacing w:after="0" w:line="279"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IC-100 and IC-200, including activities to establish manufacturing capabilities and preclinical testing to enable us to file INDs for these product candidates;</w:t>
      </w:r>
    </w:p>
    <w:p>
      <w:pPr>
        <w:spacing w:after="0" w:line="224" w:lineRule="exact"/>
        <w:rPr>
          <w:rFonts w:ascii="Arial" w:cs="Arial" w:eastAsia="Arial" w:hAnsi="Arial"/>
          <w:sz w:val="18"/>
          <w:szCs w:val="18"/>
          <w:color w:val="auto"/>
        </w:rPr>
      </w:pPr>
    </w:p>
    <w:p>
      <w:pPr>
        <w:ind w:left="980" w:right="440" w:hanging="324"/>
        <w:spacing w:after="0" w:line="308"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scope, progress, costs and results from our collaborative gene therapy sponsored research programs, including costs related to the in-license and future development of any promising product candidates and technologies that emerge from these programs;</w:t>
      </w:r>
    </w:p>
    <w:p>
      <w:pPr>
        <w:spacing w:after="0" w:line="200" w:lineRule="exact"/>
        <w:rPr>
          <w:rFonts w:ascii="Arial" w:cs="Arial" w:eastAsia="Arial" w:hAnsi="Arial"/>
          <w:sz w:val="17"/>
          <w:szCs w:val="17"/>
          <w:color w:val="auto"/>
        </w:rPr>
      </w:pPr>
    </w:p>
    <w:p>
      <w:pPr>
        <w:ind w:left="980" w:right="20" w:hanging="324"/>
        <w:spacing w:after="0" w:line="263"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our HtrA1 inhibitor program, including activities to establish manufacturing capabilities and formulation development and other preclinical development activities to enable us to file an IND for a product candidate from this program;</w:t>
      </w:r>
    </w:p>
    <w:p>
      <w:pPr>
        <w:spacing w:after="0" w:line="237"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progress and timing of process development, manufacturing scale-up and validation activities, analytical development and stability studies associated with our product candidates;</w:t>
      </w:r>
    </w:p>
    <w:p>
      <w:pPr>
        <w:spacing w:after="0" w:line="224"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length of the delay to the initiation of the ISEE2008 trial and any other delays or disruptions to our research and development programs as a result of the COVID-19 pandemic;</w:t>
      </w:r>
    </w:p>
    <w:p>
      <w:pPr>
        <w:spacing w:after="0" w:line="224" w:lineRule="exact"/>
        <w:rPr>
          <w:rFonts w:ascii="Arial" w:cs="Arial" w:eastAsia="Arial" w:hAnsi="Arial"/>
          <w:sz w:val="18"/>
          <w:szCs w:val="18"/>
          <w:color w:val="auto"/>
        </w:rPr>
      </w:pPr>
    </w:p>
    <w:p>
      <w:pPr>
        <w:ind w:left="980" w:right="96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and undertake research or development of, additional product candidates or technologies;</w:t>
      </w:r>
    </w:p>
    <w:p>
      <w:pPr>
        <w:spacing w:after="0" w:line="224" w:lineRule="exact"/>
        <w:rPr>
          <w:rFonts w:ascii="Arial" w:cs="Arial" w:eastAsia="Arial" w:hAnsi="Arial"/>
          <w:sz w:val="18"/>
          <w:szCs w:val="18"/>
          <w:color w:val="auto"/>
        </w:rPr>
      </w:pPr>
    </w:p>
    <w:p>
      <w:pPr>
        <w:ind w:left="980" w:right="86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 if we choose to do so, including any collaboration for the further development and potential commercialization of Zimura;</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w:t>
      </w:r>
    </w:p>
    <w:p>
      <w:pPr>
        <w:spacing w:after="0" w:line="279"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w:t>
      </w:r>
    </w:p>
    <w:p>
      <w:pPr>
        <w:spacing w:after="0" w:line="224"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224"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22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w:t>
      </w:r>
    </w:p>
    <w:p>
      <w:pPr>
        <w:sectPr>
          <w:pgSz w:w="11900" w:h="16838" w:orient="portrait"/>
          <w:cols w:equalWidth="0" w:num="1">
            <w:col w:w="11240"/>
          </w:cols>
          <w:pgMar w:left="320" w:top="125" w:right="33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companies. For example, the COVID-19 pandemic has caused significant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Although we were able to raise approximately $42.6 million in net proceeds through our December 2019 public offering, we may not be able to successfully raise additional capital in the future. The size of our company and our status as a company listed on The Nasdaq Global Select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our product candidates, our collaborative gene therapy sponsored research programs, or our future commercialization efforts.</w:t>
      </w:r>
    </w:p>
    <w:p>
      <w:pPr>
        <w:spacing w:after="0" w:line="226"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We may require additional funding beyond what we currently expect due to unforeseen or other reasons. Our costs may exceed our expectations if we experience an issue in our ongoing clinical trials, such as issues with patient enrollment, the retention of enrolled patients, enrolled patients maintaining scheduled visits and receiving scheduled treatments, or the availability of drug supply, or in our preclinical development programs, such as inability to develop formulations or if we experience issues with manufacturing, or if we modify or further expand the scope of our clinical trials, preclinical development programs or collaborative gene therapy sponsored research programs. Our costs may also exceed our expectations for other reasons, for example, if we are required by the FDA, the European Medicines Agency, or the EMA, or regulatory authorities in other jurisdictions to perform clinical or nonclinical trials or other studies in addition to those we currently expect to conduct, if we experience issues with process development, establishing or scaling-up of manufacturing activities or activities to enable and qualify second source suppliers, or if we decide to increase preclinical and clinical research and development activities, build internal research capabilities or pursue internal research efforts. For example, we plan to begin the ISEE2008 trial, which is a single Phase 3 clinical trial evaluating Zimura for GA, with the expectation that data collected from such trial, if it is positive, together with data from our OPH2003 trial, will be sufficient to seek marketing approval in the United States and the European Union and we may subsequently decide to, or be required by regulatory authorities to, enroll additional patients in the ISEE2008 trial beyond our current expectations or conduct additional clinical trials for Zimura in GA in order to seek or maintain regulatory approval or qualify for reimbursement approval. In addition, in March 2020, we decided to delay the initiation of patient enrollment in the ISEE2008 trial because of the COVID-19 pandemic. The COVID-19 pandemic may result in additional delays to the initiation of the ISEE2008 trial or to our other research and development programs, which could cause us to continue to expend our cash resources while not progressing our research and development programs as expeditiously as we would have had the pandemic not occurred or persisted. For example, we may experience difficulty in enrolling or retaining patients or maintaining scheduled visits and treatments once we initiate patient enrollment in the ISEE2008 trial due to patients' fears of visiting clinical trial sites or ongoing restrictive measures requiring social distancing or limiting travel. As a result of any of the above, we may need or may seek to obtain additional funding for our continuing operations sooner or in greater amounts than expected.</w:t>
      </w:r>
    </w:p>
    <w:p>
      <w:pPr>
        <w:spacing w:after="0" w:line="24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21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22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may involve agreements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that include covenants limiting or restricting our ability to take specific actions, such as incurring additional debt, making capital expenditures or declaring dividends.</w:t>
      </w:r>
    </w:p>
    <w:p>
      <w:pPr>
        <w:spacing w:after="0" w:line="22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addition, we have issued, and may in the future issue additional, equity securities as consideration for business development transactions, which may also dilute our existing stockholders' ownership interests. For example, under the agreement and plan of merger pursuant to which we acquired Inception 4 and our HtrA1 inhibitor program, or the Inception 4 Merger Agreement, we issued an aggregate of 5,174,727 shares of our common stock as up-front consideration to the former equityholders of Inception 4. The Inception 4 Merger Agreement also requires us to make payments to the former equityholders of Inception 4 upon the achievement of certain clinical and regulatory milestones, subject to the terms and conditions set forth in the Inception 4 Merger Agreement. Those milestone payments will be in the form of shares of our common stock, calculated based on the price of our common stock over a five-trading day period preceding the achievement of the relevant milestone, unless and until the issuance of such shares would, together with all other shares issued under the Inception 4 Merger Agreement, exceed an overall maximum limit of approximately 7.2 million shares, which is equal to 19.9% of the number of issued and outstanding shares of our common stock as of the close of business on the business day prior to the closing date of our acquisition of Inception 4, and will be payable in cash thereafter. In July 2019, we also issued 75,000 shares of our common stock to UMass as partial upfront consideration for the in-license of our miniCEP290 program, and are obligated to issue up to 75,000 additional shares to UMass upon the achievement of a development milestone.</w:t>
      </w:r>
    </w:p>
    <w:p>
      <w:pPr>
        <w:spacing w:after="0" w:line="233"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In August 2018, we entered into an agreement with Cowen and Company, LLC, or Cowen, as agent, pursuant to which we may offer and sell shares of our common stock for aggregate gross sale proceeds of up to $50.0 million from time to time through Cowen under an “at-the-market” offering program, subject to the terms and conditions described in the agreement and SEC rules and regulations. We have not yet issued and sold any shares of common stock under our “at-the-market” offering program. If we make sales under our “at-the-market” offering program, the sales could dilute our stockholders, reduce the trading price of our common stock or impede our ability to raise future capital.</w:t>
      </w:r>
    </w:p>
    <w:p>
      <w:pPr>
        <w:spacing w:after="0" w:line="230"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90"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b w:val="1"/>
          <w:bCs w:val="1"/>
          <w:i w:val="1"/>
          <w:iCs w:val="1"/>
          <w:color w:val="auto"/>
        </w:rPr>
        <w:t>The COVID-19 pandemic, which is a fluid and evolving situation, is negatively affecting our business and operations in a number of ways, including delaying the initiation of patient enrollment for our ISEE2008 trial, and its long-term effects are uncertain. In addition, the pandemic has caused substantial disruption in the financial markets and economies, which could adversely affect our business and operations.</w:t>
      </w:r>
    </w:p>
    <w:p>
      <w:pPr>
        <w:spacing w:after="0" w:line="14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December 2019, an outbreak of respiratory illness caused by a novel coronavirus began in Wuhan, China. As of May 2020, that outbreak has led to at least three and a half million confirmed cases and at least 250,000 deaths worldwide, with most countries throughout the world confirming cases. The World Health Organization has declared the outbreak a global pandemic and the U.S. government and all 50 states have declared it to be a national or state emergency. In addition, a majority of the world's population has been affected by government efforts to slow the spread of the outbreak through stay-at-home and social distancing orders, shutdowns of businesses and public places, heightened border security, travel restrictions, quarantines and other measures. The outbreak and government measures taken in response have had a significant impact, both direct and indirect, on businesses and commerce, as a substantial number of people have been required to stay and work from home; worker shortages have occurred; supply chains have been disrupted; facilities and production have been suspended; and demand for certain goods and services, such as medical services and supplies, has spiked, while demand for other goods and services, such as travel and conferences, has fallen.</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COVID-19 pandemic and measures taken to contain it have affected our business and operations in a number of ways. These include, but are not limited to, the following:</w:t>
      </w:r>
    </w:p>
    <w:p>
      <w:pPr>
        <w:spacing w:after="0" w:line="170" w:lineRule="exact"/>
        <w:rPr>
          <w:sz w:val="20"/>
          <w:szCs w:val="20"/>
          <w:color w:val="auto"/>
        </w:rPr>
      </w:pPr>
    </w:p>
    <w:p>
      <w:pPr>
        <w:ind w:left="660" w:right="40" w:hanging="328"/>
        <w:spacing w:after="0" w:line="273"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March 2020, we decided to delay initiation of patient enrollment in our ISEE2008 trial. In the meantime, we have continued with trial initiation activities. Health authorities and ethics committees in certain countries, and many of the clinical trial sites we are planning to use for this trial, have reduced their staff and operations due to the COVID-19 pandemic. This reduction in operations has resulted in delays to the approval of our trial in certain countries outside the United States and delays in the activation process for a number of our planned clinical trial sites. Once we decide to initiate patient enrollment in the ISEE2008 trial, we may experience difficulty in enrolling or retaining patients due to patients' fears of visiting clinical trial sites or ongoing restrictive measures requiring social distancing or limiting travel.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60" w:hanging="328"/>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instituted company-wide remote working starting in the middle of March 2020. Investor and scientific meetings and conferences have been canceled or are occurring virtually. We have been relying on remote means of working and communication both internally and externally.</w:t>
      </w:r>
    </w:p>
    <w:p>
      <w:pPr>
        <w:spacing w:after="0" w:line="123" w:lineRule="exact"/>
        <w:rPr>
          <w:rFonts w:ascii="Arial" w:cs="Arial" w:eastAsia="Arial" w:hAnsi="Arial"/>
          <w:sz w:val="16"/>
          <w:szCs w:val="16"/>
          <w:color w:val="auto"/>
        </w:rPr>
      </w:pPr>
    </w:p>
    <w:p>
      <w:pPr>
        <w:ind w:left="660" w:right="20" w:hanging="328"/>
        <w:spacing w:after="0" w:line="29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Many of our clinical trial sites for the OPH2003 and OPH2005 trials have been operating with reduced staff and other restrictions. We have increased our efforts to engage with our clinical trial sites with a focus on retaining patients and maintaining scheduled visits and treatments, and instituted practices such as flexible scheduling of visits for patients and remote monitoring. Based on the latest information we have available, we are aware that a few patients in the OPH2005 trial have missed consecutive trial visits during the pandemic. We continue to monitor the situation closely. We do not yet know whether this trend will continue or increase, or what the impact of these missed visits may be on the results of the trial, especially because we are masked to the treatment condition of these patients. We may experience difficulty in retaining patients or maintaining scheduled visits and treatments in the future due to ongoing or future restrictions or other impacts related to the COVID-19 pandemic.</w:t>
      </w:r>
    </w:p>
    <w:p>
      <w:pPr>
        <w:spacing w:after="0" w:line="166" w:lineRule="exact"/>
        <w:rPr>
          <w:rFonts w:ascii="Arial" w:cs="Arial" w:eastAsia="Arial" w:hAnsi="Arial"/>
          <w:sz w:val="16"/>
          <w:szCs w:val="16"/>
          <w:color w:val="auto"/>
        </w:rPr>
      </w:pPr>
    </w:p>
    <w:p>
      <w:pPr>
        <w:jc w:val="both"/>
        <w:ind w:left="660" w:right="8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some instances, our third-party contract manufacturers, academic research collaborators and contract research organizations have limited their operations and staff, which has resulted in delays to some of our manufacturing and research and development activities and limited our ability to be on site to oversee these activities.</w:t>
      </w:r>
    </w:p>
    <w:p>
      <w:pPr>
        <w:spacing w:after="0" w:line="183" w:lineRule="exact"/>
        <w:rPr>
          <w:rFonts w:ascii="Arial" w:cs="Arial" w:eastAsia="Arial" w:hAnsi="Arial"/>
          <w:sz w:val="18"/>
          <w:szCs w:val="18"/>
          <w:color w:val="auto"/>
        </w:rPr>
      </w:pPr>
    </w:p>
    <w:p>
      <w:pPr>
        <w:ind w:left="660" w:right="200" w:hanging="328"/>
        <w:spacing w:after="0" w:line="25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Shortages and governmental restrictions arising from the COVID-19 pandemic may disrupt the ability of our contract manufacturers to procure items that are essential for our manufacturing activities, such as raw materials used in the manufacture of our product candidates. The manufacturer for our HtrA1 inhibitor program has experienced such a shortage. Similar shortages and governmental restrictions may disrupt the our ability or the ability of our clinical trial sites to procure medical supplies for our clinical trials, including personal protective equipment to protect patients and investigators and their staffs.</w:t>
      </w:r>
    </w:p>
    <w:p>
      <w:pPr>
        <w:spacing w:after="0" w:line="187"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pandemic has caused significant disruption to the financial markets, and has caused increased volatility in the price of our stock and that of other companies in the biotechnology industry.</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212529"/>
        </w:rPr>
        <w:t xml:space="preserve">We do not believe that the COVID-19 pandemic, and our actions in response and the costs of those actions, have had a material impact on our financial position, results of operations, or cash flows for the quarter ended March 31, 2020. The progression of the COVID-19 pandemic remains fluid and its impact on our business and operations remains uncertain. </w:t>
      </w:r>
      <w:r>
        <w:rPr>
          <w:rFonts w:ascii="Arial" w:cs="Arial" w:eastAsia="Arial" w:hAnsi="Arial"/>
          <w:sz w:val="17"/>
          <w:szCs w:val="17"/>
          <w:color w:val="000000"/>
        </w:rPr>
        <w:t>Even though the pandemic may be under control in several countries, there may be a second or</w:t>
      </w:r>
      <w:r>
        <w:rPr>
          <w:rFonts w:ascii="Arial" w:cs="Arial" w:eastAsia="Arial" w:hAnsi="Arial"/>
          <w:sz w:val="17"/>
          <w:szCs w:val="17"/>
          <w:color w:val="212529"/>
        </w:rPr>
        <w:t xml:space="preserve"> </w:t>
      </w:r>
      <w:r>
        <w:rPr>
          <w:rFonts w:ascii="Arial" w:cs="Arial" w:eastAsia="Arial" w:hAnsi="Arial"/>
          <w:sz w:val="17"/>
          <w:szCs w:val="17"/>
          <w:color w:val="000000"/>
        </w:rPr>
        <w:t xml:space="preserve">subsequent waves as stay-at-home and social distancing orders are lifted. The prospects for finding an effective vaccine or treatment for this disease are uncertain, which may cause the measures to contain the pandemic to be in place for a prolonged period of time. </w:t>
      </w:r>
      <w:r>
        <w:rPr>
          <w:rFonts w:ascii="Arial" w:cs="Arial" w:eastAsia="Arial" w:hAnsi="Arial"/>
          <w:sz w:val="17"/>
          <w:szCs w:val="17"/>
          <w:color w:val="212529"/>
        </w:rPr>
        <w:t>The full extent to which the COVID-19</w:t>
      </w:r>
      <w:r>
        <w:rPr>
          <w:rFonts w:ascii="Arial" w:cs="Arial" w:eastAsia="Arial" w:hAnsi="Arial"/>
          <w:sz w:val="17"/>
          <w:szCs w:val="17"/>
          <w:color w:val="000000"/>
        </w:rPr>
        <w:t xml:space="preserve"> </w:t>
      </w:r>
      <w:r>
        <w:rPr>
          <w:rFonts w:ascii="Arial" w:cs="Arial" w:eastAsia="Arial" w:hAnsi="Arial"/>
          <w:sz w:val="17"/>
          <w:szCs w:val="17"/>
          <w:color w:val="212529"/>
        </w:rPr>
        <w:t xml:space="preserve">pandemic will directly or indirectly impact our business, results of operations and financial </w:t>
      </w:r>
      <w:r>
        <w:rPr>
          <w:rFonts w:ascii="Arial" w:cs="Arial" w:eastAsia="Arial" w:hAnsi="Arial"/>
          <w:sz w:val="17"/>
          <w:szCs w:val="17"/>
          <w:color w:val="000000"/>
        </w:rPr>
        <w:t>c</w:t>
      </w:r>
      <w:r>
        <w:rPr>
          <w:rFonts w:ascii="Arial" w:cs="Arial" w:eastAsia="Arial" w:hAnsi="Arial"/>
          <w:sz w:val="17"/>
          <w:szCs w:val="17"/>
          <w:color w:val="212529"/>
        </w:rPr>
        <w:t>ondition will depend on developments that are highly uncertain and cannot be accurately predicted, including new information that may emerge concerning COVID-19, the actions taken to contain it or lessen its impact and the economic impact on local, regional, national and international markets. For example, if our clinical trial sites continue to have reduced operations or close, this could have a material adverse impact on our clinical trial plans and timelines. If the delays and other disruptions due to the pandemic become prolonged or more extensive, then we may experience further delays or disruptions to our research and development programs and our financial position, results of operations or cash flows for future periods may be materially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-723265</wp:posOffset>
            </wp:positionV>
            <wp:extent cx="285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addition, many companies have been using force majeure clauses in their contracts to excuse or delay performing under their contracts. Our contract manufacturers, academic research collaborators, contract research organizations and other third parties on whom we rely for goods or services may make similar claims. If any such force majeure claims were successful, then not only would our timelines be delayed but also our right to recover for any economic damages due to the delay would be limited. Because we rely on many single-source suppliers, any such claims from them are likely to result in a delay to our timelines or otherwise adversely affect our operations or financial position.</w:t>
      </w:r>
    </w:p>
    <w:p>
      <w:pPr>
        <w:spacing w:after="0" w:line="17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cannot foresee if and when the outbreak of COVID-19 will be effectively contained, nor can we predict the severity and duration of the impact of the pandemic on our operations. Even if the pandemic is contained and the economy is largely reopened, the pandemic may recur and the existing measures may be re-imposed. If the COVID-19 pandemic is not effectively and timely controlled, we may experience prolonged disruptions of our clinical trials, suppliers or contract manufacturers, extended closures of facilities, such as clinical trial sites, academic research centers and suppliers, including single source suppliers, and delays in interactions with regulatory agencies or approvals for our product candidates. It is possible the pandemic may have significant or long-lasting effects on economies worldwide. If the effects of COVID-19 on the financial markets and the global economy persist, they could hamper our ability to raise additional finances. Any of these events may materially and adversely affect our business operations and financial condition.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strategy of obtaining additional rights to products, product candidates or technologies for the treatment of retinal diseases may not be successful.</w:t>
      </w:r>
    </w:p>
    <w:p>
      <w:pPr>
        <w:spacing w:after="0" w:line="31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An element of our strategy has been to expand our pipeline through in-licensing or acquiring the rights to products, product candidates or technologies that would complement our strategic goals as well as other compelling ophthalmology opportunities. Since early 2018, we have completed multiple acquisition, in-license, exclusive option and sponsored research arrangements for product candidates and other technologies intended to treat retinal diseases. We plan to continue to evaluate additional opportunities to in-license or acquire products, product candidates and technologies on a selective and targeted basis. We may also continue to consider other alternatives, including mergers or other transactions involving our company as a whole or other collaboration transactions, including collaboration or out-license opportunities for further development and potential commercialization of Zimura. Our business development efforts may fail to result in our acquiring rights to additional products, product candidates or technologies, or may result in our consummating transactions with which you do not agree.</w:t>
      </w:r>
    </w:p>
    <w:p>
      <w:pPr>
        <w:spacing w:after="0" w:line="232"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We may be unable to in-license or acquire the rights to any such products, product candidates or technologies from third parties for several reasons. The success of this strategy depends partly upon our ability to identify, select and acquire or in-license promising product candidates and technologies. There are currently a limited number of available product candidates or technologies for the treatment of diseases affecting retina and the competition for those assets is intense. The process of proposing, negotiating and implementing a license or acquisition of a product candidate is lengthy and complex. With respect to potential product candidates or technologies for which we have entered into option agreements or sponsored research agreements for which we have option rights, our agreements generally do not have fixed economic or other key terms for definitive agreements, and we may not obtain favorable terms if and when we choose to exercise our options to acquire or in-license any product candidates or technologies.</w:t>
      </w:r>
    </w:p>
    <w:p>
      <w:pPr>
        <w:spacing w:after="0" w:line="22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in-licensing and acquisition of pharmaceutical products is an area characterized by intense competition, and a number of companies (both more established and early stage biotechnology companies) are also pursuing strategies to in-license or acquire product candidates or technologies that we may consider attractive. We believe that other companies may be particularly active in pursuing opportunities to in-license or acquire priming gene therapy opportunities. More established companies may have a competitive advantage over us due to their size, cash resources and greater research, preclinical or clinical development or commercialization capabilities, while earlier stage companies may be more aggressive or have a higher risk tolerance. In addition, companies that perceive us to be a competitor may be unwilling to assign or license rights to us. We also may be unable to in-license or acquire the rights to the relevant product candidate or technology on terms that would allow us to make an appropriate return on our investment. Moreover, we may devote resources to potential acquisitions or in-licensing opportunities that are never completed, or we may fail to realize the anticipated benefits of such efforts or we may incorrectly judge the value of an acquired or in-licensed product candidate or technology.</w:t>
      </w:r>
    </w:p>
    <w:p>
      <w:pPr>
        <w:spacing w:after="0" w:line="22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Further, any product candidate that we acquire or in-license would most likely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would not be shown to be sufficiently safe and effective for approval by regulatory authorities.</w:t>
      </w:r>
    </w:p>
    <w:p>
      <w:pPr>
        <w:spacing w:after="0" w:line="24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we are unable to successfully obtain rights to suitable product candidates or technologies, our business, financial condition and prospects for growth could suffer. In addition, acquisitions and in-licensing arrangements for product candidates and technologies are inherently risky, and ultimately, if we do not complete an announced acquisition or license transaction or integrate an acquired or licensed product candidate or technology successfully and in a timely manner, we may not realize the benefits of the acquisition or license to the extent anticipated and the perception of the effectiveness of our management team and our company may suffer in the marketplace. In addition, even if we are able to successfully identify, negotiate and execute one or more transactions to acquire or in-license new product candidates or technologies, our expenses and short-term costs may increase materially and adversely affect our liquidity.</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acquisitions and in-licenses may entail numerous operational, financial and legal risks, including:</w:t>
      </w:r>
    </w:p>
    <w:p>
      <w:pPr>
        <w:spacing w:after="0" w:line="279" w:lineRule="exact"/>
        <w:rPr>
          <w:sz w:val="20"/>
          <w:szCs w:val="20"/>
          <w:color w:val="auto"/>
        </w:rPr>
      </w:pPr>
    </w:p>
    <w:p>
      <w:pPr>
        <w:ind w:left="980" w:right="4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possible intellectual property infringement claims, violations of laws, tax liabilities and commercial disputes;</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incurrence of substantial debt, dilutive issuances of securities or depletion of cash to pay for acquisitions;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in combining the operations and personnel of any acquired businesses with our operations and personnel;</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procedures and policies;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restructuring charges related to eliminating redundancies or disposing of assets as part of any such combination;</w:t>
      </w:r>
    </w:p>
    <w:p>
      <w:pPr>
        <w:spacing w:after="0" w:line="279"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large write-offs and difficulties in assessing the relative percentages of in-process research and development expense that can be immediately written off as compared to the amount that must be amortized over the appropriate life of the asset;</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amortization expenses or, in the event that we write-down the value of acquired assets, impairment losses;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w:t>
      </w:r>
    </w:p>
    <w:p>
      <w:pPr>
        <w:spacing w:after="0" w:line="290" w:lineRule="exact"/>
        <w:rPr>
          <w:rFonts w:ascii="Arial" w:cs="Arial" w:eastAsia="Arial" w:hAnsi="Arial"/>
          <w:sz w:val="17"/>
          <w:szCs w:val="17"/>
          <w:color w:val="auto"/>
        </w:rPr>
      </w:pPr>
    </w:p>
    <w:p>
      <w:pPr>
        <w:ind w:left="980" w:right="54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retain personnel, key customers, distributors, vendors and other business collaborators integral to an in-licensed or acquired product candidate or technology;</w:t>
      </w:r>
    </w:p>
    <w:p>
      <w:pPr>
        <w:spacing w:after="0" w:line="224" w:lineRule="exact"/>
        <w:rPr>
          <w:rFonts w:ascii="Arial" w:cs="Arial" w:eastAsia="Arial" w:hAnsi="Arial"/>
          <w:sz w:val="18"/>
          <w:szCs w:val="18"/>
          <w:color w:val="auto"/>
        </w:rPr>
      </w:pPr>
    </w:p>
    <w:p>
      <w:pPr>
        <w:ind w:left="980" w:right="100" w:hanging="324"/>
        <w:spacing w:after="0" w:line="259"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failure of the due diligence process to identify significant problems, liabilities or other shortcomings or challenges of an acquired or licensed product candidate or technology, including problems, liabilities or other shortcomings or challenges with respect to intellectual property, product quality, revenue recognition or other accounting practices, partner disputes or issues and other legal and financial contingencies and known and unknown liabilities; and</w:t>
      </w:r>
    </w:p>
    <w:p>
      <w:pPr>
        <w:spacing w:after="0" w:line="240"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entry into therapeutic modalities, indications or markets in which we have no or limited direct prior development or commercial experience and where competitors in such markets have stronger market positions.</w:t>
      </w:r>
    </w:p>
    <w:p>
      <w:pPr>
        <w:spacing w:after="0" w:line="2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and certain of our current and former board members and executive officers have been named as defendants in lawsuits that could result in substantial costs and divert management’s attention.</w:t>
      </w:r>
    </w:p>
    <w:p>
      <w:pPr>
        <w:spacing w:after="0" w:line="224"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We and certain of our current and former executive officers have been named as defendants in a purported consolidated putative class action lawsuit initiated in 2017 that generally alleges that we and certain of our officers violated Sections 10(b) and/or 20(a) of the Exchange Act and Rule 10b-5 promulgated thereunder by making allegedly false and/or misleading statements concerning the results of our Phase 2b trial and the prospects of our Phase</w:t>
      </w:r>
    </w:p>
    <w:p>
      <w:pPr>
        <w:spacing w:after="0" w:line="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3 trials for Fovista in combination with anti-VEGF agents for the treatment of wet AMD. Certain current and former members of our board of directors and current and former officers have also been named as defendants in a shareholder derivative action initiated in August 2018, which generally alleges that the defendants breached their fiduciary duties to our company by failing to oversee our business during the period of the Phase 2b and Phase 3 clinical trials of Fovista. These complaints seek equitable and/or injunctive relief, unspecified damages, attorneys’ fees, and other costs. In September 2019, the court issued an order dismissing some, but not all, of the allegations in the class action lawsuit and denied our motion to dismiss the shareholder derivative action. The class action lawsuit is currently in the discovery phase. We and the defendants continue to deny any and all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 and our board of directors’ attention and resources from other priorities, including the execution of our business plan and strategies that are important to our ability to grow our business, any of which could have a material adverse effect on our business. Additional lawsuits may be filed.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Companies in our industry face a wide range of challenging activities, each of which entails separate, and in many cases substantial, risk.</w:t>
      </w:r>
    </w:p>
    <w:p>
      <w:pPr>
        <w:spacing w:after="0" w:line="29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long-term success of our company, and our ability to become profitable as a biopharmaceutical company, will require us to be successful in a range of challenging activities, including:</w:t>
      </w:r>
    </w:p>
    <w:p>
      <w:pPr>
        <w:spacing w:after="0" w:line="224" w:lineRule="exact"/>
        <w:rPr>
          <w:sz w:val="20"/>
          <w:szCs w:val="20"/>
          <w:color w:val="auto"/>
        </w:rPr>
      </w:pPr>
    </w:p>
    <w:p>
      <w:pPr>
        <w:ind w:left="980" w:right="240" w:hanging="324"/>
        <w:spacing w:after="0" w:line="263"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designing, conducting and successfully completing preclinical research and development activities, including preclinical efficacy and IND-enabling studies, for our product candidates or product candidates we are interested in in-licensing or acquiring, including those we may evaluate as part of our collaborative gene therapy sponsored research programs;</w:t>
      </w:r>
    </w:p>
    <w:p>
      <w:pPr>
        <w:spacing w:after="0" w:line="237" w:lineRule="exact"/>
        <w:rPr>
          <w:rFonts w:ascii="Arial" w:cs="Arial" w:eastAsia="Arial" w:hAnsi="Arial"/>
          <w:sz w:val="18"/>
          <w:szCs w:val="18"/>
          <w:color w:val="auto"/>
        </w:rPr>
      </w:pPr>
    </w:p>
    <w:p>
      <w:pPr>
        <w:ind w:left="980" w:right="70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and providers of starting materials for our product candidates, and having those manufacturers successfully develop manufacturing processes for drug substance and</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right="360"/>
        <w:spacing w:after="0" w:line="277" w:lineRule="auto"/>
        <w:rPr>
          <w:sz w:val="20"/>
          <w:szCs w:val="20"/>
          <w:color w:val="auto"/>
        </w:rPr>
      </w:pPr>
      <w:r>
        <w:rPr>
          <w:rFonts w:ascii="Arial" w:cs="Arial" w:eastAsia="Arial" w:hAnsi="Arial"/>
          <w:sz w:val="18"/>
          <w:szCs w:val="18"/>
          <w:color w:val="auto"/>
        </w:rPr>
        <w:t>drug product and provide adequate amounts of drug product for preclinical and clinical activities in accordance with our expectations and regulatory requirements;</w:t>
      </w:r>
    </w:p>
    <w:p>
      <w:pPr>
        <w:spacing w:after="0" w:line="224"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designing, conducting and completing clinical trials for our product candidates;</w:t>
      </w:r>
    </w:p>
    <w:p>
      <w:pPr>
        <w:spacing w:after="0" w:line="279"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favorable results from required clinical trials, including for each ophthalmic product candidate, favorable results from two adequate and well-controlled pivotal clinical trials in the relevant indication;</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applying for and receiving marketing approvals from applicable regulatory authorities for the marketing and sale of our product candidates;</w:t>
      </w:r>
    </w:p>
    <w:p>
      <w:pPr>
        <w:spacing w:after="0" w:line="302" w:lineRule="exact"/>
        <w:rPr>
          <w:rFonts w:ascii="Arial" w:cs="Arial" w:eastAsia="Arial" w:hAnsi="Arial"/>
          <w:sz w:val="16"/>
          <w:szCs w:val="16"/>
          <w:color w:val="auto"/>
        </w:rPr>
      </w:pPr>
    </w:p>
    <w:p>
      <w:pPr>
        <w:ind w:left="980" w:right="200" w:hanging="324"/>
        <w:spacing w:after="0" w:line="263"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scale-up and commercial manufacturing, receiving regulatory approval of our manufacturing processes and our third-party manufacturers’ facilities and ensuring adequate supply of drug substance and drug product and starting materials used for the manufacture of drug substance and drug product;</w:t>
      </w:r>
    </w:p>
    <w:p>
      <w:pPr>
        <w:spacing w:after="0" w:line="237"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either internally or through collaborations or other arrangements, to effectively market and sell our product candidates, if and when approved;</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achieving acceptance of the product candidate, if and when approved, by patients, the medical community and third-party payors;</w:t>
      </w:r>
    </w:p>
    <w:p>
      <w:pPr>
        <w:spacing w:after="0" w:line="290" w:lineRule="exact"/>
        <w:rPr>
          <w:rFonts w:ascii="Arial" w:cs="Arial" w:eastAsia="Arial" w:hAnsi="Arial"/>
          <w:sz w:val="17"/>
          <w:szCs w:val="17"/>
          <w:color w:val="auto"/>
        </w:rPr>
      </w:pPr>
    </w:p>
    <w:p>
      <w:pPr>
        <w:ind w:left="980" w:right="300" w:hanging="324"/>
        <w:spacing w:after="0" w:line="308"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our product candidates are approved, obtaining from governmental and third-party payors adequate coverage and reimbursement for our product candidates and, to the extent applicable, associated injection procedures conducted by treating physicians;</w:t>
      </w:r>
    </w:p>
    <w:p>
      <w:pPr>
        <w:spacing w:after="0" w:line="200" w:lineRule="exact"/>
        <w:rPr>
          <w:rFonts w:ascii="Arial" w:cs="Arial" w:eastAsia="Arial" w:hAnsi="Arial"/>
          <w:sz w:val="17"/>
          <w:szCs w:val="17"/>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the existing standard of care, and other forms of drug delivery;</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 during development and following approval;</w:t>
      </w:r>
    </w:p>
    <w:p>
      <w:pPr>
        <w:spacing w:after="0" w:line="279" w:lineRule="exact"/>
        <w:rPr>
          <w:rFonts w:ascii="Arial" w:cs="Arial" w:eastAsia="Arial" w:hAnsi="Arial"/>
          <w:sz w:val="18"/>
          <w:szCs w:val="18"/>
          <w:color w:val="auto"/>
        </w:rPr>
      </w:pPr>
    </w:p>
    <w:p>
      <w:pPr>
        <w:ind w:left="980" w:right="120" w:hanging="324"/>
        <w:spacing w:after="0" w:line="263"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including under the Orphan Drug Act and the Hatch-Waxman Amendments to the Federal Food, Drug and Cosmetic Act, or FDCA, if we choose to seek such protections for any of our product candidates;</w:t>
      </w:r>
    </w:p>
    <w:p>
      <w:pPr>
        <w:spacing w:after="0" w:line="23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279" w:lineRule="exact"/>
        <w:rPr>
          <w:rFonts w:ascii="Arial" w:cs="Arial" w:eastAsia="Arial" w:hAnsi="Arial"/>
          <w:sz w:val="18"/>
          <w:szCs w:val="18"/>
          <w:color w:val="auto"/>
        </w:rPr>
      </w:pPr>
    </w:p>
    <w:p>
      <w:pPr>
        <w:ind w:left="980" w:right="140" w:hanging="324"/>
        <w:spacing w:after="0" w:line="263"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complying with all applicable regulatory requirements, including FDA Good Laboratory Practices, or GLP, FDA Good Clinical Practices, or GCP, current Good Manufacturing Practices, or cGMP, and standards, rules and regulations governing promotional and other marketing activities.</w:t>
      </w:r>
    </w:p>
    <w:p>
      <w:pPr>
        <w:spacing w:after="0" w:line="23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Each of these activities has associated risks, many of which are detailed below and throughout this “Risk Factors” section. We may never succeed in these activities and, even if we do, may never generate revenues from product sales that are significant enough to achieve commercial success and profitability. Our failure to be commercially successful and profitable would decrease the value of our company and could impair our ability to raise capital, expand our business, maintain our research and development efforts, diversify our product offerings or continue our operations. A decrease in the value of our company would also cause our stockholders to lose all or part of their investment.</w:t>
      </w:r>
    </w:p>
    <w:p>
      <w:pPr>
        <w:spacing w:after="0" w:line="242"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Drug development is a highly uncertain undertaking. Our research and development efforts may not be successful or may be delayed for any number of reasons, in which case potential clinical development, marketing approval or commercialization of our product candidates could be prevented or delayed.</w:t>
      </w:r>
    </w:p>
    <w:p>
      <w:pPr>
        <w:spacing w:after="0" w:line="23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Before obtaining approval from regulatory authorities for the sale of any product candidate, we must conduct extensive clinical trials to demonstrate the safety and efficacy of our product candidates in humans. Prior to initiating clinical trials, a sponsor must complete extensive preclinical testing of a product candidate, including, in most cases, preclinical efficacy experiments as well as IND-enabling toxicology studies. Drug research, including the gene therapy research we are sponsoring with UMMS, may never yield a product candidate for preclinical or clinical development. Early stage and later stage research experiments and preclinical studies, including the IND-enabling toxicology studies we are conducting or planning to conduct for IC-100 and IC-200, may fail at any point for any number of reasons, and even if completed, may be time-consuming and expensive. As a result of these risks, a potentially promising product candidate may never be tested in humans.</w:t>
      </w:r>
    </w:p>
    <w:p>
      <w:pPr>
        <w:sectPr>
          <w:pgSz w:w="11900" w:h="16838" w:orient="portrait"/>
          <w:cols w:equalWidth="0" w:num="1">
            <w:col w:w="11240"/>
          </w:cols>
          <w:pgMar w:left="320" w:top="125" w:right="33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Once it commences,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For example, our pivotal Phase 3 Fovista program for the treatment of wet AMD failed to produce positive safety and efficacy data that support the use of Fovista in wet AMD, despite the results from preclinical testing and earlier clinical trials of Fovista, including a large Phase 2b trial with statistically significant efficacy signal. Furthermore, our Phase 2a OPH2007 safety trial of Zimura in combination with the anti-VEGF agent Lucentis in wet AMD did not replicate the results of our Phase 1/2a OPH2000 trial. Additionally, although the results we have received to date from our OPH2003 trial confirm that Zimura met the prespecified primary endpoint in reducing the mean rate of GA growth in patients with AMD with statistical significance across both the Zimura 2 mg and Zimura 4 mg treatment groups when compared to the corresponding sham control groups, these results may be undermined by inconsistent data obtained from the 18-month results from this clinical trial or may not be replicated in the planned ISEE2008 trial or any other future trial we may conduct for Zimura in GA.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22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may experience numerous unforeseen events during drug development that could delay or prevent our ability to receive marketing approval or commercialize our product candidates. These risks include, but are not limited to, the following:</w:t>
      </w:r>
    </w:p>
    <w:p>
      <w:pPr>
        <w:spacing w:after="0" w:line="224" w:lineRule="exact"/>
        <w:rPr>
          <w:sz w:val="20"/>
          <w:szCs w:val="20"/>
          <w:color w:val="auto"/>
        </w:rPr>
      </w:pPr>
    </w:p>
    <w:p>
      <w:pPr>
        <w:ind w:left="980" w:right="20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we may not be able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 for any preclinical product candidates that we are developing or may wish to in-license or acquire;</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or our contract manufacturers may be unable to develop a viable manufacturing process for any product candidates that we are developing;</w:t>
      </w:r>
    </w:p>
    <w:p>
      <w:pPr>
        <w:spacing w:after="0" w:line="302" w:lineRule="exact"/>
        <w:rPr>
          <w:rFonts w:ascii="Arial" w:cs="Arial" w:eastAsia="Arial" w:hAnsi="Arial"/>
          <w:sz w:val="16"/>
          <w:szCs w:val="16"/>
          <w:color w:val="auto"/>
        </w:rPr>
      </w:pPr>
    </w:p>
    <w:p>
      <w:pPr>
        <w:ind w:left="980" w:right="140" w:hanging="324"/>
        <w:spacing w:after="0" w:line="25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preclinical development and clinical trials of our product candidates may be insufficient or inadequate or we may face delays in the manufacture and supply of our product candidates for any number of reasons, including as a result of interruptions in our supply chain, including in relation to the procurement or quality of starting materials, such as plasmids used for the manufacture of our gene therapy product candidates, and the packaging, distribution, storage and import/export of materials and products;</w:t>
      </w:r>
    </w:p>
    <w:p>
      <w:pPr>
        <w:spacing w:after="0" w:line="241" w:lineRule="exact"/>
        <w:rPr>
          <w:rFonts w:ascii="Arial" w:cs="Arial" w:eastAsia="Arial" w:hAnsi="Arial"/>
          <w:sz w:val="18"/>
          <w:szCs w:val="18"/>
          <w:color w:val="auto"/>
        </w:rPr>
      </w:pPr>
    </w:p>
    <w:p>
      <w:pPr>
        <w:ind w:left="980" w:right="6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contract research organizations may be unable to complete necessary analytical development for and testing of our product candidates, including assays for assessing the potency of our gene therapy product candidates;</w:t>
      </w:r>
    </w:p>
    <w:p>
      <w:pPr>
        <w:spacing w:after="0" w:line="224" w:lineRule="exact"/>
        <w:rPr>
          <w:rFonts w:ascii="Arial" w:cs="Arial" w:eastAsia="Arial" w:hAnsi="Arial"/>
          <w:sz w:val="18"/>
          <w:szCs w:val="18"/>
          <w:color w:val="auto"/>
        </w:rPr>
      </w:pPr>
    </w:p>
    <w:p>
      <w:pPr>
        <w:ind w:left="980" w:right="620" w:hanging="324"/>
        <w:spacing w:after="0" w:line="308"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regulators or institutional review boards may not agree with our clinical trial designs, including our selection of endpoints, or may not authorize us or our investigators to commence a clinical trial or conduct a clinical trial at a prospective trial site;</w:t>
      </w:r>
    </w:p>
    <w:p>
      <w:pPr>
        <w:spacing w:after="0" w:line="200" w:lineRule="exact"/>
        <w:rPr>
          <w:rFonts w:ascii="Arial" w:cs="Arial" w:eastAsia="Arial" w:hAnsi="Arial"/>
          <w:sz w:val="17"/>
          <w:szCs w:val="17"/>
          <w:color w:val="auto"/>
        </w:rPr>
      </w:pPr>
    </w:p>
    <w:p>
      <w:pPr>
        <w:ind w:left="980" w:right="720" w:hanging="324"/>
        <w:spacing w:after="0" w:line="26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contract research organizations or clinical trial sites, especially in cases where we are working with contract research organizations or clinical trial sites we have not worked with previously;</w:t>
      </w:r>
    </w:p>
    <w:p>
      <w:pPr>
        <w:spacing w:after="0" w:line="237" w:lineRule="exact"/>
        <w:rPr>
          <w:rFonts w:ascii="Arial" w:cs="Arial" w:eastAsia="Arial" w:hAnsi="Arial"/>
          <w:sz w:val="18"/>
          <w:szCs w:val="18"/>
          <w:color w:val="auto"/>
        </w:rPr>
      </w:pPr>
    </w:p>
    <w:p>
      <w:pPr>
        <w:ind w:left="980" w:right="100" w:hanging="324"/>
        <w:spacing w:after="0" w:line="26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contract research organizations, clinical trial sites, contract manufacturers, providers of starting materials and packagers and analytical testing service providers may fail to comply with regulatory requirements or meet their contractual obligations to us in a timely manner, or at all;</w:t>
      </w:r>
    </w:p>
    <w:p>
      <w:pPr>
        <w:spacing w:after="0" w:line="237" w:lineRule="exact"/>
        <w:rPr>
          <w:rFonts w:ascii="Arial" w:cs="Arial" w:eastAsia="Arial" w:hAnsi="Arial"/>
          <w:sz w:val="18"/>
          <w:szCs w:val="18"/>
          <w:color w:val="auto"/>
        </w:rPr>
      </w:pPr>
    </w:p>
    <w:p>
      <w:pPr>
        <w:ind w:left="980" w:hanging="324"/>
        <w:spacing w:after="0" w:line="26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through our clinical trial sites, may not be able to locate and enroll a sufficient number of eligible patients to participate in our clinical trials as required by the FDA or similar regulatory authorities outside the United States, especially in our clinical trials for orphan or other rare diseases;</w:t>
      </w:r>
    </w:p>
    <w:p>
      <w:pPr>
        <w:spacing w:after="0" w:line="237" w:lineRule="exact"/>
        <w:rPr>
          <w:rFonts w:ascii="Arial" w:cs="Arial" w:eastAsia="Arial" w:hAnsi="Arial"/>
          <w:sz w:val="18"/>
          <w:szCs w:val="18"/>
          <w:color w:val="auto"/>
        </w:rPr>
      </w:pPr>
    </w:p>
    <w:p>
      <w:pPr>
        <w:ind w:left="980" w:right="280" w:hanging="324"/>
        <w:spacing w:after="0" w:line="286"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through our clinical trial sites, may not be able to maintain enrolled patients for scheduled visits and treatments, or to retain patients altogether, especially in light of the COVID-19 pandemic, which could result in missing data from our clinical trials, potentially leading to uninterpretable results or a clinical trial not being sufficiently powered to demonstrate an efficacy benefit;</w:t>
      </w:r>
    </w:p>
    <w:p>
      <w:pPr>
        <w:spacing w:after="0" w:line="219" w:lineRule="exact"/>
        <w:rPr>
          <w:rFonts w:ascii="Arial" w:cs="Arial" w:eastAsia="Arial" w:hAnsi="Arial"/>
          <w:sz w:val="17"/>
          <w:szCs w:val="17"/>
          <w:color w:val="auto"/>
        </w:rPr>
      </w:pPr>
    </w:p>
    <w:p>
      <w:pPr>
        <w:ind w:left="980" w:right="160" w:hanging="324"/>
        <w:spacing w:after="0" w:line="26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decide, or regulators or institutional review boards may require us, to suspend or terminate clinical trials for various reasons, including noncompliance with regulatory requirements, including GCPs, or a finding that the participants are being exposed to unacceptable health risks;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right="200" w:hanging="324"/>
        <w:spacing w:after="0" w:line="263"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there are no therapies approved for GA, Stargardt disease, RHO-adRP or Best disease, in either the United States or the European Union, the regulatory pathway for product candidates in those indications, including the selection of the primary efficacy endpoint for a pivotal clinical trial, is highly uncertain;</w:t>
      </w:r>
    </w:p>
    <w:p>
      <w:pPr>
        <w:spacing w:after="0" w:line="237"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may be changes in regulatory requirements and guidance or we may have changes in trial design that require amending or submitting new clinical trial protocols;</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there may be changes in the standard of care on which a clinical development plan was based, which may require new or additional trials;</w:t>
      </w:r>
    </w:p>
    <w:p>
      <w:pPr>
        <w:spacing w:after="0" w:line="302" w:lineRule="exact"/>
        <w:rPr>
          <w:rFonts w:ascii="Arial" w:cs="Arial" w:eastAsia="Arial" w:hAnsi="Arial"/>
          <w:sz w:val="16"/>
          <w:szCs w:val="16"/>
          <w:color w:val="auto"/>
        </w:rPr>
      </w:pPr>
    </w:p>
    <w:p>
      <w:pPr>
        <w:ind w:left="980" w:right="56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beyond those we currently contemplate or to abandon product development programs;</w:t>
      </w:r>
    </w:p>
    <w:p>
      <w:pPr>
        <w:spacing w:after="0" w:line="224" w:lineRule="exact"/>
        <w:rPr>
          <w:rFonts w:ascii="Arial" w:cs="Arial" w:eastAsia="Arial" w:hAnsi="Arial"/>
          <w:sz w:val="18"/>
          <w:szCs w:val="18"/>
          <w:color w:val="auto"/>
        </w:rPr>
      </w:pPr>
    </w:p>
    <w:p>
      <w:pPr>
        <w:ind w:left="980" w:right="60" w:hanging="324"/>
        <w:spacing w:after="0" w:line="25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to demonstrate statistically significant results may be larger than we anticipate, enrollment in these clinical trials may be slower than we anticipate or participants may drop out of these clinical trials at a higher rate than we anticipate. These risks may be heightened for clinical trials in orphan diseases, for which the natural history of the disease is less understood, making it more difficult to predict the drug effect required to adequately demonstrate efficacy, and because there are fewer affected individuals available to participate in clinical trials; and</w:t>
      </w:r>
    </w:p>
    <w:p>
      <w:pPr>
        <w:spacing w:after="0" w:line="241"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27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contemplate, if we are unable to successfully complete clinical trials of our product candidates or other testing, if the results of these trials or tests are not positive or are only modestly positive or if there are safety concerns, we may:</w:t>
      </w:r>
    </w:p>
    <w:p>
      <w:pPr>
        <w:spacing w:after="0" w:line="238"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obtain approval with labeling that includes significant use limitations, distribution restrictions or safety warnings, including boxed warnings;</w:t>
      </w:r>
    </w:p>
    <w:p>
      <w:pPr>
        <w:spacing w:after="0" w:line="302" w:lineRule="exact"/>
        <w:rPr>
          <w:rFonts w:ascii="Arial" w:cs="Arial" w:eastAsia="Arial" w:hAnsi="Arial"/>
          <w:sz w:val="16"/>
          <w:szCs w:val="16"/>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79"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Despite our ongoing efforts, we may not complete any of our ongoing or planned development activities for our product candidates. The timing of the completion of, and the availability of results from, development activities, especially clinical trials, is difficult to predict. For clinical trials in particular, we do not know whether they will begin as planned, will need to be restructured or will be completed on schedule, or at all. The progress of our clinical trials may be dependent on macro-economic events beyond our control, such as the COVID-19 pandemic. For example, we decided to delay the initiation of patient enrollment in the ISEE2008 trial due to the pandemic. Furthermore, our development plans may change based on feedback we may receive from regulatory authorities throughout the development process. For example, our expectations regarding the remaining clinical requirements to demonstrate the safety and efficacy of Zimura for the treatment of GA secondary to AMD in a manner sufficient to support an application for regulatory approval to the FDA and EMA are based on our review of the 12-month data from the OPH2003 trial as well as informal discussions with the FDA. Our expectations regarding the minimum clinical requirements to demonstrate the safety and efficacy of Zimura for GA could be incorrect or may change as we continue to have interactions with the FDA, as we continue to review and analyze data from our OPH2003 trial, including the 18-month data set when it becomes available, as we continue to plan for and as we conduct our ISEE2008 trial, and as new regulatory or third party information, including third-party clinical data or information from prospective collaborators or licensees, becomes available. If we experience delays in manufacturing, testing or marketing approvals, our product development costs would increase. Significant product development delays also could allow our competitors to bring products to market before we do, could impair our ability to successfully commercialize our product candidates, including by shortening any periods during which we may have the exclusive right to commercialize our product candidates, and may otherwise harm our business and results of operations.</w:t>
      </w:r>
    </w:p>
    <w:p>
      <w:pPr>
        <w:spacing w:after="0" w:line="2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development of Zimura is based on a novel mechanism of action that is unproven in GA and STGD1 and poses a number of scientific and other risks, and we may not be successful in developing Zimura in the indications we are pursuing.</w:t>
      </w:r>
    </w:p>
    <w:p>
      <w:pPr>
        <w:spacing w:after="0" w:line="22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are targeting GA, an advanced form of AMD, and STGD1 with Zimura. The causes of AMD are not completely understood. In addition to advanced age, there are environmental and genetic risk factors that contribute to the development of</w:t>
      </w:r>
    </w:p>
    <w:p>
      <w:pPr>
        <w:sectPr>
          <w:pgSz w:w="11900" w:h="16838" w:orient="portrait"/>
          <w:cols w:equalWidth="0" w:num="1">
            <w:col w:w="11240"/>
          </w:cols>
          <w:pgMar w:left="320" w:top="125"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AMD including ocular pigmentation, dietary factors, a positive family history for AMD, high blood pressure and smoking. Although we believe there is a scientific rationale for pursuing the development of inhibitors for selective molecular targets, including complement C5, as potential pharmaceutical treatments for AMD, and that the 12-month top-line data from our OPH2003 trial of Zimura in GA support our view, this approach may not prove successful for treating GA secondary to AMD in a clinically meaningful way. Similarly, although there is non-clinical scientific literature supporting the potential use of complement system inhibitors for the treatment of STGD1, this approach may not prove clinically successful as well.</w:t>
      </w:r>
    </w:p>
    <w:p>
      <w:pPr>
        <w:spacing w:after="0" w:line="21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Zimura is designed to inhibit complement C5. There are no FDA or EMA approved products that utilize C5 inhibition as a mechanism of action to treat GA or STGD1. There have been other investigational products using complement inhibition as a mechanism of action for the treatment of GA, including inhibition of C5, that proved to be unsuccessful, even in later stage clinical trials. Even though our OPH2003 trial of Zimura in GA met its prespecified primary endpoint, this mechanism of action may not prove safe and effective for the treatment of GA, STGD1 or any other indication for which we may develop Zimura.</w:t>
      </w:r>
    </w:p>
    <w:p>
      <w:pPr>
        <w:spacing w:after="0" w:line="2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The 12-month results we observed from the OPH2003 trial may not be supported by the 18-month results of this trial or may not be replicated in the ISEE2008 trial. The 18-month results for OPH2003, for which we will not be evaluating the statistical significance of the efficacy data, may not be consistent with or comparable to the 12-month results or results of other clinical trials. The ISEE2008 trial may yield results that are different from the 12-month results observed in the OPH2003 trial.</w:t>
      </w:r>
    </w:p>
    <w:p>
      <w:pPr>
        <w:spacing w:after="0" w:line="24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12-month results we observed from our OPH2003 trial of Zimura in GA may not be supported by the 18-month results of this trial or may not be fully replicated in the ISEE2008 trial. In accordance with the OPH2003 trial protocol, we have continued to treat and follow patients through the 18-month time point to collect additional safety and efficacy data, including mean GA area and mean change in best corrected visual acuity, or BCVA, and low luminance BCVA by treatment group. Although we do not plan to perform any prespecified statistical analysis with respect to these data, these data may indicate an unexpected or unknown safety issue, including increased incidence of choroidal neovascularization, or CNV, or may indicate the loss of efficacy for Zimura during the period between month 12 and month 18. After month 18, we expect to receive and analyze individual patient data on an unmasked basis following completion of the trial by all patients. We expect that the unmasked individual patient data will provide us a better understanding of the results and the variables affecting the results, although it may indicate that our initial conclusions were not well founded due to inconsistencies, data entry errors or because of unknown variables or patient sub-groups that could potentially be driving the results in one or more treatment groups. At this time, we cannot verify that GA images have been measured accurately or review the images for consistency with our hypotheses and the conclusions from this trial. Since the 18-month efficacy data analysis is descriptive only, it may not be relevant to draw any conclusions other than regarding the safety of Zimura.</w:t>
      </w:r>
    </w:p>
    <w:p>
      <w:pPr>
        <w:spacing w:after="0" w:line="23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Unlike the OPH2003 trial, the ISEE2008 trial will include only one treatment arm, Zimura 2 mg, in addition to a control arm. Several Phase 3 clinical trials for ophthalmic product candidates that have been, or are currently being, conducted by other sponsors include multiple treatment arms, either different doses or treatment regimens, in addition to a control arm. The FDA has expressed that including multiple doses or treatment regimens within a single trial helps mitigate the risk of bias in the trial. We believe that the anatomical measure used as the primary efficacy endpoint in our OPH2003 trial, the mean rate of change in GA growth, as evaluated by an independent, masked reading center, is not subject to bias. We have decided to proceed with only one treatment arm in the ISEE2008 trial consisting of a single monthly administration of Zimura 2 mg, because the 12-month data from the OPH2003 trial suggested that monthly administration of Zimura 2 mg provides a similar benefit (approximately 27%) in reducing the mean rate of GA growth over 12 months as compared to the corresponding sham control group, as measured by our primary endpoint, as Zimura 4 mg and because we want to avoid the treatment burden associated with the Zimura 4 mg dose evaluated in our OPH2003 trial. Additionally, because we want to begin to evaluate the efficacy of a less frequent dosing regimen, we plan to re-randomize the patients in the monthly Zimura 2 mg treatment arm at 12 months and evaluate dosing Zimura 2 mg every other month, a dosing regimen which we have not previously studied, in half of those patients during the second 12 months of the trial. The ISEE2008 trial, however, is not designed to reliably assess any differences we observe between these treatment groups at 24 months with statistical significance and the label we would seek for Zimura in GA, if the results from the ISEE2008 trial are positive, would in all likelihood provide for monthly administration of Zimura.</w:t>
      </w:r>
    </w:p>
    <w:p>
      <w:pPr>
        <w:spacing w:after="0" w:line="23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plan to conduct the ISEE2008 trial at many clinical centers that were not included in the OPH2003 trial. The introduction of new centers, and the resulting involvement of new treating physicians, as well as potentially different patient demographics, can introduce additional variability into the conduct of the trials in accordance with their protocols and may result in greater variability of patient outcomes, which could adversely affect our ability to detect statistically significant differences between patients treated with Zimura 2 mg and patients receiving sham control.</w:t>
      </w:r>
    </w:p>
    <w:p>
      <w:pPr>
        <w:spacing w:after="0" w:line="225"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In addition, the 12-month data from the OPH2003 trial suggested there is an overall dose response relationship in which higher doses of Zimura corresponded to a greater reduction in the mean rate of GA growth as compared to the corresponding sham group. For our ISEE2008 trial, for the reasons stated above, we have decided to proceed with only a 2 mg</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dose treatment arm and not include a 4 mg dose treatment arm. The 2 mg dose may prove not to be efficacious in treating GA. Additionally, unlike the protocol for the OPH2003 trial, the protocol of the ISEE2008 trial will provide that patients who develop CNV in the study eye in the trial may remain in the trial and receive standard of care anti-VEGF therapy, at the investigator's discretion, and that measurements of these patients' GA will be included in the primary efficacy analysis if their fundus autofluorescence, or FAF, images can be reliably assessed by the masked reading center. The retention of these patients in the ISEE2008 trial may introduce additional variability not present in the OPH2003 trial. Moreover, if a significant number of patients develop CNV in the study eye and these patients' FAF images are not reliably assessable, or if more patients than we anticipate drop out or their data is otherwise missing, it would reduce the number of patients from whom data is available for analyzing the primary endpoint for this trial and the ISEE2008 trial could be underpowered to demonstrate a potential clinical benefit for Zimura in GA with statistical significance.</w:t>
      </w:r>
    </w:p>
    <w:p>
      <w:pPr>
        <w:spacing w:after="0" w:line="23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i w:val="1"/>
          <w:iCs w:val="1"/>
          <w:color w:val="auto"/>
        </w:rPr>
        <w:t>Our intended regulatory pathway for generating sufficient safety and efficacy data to submit an NDA and potentially obtain marketing approval for Zimura for GA is subject to a number of assumptions, including that we may be able to rely on the results from our OPH2003 trial as one of two well-controlled, pivotal trials typically required by the FDA. The FDA, EMA and other regulatory authorities may not accept the results of the OPH2003 trial as a pivotal clinical trial, or may not agree with our selection of the primary endpoint for the OPH2003 and ISEE2008 trials or the statistical analysis we performed. We may decide to or may be required to enroll additional patients, collect additional safety data or conduct additional clinical trials to seek or obtain approval for Zimura in GA.</w:t>
      </w:r>
    </w:p>
    <w:p>
      <w:pPr>
        <w:spacing w:after="0" w:line="23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Based on the 12-month results we have received from our OPH2003 trial, additional statistical analysis we have performed and informal discussions we have had with the FDA, we believe that the efficacy results from this trial could potentially satisfy the FDA’s requirements as one of the two pivotal clinical trials typically required for marketing approval. This belief is based on many assumptions, including that a reduction in mean rate of GA growth over 12 months is a primary endpoint of clinical relevance, in the absence of a demonstrated reduction in the loss of vision, and that data from the OPH2003 trial is robust. The FDA, the EMA or other regulatory authorities may not agree with our view that the observed reduction in the rate of GA growth is clinically relevant or meaningful, or may require us to correlate this reduction in rate of GA growth with another outcome more directly associated with visual function. We are not currently planning to include visual function measures as primary or secondary efficacy endpoints in the ISEE2008 trial, and vision will be assessed as a safety endpoint. The FDA, the EMA or other regulatory authorities may disagree with our conclusion regarding the robustness of the data from the OPH2003 trial based on our sensitivity analyses or may conduct their own sensitivity analyses yielding different results. Even if we meet with the FDA, EMA or other regulatory authorities, we likely will not have an opportunity to obtain definitive confirmation from the FDA, EMA or other regulatory authorities regarding the robustness of the data from our clinical trials, including the OPH2003 trial, until such time as we submit an application for regulatory approval and receive a response from the applicable authority. If the OPH2003 trial results are not considered robust, in order to seek marketing approval we may need to conduct, in addition to the ISEE2008 trial, one or more additional, well-controlled clinical trials that meets the applicable regulatory requirements in order to obtain sufficiently robust data to support regulatory approval.</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FDA, EMA or other regulatory authorities may not agree with the methodologies we used to perform the statistical analysis of the OPH2003 trial results. In particular, they may not agree with how we performed the comparisons of patients receiving Zimura 2 mg with patients in the sham groups, as the comparisons draw upon patients that were enrolled into two different parts of the trial, using different randomization ratios and different vision criteria. In addition, they may not agree with the validity of our MRM analysis, which imputes the values of missing data based on observed data. We plan to use the same MRM analysis in the ISEE2008 trial. Moreover, the FDA, EMA or other regulatory authorities may disagree with our inclusion in our efficacy analysis of patients who do not strictly meet all eligibility criteria, or whose treatment or assessments in the clinical trial deviated from the clinical trial protocol on one or more occasions. The FDA, EMA or other regulatory authorities may take issue with the degree of data that are missing from the clinical data set from our OPH2003 trial, or with the rate at which patients withdrew from the trial.</w:t>
      </w:r>
    </w:p>
    <w:p>
      <w:pPr>
        <w:spacing w:after="0" w:line="23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Although we believe that our OPH2003 trial was well-controlled, with appropriate eligibility criteria and appropriate stratification for baseline characteristics, the FDA, EMA or other regulatory authorities may not agree with the methodologies we used to determine patient eligibility and randomize patients to the various treatment groups and therefore may not agree that the comparisons we have made for mean rate of GA growth are statistically valid. The FDA, EMA or other regulatory authorities may take issue with the number of modifications we introduced to the OPH2003 trial following its commencement, which they may view as introducing additional uncontrolled variables, invalidating the comparisons across groups. In particular, the FDA, EMA or other regulatory authorities may view the change in enrollment criteria applied in the various modifications as changing the nature of the patients enrolled, thus rendering the results of the trial as uninterpretable, or may disagree with our decision to remove patients who develop CNV in their study eye from future treatments and assessments as inappropriate, concluding that it may have resulted in unmitigated or uncontrolled bias in the efficacy results from the trial.</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Based on informal discussions with the FDA, we believe we need to conduct one additional clinical trial with enough patients such that we will have safety data for a minimum of 300 patients having received the dose of Zimura for which we are seeking approval, or a higher Zimura dose, independent of indication, for a minimum of 12 months, with 24-month safety data available for some portion, but not all, of these 300 patients. This additional clinical trial would need to be well-controlled, with a primary efficacy analysis at the 12 month time point or later. We believe that if we were to file an application for marketing approval for Zimura for GA, we would be able to rely on safety data from our OPH2003 and ISEE2008 trials in GA, as well as our OPH2005 trial evaluating Zimura for STGD1. We also believe that, if the data from the ISEE2008 trial are positive, we would be able to submit our application following the primary efficacy analysis for the ISEE2008 study at the 12-month time point, without waiting for the full 24-month data package, that we could continue collecting data after submitting for marketing approval and that we could supplement our applications for marketing approval while they are pending. We have designed our ISEE2008 trial to meet these requirements, which, as we understand them, and if data from the ISEE2008 trial are positive, will permit us to seek marketing approval for Zimura in GA in the United States and potentially the European Union. We have not had formal interactions with either the FDA or the EMA regarding the ISEE2008 trial and may not do so before receiving results from the trial and submitting our applications for marketing approval. In addition, we expect to engage with regulatory authorities, including with the FDA as part of the fast track program or otherwise with competent national authorities in Europe, during the trial and may receive feedback that is not consistent with our expectations, including potential disagreements by the EMA and other regulatory authorities with what we are understand are the requirements of the FDA. Regulatory authorities may require us to enroll additional patients, collect additional safety data, conduct additional trials or take other actions, which would require us to revise our development plans for Zimura, including potentially changing the design of the ISEE2008 trial, increase the costs of our Zimura clinical programs and delay our expected timelines. In addition, because of the COVID-19 pandemic or other reasons, after we initiate the trial, we may experience a higher than anticipated rate of drop outs and missed visits and treatments in our ISEE2008 trial, which could result in our not having adequate safety data for a sufficient number of patients, even if the primary endpoint is met and the results from the ISEE2008 are otherwise positive.</w:t>
      </w:r>
    </w:p>
    <w:p>
      <w:pPr>
        <w:spacing w:after="0" w:line="223"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 xml:space="preserve">Furthermore, our previous and ongoing Zimura clinical trials have evaluated </w:t>
      </w:r>
      <w:r>
        <w:rPr>
          <w:rFonts w:ascii="Arial" w:cs="Arial" w:eastAsia="Arial" w:hAnsi="Arial"/>
          <w:sz w:val="16"/>
          <w:szCs w:val="16"/>
          <w:color w:val="auto"/>
          <w:highlight w:val="white"/>
        </w:rPr>
        <w:t>Zimura dosing levels and regimens that we have studied only in</w:t>
      </w:r>
      <w:r>
        <w:rPr>
          <w:rFonts w:ascii="Arial" w:cs="Arial" w:eastAsia="Arial" w:hAnsi="Arial"/>
          <w:sz w:val="16"/>
          <w:szCs w:val="16"/>
          <w:color w:val="auto"/>
        </w:rPr>
        <w:t xml:space="preserve"> </w:t>
      </w:r>
      <w:r>
        <w:rPr>
          <w:rFonts w:ascii="Arial" w:cs="Arial" w:eastAsia="Arial" w:hAnsi="Arial"/>
          <w:sz w:val="16"/>
          <w:szCs w:val="16"/>
          <w:color w:val="auto"/>
          <w:highlight w:val="white"/>
        </w:rPr>
        <w:t xml:space="preserve">cohorts consisting of a small number of patients. This approach </w:t>
      </w:r>
      <w:r>
        <w:rPr>
          <w:rFonts w:ascii="Arial" w:cs="Arial" w:eastAsia="Arial" w:hAnsi="Arial"/>
          <w:sz w:val="16"/>
          <w:szCs w:val="16"/>
          <w:color w:val="auto"/>
        </w:rPr>
        <w:t>may increase the risk that patients in our ongoing trials experience adverse events and/or</w:t>
      </w:r>
      <w:r>
        <w:rPr>
          <w:rFonts w:ascii="Arial" w:cs="Arial" w:eastAsia="Arial" w:hAnsi="Arial"/>
          <w:sz w:val="16"/>
          <w:szCs w:val="16"/>
          <w:color w:val="auto"/>
          <w:highlight w:val="white"/>
        </w:rPr>
        <w:t xml:space="preserve"> </w:t>
      </w:r>
      <w:r>
        <w:rPr>
          <w:rFonts w:ascii="Arial" w:cs="Arial" w:eastAsia="Arial" w:hAnsi="Arial"/>
          <w:sz w:val="16"/>
          <w:szCs w:val="16"/>
          <w:color w:val="auto"/>
        </w:rPr>
        <w:t>serious adverse events (either ocular, systemic or both) that we have not observed or at rates that we have not observed in prior trials. Although we did not observe adverse events or serious adverse events attributable by the investigators to the drug product in our OPH2003 trial, previously unobserved adverse events and/or serious adverse events may manifest in the remaining portion of our OPH2003 trial, in our OPH2005 trial, in our planned ISEE2008 trial or in any other subsequent clinical trials we or a potential licensee or collaborator may undertake for Zimura. When we follow patients for a longer period of time or collect safety data from a greater number of patients, we may observe safety events that we have not previously observed. For a further discussion of the safety risks in our trials, see the risk factor herein entitled "</w:t>
      </w:r>
      <w:r>
        <w:rPr>
          <w:rFonts w:ascii="Arial" w:cs="Arial" w:eastAsia="Arial" w:hAnsi="Arial"/>
          <w:sz w:val="16"/>
          <w:szCs w:val="16"/>
          <w:i w:val="1"/>
          <w:iCs w:val="1"/>
          <w:color w:val="auto"/>
        </w:rPr>
        <w:t>If serious adverse or unacceptable side effects are identified during the development of</w:t>
      </w:r>
      <w:r>
        <w:rPr>
          <w:rFonts w:ascii="Arial" w:cs="Arial" w:eastAsia="Arial" w:hAnsi="Arial"/>
          <w:sz w:val="16"/>
          <w:szCs w:val="16"/>
          <w:color w:val="auto"/>
        </w:rPr>
        <w:t xml:space="preserve"> </w:t>
      </w:r>
      <w:r>
        <w:rPr>
          <w:rFonts w:ascii="Arial" w:cs="Arial" w:eastAsia="Arial" w:hAnsi="Arial"/>
          <w:sz w:val="16"/>
          <w:szCs w:val="16"/>
          <w:i w:val="1"/>
          <w:iCs w:val="1"/>
          <w:color w:val="auto"/>
        </w:rPr>
        <w:t>our product candidates, we may need to abandon or limit our development of such product candidates.</w:t>
      </w:r>
      <w:r>
        <w:rPr>
          <w:rFonts w:ascii="Arial" w:cs="Arial" w:eastAsia="Arial" w:hAnsi="Arial"/>
          <w:sz w:val="16"/>
          <w:szCs w:val="16"/>
          <w:color w:val="auto"/>
        </w:rPr>
        <w:t>"</w:t>
      </w:r>
    </w:p>
    <w:p>
      <w:pPr>
        <w:spacing w:after="0" w:line="220" w:lineRule="exact"/>
        <w:rPr>
          <w:sz w:val="20"/>
          <w:szCs w:val="20"/>
          <w:color w:val="auto"/>
        </w:rPr>
      </w:pPr>
    </w:p>
    <w:p>
      <w:pPr>
        <w:jc w:val="both"/>
        <w:ind w:right="80" w:firstLine="648"/>
        <w:spacing w:after="0" w:line="255" w:lineRule="auto"/>
        <w:rPr>
          <w:sz w:val="20"/>
          <w:szCs w:val="20"/>
          <w:color w:val="auto"/>
        </w:rPr>
      </w:pPr>
      <w:r>
        <w:rPr>
          <w:rFonts w:ascii="Arial" w:cs="Arial" w:eastAsia="Arial" w:hAnsi="Arial"/>
          <w:sz w:val="18"/>
          <w:szCs w:val="18"/>
          <w:color w:val="auto"/>
        </w:rPr>
        <w:t>Because the primary efficacy endpoint and the statistical analysis plan we would expect to use to analyze data for the primary efficacy endpoint for our ISEE2008 trial are similar to those of the OPH2003 trial, any disagreements by the FDA, EMA or other regulatory authorities with OPH2003 will likely affect ISEE2008 as well. Our ongoing and planned clinical trials and any other future clinical trials for Zimura that we or a potential future licensee or collaborator may undertake may fail to demonstrate sufficient safety or efficacy to justify further development or to ultimately seek or obtain marketing approval. Any negative results from our ongoing or planned or any other future clinical trials for Zimura could adversely affect our business and the value of your investment in our company.</w:t>
      </w:r>
    </w:p>
    <w:p>
      <w:pPr>
        <w:spacing w:after="0" w:line="2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no unmasked clinical data regarding the safety and efficacy of Zimura as a treatment of STGD1. The drop-out rate may reduce the number of patients from whom we can collect and analyze data from our OPH2005 trial.</w:t>
      </w:r>
    </w:p>
    <w:p>
      <w:pPr>
        <w:spacing w:after="0" w:line="22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have no unmasked clinical data regarding the safety and efficacy of Zimura as a treatment for STGD1. In addition, although we initially determined the size of the OPH2005 trial in STGD1 based on the number of patients with STGD1 that we believed could potentially be enrolled within a reasonable period of time, we decided to cease patient enrollment during the first quarter of 2019 in light of the 18-month endpoint and our goal of providing initial top-line data from this trial during the second half of 2020. As STGD1 is an orphan indication, to our knowledge there is only very limited natural history data currently available regarding the variability for our planned primary efficacy endpoint in the STGD1 patient population we enrolled in this trial. Moreover, because Stargardt disease, like GA, is a degenerative disease, and in many cases, the rate of degeneration is slow, and because we are seeking to slow the progression of degeneration with Zimura, and not necessarily to reverse prior degeneration or restore visual function, patients participating in our OPH2005 trial, who may be younger and may experience vision loss that is more subtle than patients with GA or AMD, may not perceive a benefit from continuing to participate and therefore may drop out of this trial or miss scheduled visits and treatments. This risk is particularly magnified during the COVID-19 pandemic, which may cause our patients to voluntarily or involuntarily drop out of the trial or miss scheduled visits and treatments in greater numbers than before. Although we and the investigators and their staff take efforts to</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320" w:top="125" w:right="3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encourage continued patient participation, the drop-out rate may exceed our expectations. A higher than expected drop-out rate would reduce the number of patients from whom data is available for analyzing the primary endpoint for this trial. Given the information above, our OPH2005 trial could be underpowered to demonstrate a potential clinical benefit for Zimura in STGD1 with statistical significance. If the rate of drop outs or missed visits is higher than we expected, or for other reasons, we may decide to enroll additional patients in this trial or to increase the treatment duration for the trial, which will increase the costs associated with this trial and delay the timelines for receipt of data from this trial.</w:t>
      </w:r>
    </w:p>
    <w:p>
      <w:pPr>
        <w:spacing w:after="0" w:line="21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The COVID-19 pandemic has affected and may continue to affect the initiation and conduct of our clinical trials, including the timing and progress of trial initiation activities for ISEE2008 and the retention of patients for our clinical trials. It may have long-lasting effects on the conduct of trials for the treatment of GA, which can make future trials more difficult or time consuming.</w:t>
      </w:r>
    </w:p>
    <w:p>
      <w:pPr>
        <w:spacing w:after="0" w:line="23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ongoing OPH2003 and OPH2005 trials and our planned ISEE2008 trial involve sites located across the United States and in many countries outside the United States. We have made a number of changes to the clinical operations of our ongoing and planned trials as a result of the COVID-19 pandemic, its effects on current and prospective participating patients, and various governmental and other measures to control the outbreak. Our plans for our clinical trials may change further as the COVID-19 situation evolves.</w:t>
      </w:r>
    </w:p>
    <w:p>
      <w:pPr>
        <w:spacing w:after="0" w:line="24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For our OPH2003 trial, the outbreak proliferated around the world as we were finishing the final visits for patients in this trial. We have focused our efforts on patient retention. In addition to the disruptions to the operations of many clinical trial sites, the COVID-19 pandemic has affected our monitoring operations, for example, by requiring remote monitoring and remote source document verification in many instances, which may affect the robustness of the data verification process.</w:t>
      </w:r>
    </w:p>
    <w:p>
      <w:pPr>
        <w:spacing w:after="0" w:line="24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For our OPH2005 trial, as of May 1, 2020, 49 patients remain active and the final patient visits are not expected to occur until the second half of this year. As with OPH2003, we have focused our efforts on maintaining scheduled visits and treatments and overall patient retention. As compared to the patients in the OPH2003 trial, the patients in the OPH2005 trial are generally younger and have work and family commitments, which may cause them to miss more visits or drop out in greater numbers as a result of the COVID-19 pandemic. In addition to the risks posed by increased patient drop outs, if patients miss scheduled visits in greater numbers as a result of the pandemic, it may affect our ability to draw meaningful conclusions from the clinical data. We have provided additional flexibility for patients to modify the scheduling of their visits. Especially if the COVID-19 pandemic persists, additional patient visits may be missed or rescheduled, which may delay the availability of top-line data from this trial and affect the interpretability of the data that we collect and the conclusions we are able to draw from these data.</w:t>
      </w:r>
    </w:p>
    <w:p>
      <w:pPr>
        <w:spacing w:after="0" w:line="23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 our ISEE2008 trial, in addition to the delay of patient enrollment, competent health authorities and ethics committees in certain countries and many clinical trial sites have reduced their staff and operations due to COVID-19. The reduction in operations has resulted in delays to the approval of our trial and the site activation process in certain geographies. Our ability to activate clinical sites and to start our trial as planned will depend on the local situation in each specific geography.</w:t>
      </w:r>
    </w:p>
    <w:p>
      <w:pPr>
        <w:spacing w:after="0" w:line="24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believe the COVID-19 pandemic and its effects will continue to affect patient recruitment, maintenance of scheduled visits and treatments and overall retention of patients in clinical trials, especially GA trials. As a result of the pandemic, many clinical trial sites may have limited capability to recruit patients, especially in a short period of time. Patients, in turn, may be reluctant to enroll in clinical trials or to maintain their scheduled visits and treatments once enrolled due to their fears of visiting clinical trial sites or ongoing restrictive measures requiring social distancing or limiting travel. These concerns may particularly apply to GA patients, many of whom are elderly and therefore at a higher risk for COVID-19 and other diseases than the general population. In addition, many of the tests involved in GA trials, such as the retina imaging tests, are time consuming and may be onerous for patients. These factors may make patient recruitment and maintenance of scheduled visits for future clinical trials, especially GA trials, more difficult. Even if a site successfully enrolls patients in line with expectations, there may be additional patient drop outs or missed visits due to the COVID-19 pandemic or similar events, and if those events occur during the course of the ISEE2008 trial, they will likely affect our ability to complete this trial and obtain data in accordance with our expectations. Furthermore, because we expect the ISEE2008 trial to be ongoing for at least 24 months, which is the length of the trial, plus any additional time for patient recruitment, it is likely to be affected to the extent a second wave or subsequent outbreaks of the COVID-19 pandemic causes disruptions. We expect many clinical trial sites to change their practices in preparation for a possible second wave or future outbreaks, and those changes may affect how we conduct the ISEE2008 trial and any other future clinical trials we may conduct.</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Gene therapy is an emerging field of drug development that poses many scientific and other risks. As a company, we have only limited prior experience in gene therapy research and manufacturing and no prior experience in gene therapy clinical development. Our lack of experience and the limited patient populations for our gene therapy programs may limit our ability to be successful or may delay our development efforts.</w:t>
      </w:r>
    </w:p>
    <w:p>
      <w:pPr>
        <w:spacing w:after="0" w:line="20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Gene therapy is an emerging field of drug development with only two gene replacement therapies having received FDA approval to date. Our gene therapy research and development programs, which we decided to undertake based on a review of a limited set of preclinical data, are still at an early stage. Even with promising preclinical data, there remains several areas of drug development risk, including translational science, manufacturing materials and processes, safety concerns, regulatory pathway and clinical trial design and execution, which pose particular uncertainty for our programs given the relatively limited development history of, and our limited prior experience with, gene therapies. Furthermore, the medical community's understanding of the genetic causes of many diseases continues to evolve and further research may change the medical community's views on what therapies and approaches are most effective for addressing certain diseases.</w:t>
      </w:r>
    </w:p>
    <w:p>
      <w:pPr>
        <w:spacing w:after="0" w:line="23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For example, while there are more than 200 known mutations to the </w:t>
      </w:r>
      <w:r>
        <w:rPr>
          <w:rFonts w:ascii="Arial" w:cs="Arial" w:eastAsia="Arial" w:hAnsi="Arial"/>
          <w:sz w:val="18"/>
          <w:szCs w:val="18"/>
          <w:i w:val="1"/>
          <w:iCs w:val="1"/>
          <w:color w:val="auto"/>
        </w:rPr>
        <w:t>BEST1</w:t>
      </w:r>
      <w:r>
        <w:rPr>
          <w:rFonts w:ascii="Arial" w:cs="Arial" w:eastAsia="Arial" w:hAnsi="Arial"/>
          <w:sz w:val="18"/>
          <w:szCs w:val="18"/>
          <w:color w:val="auto"/>
        </w:rPr>
        <w:t xml:space="preserve"> gene, the different types of mutations and their association with various </w:t>
      </w:r>
      <w:r>
        <w:rPr>
          <w:rFonts w:ascii="Arial" w:cs="Arial" w:eastAsia="Arial" w:hAnsi="Arial"/>
          <w:sz w:val="18"/>
          <w:szCs w:val="18"/>
          <w:i w:val="1"/>
          <w:iCs w:val="1"/>
          <w:color w:val="auto"/>
        </w:rPr>
        <w:t>BEST1-</w:t>
      </w:r>
      <w:r>
        <w:rPr>
          <w:rFonts w:ascii="Arial" w:cs="Arial" w:eastAsia="Arial" w:hAnsi="Arial"/>
          <w:sz w:val="18"/>
          <w:szCs w:val="18"/>
          <w:color w:val="auto"/>
        </w:rPr>
        <w:t xml:space="preserve">related IRDs are still not well-understood. Our product candidate for these diseases, IC-200, may only be effective in treating retinal diseases associated with certain mutations in the </w:t>
      </w:r>
      <w:r>
        <w:rPr>
          <w:rFonts w:ascii="Arial" w:cs="Arial" w:eastAsia="Arial" w:hAnsi="Arial"/>
          <w:sz w:val="18"/>
          <w:szCs w:val="18"/>
          <w:i w:val="1"/>
          <w:iCs w:val="1"/>
          <w:color w:val="auto"/>
        </w:rPr>
        <w:t>BEST1</w:t>
      </w:r>
      <w:r>
        <w:rPr>
          <w:rFonts w:ascii="Arial" w:cs="Arial" w:eastAsia="Arial" w:hAnsi="Arial"/>
          <w:sz w:val="18"/>
          <w:szCs w:val="18"/>
          <w:color w:val="auto"/>
        </w:rPr>
        <w:t xml:space="preserve"> gene and not other mutations, especially if the mutation is associated with the production of a toxic protein. Additionally, we decided to in-license and pursue the development of IC-200 based on results observed in an autosomal recessive canine disease model. A majority of humans with </w:t>
      </w:r>
      <w:r>
        <w:rPr>
          <w:rFonts w:ascii="Arial" w:cs="Arial" w:eastAsia="Arial" w:hAnsi="Arial"/>
          <w:sz w:val="18"/>
          <w:szCs w:val="18"/>
          <w:i w:val="1"/>
          <w:iCs w:val="1"/>
          <w:color w:val="auto"/>
        </w:rPr>
        <w:t>BEST1-</w:t>
      </w:r>
      <w:r>
        <w:rPr>
          <w:rFonts w:ascii="Arial" w:cs="Arial" w:eastAsia="Arial" w:hAnsi="Arial"/>
          <w:sz w:val="18"/>
          <w:szCs w:val="18"/>
          <w:color w:val="auto"/>
        </w:rPr>
        <w:t>related IRDs, however, have the autosomal dominant form of the disease, commonly referred to as Best disease. If we choose to develop IC-200 for this patient population, using a construct previously studied in an autosomal recessive canine disease model, this approach may ultimately prove ineffective.</w:t>
      </w:r>
    </w:p>
    <w:p>
      <w:pPr>
        <w:spacing w:after="0" w:line="24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For our miniCEP290 program and other minigene programs, we are sponsoring research using a novel approach that is largely untested and presents various scientific and regulatory risks. To date, all the data generated for our miniCEP290 program are in a newborn mouse model for LCA10, and we do not know whether the effect we observed with these minigenes in mice will be replicated in other animals or humans. Furthermore, minigenes result in the expression of a protein that differs from the naturally occurring protein. The protein expressed by the minigene may have physiological effects, including toxic effects, that are not yet known. Because of the novelty of minigenes, the medical community's and regulators' receptiveness to this approach remains unknown. Our sponsored research may not fully elucidate all of the physiological risks associated with a particular minigene and the associated expressed protein. For these and other reasons, promising minigene candidates that emerge from our sponsored research programs with UMMS may not succeed in later stage preclinical and clinical development.</w:t>
      </w:r>
    </w:p>
    <w:p>
      <w:pPr>
        <w:spacing w:after="0" w:line="23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have particularly focused on AAV gene therapy, as AAV vectors are relatively specific to retinal cells and their safety profile in humans is relatively well-documented as compared to other delivery vehicles and gene therapy technologies currently in development. However, AAV has a number of drawbacks, including its small packaging capacity: an AAV vector can hold only up to approximately 4,700 base pairs of DNA, whereas the genes that are associated with a number of diseases, such as LCA10, Stargardt disease and Usher 2A, exceed that size. Although AAV is the most commonly used vector in ocular gene therapy today, it may prove to pose safety risks that we are not aware of and other vector forms, such as retroviral or lentiviral and non-viral based vectors, or gene editing approaches, may prove to be safer and more effective.</w:t>
      </w:r>
    </w:p>
    <w:p>
      <w:pPr>
        <w:spacing w:after="0" w:line="23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Although we believe gene therapy is a promising area for retinal drug development, our gene therapy research and development experience is limited to only a few personnel hired to supervise our outside service providers. In pursuing this new technology, we have begun to establish our own gene therapy technical capabilities, but we will need to continue to build those capabilities by either hiring internally or seeking assistance from outside service providers. We believe that gene therapy is an area of significant investment by biotechnology and pharmaceutical companies and that there may be a scarcity of talent available to us in these areas. If we are not able to expand our gene therapy capabilities, we may not be able to develop in the way we intend or desire, IC-100, IC-200 or any promising product candidates that emerge from our miniCEP290 program or our other collaborative gene therapy sponsored research programs, which would limit our prospects for future growth.</w:t>
      </w:r>
    </w:p>
    <w:p>
      <w:pPr>
        <w:spacing w:after="0" w:line="231" w:lineRule="exact"/>
        <w:rPr>
          <w:sz w:val="20"/>
          <w:szCs w:val="20"/>
          <w:color w:val="auto"/>
        </w:rPr>
      </w:pPr>
    </w:p>
    <w:p>
      <w:pPr>
        <w:ind w:right="220" w:firstLine="648"/>
        <w:spacing w:after="0" w:line="290" w:lineRule="auto"/>
        <w:rPr>
          <w:sz w:val="20"/>
          <w:szCs w:val="20"/>
          <w:color w:val="auto"/>
        </w:rPr>
      </w:pPr>
      <w:r>
        <w:rPr>
          <w:rFonts w:ascii="Arial" w:cs="Arial" w:eastAsia="Arial" w:hAnsi="Arial"/>
          <w:sz w:val="16"/>
          <w:szCs w:val="16"/>
          <w:color w:val="auto"/>
        </w:rPr>
        <w:t>We have not previously conducted any clinical development involving gene therapies. As we prepare for the potential initiation of our first gene therapy clinical trial, we will need to build our internal and external capabilities in designing and executing a gene therapy clinical trial. There are many known and unknown risks involved in translating preclinical development of gene therapies to clinical development, including selecting appropriate endpoints and dosage levels for dosing humans based on preclinical data. Furthermore, our gene therapy programs are targeting orphan diseases with relatively small populations, which limits the pool of potential subjects for our gene therapy clinical trials. Because gene therapy trials generally require subjects who have not previously received any other therapy for the same indication, we will also need to compete with our competitors who are also developing therapies for these same indications for the same group of potential clinical trial subjects. If we are unable to initiate and conduct our gene therapy clinical trials in a manner that satisfies our expectations or regulatory requirements, the value of our gene therapy programs may be diminished.</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a further discussion of the risks associated with the manufacturing of gene therapy products, see the risk factor herein entitled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manufacture of gene therapy products is complex with a number of scientific and technical risks, some of which are common to the manufacture of drugs and biologics and others are unique to the manufacture of gene therapies. We have limited experience with gene therapy manufacturing and are dependent on our third-party contract manufacturers and sole source suppliers</w:t>
      </w:r>
      <w:r>
        <w:rPr>
          <w:rFonts w:ascii="Arial" w:cs="Arial" w:eastAsia="Arial" w:hAnsi="Arial"/>
          <w:sz w:val="18"/>
          <w:szCs w:val="18"/>
          <w:color w:val="auto"/>
        </w:rPr>
        <w:t>".</w:t>
      </w:r>
    </w:p>
    <w:p>
      <w:pPr>
        <w:spacing w:after="0" w:line="24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Our development of our HtrA1 inhibitor program is also based on a novel mechanism of action that is unproven and poses a number of scientific and other risks. We may not be able to successfully formulate a product candidate from our HtrA1 inhibitors or identify a product candidate with a viable manufacturing process.</w:t>
      </w:r>
    </w:p>
    <w:p>
      <w:pPr>
        <w:spacing w:after="0" w:line="23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Our HtrA1 inhibitor program is in preclinical development. There are no FDA or EMA approved products that utilize HtrA1 inhibition as a mechanism of action for treating ophthalmic diseases, including GA and other age-related retinal diseases for which we may develop our HtrA1 inhibitor program, and this mechanism of action may not prove safe and effective for these diseases. We made the decision to acquire this program based on our interpretation of the scientific literature and rationale for this potential target that suggest an association between HtrA1 and the risk for AMD, as well as a limited set of preclinical data generated by Inception 4 prior to the acquisition. We note, however, the </w:t>
      </w:r>
      <w:r>
        <w:rPr>
          <w:rFonts w:ascii="Arial" w:cs="Arial" w:eastAsia="Arial" w:hAnsi="Arial"/>
          <w:sz w:val="17"/>
          <w:szCs w:val="17"/>
          <w:i w:val="1"/>
          <w:iCs w:val="1"/>
          <w:color w:val="auto"/>
        </w:rPr>
        <w:t>HtrA1</w:t>
      </w:r>
      <w:r>
        <w:rPr>
          <w:rFonts w:ascii="Arial" w:cs="Arial" w:eastAsia="Arial" w:hAnsi="Arial"/>
          <w:sz w:val="17"/>
          <w:szCs w:val="17"/>
          <w:color w:val="auto"/>
        </w:rPr>
        <w:t xml:space="preserve"> gene is in the same region of the 10q26 chromosome as the </w:t>
      </w:r>
      <w:r>
        <w:rPr>
          <w:rFonts w:ascii="Arial" w:cs="Arial" w:eastAsia="Arial" w:hAnsi="Arial"/>
          <w:sz w:val="17"/>
          <w:szCs w:val="17"/>
          <w:i w:val="1"/>
          <w:iCs w:val="1"/>
          <w:color w:val="auto"/>
        </w:rPr>
        <w:t>age-related maculopathy susceptibility 2</w:t>
      </w:r>
      <w:r>
        <w:rPr>
          <w:rFonts w:ascii="Arial" w:cs="Arial" w:eastAsia="Arial" w:hAnsi="Arial"/>
          <w:sz w:val="17"/>
          <w:szCs w:val="17"/>
          <w:color w:val="auto"/>
        </w:rPr>
        <w:t xml:space="preserve">, or </w:t>
      </w:r>
      <w:r>
        <w:rPr>
          <w:rFonts w:ascii="Arial" w:cs="Arial" w:eastAsia="Arial" w:hAnsi="Arial"/>
          <w:sz w:val="17"/>
          <w:szCs w:val="17"/>
          <w:i w:val="1"/>
          <w:iCs w:val="1"/>
          <w:color w:val="auto"/>
        </w:rPr>
        <w:t>ARMS2</w:t>
      </w:r>
      <w:r>
        <w:rPr>
          <w:rFonts w:ascii="Arial" w:cs="Arial" w:eastAsia="Arial" w:hAnsi="Arial"/>
          <w:sz w:val="17"/>
          <w:szCs w:val="17"/>
          <w:color w:val="auto"/>
        </w:rPr>
        <w:t xml:space="preserve">, gene. The </w:t>
      </w:r>
      <w:r>
        <w:rPr>
          <w:rFonts w:ascii="Arial" w:cs="Arial" w:eastAsia="Arial" w:hAnsi="Arial"/>
          <w:sz w:val="17"/>
          <w:szCs w:val="17"/>
          <w:i w:val="1"/>
          <w:iCs w:val="1"/>
          <w:color w:val="auto"/>
        </w:rPr>
        <w:t>ARMS2</w:t>
      </w:r>
      <w:r>
        <w:rPr>
          <w:rFonts w:ascii="Arial" w:cs="Arial" w:eastAsia="Arial" w:hAnsi="Arial"/>
          <w:sz w:val="17"/>
          <w:szCs w:val="17"/>
          <w:color w:val="auto"/>
        </w:rPr>
        <w:t xml:space="preserve"> and </w:t>
      </w:r>
      <w:r>
        <w:rPr>
          <w:rFonts w:ascii="Arial" w:cs="Arial" w:eastAsia="Arial" w:hAnsi="Arial"/>
          <w:sz w:val="17"/>
          <w:szCs w:val="17"/>
          <w:i w:val="1"/>
          <w:iCs w:val="1"/>
          <w:color w:val="auto"/>
        </w:rPr>
        <w:t>HtrA1</w:t>
      </w:r>
      <w:r>
        <w:rPr>
          <w:rFonts w:ascii="Arial" w:cs="Arial" w:eastAsia="Arial" w:hAnsi="Arial"/>
          <w:sz w:val="17"/>
          <w:szCs w:val="17"/>
          <w:color w:val="auto"/>
        </w:rPr>
        <w:t xml:space="preserve"> genes are linked, and variants in, or expression of, the </w:t>
      </w:r>
      <w:r>
        <w:rPr>
          <w:rFonts w:ascii="Arial" w:cs="Arial" w:eastAsia="Arial" w:hAnsi="Arial"/>
          <w:sz w:val="17"/>
          <w:szCs w:val="17"/>
          <w:i w:val="1"/>
          <w:iCs w:val="1"/>
          <w:color w:val="auto"/>
        </w:rPr>
        <w:t>ARMS2</w:t>
      </w:r>
      <w:r>
        <w:rPr>
          <w:rFonts w:ascii="Arial" w:cs="Arial" w:eastAsia="Arial" w:hAnsi="Arial"/>
          <w:sz w:val="17"/>
          <w:szCs w:val="17"/>
          <w:color w:val="auto"/>
        </w:rPr>
        <w:t xml:space="preserve"> gene may also be associated with the risk for AMD. The risk for AMD associated with </w:t>
      </w:r>
      <w:r>
        <w:rPr>
          <w:rFonts w:ascii="Arial" w:cs="Arial" w:eastAsia="Arial" w:hAnsi="Arial"/>
          <w:sz w:val="17"/>
          <w:szCs w:val="17"/>
          <w:i w:val="1"/>
          <w:iCs w:val="1"/>
          <w:color w:val="auto"/>
        </w:rPr>
        <w:t>ARMS2</w:t>
      </w:r>
      <w:r>
        <w:rPr>
          <w:rFonts w:ascii="Arial" w:cs="Arial" w:eastAsia="Arial" w:hAnsi="Arial"/>
          <w:sz w:val="17"/>
          <w:szCs w:val="17"/>
          <w:color w:val="auto"/>
        </w:rPr>
        <w:t xml:space="preserve"> may ultimately prove to be greater than the risk associated with </w:t>
      </w:r>
      <w:r>
        <w:rPr>
          <w:rFonts w:ascii="Arial" w:cs="Arial" w:eastAsia="Arial" w:hAnsi="Arial"/>
          <w:sz w:val="17"/>
          <w:szCs w:val="17"/>
          <w:i w:val="1"/>
          <w:iCs w:val="1"/>
          <w:color w:val="auto"/>
        </w:rPr>
        <w:t>HtrA1</w:t>
      </w:r>
      <w:r>
        <w:rPr>
          <w:rFonts w:ascii="Arial" w:cs="Arial" w:eastAsia="Arial" w:hAnsi="Arial"/>
          <w:sz w:val="17"/>
          <w:szCs w:val="17"/>
          <w:color w:val="auto"/>
        </w:rPr>
        <w:t>. In addition, even though genetic and histologic findings correlate HtrA1 with AMD, the development and progression of AMD may not be affected by HtrA1. Our assumption that targeting inhibition of HtrA1 as a method of treating AMD may be incorrect, which would likely adversely affect the value of our HtrA1 inhibitor program and its continued development.</w:t>
      </w:r>
    </w:p>
    <w:p>
      <w:pPr>
        <w:spacing w:after="0" w:line="239"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Before we can commence IND-enabling studies for our HtrA1 inhibitor program, we need to conduct process development and formulation development with our selected lead compound in this program to determine whether we can identify a viable manufacturing process for and formulate the lead compound for intravitreal administration that is safe to advance into preclinical studies and, depending on the outcome of such studies, into clinical trials. For example, as part of formulation development, we need to determine which inactive formulation components should be used in the preparation of the product candidate, and derive a preparation that includes an adequate amount of drug substance with the necessary inactive ingredients to achieve the desired safety profile for intravitreal injection into the eye while providing for sufficient pharmacological activity. Process development and formulation development are inherently uncertain, and it is possible we may not be able to identify a viable manufacturing process for or formulate our lead compound or any backup compound into a preparation that is safe to advance into preclinical studies or clinical trials in the eye or that provides sufficient pharmacological activity, which would hinder our ability to pursue development of this program. Manufacturing, including process development, and formulation development can be time-consuming and our anticipated timelines for the development of this program may be delayed.</w:t>
      </w:r>
    </w:p>
    <w:p>
      <w:pPr>
        <w:spacing w:after="0" w:line="22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product candidates, we may need to abandon or limit our development of such product candidates.</w:t>
      </w:r>
    </w:p>
    <w:p>
      <w:pPr>
        <w:spacing w:after="0" w:line="22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If any of our product candidates are associated with serious adverse events or undesirable side effects in preclinical studies or clinical trials or have characteristics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side effects that prevented further development of the compound.</w:t>
      </w:r>
    </w:p>
    <w:p>
      <w:pPr>
        <w:spacing w:after="0" w:line="21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In our completed clinical trials for Zimura, we have observed only a single adverse event, mild subcapsular cataract, from our OPH2000 trial, assessed to be drug-related by participating investigators. We have no unmasked data regarding the safety, tolerability or efficacy of Zimura administered for the treatment of STGD1. We have no human data regarding IC-100, IC-200 or any of our HtrA1 inhibitors.</w:t>
      </w:r>
    </w:p>
    <w:p>
      <w:pPr>
        <w:spacing w:after="0" w:line="21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clinical trials for Zimura involve dosing regimens that we have not studied extensively, which may increase the risk that patients in these trials experience adverse events and/or serious adverse events (either ocular, systemic or both) that we have not observed or at rates that we have not observed in prior trials. For example, although the reduced rate of growth in GA we observed in the OPH2003 trial has not been associated with disproportionate loss of vision in the treated groups as compared to the sham control groups over the first 12 months of the trial, we may observe increased loss of vision in the Zimura treatment groups, as compared to the corresponding sham control arms, during the period between month 12 and month 18 in the trial or in the ISEE2008 trial. In addition, although we view the rate of CNV incidence in the Zimura treatment groups, as compared to the corresponding sham control groups, as acceptable and within the range observed in other clinical trials of complement inhibitors in development for GA, the FDA, EMA, other regulatory authorities, treating physicians or patients may not agree, concluding that Zimura may increase the risk of patients developing CNV to an unacceptable degree.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Moreover, our clinical trials for Zimura involve multiple intravitreal injections over an extended period of time and, as such, may involve risks regarding multiple and chronic intravitreal injections. For these reasons, there may be, among others, an increase in the rates of intraocular infections, or endophthalmitis, intraocular pressure, glaucoma, retinal tears, cataracts, retinal detachment, intraocular inflammation, retinal and/or choroidal circulation compromise, or hospitalizations in patients who receive Zimura. For our OPH2003 trial, following the month 18 timepoint, we expect that we will receive complete safety data, including unmasked data covering the period up to month 18. An unforeseen or unexpected safety event, or any safety finding that is inconsistent with our prior experience with Zimura, including during the first 12 months of the OPH2003 trial, from any of our clinical trials for Zimura may impact our ability to continue to develop Zimura or the long-term viability of Zimura as a potential treatment for GA, STGD1 or any other indication for which we may seek to develop Zimura.</w:t>
      </w:r>
    </w:p>
    <w:p>
      <w:pPr>
        <w:spacing w:after="0" w:line="24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HtrA1 inhibition is a novel treatment approach for treating ocular disease, this treatment modality may present potentially unknown safety risks when tested in clinical trials that could not have been anticipated based on preclinical toxicology studies. In addition, if we are successful in formulating an HtrA1 product candidate, we intend to administer the product candidate by intravitreal injection, which poses the same safety risks outlined above with respect to intravitreal injections of Zimura.</w:t>
      </w:r>
    </w:p>
    <w:p>
      <w:pPr>
        <w:spacing w:after="0" w:line="24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addition, there are several known safety risks specific to gene therapy, including inflammation resulting from a patient's immune response to the administration of viral vectors and the potential for toxicity as a result of chronic exposure to the expressed protein. Managing a host body's immune response to introduced viral vectors has been and remains a challenge for gene therapies. For AAV gene therapy, "vector shedding," or the dispersal of AAV vectors away from the target tissue to other parts of the body, which can trigger a more serious and extensive immune response, is a known safety issue. Although subretinal injection, which is the method often used to administer retinal gene therapies, helps to control vector shedding beyond the eye, subretinal injection is a surgical procedure that requires significant skill and training for the administering surgeon and involves its own risks separate from the gene therapy vectors, including the risk of retinal detachment. The margin for error with subretinal injections is extremely low and there are a limited number of retinal surgeons with experience in performing subretinal injections in the eye. In order to generate useful clinical data for gene therapy clinical trials, one or more retinal surgeon must repeat the same subretinal injection process in multiple patients with consistency across patients and surgeons. In addition, in order to avoid accelerating damage to a subject's retina, subretinal injection for RHO-adRP patients in particular must be conducted under extremely low light levels using infrared technology, further complicating the surgical procedure. In the event that we progress into clinical development with IC-100, IC-200 or any other gene therapy product candidate we may in-license or acquire, we may experience delays or other challenges for our gene therapy development programs as a result of safety issues.</w:t>
      </w:r>
    </w:p>
    <w:p>
      <w:pPr>
        <w:spacing w:after="0" w:line="240"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In addition to the currently known safety risks, there may be unknown risks to human health from gene therapies. Because gene therapy involves the introduction of concentrated quantities of AAV, as well as the introduction of persistent foreign genetic material into the human body, any safety risks may not manifest until much later, if at all. Gene therapies have only recently been used in the treatment of human diseases and the scientific and medical understandings of safety or other risks to humans continue to evolve. The safety profile of minigenes and their associated proteins in humans remains largely unknown. If gene therapies prove to be unsafe for humans, we likely will need to curtail or eliminate our gene therapy development programs or gene therapy products in development or commercialization, if any.</w:t>
      </w:r>
    </w:p>
    <w:p>
      <w:pPr>
        <w:spacing w:after="0" w:line="23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i w:val="1"/>
          <w:iCs w:val="1"/>
          <w:color w:val="auto"/>
        </w:rPr>
        <w:t>We do not have any internal manufacturing capabilities and use third parties to manufacture our product candidates on a contract or purchase order basis. We recently identified an issue with one of the starting materials used to manufacture our IC-100 product candidate, which has delayed our timelines for that program, and we may encounter other manufacturing issues that could cause further delays in our development programs or increase costs. We may experience delays in regulatory approval of our product candidates if we or our contract manufacturers do not satisfy applicable manufacturing regulatory requirements. If any of our product candidates is approved, a manufacturing issue could result in product shortages, which could impair our ability to commercialize our products and generate revenue.</w:t>
      </w:r>
    </w:p>
    <w:p>
      <w:pPr>
        <w:spacing w:after="0" w:line="21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do not have internal manufacturing facilities and use or plan to use outside contract manufacturers to manufacture Zimura, IC-100, IC-200, our HtrA1 inhibitors and any other product candidates that we may acquire or in-license. We have a limited number of personnel hired to supervise these outside vendors. The manufacturing processes for our product candidates are technically complex. Problems with developing or executing the manufacturing process, even minor deviations from the established process, could result in product defects or manufacturing failures that result in lot failures, product recalls, product liability claims, insufficient inventory or delays in our programs. We may encounter problems achieving adequate quantities and quality of clinical-grade materials that meet FDA, EMA or other applicable standards or specifications with consistent and acceptable production yields and costs.</w:t>
      </w:r>
    </w:p>
    <w:p>
      <w:pPr>
        <w:spacing w:after="0" w:line="24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addition, in order to manufacture and supply any of our product candidates for later-stage clinical trials or on a commercial scale in the future, we will need to increase our manufacturing personnel and bolster our quality control and quality assurance capabilities. We may encounter problems hiring and retaining scientific, manufacturing and quality assurance and</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control personnel needed to oversee our manufacturing process, which could result in delays in our production or difficulties in maintaining compliance with applicable regulatory requirements. As we or any manufacturer we engage scales up manufacturing of any product candidate, we may encounter unexpected issues relating to the manufacturing processes or the quality, purity or stability of the product, and we may be required to refine or alter our manufacturing processes to address these issues. Resolving these issues could result in significant delays and may result in significantly increased costs. If we underestimate the demand for an approved product, given the long lead times required to manufacture or obtain regulatory approvals for our products, we could potentially face commercial drug product supply shortages. If we experience significant delays or other obstacles in producing any approved product at commercial scale, our ability to market and sell any approved products may be adversely affected and our business could suffer.</w:t>
      </w:r>
    </w:p>
    <w:p>
      <w:pPr>
        <w:spacing w:after="0" w:line="22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manufacturing processes and the facilities of our third-party manufacturers are subject to inspection and approval by the FDA, referred to as a pre-approval inspection, before we can commence the commercial sale of any approved product candidate, and thereafter on an ongoing basis. None of our third-party manufacturers have undergone a pre-approval inspection by the FDA for Zimura or any of our other product candidates. Failure by our third-party manufacturers to pass such inspections and otherwise satisfactorily complete the FDA approval regimen with respect to our product candidates may result in delays in the approval of our applications for marketing approval, as well as regulatory actions such as the issuance of FDA Form 483 notices of observations, warning letters or injunctions or the loss of operating licenses. If any of our third-party manufacturers are found to have delayed, denied, limited or refused a drug inspection, our drug substance or drug product could be deemed adulterated. Based on the severity of the regulatory action, our clinical or commercial supply of drug substance or drug product could be interrupted or limited, which could have a material adverse effect on our business.</w:t>
      </w:r>
    </w:p>
    <w:p>
      <w:pPr>
        <w:spacing w:after="0" w:line="250"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Any problems in our manufacturing process or our third-party contract manufacturers’ facilities could make us a less attractive collaborator for potential collaborations, including larger pharmaceutical companies and academic research institutions, which could limit our access to additional attractive development programs. Problems in our manufacturing process or facilities also could restrict our ability to meet market demand for our products.</w:t>
      </w:r>
    </w:p>
    <w:p>
      <w:pPr>
        <w:spacing w:after="0" w:line="20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 a further discussion of the risks associated with our reliance on third-party manufacturers, including the effects of the COVID-19 pandemic on our third-party manufacturers, see the risk factor herein entitled, "</w:t>
      </w:r>
      <w:r>
        <w:rPr>
          <w:rFonts w:ascii="Arial" w:cs="Arial" w:eastAsia="Arial" w:hAnsi="Arial"/>
          <w:sz w:val="18"/>
          <w:szCs w:val="18"/>
          <w:i w:val="1"/>
          <w:iCs w:val="1"/>
          <w:color w:val="auto"/>
        </w:rPr>
        <w:t>We contract with third parties for the manufacture of and for providing starting materials</w:t>
      </w:r>
      <w:r>
        <w:rPr>
          <w:rFonts w:ascii="Arial" w:cs="Arial" w:eastAsia="Arial" w:hAnsi="Arial"/>
          <w:sz w:val="18"/>
          <w:szCs w:val="18"/>
          <w:color w:val="auto"/>
        </w:rPr>
        <w:t xml:space="preserve"> </w:t>
      </w:r>
      <w:r>
        <w:rPr>
          <w:rFonts w:ascii="Arial" w:cs="Arial" w:eastAsia="Arial" w:hAnsi="Arial"/>
          <w:sz w:val="18"/>
          <w:szCs w:val="18"/>
          <w:i w:val="1"/>
          <w:iCs w:val="1"/>
          <w:color w:val="auto"/>
        </w:rPr>
        <w:t>for our product candidates for preclinical development activities and clinical trials and expect to continue to do so in the future. This reliance on third parties increases the risk that we will not have sufficient quantities of our product candidates or products, which could delay, prevent or impair our development or commercialization efforts."</w:t>
      </w:r>
    </w:p>
    <w:p>
      <w:pPr>
        <w:spacing w:after="0" w:line="24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Our experience manufacturing Zimura is limited. As we plan for and conduct our ISEE2008 trial, we and our third-party manufacturers will need to complete several activities to ensure the continued supply of drug product for the trial and adequate preparations to support potential future commercial supply of Zimura. Any delay or failure in completing these activities could cause delays for the development of Zimura or its potential approval or could result in inadequate commercial product supply.</w:t>
      </w:r>
    </w:p>
    <w:p>
      <w:pPr>
        <w:spacing w:after="0" w:line="24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currently use a single third-party manufacturer, Agilent, to supply us with the chemically synthesized drug substance for Zimura and a different, single third-party manufacturer, Ajinomoto, to provide fill/finish services for Zimura. We obtain the PEG reagent used to make Zimura drug substance from a single third-party manufacturer. In order to obtain and maintain regulatory approval for Zimura, our third-party manufacturers will be required to produce the Zimura drug substance with consistent quality and to execute fill/finish services on a repeated basis and document their ability to do so. In order for us to successfully commercialize Zimura, if approved, our manufacturers also need to be able to produce quantities at a commercial scale. If our third-party manufacturers are unable to satisfy these requirements, our business would be materially and adversely affected. To date, we have not yet scaled up the manufacturing process for Zimura beyond the scale used for developmental clinical batches, nor have we validated the manufacturing process.</w:t>
      </w:r>
    </w:p>
    <w:p>
      <w:pPr>
        <w:spacing w:after="0" w:line="24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early 2017, we completed the small scale manufacture of multiple batches of Zimura API that we plan to use to support clinical drug supply for the ISEE2008 trial. Although we believe we have adequate drug supply for the ISEE2008 trial, this supply may not be sufficient for our needs over the duration of the trial. We are in the process of recommencing manufacturing activities with our contract manufacturer, with the goal of scaling up and validating the manufacturing process to support the potential commercialization of Zimura. We will need to demonstrate that Zimura API produced through the scaled-up process is analytically comparable to the Zimura we are currently using before API manufactured through the scaled-up process can be used for commercial drug supply. In addition, we plan to make a change to the vial currently used for the finished Zimura drug product to support a more robust fill/finish operation at commercial scale. We also plan to engage a second source supplier to support us with additional clinical supply of the finished Zimura drug product. Each of these activities is costly, time-consuming and uncertain in outcome. We may not be able to successfully scale up or validate our manufacturing process for Zimura, demonstrate analytical comparability of the Zimura API manufactured through the scaled up process with the previously manufactured Zimura API, or establish the long-term stability of the finished Zimura drug product</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stored in the new vial container. We may need to perform additional work beyond what we currently plan to establish manufacturing and analytical capabilities sufficient to obtain regulatory approval of our manufacturing process for Zimura and to support potential commercial operations. If any of the foregoing events occur, it could result in delays or increased costs to support our future development and commercialization of Zimura, even if we successfully complete any required clinical trials for Zimura and obtain sufficient and favorable safety and efficacy data.</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Some of the standards of the International Conference on Harmonization of Technical Requirements for Registration of Pharmaceuticals for Human Use, which establishes basic guidelines and standards for drug development in the United States, the European Union, Japan and certain other countries, do not apply to oligonucleotides, including aptamers. As a result, there are limited established generally accepted manufacturing or quality standards for the production of Zimura. The lack of uniform manufacturing and quality standards among regulatory agencies may delay regulatory approval of Zimura.</w:t>
      </w:r>
    </w:p>
    <w:p>
      <w:pPr>
        <w:spacing w:after="0" w:line="24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The manufacture of gene therapy products is complex with a number of scientific and technical risks, some of which are common to the manufacture of drugs and biologics and others of which are unique to the manufacture of gene therapies. We have limited experience with gene therapy manufacturing and are dependent on our third-party contract manufacturers and sole source suppliers.</w:t>
      </w:r>
    </w:p>
    <w:p>
      <w:pPr>
        <w:spacing w:after="0" w:line="21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Gene therapy drug products are complex and difficult to manufacture. We believe that the high demand for clinical gene therapy material and a scarcity of potential contract manufacturers may cause long lead times for establishing manufacturing capabilities for gene therapy drug development activities. Even after a manufacturer is engaged, any problems that arise during manufacturing, including during process development and cGMP manufacturing, may result in unanticipated delays to our timelines, including delays attributable to securing additional manufacturing time slots. There may also be long lead times to manufacture or procure starting materials such as plasmids and cell lines, especially for high-quality starting materials that are cGMP compliant. In particular, plasmids, cell lines and other starting materials for gene therapy manufacture are usually sole sourced, as there are a limited number of qualified suppliers. The progress of our gene therapy programs is highly dependent on these suppliers providing us or our contract manufacturers with the necessary starting materials that meet our requirements in a timely manner. A failure to procure or a shortage of necessary starting materials likely would delay our manufacturing and development timelines.</w:t>
      </w:r>
    </w:p>
    <w:p>
      <w:pPr>
        <w:spacing w:after="0" w:line="23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For IC-100, we recently identified an issue with one of the starting materials used for our manufacturing process. That issue caused us to delay our cGMP manufacturing run at our CDMO, and we had to reschedule the run for a later date based on the CDMO's availability. The success of the manufacturing campaign will depend on the supplier providing quality starting materials that meet our requirements on a timely basis for our rescheduled cGMP manufacturing run. If there are issues with the new starting materials, or if there are delays in their release or delivery, our timelines and the future development of IC-100 could be adversely affected.</w:t>
      </w:r>
    </w:p>
    <w:p>
      <w:pPr>
        <w:spacing w:after="0" w:line="242"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A number of factors common to the manufacturing of biologics and drugs could also cause production or quality issues for gene therapies, including raw material or starting material variability in terms of quality, cell line viability, productivity or stability issues, product and process impurities, shortages of any kind, shipping, distribution, storage and supply chain failures, growth media contamination, equipment malfunctions, operator errors, facility contamination, labor problems, natural disasters, disruption in utility services, terrorist activities, epidemics and pandemics, or acts of god that are beyond our or our contract manufacturer's control. It is often the case that early stage process development is conducted with materials that are not manufactured using cGMP starting materials, techniques or processes and which are not subject to the same level of analysis that would be required for clinical grade material. We may encounter difficulties in translating the manufacturing processes used to produce research grade materials to cGMP compliant processes, and any changes in the manufacturing process may affect the safety and efficacy profile of our product candidates. In particular, for IC-100 and IC-200 we and our contract manufacturers are developing our own manufacturing processes, which differ from those originally used by our university collaborators, for example, by using different starting materials and analytical methods. We may not be able to successfully translate the manufacturing process and our manufactured materials may not match the safety and efficacy profile of those used by the universities.</w:t>
      </w:r>
    </w:p>
    <w:p>
      <w:pPr>
        <w:spacing w:after="0" w:line="22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Because manufacturing for early stage research is often done under different conditions, using different starting materials and on a smaller scale than what is required for manufacturing for clinical supplies, we may face challenges in adapting the manufacturing processes that were used by our licensors and other academic collaborators and scaling up these processes as necessary to support supply for clinical trials. In order to progress the development of IC-100, IC-200 or any other gene therapy product candidate we may in-license or acquire, we will need to devote significant time and financial resources to establishing manufacturing processes that are sufficient for IND-enabling preclinical toxicology studies as well as clinical supplies. If we are not able to establish gene therapy manufacturing or related processes in a manner required for further development of our gene therapy product candidates, our development plans may be delayed or stalled and our business may be materially harmed.</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An important part of manufacturing drug products is performing analytical testing. Analytical testing of gene therapies involves tests that are more complex in scope and take a longer time to develop and to conduct as compared to those used for traditional drugs. We and our contract manufacturers need to expend considerable time and resources to develop assays and other analytical tests for our gene therapy product candidates, including assays to assess the potency of our gene therapy product candidates. Some assays need to be outsourced to specialized testing laboratories. Even when assays are developed, they need to be further tested, qualified and validated, which may take substantial time and resources. Because of the lagging nature of analytical testing, we may proceed with additional manufacturing and other development activities without having first fully characterized our manufactured materials. If the results of the testing fail to meet our expectations or applicable requirements, we may need to delay or repeat certain manufacturing and development activities.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only in the early stages of establishing manufacturing capabilities for our HtrA1 inhibitor program.</w:t>
      </w:r>
    </w:p>
    <w:p>
      <w:pPr>
        <w:spacing w:after="0" w:line="27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have engaged a CDMO to conduct process development, scale-up and cGMP manufacture of the API for the lead compound from our HtrA1 inhibitor program for potential preclinical toxicology studies and clinical trials. The time and efforts required for us to fully establish manufacturing capabilities for our HtrA1 inhibitor program, including developing a viable manufacturing process, if any, may delay or impair our ability to develop this program in accordance with our expected timelines.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3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development and commercialization of new drug products is highly competitive. We face competition with respect to our product candidates and other programs from major pharmaceutical companies, specialty pharmaceutical companies and biotechnology companies, as well as generic and biosimilar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 and others are based on entirely different approaches. We also will face similar competition with respect to any product candidates that we may seek to develop or commercialize in the future.</w:t>
      </w:r>
    </w:p>
    <w:p>
      <w:pPr>
        <w:spacing w:after="0" w:line="24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have transitioned to a business strategy that includes a focus on the development of gene therapies for orphan inherited retinal diseases. There are many companies pursuing gene therapy approaches for orphan and age-related retinal diseases. Some of them have better name recognition, more resources and a longer history of developing gene therapies than we do. Competition in this field is intense and for many inherited retinal diseases, there is a limited number of potential patients. If any of our competitors obtains FDA, EMA or other regulatory approval for their products more rapidly than we may obtain approval for ours, our competitors could establish a strong market position before we are able to enter the relevant market, which may significantly limit the commercial opportunity for our product candidates.</w:t>
      </w:r>
    </w:p>
    <w:p>
      <w:pPr>
        <w:spacing w:after="0" w:line="24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Our commercial opportunity could also be reduced or eliminated if one or more of our competitors develop and commercialize products that are more effective, safer, have fewer or less severe side effects, are more convenient to use or are less expensive than our product candidates. For example, the method of administration of Zimura, intravitreal injection, is commonly used to administer ophthalmic drugs for the treatment of severe diseases and is generally accepted by patients facing the prospect of severe visual loss or blindness. A therapy that offers a less invasive or less frequent method of administration, however, might have a competitive advantage over one administered by monthly intravitreal injections, depending on the relative safety of the other method of administration. Furthermore, our ability to compete may be affected in many cases by insurers or other third-party payors, particularly Medicare, seeking to encourage the use of less expensive or more convenient products.</w:t>
      </w:r>
    </w:p>
    <w:p>
      <w:pPr>
        <w:spacing w:after="0" w:line="23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case of orphan diseases such as the IRDs for which we are researching and developing potential treatments, should we be successful in development, our commercialization efforts may rely on non-patent market exclusivity periods under the Orphan Drug Act and the Hatch-Waxman Act. The Orphan Drug Act only provides exclusivity periods for the specific drug granted orphan drug designation for a specific indication. In addition, there are limited circumstances under each of the Orphan Drug Act and the Hatch-Waxman Act that could result in our loss of data and marketing exclusivity, which could allow a competitor to enter the market. Failure to maintain either data or market exclusivity would have a material adverse effect on our ability to commercialize our product candidates.</w:t>
      </w:r>
    </w:p>
    <w:p>
      <w:pPr>
        <w:spacing w:after="0" w:line="246"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enrollment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for clinical trials, as well as in acquiring technologies complementary to, or necessary for, our development programs. Our timelines may be delayed to the extent clinical trials conducted by our competitors are enrolling patients that would otherwise be eligible to participate in our trials at the same time we are seeking to enroll these patients.</w:t>
      </w:r>
    </w:p>
    <w:p>
      <w:pPr>
        <w:spacing w:after="0" w:line="23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Based on publicly available information, we are aware of the following research and development programs that may be competitive with programs we are pursuing. Other competitive programs may exist of which we are not aware.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GA or dry AMD:</w:t>
      </w:r>
    </w:p>
    <w:p>
      <w:pPr>
        <w:spacing w:after="0" w:line="279" w:lineRule="exact"/>
        <w:rPr>
          <w:sz w:val="20"/>
          <w:szCs w:val="20"/>
          <w:color w:val="auto"/>
        </w:rPr>
      </w:pPr>
    </w:p>
    <w:p>
      <w:pPr>
        <w:ind w:left="660" w:hanging="328"/>
        <w:spacing w:after="0" w:line="286"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There are a number of products in preclinical and clinical development by third parties to treat GA or dry AMD. In general, these product candidates can be categorized based on their proposed mechanisms of action. The mechanisms of action for these product candidates include complement system and inflammation suppression, visual cycle modulators, antioxidants and neuroprotectants, cell and gene therapies and vascular perfusion enhancers. We are aware that Apellis Pharmaceuticals, Inc., or Apellis, Roche AG, Novartis AG and MorphoSys AG, Hemera Biosciences, Inc., Gemini Therapeutics, Inc., NGM Biopharmaceuticals Inc., Gyroscope Therapeutics, Achillion Pharmaceuticals, Inc., and Biogen Inc. each have complement inhibitors in development for GA or dry AMD, including, in the cases of Hemera Biosciences and Gyroscope Therapeutics, complement inhibitor gene therapies. We believe that the most advanced of these programs is Apellis's pegylated, synthetic peptide targeting complement protein C3. As recently as April 2020, Apellis confirmed its expectation that it would finish patient enrollment in its Phase 3 program by the end of the first half of 2020 with the goal of enrolling approximately 1,200 patients, and it would announce data from the trials in the third quarter of 2021. If Apellis's Phase 3 program for its C3 complement inhibitor product candidate is successful, it is likely that Apellis would obtain marketing approval for its product candidate in advance of when we could reasonably expect marketing approval for Zimura in GA or a product candidate from our HtrA1 inhibitor program in GA, if at all. Moreover, we are aware that several other companies, including Allergan Inc., Allegro Ophthalmics, LLC, Alkeus Pharmaceuticals Inc., EyePoint Pharmaceuticals, Inc., Lineage Cell Therapeutics, Inc. and Stealth BioTherapeutics Corp. (working in collaboration with Alexion Pharmaceuticals, Inc.), are pursuing development programs for the treatment GA or dry AMD using different mechanisms of action outside of the complement system.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Stargardt disease:</w:t>
      </w:r>
    </w:p>
    <w:p>
      <w:pPr>
        <w:spacing w:after="0" w:line="279" w:lineRule="exact"/>
        <w:rPr>
          <w:sz w:val="20"/>
          <w:szCs w:val="20"/>
          <w:color w:val="auto"/>
        </w:rPr>
      </w:pPr>
    </w:p>
    <w:p>
      <w:pPr>
        <w:ind w:left="660" w:right="20" w:hanging="328"/>
        <w:spacing w:after="0" w:line="291"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There are a number of products in preclinical research and clinical development by third parties to treat Stargardt disease. We are aware that Sanofi, Acucela Inc., Alkeus Pharmaceuticals, Inc., Lin BioScience, Inc., Nightstar Therapeutics plc (prior to its acquisition by Biogen Inc.), ProQR Therapeutics N.V., Spark Therapeutics and Generation Bio Co. each have research or development programs in Stargardt disease. Three of these programs, Acucela, Alkeus and Lin BioScience, are exploring the use of oral therapeutics, while Sanofi, with technology provided by Oxford BioMedica plc, Nightstar and Spark are each using a gene therapy approach and ProQR is using an RNA based approach. Acucela’s product candidate is in Phase 3 development while Alkeus’s and Sanofi’s product candidates are each in Phase 2 development. Spark's program is in the research phase. In addition, several academic organizations have early stage programs in Stargardt disease.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RHO-adRP:</w:t>
      </w:r>
    </w:p>
    <w:p>
      <w:pPr>
        <w:spacing w:after="0" w:line="279" w:lineRule="exact"/>
        <w:rPr>
          <w:sz w:val="20"/>
          <w:szCs w:val="20"/>
          <w:color w:val="auto"/>
        </w:rPr>
      </w:pPr>
    </w:p>
    <w:p>
      <w:pPr>
        <w:ind w:left="660" w:hanging="328"/>
        <w:spacing w:after="0" w:line="259" w:lineRule="auto"/>
        <w:tabs>
          <w:tab w:leader="none" w:pos="660" w:val="left"/>
        </w:tabs>
        <w:numPr>
          <w:ilvl w:val="0"/>
          <w:numId w:val="38"/>
        </w:numPr>
        <w:rPr>
          <w:rFonts w:ascii="Arial" w:cs="Arial" w:eastAsia="Arial" w:hAnsi="Arial"/>
          <w:sz w:val="18"/>
          <w:szCs w:val="18"/>
          <w:i w:val="1"/>
          <w:iCs w:val="1"/>
          <w:color w:val="auto"/>
        </w:rPr>
      </w:pPr>
      <w:r>
        <w:rPr>
          <w:rFonts w:ascii="Arial" w:cs="Arial" w:eastAsia="Arial" w:hAnsi="Arial"/>
          <w:sz w:val="18"/>
          <w:szCs w:val="18"/>
          <w:color w:val="auto"/>
        </w:rPr>
        <w:t>We are aware that ProQR Therapeutics N.V. is developing an RNA-based therapeutic for RHO-adRP, for which it has filed an IND and plans to enroll patients this year. We are also aware that multiple academic institutions have early stage gene therapy development programs in RHO-adRP. In addition, prior to its acquisition by Biogen Inc., Nightstar Therapeutics plc had a preclinical AAV gene therapy program in RHO-adRP. Sanofi is also exploring a potential program in this disease.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BEST1-related IRDs:</w:t>
      </w:r>
    </w:p>
    <w:p>
      <w:pPr>
        <w:spacing w:after="0" w:line="279" w:lineRule="exact"/>
        <w:rPr>
          <w:sz w:val="20"/>
          <w:szCs w:val="20"/>
          <w:color w:val="auto"/>
        </w:rPr>
      </w:pPr>
    </w:p>
    <w:p>
      <w:pPr>
        <w:ind w:left="660" w:right="38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We are aware that, prior to its acquisition by Biogen, Nightstar Therapeutics plc had a preclinical AAV gene therapy program for one or more </w:t>
      </w:r>
      <w:r>
        <w:rPr>
          <w:rFonts w:ascii="Arial" w:cs="Arial" w:eastAsia="Arial" w:hAnsi="Arial"/>
          <w:sz w:val="18"/>
          <w:szCs w:val="18"/>
          <w:i w:val="1"/>
          <w:iCs w:val="1"/>
          <w:color w:val="auto"/>
        </w:rPr>
        <w:t>BEST1</w:t>
      </w:r>
      <w:r>
        <w:rPr>
          <w:rFonts w:ascii="Arial" w:cs="Arial" w:eastAsia="Arial" w:hAnsi="Arial"/>
          <w:sz w:val="18"/>
          <w:szCs w:val="18"/>
          <w:color w:val="auto"/>
        </w:rPr>
        <w:t>-related IRDs.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LCA10:</w:t>
      </w:r>
    </w:p>
    <w:p>
      <w:pPr>
        <w:spacing w:after="0" w:line="279" w:lineRule="exact"/>
        <w:rPr>
          <w:sz w:val="20"/>
          <w:szCs w:val="20"/>
          <w:color w:val="auto"/>
        </w:rPr>
      </w:pPr>
    </w:p>
    <w:p>
      <w:pPr>
        <w:ind w:left="660" w:right="560" w:hanging="328"/>
        <w:spacing w:after="0" w:line="25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are aware that Editas Medicine, Inc. (in partnership with Allergan plc) has a gene editing program for LCA10, an IND for which was submitted in late 2018, ProQR Therapeutics N.V. is developing an RNA-based therapeutic for LCA10 that is currently in late-stage clinical development, Generation Bio Co. has a preclinical program that utilizes ceDNA technology to target LCA10 and Oxford Biomedica plc is developing a lentiviral gene therapy program for LCA10 that is in preclinical development. In addition, several academic institutions have preclinical programs in LCA10.</w:t>
      </w:r>
    </w:p>
    <w:p>
      <w:pPr>
        <w:sectPr>
          <w:pgSz w:w="11900" w:h="16838" w:orient="portrait"/>
          <w:cols w:equalWidth="0" w:num="1">
            <w:col w:w="11220"/>
          </w:cols>
          <w:pgMar w:left="320" w:top="125" w:right="359" w:bottom="1440" w:gutter="0" w:footer="0" w:header="0"/>
        </w:sect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20"/>
          </w:cols>
          <w:pgMar w:left="320" w:top="125" w:right="35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USH2A-related IRDs:</w:t>
      </w:r>
    </w:p>
    <w:p>
      <w:pPr>
        <w:spacing w:after="0" w:line="279" w:lineRule="exact"/>
        <w:rPr>
          <w:sz w:val="20"/>
          <w:szCs w:val="20"/>
          <w:color w:val="auto"/>
        </w:rPr>
      </w:pPr>
    </w:p>
    <w:p>
      <w:pPr>
        <w:ind w:left="660" w:hanging="328"/>
        <w:spacing w:after="0" w:line="259" w:lineRule="auto"/>
        <w:tabs>
          <w:tab w:leader="none" w:pos="660" w:val="left"/>
        </w:tabs>
        <w:numPr>
          <w:ilvl w:val="0"/>
          <w:numId w:val="41"/>
        </w:numPr>
        <w:rPr>
          <w:rFonts w:ascii="Arial" w:cs="Arial" w:eastAsia="Arial" w:hAnsi="Arial"/>
          <w:sz w:val="18"/>
          <w:szCs w:val="18"/>
          <w:i w:val="1"/>
          <w:iCs w:val="1"/>
          <w:color w:val="auto"/>
        </w:rPr>
      </w:pPr>
      <w:r>
        <w:rPr>
          <w:rFonts w:ascii="Arial" w:cs="Arial" w:eastAsia="Arial" w:hAnsi="Arial"/>
          <w:sz w:val="18"/>
          <w:szCs w:val="18"/>
          <w:color w:val="auto"/>
        </w:rPr>
        <w:t xml:space="preserve">There are a number of products in preclinical research and clinical development by third parties to treat </w:t>
      </w:r>
      <w:r>
        <w:rPr>
          <w:rFonts w:ascii="Arial" w:cs="Arial" w:eastAsia="Arial" w:hAnsi="Arial"/>
          <w:sz w:val="18"/>
          <w:szCs w:val="18"/>
          <w:i w:val="1"/>
          <w:iCs w:val="1"/>
          <w:color w:val="auto"/>
        </w:rPr>
        <w:t>USH2A</w:t>
      </w:r>
      <w:r>
        <w:rPr>
          <w:rFonts w:ascii="Arial" w:cs="Arial" w:eastAsia="Arial" w:hAnsi="Arial"/>
          <w:sz w:val="18"/>
          <w:szCs w:val="18"/>
          <w:color w:val="auto"/>
        </w:rPr>
        <w:t xml:space="preserve">-related IRDs. We are aware that ProQR Therapeutics N.V. is pursuing two RNA based approaches for different mutations causing Usher 2A, one of which is currently in Phase 1/2 clinical development and the other of which is in preclinical development. We are also aware that Editas Medicine, Inc. and Odylia Therapeutics are exploring potential programs in </w:t>
      </w:r>
      <w:r>
        <w:rPr>
          <w:rFonts w:ascii="Arial" w:cs="Arial" w:eastAsia="Arial" w:hAnsi="Arial"/>
          <w:sz w:val="18"/>
          <w:szCs w:val="18"/>
          <w:i w:val="1"/>
          <w:iCs w:val="1"/>
          <w:color w:val="auto"/>
        </w:rPr>
        <w:t>USH2A</w:t>
      </w:r>
      <w:r>
        <w:rPr>
          <w:rFonts w:ascii="Arial" w:cs="Arial" w:eastAsia="Arial" w:hAnsi="Arial"/>
          <w:sz w:val="18"/>
          <w:szCs w:val="18"/>
          <w:color w:val="auto"/>
        </w:rPr>
        <w:t>-related IRDs.</w:t>
      </w:r>
    </w:p>
    <w:p>
      <w:pPr>
        <w:spacing w:after="0" w:line="241"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or enter into sales, marketing and distribution agreements with third parties, we may not be successful in commercializing any of our product candidates that we develop if and when any such product candidate is approved.</w:t>
      </w:r>
    </w:p>
    <w:p>
      <w:pPr>
        <w:spacing w:after="0" w:line="154"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As a company, we have no experience in the sale, marketing or distribution of pharmaceutical products. We currently do not have any sales, marketing or distribution infrastructure or dedicated personnel. To achieve commercial success for any approved product, we must either develop a sales, marketing and distribution organization or outsource those functions to third parties. We expect that our commercial strategy for any of our product candidates, including whether to retain commercial rights and market and sell the product candidate ourselves or to utilize collaboration, distribution or other marketing arrangements with third parties, would be determined based on a variety of factors, including the size and nature of the patient population, the disease area, the particular indications for which the product candidate is approved, the territories in which the product candidate may be marketed and the commercial potential for such product candidate. We are developing Zimura and our HtrA1 inhibitor program for GA secondary to AMD, which is a condition affecting a relatively large number of individuals. In contrast, our gene therapy programs are currently being developed for orphan IRDs with a limited number of affected individuals. If any of our product candidates is approved, the size and nature of the affected patient population will be an important factor in our commercial strategy. In addition, our commercial strategy would vary depending on whether the disease is typically treated by general ophthalmology practitioners, specialists, such as retinal specialists, or sub-specialists, such as retinal specialists with particular expertise in IRDs.</w:t>
      </w:r>
    </w:p>
    <w:p>
      <w:pPr>
        <w:spacing w:after="0" w:line="226"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There are risks involved with establishing our own sales, marketing and distribution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and distribution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79"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adequate numbers of physicians who may prescribe our products;</w:t>
      </w:r>
    </w:p>
    <w:p>
      <w:pPr>
        <w:spacing w:after="0" w:line="279" w:lineRule="exact"/>
        <w:rPr>
          <w:rFonts w:ascii="Arial" w:cs="Arial" w:eastAsia="Arial" w:hAnsi="Arial"/>
          <w:sz w:val="18"/>
          <w:szCs w:val="18"/>
          <w:color w:val="auto"/>
        </w:rPr>
      </w:pPr>
    </w:p>
    <w:p>
      <w:pPr>
        <w:ind w:left="980" w:right="70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our sales personnel, which may put us at a competitive disadvantage relative to companies with more extensive product lines; and</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7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and distribution services, our product revenues and our profitability, if any, are likely to be lower than if we were to market, sell and distribute ourselves any products that we develop.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would not be successful in commercializing our product candidates, if approved.</w:t>
      </w:r>
    </w:p>
    <w:p>
      <w:pPr>
        <w:spacing w:after="0" w:line="23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such product candidate may fail to achieve the degree of market acceptance by physicians, patients, third-party payors and others in the medical community necessary for commercial success and the market opportunity for any of our products and product candidates may be smaller than we estimate.</w:t>
      </w:r>
    </w:p>
    <w:p>
      <w:pPr>
        <w:spacing w:after="0" w:line="23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degree of market acceptance of any product candidate that we are developing or we may develop, if approved for commercial sale, will depend on a number of factors, including:</w:t>
      </w:r>
    </w:p>
    <w:p>
      <w:pPr>
        <w:spacing w:after="0" w:line="224"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 including the existing standard of care;</w:t>
      </w:r>
    </w:p>
    <w:p>
      <w:pPr>
        <w:sectPr>
          <w:pgSz w:w="11900" w:h="16838" w:orient="portrait"/>
          <w:cols w:equalWidth="0" w:num="1">
            <w:col w:w="11200"/>
          </w:cols>
          <w:pgMar w:left="320" w:top="125" w:right="379" w:bottom="1440" w:gutter="0" w:footer="0" w:header="0"/>
        </w:sect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00"/>
          </w:cols>
          <w:pgMar w:left="320" w:top="125" w:right="37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in combination with other medications or with certain devices;</w:t>
      </w:r>
    </w:p>
    <w:p>
      <w:pPr>
        <w:spacing w:after="0" w:line="279" w:lineRule="exact"/>
        <w:rPr>
          <w:rFonts w:ascii="Arial" w:cs="Arial" w:eastAsia="Arial" w:hAnsi="Arial"/>
          <w:sz w:val="18"/>
          <w:szCs w:val="18"/>
          <w:color w:val="auto"/>
        </w:rPr>
      </w:pPr>
    </w:p>
    <w:p>
      <w:pPr>
        <w:ind w:left="980" w:right="20" w:hanging="324"/>
        <w:spacing w:after="0" w:line="259"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to or by a subgroup of patients, including, for example, for Zimura, if approved, restrictions on use of our product to patients with GA secondary to dry AMD (as opposed to GA secondary to any or all forms of AMD) or to patients with specific GA lesion characteristics, such as non-foveal GA, or for our gene therapy product candidates, if approved, restrictions on use of our product if a patient previously received another gene therapy product;</w:t>
      </w:r>
    </w:p>
    <w:p>
      <w:pPr>
        <w:spacing w:after="0" w:line="240"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in the label imposing a waiting period in between intravitreal or subretinal injections;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and any commercialization partner’s ability to offer our products at competitive prices;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availability of governmental and third-party payor coverage and adequate reimbursement;</w:t>
      </w:r>
    </w:p>
    <w:p>
      <w:pPr>
        <w:spacing w:after="0" w:line="279" w:lineRule="exact"/>
        <w:rPr>
          <w:rFonts w:ascii="Arial" w:cs="Arial" w:eastAsia="Arial" w:hAnsi="Arial"/>
          <w:sz w:val="18"/>
          <w:szCs w:val="18"/>
          <w:color w:val="auto"/>
        </w:rPr>
      </w:pPr>
    </w:p>
    <w:p>
      <w:pPr>
        <w:ind w:left="980" w:right="280" w:hanging="324"/>
        <w:spacing w:after="0" w:line="308"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increasing reimbursement pressures on treating physicians due to the formation of accountable care organizations and the shift away from traditional fee-for-service reimbursement models to reimbursement based on quality of care and patient outcomes;</w:t>
      </w:r>
    </w:p>
    <w:p>
      <w:pPr>
        <w:spacing w:after="0" w:line="200" w:lineRule="exact"/>
        <w:rPr>
          <w:rFonts w:ascii="Arial" w:cs="Arial" w:eastAsia="Arial" w:hAnsi="Arial"/>
          <w:sz w:val="17"/>
          <w:szCs w:val="17"/>
          <w:color w:val="auto"/>
        </w:rPr>
      </w:pPr>
    </w:p>
    <w:p>
      <w:pPr>
        <w:ind w:left="980" w:right="180" w:hanging="324"/>
        <w:spacing w:after="0" w:line="263"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willingness of the target patient population to try new therapies and of physicians to prescribe these therapies, particularly in light of the existing available standard of care or to the extent our product candidates require invasive procedures for administration, such as subretinal surgery;</w:t>
      </w:r>
    </w:p>
    <w:p>
      <w:pPr>
        <w:spacing w:after="0" w:line="23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prevalence and severity of any side effects or perceived safety concerns, especially for new therapeutic modalities such as gene therapy; and</w:t>
      </w:r>
    </w:p>
    <w:p>
      <w:pPr>
        <w:spacing w:after="0" w:line="302" w:lineRule="exact"/>
        <w:rPr>
          <w:rFonts w:ascii="Arial" w:cs="Arial" w:eastAsia="Arial" w:hAnsi="Arial"/>
          <w:sz w:val="16"/>
          <w:szCs w:val="16"/>
          <w:color w:val="auto"/>
        </w:rPr>
      </w:pPr>
    </w:p>
    <w:p>
      <w:pPr>
        <w:ind w:left="980" w:right="20" w:hanging="324"/>
        <w:spacing w:after="0" w:line="272"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whether competing products or other alternatives are more convenient or easier to administer, including whether co-formulated alternatives, alternatives that can be co-administered in a single syringe or alternatives that offer a less frequent dosing regimen than monthly intravitreal injections, in the case of Zimura, or a less invasive method of administration than subretinal injection, in the case of our gene therapy product candidates, come to market. For example, Apellis is testing its complement inhibitor product candidate for GA with both monthly and every other month dosing regimens, and may obtain a label with an every other month dosing regimen with similar efficacy as the monthly dosing regimen, while we expect that any label we may obtain for Zimura in GA will require monthly administrations. If so, physicians and patients may find Apellis's dosing regimen more convenient than ours.</w:t>
      </w:r>
    </w:p>
    <w:p>
      <w:pPr>
        <w:spacing w:after="0" w:line="231"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Our development program for Zimura in GA uses an anatomical primary endpoint, the mean rate of change in GA growth over 12 months. We believe that this efficacy assessment is most likely to demonstrate clinical relevance for an investigational product across a heterogeneous GA patient population and other potential assessments, such as comparisons of visual acuity, are not as clinically meaningful for patients with GA. However, to date there is no direct functional corollary to the anatomical measure that we are using as our primary endpoint. Although we evaluated visual acuity as a secondary endpoint in the OPH2003 trial, the trial was not designed to reliably assess differences in mean changes in visual acuity with statistical significance. Patients, physicians and payors may not recognize the value of, and we may not be able to obtain marketing or reimbursement approval for, Zimura without demonstrating a functional benefit to vision. To do so, we may need to conduct additional clinical trials, which may not ultimately demonstrate a functional benefit to vision.</w:t>
      </w:r>
    </w:p>
    <w:p>
      <w:pPr>
        <w:spacing w:after="0" w:line="23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each of our Zimura trials where patients receive multiple intravitreal injections on the same day, including the OPH2005 trial, we have provided for a delay in the second intravitreal injection to occur during the same office visit to minimize the risk of an unacceptable increase in intraocular pressure as a result of the volume of the multiple injections. If Zimura receives marketing approval for a particular indication, including for example, for autosomal recessive Stargardt disease, and the approved label requires a waiting period between injections administered on the same day or a dosing regimen that requires multiple office visits per month, the potential market opportunity for Zimura may be limited to the extent that physicians and patients find such a waiting period or dosing regimen unacceptable.</w:t>
      </w:r>
    </w:p>
    <w:p>
      <w:pPr>
        <w:spacing w:after="0" w:line="24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addition, the potential market opportunity for any product candidate is difficult to estimate precisely. Our estimates of the potential market opportunity for our product candidates include several key assumptions based on our expectations of the safety and effectiveness of the relevant product candidate, the expected patient population for our product candidates, our industry knowledge, the competitive landscape for the indications for which we are developing our product candidates and programs, market response to Spark Therapeutics's Luxturna®, Novartis AG's Zolgensma® and anti-VEGF agents currently approved for treatment of wet AMD, third-party research reports and other surveys. While we believe that our internal assumptions are reasonable, no independent source has verified such assumptions and any of these assumptions could prove to</w:t>
      </w: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320" w:top="125" w:right="3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be inaccurate, and the actual market for such product candidates could be smaller than our estimates of our potential market opportunity.</w:t>
      </w:r>
    </w:p>
    <w:p>
      <w:pPr>
        <w:spacing w:after="0" w:line="27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There is a variety of factors that could contribute to the actual number of patients who receive an approved therapy being less than our estimates of the potential addressable market. With respect to our programs for orphan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the European Union and elsewhere may turn out to be lower than expected, patients may not be amenable to treatment with our products or patients may become increasingly difficult to identify and access, all of which would adversely affect our business, financial condition, results of operations and prospects. Further, the severity of the progression of a disease up to the time of treatment, especially in certain degenerative conditions such as IRDs, likely will diminish the therapeutic benefit conferred by a gene therapy due to irreversible cell death. Certain patients’ immune systems and prior exposure to the virus used to deliver a gene therapy might inhibit the successful delivery of certain gene therapy products to the target tissue, thereby limiting eligibility for treatment or limiting treatment outcomes. If the number of patients that may benefit from the treatments we are seeking to develop is lower than we expect, our business, financial condition, results of operations and prospects may be adversely affected.</w:t>
      </w:r>
    </w:p>
    <w:p>
      <w:pPr>
        <w:spacing w:after="0" w:line="226"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auto"/>
        </w:rPr>
        <w:t>Even if we are able to commercialize any of the product candidates that we may develop, the product may become subject to unfavorable pricing regulations, pricing dynamics, third-party reimbursement practices or healthcare reform initiatives, which would harm our business.</w:t>
      </w:r>
    </w:p>
    <w:p>
      <w:pPr>
        <w:spacing w:after="0" w:line="178"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The regulations that govern marketing approvals, pricing and reimbursement for new drug products vary widely from country to country. Health care reform, including increasing scrutiny of drug prices, is an issue of intense political focus, particularly in the United States. Current and future legislation may significantly change the approval requirements in ways that could involve additional costs and cause delays in obtaining approvals or in ways that could alter the mechanism by which pharmaceutical prices are negotiated or otherwise determined. Many countries outside the United States require approval of the sale price of a drug before it can be marketed, and to apply for and obtain such an approval in certain countries, we or a commercialization partner may be required to conduct a clinical trial that compares the cost-effectiveness of our product candidate to other available therapies. In many countries, the pricing review period begins after marketing or product licensing approval is granted. In some foreign markets, prescription pharmaceutical pricing remains subject to continuing governmental control or negotiation even after initial approval is granted. In particular for Zimura in GA, we may need to demonstrate visual function in order to obtain reimbursement approval, although our clinical trials, which use an anatomic endpoint as the primary efficacy endpoint, are not designed to demonstrate a functional benefit with statistical significance. As a result, we might obtain marketing approval for a product in a particular country, but then be subject to price regulations that delay our or any commercialization partner’s commercial launch of the product, possibly for lengthy time periods, which would negatively impact the revenues we are able to generate from the sale of the product in that country. Adverse pricing limitations may hinder our ability to recoup our investment in one or more product candidates, even if our product candidates obtain marketing approval and are widely accepted and prescribed or used by physicians.</w:t>
      </w:r>
    </w:p>
    <w:p>
      <w:pPr>
        <w:spacing w:after="0" w:line="225"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In addition, even in countries where pharmaceuticals are not subject to strict pricing regulations through a governmental review and approval process, we may nonetheless face an unfavorable pricing environment as a result of political pressure or market dynamics. Because there are only two FDA-approved gene replacement therapy products, both of which launched in the United States within the past two years, the pricing environment for gene therapies is in the very early stages of its development. Gene therapies are generally intended to be one-time treatments or, at a minimum, to provide a benefit over an extended period lasting several years. If we are successful in obtaining marketing approval for any of our gene therapy product candidates, we will need to convince third-party payors of the value that our gene therapy product offers. Third-party payors may be unwilling to accept substantial upfront costs for a therapy where the benefits may not be realized or are realized over a period of years during which the patient may no longer be enrolled in the payor's plan. Although payors and manufacturers may be incentivized to agree to outcomes-based payment structures for gene therapies, where manufacturers provide rebates or a portion of the contract price is forgiven if an efficacy or durability threshold is not met for an individual patient, market dynamics in the United States currently do not facilitate these types of outcome-based payments, in particular because of rules that require that government payors, such as Medicaid, receive the “best price” for a drug, regardless of outcome. The perceived high cost for pharmaceutical products to treat orphan diseases, where manufacturers seek to recoup development costs and earn a profit for a therapy intended to treat a relatively small patient population, may attract increased political and public scrutiny. In particular, the $2.1 million list price for Zolgensma has generated significant public scrutiny over the prices of new pharmaceuticals coming to the market, including gene therapies, and as a result, Novartis has proposed permitting third-party payors to pay for Zolgensma in annual installments over five years instead of as a lump sum. Moreover, if we obtain marketing approval for a product candidate, such as Zimura, in more than one indication, including, for example in an orphan indication such as STGD1 and a non-orphan indication such as GA secondary to AMD, such a product candidate likely would</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only be sold at one price in any given country, regardless of the indications for which it is prescribed. This dynamic may result in our charging a price that does not generate profits in each indication for which the product is approved.</w:t>
      </w:r>
    </w:p>
    <w:p>
      <w:pPr>
        <w:spacing w:after="0" w:line="8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ability and the ability of any commercialization partner to commercialize a product candidate successfully also will depend in part on the extent to which reimbursement for these products and related treatments will be available from government health authorities, private health insurers and other organizations. Government authorities and third-party payors, such as private health insurers and health maintenance organizations, decide which medications they will pay for and establish reimbursement levels. A major trend in the U.S. healthcare industry and elsewhere is cost containment. Government authorities and third-party payors, particularly Medicare, have attempted to control costs by limiting coverage and the amount of reimbursement for particular medications and encouraging the substitution of lower cost or generic products. Pricing pressures recently experienced by the pharmaceutical industry may be further exacerbated by legislative and policy changes under consideration by the Trump Administration, the U.S. Congress and many states. For example, the Trump Administration, through the Center for Medicare &amp; Medicaid Service, or CMS, announced in late 2018 an advance notice of proposed rulemaking describing a potential mandatory reference pricing model for Medicare Part B drugs under which the prices paid for these drugs will be adjusted in relation to an international pricing index that includes prevailing prices from other countries with strict price controls. The reference pricing model has found support from some members of the U.S. Congress. The Trump Administration has also expressed an interest in authorizing and/or directing CMS or other agencies of the U.S. government to negotiate prices for drugs covered by Medicare directly with pharmaceutical companies. If this were to occur, especially for AMD drugs where a large portion of the patient population is over the age of 65 and is therefore covered by Medicare, there could be significant downward pressure on prices charged, not only for patients covered by Medicare, but also for patients covered by private insurers who may follow the government’s lead on price. Moreover, increasingly, third-party payors are requiring that drug companies provide them with predetermined discounts from list prices and are challenging the prices charged for pharmaceutical products. We cannot be sure that coverage and reimbursement will be available for any product that we commercialize or any commercialization partner commercializes on our behalf, and, even if these are available, the level of reimbursement may not be satisfactory.</w:t>
      </w:r>
    </w:p>
    <w:p>
      <w:pPr>
        <w:spacing w:after="0" w:line="9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Reimbursement may affect the demand for, or the price of, any product candidate for which we obtain marketing approval. Obtaining and maintaining adequate reimbursement for our products may be particularly difficult because of the higher prices often associated with drugs administered under the supervision of a physician. We or any commercialization partner may be required to conduct expensive pharmacoeconomic studies to justify coverage and reimbursement or the level of reimbursement relative to other therapies that may be on the market. If coverage and adequate reimbursement are not available or reimbursement is available only at limited levels, we may not be able to successfully commercialize any product candidate for which we obtain marketing approval.</w:t>
      </w:r>
    </w:p>
    <w:p>
      <w:pPr>
        <w:spacing w:after="0" w:line="24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For example, several insurers have limited the subpopulation for or imposed additional eligibility criteria for paying for Zolgensma, beyond the requirements of the approved FDA label, such as requiring that any eligible patients must receive another treatment first and demonstrate that the other treatment is ineffective before using Zolgensma.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which President Trump and many members of the U.S. Congress expressed an interest in pursuing. In December 2019, the Department of Health and Human Services proposed a rule permitting limited importation of drugs from Canada. Third-party payors often rely upon Medicare coverage policy and payment limitations in setting their own reimbursement policies. Our and any commercialization partner’s inability to promptly obtain coverage and profitable payment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86"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For a further discussion of health care reform and other political factors affecting drug prices, see the risk factor herein entitled "</w:t>
      </w:r>
      <w:r>
        <w:rPr>
          <w:rFonts w:ascii="Arial" w:cs="Arial" w:eastAsia="Arial" w:hAnsi="Arial"/>
          <w:sz w:val="17"/>
          <w:szCs w:val="17"/>
          <w:i w:val="1"/>
          <w:iCs w:val="1"/>
          <w:color w:val="auto"/>
        </w:rPr>
        <w:t>Current and</w:t>
      </w:r>
      <w:r>
        <w:rPr>
          <w:rFonts w:ascii="Arial" w:cs="Arial" w:eastAsia="Arial" w:hAnsi="Arial"/>
          <w:sz w:val="17"/>
          <w:szCs w:val="17"/>
          <w:color w:val="auto"/>
        </w:rPr>
        <w:t xml:space="preserve"> </w:t>
      </w:r>
      <w:r>
        <w:rPr>
          <w:rFonts w:ascii="Arial" w:cs="Arial" w:eastAsia="Arial" w:hAnsi="Arial"/>
          <w:sz w:val="17"/>
          <w:szCs w:val="17"/>
          <w:i w:val="1"/>
          <w:iCs w:val="1"/>
          <w:color w:val="auto"/>
        </w:rPr>
        <w:t>future legislation and regulations may increase the difficulty and cost for us and any future collaborators to obtain marketing approval of and commercialize our product candidates and affect the prices we or they may charge for such products, when and if approved.</w:t>
      </w:r>
      <w:r>
        <w:rPr>
          <w:rFonts w:ascii="Arial" w:cs="Arial" w:eastAsia="Arial" w:hAnsi="Arial"/>
          <w:sz w:val="17"/>
          <w:szCs w:val="17"/>
          <w:color w:val="auto"/>
        </w:rPr>
        <w: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Ethical, legal and social issues related to genetic testing may reduce demand for any gene therapy product candidates we develop and for which we seek marketing approval.</w:t>
      </w:r>
    </w:p>
    <w:p>
      <w:pPr>
        <w:spacing w:after="0" w:line="17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anticipate that prior to receiving certain gene therapies, including as part of a clinical trial, patients would be required to undergo genetic testing. Genetic testing has raised concerns regarding the appropriate utilization and the confidentiality of information provided by genetic testing. The ownership of genetic data is an area of the law that is unclear and varies across jurisdictions. Genetic tests for assessing a person’s likelihood of developing a chronic disease have focused public attention on the need to protect the privacy of genetic information. For example, concerns have been raised that insurance carriers and employers may use these tests to discriminate on the basis of genetic information, resulting in barriers to the acceptance of genetic tests by consumers. This dynamic could lead to governmental authorities restricting genetic testing or calling for limits on or regulating the use of genetic testing, particularly for diseases for which there is no known cure, as well as the use of genetic data. Any of these scenarios could decrease the pool of patients willing to participate in a clinical trial for a gene therapy and the demand for a gene therapy once it is approved.</w:t>
      </w:r>
    </w:p>
    <w:p>
      <w:pPr>
        <w:spacing w:after="0" w:line="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or any future commercialization partner could divert resources, cause us to incur substantial liabilities and limit commercialization of any products that we may develop or in-license.</w:t>
      </w:r>
    </w:p>
    <w:p>
      <w:pPr>
        <w:spacing w:after="0" w:line="224"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face an inherent risk of product liability exposure related to the testing of any product candidate that we develop in human clinical trials, and we and any future commercialization partner will face an even greater risk if we commercially sell any products that we develop or in-license. If we become subject to or otherwise cannot successfully defend ourselves against claims that our product candidates or our products caused injuries, we will incur substantial liabilities. Regardless of merit or eventual outcome, liability claims may result in:</w:t>
      </w:r>
    </w:p>
    <w:p>
      <w:pPr>
        <w:spacing w:after="0" w:line="225"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 or in-license;</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reduced time and attention of our management to pursue our business strategy;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 or in-license.</w:t>
      </w:r>
    </w:p>
    <w:p>
      <w:pPr>
        <w:spacing w:after="0" w:line="27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currently hold $10.0 million in product liability insurance coverage in the aggregate, with a per incident limit of $10.0 million, which may not be adequate to cover all liabilities that we may incur. We will need to increase our insurance coverage when and if we begin commercializing an approved product. Insurance coverage is increasingly expensive. We may not be able to maintain insurance coverage at a reasonable cost or in an amount adequate to satisfy any liability that may arise, including coverage for any local jurisdictions where we conduct clinical trials. In addition, if a commercialization or collaboration partner were to become subject to product liability claims or were unable to successfully defend themselves against such claims, any such commercialization or collaboration partners could be more likely to terminate such relationship with us and therefore substantially limit the commercial potential of our products.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8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We contract with third parties for the manufacture of and for providing starting materials for our product candidates for preclinical development activities and clinical trials and expect to continue to do so in the future. This reliance on third parties increases the risk that we will not have sufficient quantities of our product candidates or product candidates of sufficient quality, which could delay, prevent or impair our development or commercialization efforts. The COVID-19 pandemic has affected our contract manufacturers' operations and the manufacture of our product candidates.</w:t>
      </w:r>
    </w:p>
    <w:p>
      <w:pPr>
        <w:spacing w:after="0" w:line="24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do not currently own or operate manufacturing facilities for the production of clinical or commercial quantities of any of our product candidates and have a limited number of personnel hired to supervise outside contract manufacturers. We currently rely upon and expect to continue to rely upon third-party contract manufacturers to manufacture preclinical and clinical supplies of product candidates we are developing or may develop and commercial supplies of products if and when approved for marketing by applicable regulatory authorities. Furthermore, we and our contract manufacturers currently rely upon, and for the foreseeable future expect to continue to rely upon, sole-source suppliers of certain raw materials, plasmids and other specialized components of production used in the manufacture and fill/finish of our product candidates.</w:t>
      </w:r>
    </w:p>
    <w:p>
      <w:pPr>
        <w:sectPr>
          <w:pgSz w:w="11900" w:h="16838" w:orient="portrait"/>
          <w:cols w:equalWidth="0" w:num="1">
            <w:col w:w="11240"/>
          </w:cols>
          <w:pgMar w:left="320" w:top="125" w:right="339" w:bottom="1440"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0"/>
          </w:cols>
          <w:pgMar w:left="320" w:top="125" w:right="3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currently rely exclusively upon, and purchase on a purchase order basis, a single third-party manufacturer to provide Zimura drug substance and a different single third-party manufacturer to provide fill/finish services for Zimura. Although we plan to enter into a long-term clinical and commercial supply agreement with our third-party manufacturer, we do not currently have any contractual commitments for the supply of Zimura drug substance and we may not be able to come to agreement with our third-party manufacturer for a long-term clinical or commercial supply agreement. We also do not currently have arrangements in place for redundant supply or a second source for drug substance for Zimura or a second source for fill/finish services for Zimura. We purchase the polyethylene glycol, or PEG, reagent used to modify the chemically synthesized aptamer in Zimura on a purchase order basis from a single third-party supplier. We do not currently have any contractual commitments for supply of the PEG reagent we use for Zimura. The prices for manufacturing activities that are not yet contractually committed may vary substantially over time and adversely affect our financial results.</w:t>
      </w:r>
    </w:p>
    <w:p>
      <w:pPr>
        <w:spacing w:after="0" w:line="21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have engaged a gene therapy CDMO for preclinical and Phase 1/2 clinical supply of IC-100 and IC-200. For our HtrA1 inhibitor program, we have engaged a CDMO to conduct process development, scale-up and cGMP manufacture of the API of our lead compound for potential preclinical toxicology studies and clinical trials.</w:t>
      </w:r>
    </w:p>
    <w:p>
      <w:pPr>
        <w:spacing w:after="0" w:line="238"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Our current and anticipated future dependence upon others for the manufacture of the product candidates that we are developing or may develop may adversely affect our business plan and future growth. For example, any performance failure or differing priorities on the part of our existing or future manufacturers could delay preclinical or clinical development or marketing approval of our product candidates. Our dependence on third party manufacturers may limit our ability to commercialize on a timely and competitive basis any products that receive marketing approval.</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As a result of the COVID-19 pandemic, our third-party contract manufacturers and many sole-source suppliers have limited their operations by reducing the number of staff on site and instituting restrictions on visitors. These changes may result in delays to the progress of our manufacturing activities or affect their quality. For example, we have not been able to perform person-in-plant (PIP) observations on a number of critical manufacturing activities at our CDMO for IC-100, which may affect the quality of the materials produced during those activities. Additionally, shortages and governmental restrictions arising from the COVID-19 pandemic may disrupt the ability of our contract manufacturers to procure items that are essential for our manufacturing activities, such as raw materials used in the manufacture of our product candidates. For example, our contract manufacturer for our HtrA1 inhibitor program experienced shortages in one of the raw materials that was sourced from China, which was affected by the slowdown in trade due to the COVID-19 pandemic.</w:t>
      </w:r>
    </w:p>
    <w:p>
      <w:pPr>
        <w:spacing w:after="0" w:line="246"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Our third-party manufacturer for the API for Zimura and our CDMO for IC-100 and IC-200 are currently undergoing rapid expansion, including ramping up for production for existing clients, bringing on additional clients, opening new facilities, installing and validating new equipment, and hiring and training new personnel. Their expansion, including any issues that they may experience while expanding, could affect the timing, costs, progress, quality and outcome of our planned manufacturing activities with those manufacturers and delay or hinder our development plans.</w:t>
      </w:r>
    </w:p>
    <w:p>
      <w:pPr>
        <w:spacing w:after="0" w:line="211"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If any of our third-party manufacturers, fill/finish providers or sole-source suppliers fail to fulfill our contracts or purchase orders, or if any of these manufacturers or suppliers should become unavailable to us for any reason, including as a result of capacity constraints, differing priorities, regulatory compliance issues, financial difficulties or insolvency, we believe that there are a limited number of potential replacement manufacturers or sole source suppliers, and we likely would incur added costs and delays in identifying or qualifying such replacements. We may be unable to establish agreements with such replacement manufacturers, fill/finish providers or sole-source suppliers or to do so on acceptable terms.</w:t>
      </w:r>
    </w:p>
    <w:p>
      <w:pPr>
        <w:spacing w:after="0" w:line="23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addition, we and our third party manufacturers source some of the raw and starting materials used in the manufacture of our product candidates from outside the United States. Our supplier relationships could be interrupted due to international supply disruptions, including those caused by geopolitical and other issues. For example, trade disputes, trade negotiations or the imposition of tariffs between the United States and its trading partners could cause delays or disruptions in our supply of starting materials for our product candidates. The COVID-19 pandemic and governmental measures in response may also cause delays or disruptions to our supply of starting materials.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Reliance on third-party manufacturers entails additional risks, including:</w:t>
      </w:r>
    </w:p>
    <w:p>
      <w:pPr>
        <w:spacing w:after="0" w:line="279" w:lineRule="exact"/>
        <w:rPr>
          <w:sz w:val="20"/>
          <w:szCs w:val="20"/>
          <w:color w:val="auto"/>
        </w:rPr>
      </w:pPr>
    </w:p>
    <w:p>
      <w:pPr>
        <w:ind w:left="980" w:right="36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product candidates may compete with other product candidates and products for access to a limited number of suitable manufacturing facilities that operate under cGMP conditions;</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quality control;</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ectPr>
          <w:pgSz w:w="11900" w:h="16838" w:orient="portrait"/>
          <w:cols w:equalWidth="0" w:num="1">
            <w:col w:w="11240"/>
          </w:cols>
          <w:pgMar w:left="320" w:top="125"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40"/>
          </w:cols>
          <w:pgMar w:left="320" w:top="125" w:right="3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7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harm our business and results of operations.</w:t>
      </w:r>
    </w:p>
    <w:p>
      <w:pPr>
        <w:spacing w:after="0" w:line="24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rely upon third parties in conducting our preclinical development activities and clinical trials, and those third parties may not perform satisfactorily, including failing to meet deadlines for the completion of such activities. The COVID-19 pandemic has affected operations at our academic collaborators and our sponsored research activities.</w:t>
      </w:r>
    </w:p>
    <w:p>
      <w:pPr>
        <w:spacing w:after="0" w:line="23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are relying upon and expect in the future to rely upon third parties, such as contract research organizations, or CROs, clinical data management organizations, biostatisticians, medical institutions (including reading centers) and clinical investigators, in conducting our preclinical testing and clinical trials for our product candidates. These third parties may also have relationships with other entities, some of which may be our competitors. We or these third parties may terminate their engagements with us at any time for a variety of reasons, including a failure to perform by the third parties. If we need to enter into alternative arrangements, our product development activities could potentially be delayed and could potentially be very costly.</w:t>
      </w:r>
    </w:p>
    <w:p>
      <w:pPr>
        <w:spacing w:after="0" w:line="21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We also rely upon our university collaborators to conduct some of our preclinical studies. In particular, Penn has the canine disease model for two of the diseases we are aiming to treat: RHO-adRP and </w:t>
      </w:r>
      <w:r>
        <w:rPr>
          <w:rFonts w:ascii="Arial" w:cs="Arial" w:eastAsia="Arial" w:hAnsi="Arial"/>
          <w:sz w:val="17"/>
          <w:szCs w:val="17"/>
          <w:i w:val="1"/>
          <w:iCs w:val="1"/>
          <w:color w:val="auto"/>
        </w:rPr>
        <w:t>BEST1</w:t>
      </w:r>
      <w:r>
        <w:rPr>
          <w:rFonts w:ascii="Arial" w:cs="Arial" w:eastAsia="Arial" w:hAnsi="Arial"/>
          <w:sz w:val="17"/>
          <w:szCs w:val="17"/>
          <w:color w:val="auto"/>
        </w:rPr>
        <w:t>-related retinal diseases. Our preclinical development plans for both IC-100 and IC-200 include conducting certain preclinical studies using the associated canine disease models. If the canines that we are intending to use are not available to us for any reason, our development of IC-100 or IC-200 could potentially be delayed or otherwise adversely affected.</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COVID-19 pandemic has caused our university collaborators to limit the number of staff on site and the types of activities that may be conducted in their laboratories. Penn has restricted their researchers from being on site in their laboratories and closed a number of research centers that our researchers use for data analysis, which has limited their ability to analyze some of the data generated during our preclinical studies. As a result, our receipt of data and reports from those studies may be delayed or we may be required to curtail some of the analysis we had originally planned. The University of Florida, or UF, has also limited staff on site in their laboratories and vector production facilities, which has delayed our obtaining certain reagents and other materials used for our gene therapy programs. In addition, UMMS has suspended researcher access to their laboratories and the conduct of certain animal studies, which has delayed our timelines for our miniCEP290 program and may also delay our receipt of results from our miniABCA4 and miniUSH2A sponsored research programs. Shortages and governmental restrictions arising from the COVID-19 pandemic may also disrupt the ability of our academic collaborators, clinical trial sites and other contract research organizations to procure items that are essential for our research and development activities, including, for example, medical and laboratory supplies used in our clinical trials or preclinical studies or animals that are used for preclinical studies. There is no guarantee that the COVID-19 pandemic will not further impact our supply chain, which could have a material impact on our research and development programs.</w:t>
      </w:r>
    </w:p>
    <w:p>
      <w:pPr>
        <w:spacing w:after="0" w:line="23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reliance on these third parties for preclinical testing and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and other regulatory authorities require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various government-sponsored databases within specified timeframes. Failure to do so can result in fines, adverse publicity and civil and criminal sanctions.</w:t>
      </w:r>
    </w:p>
    <w:p>
      <w:pPr>
        <w:spacing w:after="0" w:line="249"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Over the past few years, there has been increasing oversight by the FDA and other regulatory authorities on data integrity, especially in the research and development of novel therapies such as gene therapies. We rely upon the practices of and systems in place at our third party collaborators in generating data to support our preclinical and clinical development programs and for quality control over this data. Their practices and systems vary in scope and effectiveness and we have a limited number of personnel to supervise, including to perform quality assurance of, those practices and systems. Any failure of such practices or systems to comply with our stated protocols or regulatory requirements could adversely affect the quality of the data generated by these studies. If these third parties do not successfully carry out their contractual duties, meet expected deadlines or conduct our preclinical studies or clinical trials in accordance with regulatory requirements or our stated protocols,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would not be able to obtain, or may be delayed in obtaining, marketing approvals for our product candidates and would not be able to, or may be delayed in our efforts to, successfully commercialize our product candidates.</w:t>
      </w:r>
    </w:p>
    <w:p>
      <w:pPr>
        <w:spacing w:after="0" w:line="224"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also rely upon other third parties to store, package, label and distribute drug supplies for our clinical trials and to store materials for our development activities. In particular, we rely on a limited number of third parties to store starting materials, drug substance and drug product for our product candidates and programs. Any performance failure on the part of these third parties could delay preclinical development, clinical development or marketing approval of our product candidates or commercialization of our products and adversely affect our results of operations.</w:t>
      </w:r>
    </w:p>
    <w:p>
      <w:pPr>
        <w:spacing w:after="0" w:line="22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We rely upon third-party researchers to advance our sponsored research programs. These arrangements may not ultimately yield any promising product candidates for preclinical or clinical development. We may not be able to fully realize the benefits of any intellectual property generated by these arrangements.</w:t>
      </w:r>
    </w:p>
    <w:p>
      <w:pPr>
        <w:spacing w:after="0" w:line="238"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Part of our strategy involves collaborative sponsored research to be performed by third-party research institutions. Although we seek to direct this research and advise on the design of these projects as well as critical development decisions, this research is being performed by individuals who are not our employees and the timeline and quality of the research efforts are outside of our direct control. Academic investigators and other researchers may have different priorities than we do as a biopharmaceutical drug development company. The sponsored research agreements we enter into for these programs generally provide that any inventions resulting from the research will be owned by the research institution performing the research, and that we have an option to negotiate for a license to develop and exploit any such inventions. Confidential information and new inventions derived from these research efforts may be disclosed through publications or other means prior to our third-party research collaborators being able to protect such intellectual property through the filing of patent applications. Our third-party research collaborators may not be able to obtain or maintain full ownership of inventions that are derived from the research or associated rights, which may limit their ability to provide us with a license to all relevant intellectual property on terms and conditions that are acceptable to us. Even if our collaborative research efforts yield promising results or new technological advances, they may not ultimately result in our being able to protect, develop or exploit the resulting intellectual property.</w:t>
      </w:r>
    </w:p>
    <w:p>
      <w:pPr>
        <w:spacing w:after="0" w:line="22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collaborations to advance our development programs, we may have to alter our development and commercialization plans.</w:t>
      </w:r>
    </w:p>
    <w:p>
      <w:pPr>
        <w:spacing w:after="0" w:line="22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development and potential commercialization of our product candidates is likely to require substantial additional cash to fund expenses. In addition, the commercialization of a product candidate in markets outside of the United States requires regulatory expertise and commercial capabilities that are specific to the local market. For some of our product candidates, we may seek to collaborate with pharmaceutical and biotechnology companies for the development and potential commercialization of those product candidates. In particular, we continue to explore potential collaboration opportunities for the further development and potential commercialization of Zimura.</w:t>
      </w:r>
    </w:p>
    <w:p>
      <w:pPr>
        <w:spacing w:after="0" w:line="24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For our gene therapy programs, we are party to in-license agreements that limit who we can collaborate with or require the approval of our licensor for us to enter into a collaboration, and any future license agreements that we may enter into may have similar restrictions. Collaborations are complex and time-consuming to negotiate and document. In addition, there have been a significant number of recent business combinations among pharmaceutical and biotechnology companies that have resulted in a reduced number of potential future collaborators.</w:t>
      </w:r>
    </w:p>
    <w:p>
      <w:pPr>
        <w:spacing w:after="0" w:line="233"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those product candidates or bring them to market and generate product revenue.</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If we enter into collaborations with third parties for the development or commercialization of our product candidates, any such collaborations will carry numerous risks. If any of our collaborations are not successful, we may not be able to capitalize on the market potential of these product candidates.</w:t>
      </w:r>
    </w:p>
    <w:p>
      <w:pPr>
        <w:spacing w:after="0" w:line="23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may utilize a variety of types of collaboration, distribution and other marketing arrangements with third parties to develop or commercialize our product candidates, either in the United States, or in markets outside the United States. We also may seek third-party collaborators for development and commercialization of other product candidates we may develop. Our likely collaborators for any sales, marketing, distribution, development, licensing or broader collaboration arrangements include large and mid-size pharmaceutical companies, regional and national pharmaceutical companies and biotechnology companies. If we do enter into any additional arrangements with third parties in the future, we would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could pose numerous risks to us, including the following:</w:t>
      </w:r>
    </w:p>
    <w:p>
      <w:pPr>
        <w:spacing w:after="0" w:line="279" w:lineRule="exact"/>
        <w:rPr>
          <w:sz w:val="20"/>
          <w:szCs w:val="20"/>
          <w:color w:val="auto"/>
        </w:rPr>
      </w:pPr>
    </w:p>
    <w:p>
      <w:pPr>
        <w:ind w:left="980" w:right="4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including marketing and distribution collaborators, have significant discretion in determining the efforts and resources that they will apply to these collaborations and may not perform their obligations as expected;</w:t>
      </w:r>
    </w:p>
    <w:p>
      <w:pPr>
        <w:spacing w:after="0" w:line="224" w:lineRule="exact"/>
        <w:rPr>
          <w:rFonts w:ascii="Arial" w:cs="Arial" w:eastAsia="Arial" w:hAnsi="Arial"/>
          <w:sz w:val="18"/>
          <w:szCs w:val="18"/>
          <w:color w:val="auto"/>
        </w:rPr>
      </w:pPr>
    </w:p>
    <w:p>
      <w:pPr>
        <w:ind w:left="980" w:right="60" w:hanging="324"/>
        <w:spacing w:after="0" w:line="259"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changes in product candidate priorities or available funding or changes in priorities as a result of a merger, acquisition or other corporate restructuring or transaction;</w:t>
      </w:r>
    </w:p>
    <w:p>
      <w:pPr>
        <w:spacing w:after="0" w:line="240" w:lineRule="exact"/>
        <w:rPr>
          <w:rFonts w:ascii="Arial" w:cs="Arial" w:eastAsia="Arial" w:hAnsi="Arial"/>
          <w:sz w:val="18"/>
          <w:szCs w:val="18"/>
          <w:color w:val="auto"/>
        </w:rPr>
      </w:pPr>
    </w:p>
    <w:p>
      <w:pPr>
        <w:ind w:left="980" w:right="500" w:hanging="324"/>
        <w:spacing w:after="0" w:line="308" w:lineRule="auto"/>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00" w:lineRule="exact"/>
        <w:rPr>
          <w:rFonts w:ascii="Arial" w:cs="Arial" w:eastAsia="Arial" w:hAnsi="Arial"/>
          <w:sz w:val="17"/>
          <w:szCs w:val="17"/>
          <w:color w:val="auto"/>
        </w:rPr>
      </w:pPr>
    </w:p>
    <w:p>
      <w:pPr>
        <w:ind w:left="980" w:right="340" w:hanging="324"/>
        <w:spacing w:after="0" w:line="263"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37"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which would prevent us from collaborating with others;</w:t>
      </w:r>
    </w:p>
    <w:p>
      <w:pPr>
        <w:spacing w:after="0" w:line="279" w:lineRule="exact"/>
        <w:rPr>
          <w:rFonts w:ascii="Arial" w:cs="Arial" w:eastAsia="Arial" w:hAnsi="Arial"/>
          <w:sz w:val="18"/>
          <w:szCs w:val="18"/>
          <w:color w:val="auto"/>
        </w:rPr>
      </w:pPr>
    </w:p>
    <w:p>
      <w:pPr>
        <w:ind w:left="980" w:right="20" w:hanging="324"/>
        <w:spacing w:after="0" w:line="259"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disagreements or disputes with collaborators, including disagreements or disputes over proprietary rights, contract interpretation or the preferred course of development, might cause delays or termination of the research, development or commercialization of products or product candidates, might lead to additional responsibilities for us with respect to product candidates or might result in litigation or arbitration, any of which would divert management attention and resources, be time-consuming and be expensive;</w:t>
      </w:r>
    </w:p>
    <w:p>
      <w:pPr>
        <w:spacing w:after="0" w:line="24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of our products may not commit sufficient resources to the marketing and distribution of such product or products;</w:t>
      </w:r>
    </w:p>
    <w:p>
      <w:pPr>
        <w:spacing w:after="0" w:line="224" w:lineRule="exact"/>
        <w:rPr>
          <w:rFonts w:ascii="Arial" w:cs="Arial" w:eastAsia="Arial" w:hAnsi="Arial"/>
          <w:sz w:val="18"/>
          <w:szCs w:val="18"/>
          <w:color w:val="auto"/>
        </w:rPr>
      </w:pPr>
    </w:p>
    <w:p>
      <w:pPr>
        <w:ind w:left="980" w:hanging="324"/>
        <w:spacing w:after="0" w:line="263"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may infringe the intellectual property rights of third parties, may misappropriate our trade secrets or may use our proprietary information in such a way as to invite litigation that could jeopardize or invalidate our intellectual property or proprietary information or expose us to litigation and potential liability;</w:t>
      </w:r>
    </w:p>
    <w:p>
      <w:pPr>
        <w:spacing w:after="0" w:line="237" w:lineRule="exact"/>
        <w:rPr>
          <w:rFonts w:ascii="Arial" w:cs="Arial" w:eastAsia="Arial" w:hAnsi="Arial"/>
          <w:sz w:val="18"/>
          <w:szCs w:val="18"/>
          <w:color w:val="auto"/>
        </w:rPr>
      </w:pPr>
    </w:p>
    <w:p>
      <w:pPr>
        <w:ind w:left="980" w:right="140" w:hanging="324"/>
        <w:spacing w:after="0" w:line="263"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laws or practices in certain foreign jurisdictions may require that as a condition of working with a collaborator in such jurisdiction, we agree to certain foreign ownership restrictions, use certain local services or providers, share or license certain of our proprietary information or technology or other conditions that are not attractive to us; and</w:t>
      </w:r>
    </w:p>
    <w:p>
      <w:pPr>
        <w:spacing w:after="0" w:line="237" w:lineRule="exact"/>
        <w:rPr>
          <w:rFonts w:ascii="Arial" w:cs="Arial" w:eastAsia="Arial" w:hAnsi="Arial"/>
          <w:sz w:val="18"/>
          <w:szCs w:val="18"/>
          <w:color w:val="auto"/>
        </w:rPr>
      </w:pPr>
    </w:p>
    <w:p>
      <w:pPr>
        <w:jc w:val="both"/>
        <w:ind w:left="980" w:right="80" w:hanging="324"/>
        <w:spacing w:after="0" w:line="342" w:lineRule="auto"/>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collaborations may be terminated for the convenience of the collaborator, our breach of the terms of the collaboration or other reasons and, if terminated, we may need to raise additional capital to pursue further development or commercialization of the applicable product candidates.</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If a collaborator of ours were to be involved in a business combination or other transaction, the foregoing risks would be heightened, and the business combination or transaction may divert attention or resources or create competing priorities. The collaborator may delay or terminate our product development or commercialization program. If one of our collaborators terminates its agreement with us, we could find it more difficult to attract new collaborators and the perception of our company could be adversely affected.</w:t>
      </w:r>
    </w:p>
    <w:p>
      <w:pPr>
        <w:sectPr>
          <w:pgSz w:w="11900" w:h="16838" w:orient="portrait"/>
          <w:cols w:equalWidth="0" w:num="1">
            <w:col w:w="11220"/>
          </w:cols>
          <w:pgMar w:left="320" w:top="125" w:right="359" w:bottom="1440" w:gutter="0" w:footer="0" w:header="0"/>
        </w:sect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20"/>
          </w:cols>
          <w:pgMar w:left="320" w:top="125" w:right="35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27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b w:val="1"/>
          <w:bCs w:val="1"/>
          <w:i w:val="1"/>
          <w:iCs w:val="1"/>
          <w:color w:val="auto"/>
        </w:rPr>
        <w:t>We depend on licenses and sublicenses for development and commercialization rights to Zimura, IC-100, IC-200 and our miniCEP290 program. These license arrangements, as well as the Inception 4 Merger Agreement, impose diligence obligations on us. We may enter into similar arrangements with respect to future product candidates or technologies. Termination of licenses or the failure by us or our licensees, including our potential future commercialization or collaboration partners, to comply with obligations under these or other agreements could materially harm our business and prevent us from developing or commercializing our products and product candidates.</w:t>
      </w:r>
    </w:p>
    <w:p>
      <w:pPr>
        <w:spacing w:after="0" w:line="23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are party to a license agreement with Archemix on which we depend for rights to Zimura. We are party to two different license agreements, each with UFRF and Penn, on which we depend for rights to IC-100 and IC-200. We are also party to a license agreement with UMMS for our miniCEP290 program. These agreements generally impose diligence, development and commercialization timelines, milestone payment, royalty, insurance and other obligations on us. Generally, the diligence obligations contained in these agreements require us to use commercially reasonable efforts to develop, seek regulatory approval for and commercialize the applicable product candidate in the United States and certain territories outside of the United States, including the European Union, Japan and such other markets where it would be commercially reasonable to do so. Under the license agreements for our product candidates, we would not be able to avoid our payment obligations even if we believed a licensed patent right was invalid or unenforceable because the license agreements provide that our licenses to all licensed patent rights would terminate if we challenge the validity or enforceability of any licensed patent right. The Inception 4 Merger Agreement, pursuant to which we acquired our HtrA1 inhibitor program, also imposes specified diligence and milestone payment obligations on us. We may enter into acquisition or licensing agreements in the future that would impose similar obligations on us.</w:t>
      </w:r>
    </w:p>
    <w:p>
      <w:pPr>
        <w:spacing w:after="0" w:line="22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If we fail to comply with our obligations under current or future acquisition and licensing agreements, or otherwise breach an acquisition or licensing agreement as a result of our own actions or inaction or the actions or inactions of our commercialization or collaboration partners, our counterparties may have the right to terminate these agreements, in which event we might not have the rights or the financial resources to develop, manufacture or market any product that is covered by these agreements. Our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restated agreements with less favorable terms, seek alternative sources of financing or cause us to lose our rights under these agreements, including our rights to Zimura, IC-100, IC-200, our miniCEP290 program, and other important intellectual property or technology. Any of the foregoing could prevent us from commercializing our product candidates, which could have a material adverse effect on our operating results and overall financial condition. In the case of our limited diligence obligation under the Inception 4 Merger Agreement, a potential breach of our obligation to use commercially reasonable efforts to develop an HtrA1 inhibitor could lead to a lawsuit with the former equityholders of Inception 4 and result in potential liability to us of up to $5 million.</w:t>
      </w:r>
    </w:p>
    <w:p>
      <w:pPr>
        <w:spacing w:after="0" w:line="233"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addition to the above risks, certain of our intellectual property rights are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their upstream licensors fail to comply with their obligations under the agreements pursuant to which they obtain the rights that are sublicensed to us, or should such agreements be terminated or amended, our ability to develop and commercialize the relevant product candidates may be materially harmed. While the applicable agreements may contain contractual provisions that would in many instances protect our rights as a sublicensee in these circumstances, these provisions may not be enforceable and may not protect our rights in all instances. Further, we do not have the right to control the prosecution, maintenance and enforcement of all of our licensed and sublicensed intellectual property, and even when we do have such rights, we may require the cooperation of our licensors and their upstream licensors, which may not be forthcoming. Our business could be materially adversely affected if we are unable to prosecute, maintain and enforce our licensed and sublicensed intellectual property effectively.</w:t>
      </w:r>
    </w:p>
    <w:p>
      <w:pPr>
        <w:spacing w:after="0" w:line="23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Moreover, the license agreements for IC-100, IC-200 and our miniCEP290 program reserve for the licensing academic institutions the right to continue to practice for research purposes, the inventions covered by the intellectual property rights that we have in-licensed. These licensing institutions or their collaborators may generate scientific, preclinical or clinical data with respect to our product candidates, separate from our research and development efforts, that is inconsistent with other data for such product candidates, including additional preclinical and clinical data that we develop. Investigators at these institutions may publish, present, or otherwise publicly disclose this data, which may have an adverse impact on the prospects of the development of our product candidates and may harm our business. In addition, these institutions may use these data to support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new patent applications which could result in the issuance of patents that may limit our freedom to operate without our obtaining additional licenses to these newly developed inventions.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8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or do not maintain patent protection for our technology and products,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23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currently rely and expect to continue to rely on patent rights to protect our competitive position. Once our patents expire, we may not be able to exclude competitors from commercializing products similar or identical to ours. The U.S. patent rights covering Zimura as a composition of matter are expected to expire in 2025. The U.S. patent rights covering methods of treating certain complement protein mediated disorders with Zimura are expected to expire in 2026. The European patent rights covering the composition of matter of Zimura and methods of treating certain complement protein mediated disorders with Zimura are expected to expire in 2025. We expect the clinical development of Zimura to continue for at least the next several years. If so, the patents covering Zimura may expire before the date by which we or a potential commercial partner would be able to commercialize Zimura in the United States or Europe if we seek and obtain marketing approval. Even if we are able to obtain marketing approval for and commercially launch Zimura prior to the expiration of these patents, the remaining term of those patents may be shorter than we anticipate. Although the patent rights under existing patent applications for IC-100, IC-200, our miniCEP290 program and our HtrA1 inhibitors are not expected to expire until 2037 or after, we face the same risk with those product candidates and programs and any future product candidates that we may develop.</w:t>
      </w:r>
    </w:p>
    <w:p>
      <w:pPr>
        <w:spacing w:after="0" w:line="222" w:lineRule="exact"/>
        <w:rPr>
          <w:sz w:val="20"/>
          <w:szCs w:val="20"/>
          <w:color w:val="auto"/>
        </w:rPr>
      </w:pPr>
    </w:p>
    <w:p>
      <w:pPr>
        <w:jc w:val="both"/>
        <w:ind w:right="140" w:firstLine="648"/>
        <w:spacing w:after="0" w:line="287" w:lineRule="auto"/>
        <w:rPr>
          <w:sz w:val="20"/>
          <w:szCs w:val="20"/>
          <w:color w:val="auto"/>
        </w:rPr>
      </w:pPr>
      <w:r>
        <w:rPr>
          <w:rFonts w:ascii="Arial" w:cs="Arial" w:eastAsia="Arial" w:hAnsi="Arial"/>
          <w:sz w:val="16"/>
          <w:szCs w:val="16"/>
          <w:color w:val="auto"/>
        </w:rPr>
        <w:t>For our sponsored research agreements with UMMS and Penn, we are generally relying on our university collaborators to generate research and data to support new patent applications. The results of any sponsored research are uncertain and the interests of the universities and university researchers are not necessarily aligned with our interests as a commercial entity. The research may generate limited patentable results or data, or none at all.</w:t>
      </w:r>
    </w:p>
    <w:p>
      <w:pPr>
        <w:spacing w:after="0" w:line="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Furthermore, the universities generally control the filing, prosecution and maintenance of any patents or patent applications resulting from the sponsored research. Therefore, we may not be able to obtain any patent or other exclusivity protections as a result of our collaborative gene therapy sponsored research programs, which could materially diminish or eliminate the value of these programs.</w:t>
      </w:r>
    </w:p>
    <w:p>
      <w:pPr>
        <w:spacing w:after="0" w:line="24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licensed patent rights for IC-200 and certain of our licensed patent rights for Zimura and IC-100 are method-of-treatment patents and patent applications. Method-of-treatment patents are more difficult to enforce than composition-of-matter patents because of the risk of off-label sale or use of a drug for the patented method. The FDA does not prohibit physicians from prescribing an approved product for uses that are not described in the product’s labeling. Although use of a product directed by off-label prescriptions may infringe our method-of-treatment patents, the practice is common across medical specialties, particularly in the United States, and such infringement is difficult to detect, prevent or prosecute. Off-label sales of other products having the same drug substance as our product candidates would limit our ability to generate revenue from the sale of such product candidates, if approved for commercial sale. In addition, European patent law generally makes the issuance and enforcement of patents that cover methods of treatment of the human body difficult. Further, once the composition-of-matter patents relating to Zimura or IC-100 in a particular jurisdiction, if any, expire, competitors will be able to make, offer and sell products containing the same drug substance as Zimura or IC-100 in that jurisdiction so long as these competitors do not infringe any of our other patents covering Zimura’s or IC-100's composition of matter or method of use or manufacture, do not violate the terms of any marketing or data exclusivity that may be granted to us by regulatory authorities and they obtain any necessary marketing approvals from applicable regulatory authorities. In such circumstances, we also may not be able to detect, prevent or prosecute off-label use of such competitors’ products containing the same drug substance as Zimura or IC-100, even if such use infringes any of our method-of-treatment patents.</w:t>
      </w:r>
    </w:p>
    <w:p>
      <w:pPr>
        <w:spacing w:after="0" w:line="22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Additionally, we do not currently have any composition-of-matter patent applications or patents covering IC-200. The method-of-treatment patent applications that Penn filed and which we in-licensed may be declared unpatentable or invalidated. If the patent applications protecting IC-200 are declared unpatentable or invalidated, it may diminish the value of IC-200 and our competitive position.</w:t>
      </w:r>
    </w:p>
    <w:p>
      <w:pPr>
        <w:spacing w:after="0" w:line="23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Depending on potential delays in the regulatory review process for any of our product candidates, we may be able to obtain patent term extension for one of our patents in the United States under the Hatch-Waxman Act, which permits a patent extension term of up to five years as partial compensation for patent term effectively lost during product development and the FDA regulatory review process occurring after the issuance of a patent, but we can provide no assurances that such an extension term will be obtained. Similar to the patent term extension available in the United States, the regulatory framework in the European Union and certain other foreign jurisdictions provides the opportunity to extend the term of a patent that covers an approved drug in certain circumstances. Notwithstanding the availability of patent term extension provisions, we may not be granted patent term extensions because of, for example, failing to apply within applicable deadlines, failing to apply prior to</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expiration of relevant patents or otherwise failing to satisfy applicable requirements, such as using diligent efforts to develop a drug candidate. Moreover, the applicable time period or the scope of patent protection afforded could be less than we request. If we are unable to obtain patent term extension or the term or scope of any such extension is less than we request, any period during which we have the right to exclusively market our product would be shorter than we would otherwise expect, and our competitors may commercialize competing products following our patent expiration, and our revenue could be reduced, possibly materially.</w:t>
      </w:r>
    </w:p>
    <w:p>
      <w:pPr>
        <w:spacing w:after="0" w:line="242"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The Hatch-Waxman Act also permits the manufacture, use, offer for sale, sale or importation of a patented invention other than a new animal drug or veterinary biological product, if the manufacture, use, offer for sale, sale or importation is solely for uses that are reasonably related to development of information that could be submitted to the FDA. For this reason, our competitors might be able under certain circumstances to perform activities within the scope of the U.S. patents that we own or under which we are licensed without infringing such patents. This might enable our competitors to develop during the lifetime of these patents drugs that compete with our product candidates.</w:t>
      </w:r>
    </w:p>
    <w:p>
      <w:pPr>
        <w:spacing w:after="0" w:line="23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Our issued patents may not be sufficient to provide us with a competitive advantage. For example, competitors may be able to circumvent our owned or licensed patents by developing similar or alternative technologies or products in a non-infringing manner. Even if our owned or licensed patent applications issue as patents, they may not issue with a scope broad enough to provide us with any meaningful protection, prevent competitors from competing with us or otherwise provide us with any competitive advantage.</w:t>
      </w:r>
    </w:p>
    <w:p>
      <w:pPr>
        <w:spacing w:after="0" w:line="24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issuance of a patent is not conclusive as to its inventorship, ownership, scope, term, validity or enforceability, and our owned and licensed patents may be challenged in the courts or patent offices in the United States and abroad. For example, if we receive marketing approval for our product candidates, other pharmaceutical companies may seek approval of generic or biosimilar versions of our products with the FDA or regulatory authorities in other jurisdictions. We may then be required to initiate proceedings against such companies in order to enforce our intellectual property rights. The risk of being involved in such proceedings is likely to increase if our products are commercially successful. In any such proceedings, the inventorship, ownership, scope, term, validity and enforceability of our patents may be challenged. These and other challenges may result in loss of exclusivity or freedom to operate or in patent claims being narrowed, invalidated or held unenforceable, in whole or in part, which could limit our ability to prevent others from using or commercializing similar or identical technology and products or from launching generic or biosimilar versions of our products, or could limit the duration of the patent protection of our technology and products. The launch of a generic version of one of our products in particular would be likely to result in an immediate and substantial reduction in the demand for our product, which could have a material adverse effect on our business.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4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The patent prosecution process is expensive and time-consuming, is highly uncertain and involves complex legal and factual questions. Patent reform legislation could increase the uncertainties and costs surrounding the prosecution of our patent applications and the enforcement or defense of our issued patents.</w:t>
      </w:r>
    </w:p>
    <w:p>
      <w:pPr>
        <w:spacing w:after="0" w:line="23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in the United States and in certain foreign jurisdictions patent applications related to our novel technologies and product candidates that are important to our business.</w:t>
      </w:r>
    </w:p>
    <w:p>
      <w:pPr>
        <w:spacing w:after="0" w:line="238"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In addition, we may not pursue or obtain patent protection in all major markets. Moreover, in some circumstances, we do not have the right to control the preparation, filing or prosecution of patent applications, or to maintain the patents, covering technology that we license from third parties or covering technology that a collaboration or commercialization partner may develop, the eventual commercialization of which could potentially entitle us to royalty payments. In some circumstances, our licensors may have the right to enforce the licensed patents without our involvement or consent, or to decide not to enforce or to allow us to enforce the licensed patents. Therefore, these patents and applications may not be prosecuted and enforced in a manner consistent with the best interests of our business. If any such licensors fail to maintain such patents, or lose rights to those patents, the rights that we have licensed may be reduced or eliminated and our ability to develop and commercialize any of our products that are the subject of such licensed rights could be adversely affected.</w:t>
      </w:r>
    </w:p>
    <w:p>
      <w:pPr>
        <w:spacing w:after="0" w:line="23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For example, European patent law</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560"/>
        <w:spacing w:after="0" w:line="291" w:lineRule="auto"/>
        <w:rPr>
          <w:sz w:val="20"/>
          <w:szCs w:val="20"/>
          <w:color w:val="auto"/>
        </w:rPr>
      </w:pPr>
      <w:r>
        <w:rPr>
          <w:rFonts w:ascii="Arial" w:cs="Arial" w:eastAsia="Arial" w:hAnsi="Arial"/>
          <w:sz w:val="16"/>
          <w:szCs w:val="16"/>
          <w:color w:val="auto"/>
        </w:rPr>
        <w:t>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w:t>
      </w:r>
    </w:p>
    <w:p>
      <w:pPr>
        <w:ind w:right="120"/>
        <w:spacing w:after="0" w:line="271" w:lineRule="auto"/>
        <w:rPr>
          <w:sz w:val="20"/>
          <w:szCs w:val="20"/>
          <w:color w:val="auto"/>
        </w:rPr>
      </w:pPr>
      <w:r>
        <w:rPr>
          <w:rFonts w:ascii="Arial" w:cs="Arial" w:eastAsia="Arial" w:hAnsi="Arial"/>
          <w:sz w:val="17"/>
          <w:szCs w:val="17"/>
          <w:color w:val="auto"/>
        </w:rPr>
        <w:t>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 Moreover, the U.S. Patent and Trademark Office, or USPTO, might require that the term of a patent issuing from a pending patent application be disclaimed and limited to the term of another patent that is commonly owned or names a common inventor. As a result, the issuance, scope, validity, term, enforceability and commercial value of our patent rights are highly uncertain.</w:t>
      </w:r>
    </w:p>
    <w:p>
      <w:pPr>
        <w:spacing w:after="0" w:line="23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pending and future patent applications, and any collaboration or commercialization partner’s pending and future patent applications, may not result in patents being issued which protect our technology or products, in whole or in part, or which effectively prevent others from commercializing competitive technologies and products. In particular, during prosecution of any patent application, the issuance of any patents based on the application may depend upon our or their ability to generate additional preclinical or clinical data that support the patentability of our proposed claims. We or any collaboration or commercialization partner may not be able to generate sufficient additional data on a timely basis, or at all. Moreover, changes in either the patent laws or interpretation of the patent laws in the United States or other countries may diminish the value of our or a collaboration or commercialization partner’s patents or narrow the scope of our or their patent protection.</w:t>
      </w:r>
    </w:p>
    <w:p>
      <w:pPr>
        <w:spacing w:after="0" w:line="23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patent applications and the enforcement or defense of our issued patents. The Leahy-Smith America Invents Act, or the Leahy-Smith Act, was signed into law in September 2011, and many of the substantive changes became effective in March 2013. The Leahy-Smith Act revised United States patent law in part by changing the standard for patent approval from a “first to invent” standard to a “first to file” standard and developing a post-grant review system. This legislation changed United States patent law in a way that may weaken our ability to obtain patent protection in the United States for those applications filed after March 2013. For example, if we are the first to invent a new product or its use, but another party is the first to file a patent application on this invention, under the new law the other party may be entitled to the patent rights on the invention.</w:t>
      </w:r>
    </w:p>
    <w:p>
      <w:pPr>
        <w:spacing w:after="0" w:line="231"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 xml:space="preserve">Moreover, we may be subject to a third-party preissuance submission of prior art to the USPTO, or become involved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interference proceedings or other patent office proceedings or litigation, in the United States or elsewhere, challenging our patent rights or the patent rights of others. The Leahy-Smith Act expanded the ability of third parties to challenge the patents held by patentees through administrative reviews at the USPTO, which may facilitate others to challenge our patents. Based on available information, we believe that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brought by financial investors who may be selling short the stock of the patent holder, are becoming more prevalent.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develop or commercialize current or future product candidates.</w:t>
      </w:r>
    </w:p>
    <w:p>
      <w:pPr>
        <w:spacing w:after="0" w:line="22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224"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Competitors may infringe or otherwise violate our patents, trademarks, copyrights or other intellectual property. To counter infringement or other violations, we may be required to file claims, which can be expensive and time consuming. For some of our licensed patent rights, we may need the cooperation of our licensors to file such claims.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125" w:right="3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or take other actions alleging that we are infringing or otherwise violating their intellectual property rights, the outcome of which would be uncertain and could have a material adverse effect on the success of our business.</w:t>
      </w:r>
    </w:p>
    <w:p>
      <w:pPr>
        <w:spacing w:after="0" w:line="200" w:lineRule="exact"/>
        <w:rPr>
          <w:sz w:val="20"/>
          <w:szCs w:val="20"/>
          <w:color w:val="auto"/>
        </w:rPr>
      </w:pPr>
    </w:p>
    <w:p>
      <w:pPr>
        <w:ind w:right="480" w:firstLine="648"/>
        <w:spacing w:after="0" w:line="259" w:lineRule="auto"/>
        <w:rPr>
          <w:sz w:val="20"/>
          <w:szCs w:val="20"/>
          <w:color w:val="auto"/>
        </w:rPr>
      </w:pPr>
      <w:r>
        <w:rPr>
          <w:rFonts w:ascii="Arial" w:cs="Arial" w:eastAsia="Arial" w:hAnsi="Arial"/>
          <w:sz w:val="18"/>
          <w:szCs w:val="18"/>
          <w:color w:val="auto"/>
        </w:rPr>
        <w:t>Our commercial success depends upon our ability and the ability of any future collaboration and commercialization partners to develop, manufacture, market and sell our product candidates and products and use our proprietary technologies without infringing or otherwise violating the intellectual property and other proprietary rights of third parties. New patent applications in the field of biotechnology and pharmaceuticals, and gene therapies in particular, are being filed at a rapid pace.</w:t>
      </w:r>
    </w:p>
    <w:p>
      <w:pPr>
        <w:spacing w:after="0" w:line="24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There is considerable intellectual property litigation in the biotechnology and pharmaceutical industries. We or any future collaboration and commercialization partners may become party to, or threatened with, future adversarial proceedings or litigation regarding intellectual property rights with respect to our products and technology, including interference, derivation,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opposition, cancellation or similar proceedings before the USPTO or its foreign counterparts. The risks of being involved in such litigation and proceedings may increase as our product candidates near commercialization.</w:t>
      </w:r>
    </w:p>
    <w:p>
      <w:pPr>
        <w:spacing w:after="0" w:line="24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Third parties may assert infringement or other claims against us or our collaboration or commercialization partners based on existing or future intellectual property rights. We or they may not be aware of all such intellectual property rights potentially relating to our product candidates and their manufacture and uses. In addition, contract manufacturers may inadvertently incorporate intellectual property belonging to third parties into our products or the manufacturing processes for these products without our knowledge. There is a lag between the filing of a patent application, which generally establishes the priority date of a patent claim, and the publication of such patent application. During the period between filing of a patent application and publication of the application, we would not otherwise have a means of discovering the existence or extent of the claimed inventions contained in a filed but unpublished patent application. Patent applications are often drafted broadly, and the scope of patent claims that may ultimately issue may not be known until several years after a patent application is filed and published. We may make development or pipeline decisions based on our belief that our product candidates can be distinguished from patent claims contained in published patent applications or issued patents, that patent claims contained in published patent applications are unlikely to issue as drafted, or that claims contained in issued patents are invalid. These positions regarding third-party intellectual property may not ultimately be successful in litigation. Thus, we do not know with certainty that our product candidates, or our intended commercialization thereof, does not and will not infringe or otherwise violate any third party’s intellectual property.</w:t>
      </w:r>
    </w:p>
    <w:p>
      <w:pPr>
        <w:spacing w:after="0" w:line="222"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If we are or any of our future collaboration or commercialization partners is found to infringe or otherwise violate a third party’s intellectual property rights, we or they could be required to obtain a license from such third party to continue developing and marketing our product candidates or products or to continue using a trademark. However, we or our future collaboration and commercialization partners may not be able to obtain any required license on commercially reasonable terms or at all. Even if we or they were able to obtain a license, it could be non-exclusive, thereby giving our competitors access to the same technologies licensed to us or our collaboration and commercialization partners and could require us or them to make substantial licensing and royalty payments. We or our future collaboration and commercialization partners could be forced, including by court order, to cease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or our future collaboration and commercialization partners from commercializing our product candidates or force us or them to cease some of our business operations, which could materially harm our business. Claims that we or our future collaboration and commercialization partners have misappropriated the confidential information or trade secrets of third parties could expose us or them to similar liabilities and have a similar negative impact on our business.</w:t>
      </w:r>
    </w:p>
    <w:p>
      <w:pPr>
        <w:spacing w:after="0" w:line="22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or contractors have misappropriated their intellectual property, or claiming ownership of what we regard as our own intellectual property.</w:t>
      </w:r>
    </w:p>
    <w:p>
      <w:pPr>
        <w:spacing w:after="0" w:line="2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Many of our employees and contractors were previously employed at universities or other biotechnology or pharmaceutical companies, including our competitors or potential competitors. Although we try to ensure that our employees and contractors do not use the proprietary information or know-how of others in their work for us, we may be subject to claims that we or these employees or contractors have used or disclosed intellectual property, including trade secrets or other proprietary information, of any such employee’s or contractor’s former employer. Litigation may be necessary to defend against these claims.</w:t>
      </w:r>
    </w:p>
    <w:p>
      <w:pPr>
        <w:spacing w:after="0" w:line="24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because we acquired rights to our product candidates from third parties, we must rely upon these third parties'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practices, and those of their predecessors, with regard to the assignment of intellectual property therein, including the intellectual property rights protecting the HtrA1 inhibitors we acquired in the Inception 4 acquisition transaction.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24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could distract our personnel from their normal responsibilities.</w:t>
      </w:r>
    </w:p>
    <w:p>
      <w:pPr>
        <w:spacing w:after="0" w:line="30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219"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5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sooner than we expect, which would have a material adverse effect on our business.</w:t>
      </w:r>
    </w:p>
    <w:p>
      <w:pPr>
        <w:spacing w:after="0" w:line="23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addition, we may decide not to pursue patent prosecution in certain major markets or jurisdictions. For example, we may decide that the costs of obtaining and maintaining patent protection in a certain jurisdiction may outweigh the commercial benefits of patent protection. If so, our competitors may enter into and commercialize identical or similar products in that jurisdiction and if we choose to commercialize our products in that jurisdiction, we may not be able to exclude our competitors in the same way as if we had chosen to pursue patent prosecution in that jurisdiction.</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COVID-19 pandemic has caused the USPTO and many foreign patent offices to adjust their filing deadlines and requirements for applicants. While some of those changes may be beneficial to us, there is added uncertainty with regard to many procedural requirements, which may result in inadvertent non-compliance with those requirements that result in abandonment or lapse of patent rights. Additionally, the reduced staff and operations at many patent offices may delay the prosecution of patent rights or limit us or our patent agents' ability to interact with them.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79"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In addition to seeking patents for some of our technology and products, we also rely upon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outside scientific collaborators, contract manufacturers, potential business development counterparties, advisors and other third parties. We also enter into confidentiality and invention or patent assignment agreements with our employees and consultants. We cannot guarantee that we have executed such agreements with each party that may have or have had access to our trade secrets. Moreover, because we acquired our HtrA1 inhibitor program through the acquisition of Inception 4, we are relying upon Inception 4's, and its prior owner's, practices with regard to the protection of trade secrets and intellectual property rights for the period prior to our acquisition of Inception 4. Any party with whom we or they have executed a non-disclosure and confidentiality agreement may breach that agreement and disclose our proprietary information,</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including our trade secrets, and we may not be able to obtain adequate remedies for such breaches. Our proprietary information may also be obtained by third parties by other means, such as breaches of our physical or computer security systems.</w:t>
      </w:r>
    </w:p>
    <w:p>
      <w:pPr>
        <w:spacing w:after="0" w:line="22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 and Data Protection</w:t>
      </w:r>
    </w:p>
    <w:p>
      <w:pPr>
        <w:spacing w:after="0" w:line="28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rely significantly upon information technology systems and any failure, inadequacy, interruption or security lapse of these systems could harm our ability to operate our business effectively. Information technology risks have become more significant over time, including as a result of widespread remote working during the COVID-19 pandemic.</w:t>
      </w:r>
    </w:p>
    <w:p>
      <w:pPr>
        <w:spacing w:after="0" w:line="238" w:lineRule="exact"/>
        <w:rPr>
          <w:sz w:val="20"/>
          <w:szCs w:val="20"/>
          <w:color w:val="auto"/>
        </w:rPr>
      </w:pPr>
    </w:p>
    <w:p>
      <w:pPr>
        <w:jc w:val="both"/>
        <w:ind w:right="200" w:firstLine="648"/>
        <w:spacing w:after="0" w:line="257" w:lineRule="auto"/>
        <w:rPr>
          <w:sz w:val="20"/>
          <w:szCs w:val="20"/>
          <w:color w:val="auto"/>
        </w:rPr>
      </w:pPr>
      <w:r>
        <w:rPr>
          <w:rFonts w:ascii="Arial" w:cs="Arial" w:eastAsia="Arial" w:hAnsi="Arial"/>
          <w:sz w:val="18"/>
          <w:szCs w:val="18"/>
          <w:color w:val="auto"/>
        </w:rPr>
        <w:t>In the ordinary course of our business, we and our third-party contractors maintain personal and other sensitive data on our and their respective networks, including our intellectual property and proprietary or confidential information relating to our business and that of our clinical trial participants, business collaborators and employees. In particular, we rely on contract research organizations and other third parties to store and manage data generated from our preclinical research and development activities and information from our clinical trials. The secure maintenance of this sensitive information is critical to our business and reputation.</w:t>
      </w:r>
    </w:p>
    <w:p>
      <w:pPr>
        <w:spacing w:after="0" w:line="24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have implemented a number of measures to protect our information technology systems. These measures include, among others, creation of a cyber-security governance team and standard operating procedures for responding to any cyber-security incidents, mandatory cyber-security training, including social engineering training, for our employees and consultants with access to our information technology systems and engagement of a third-party vendor to regularly assess our informational technology systems and potential vulnerabilities.</w:t>
      </w:r>
    </w:p>
    <w:p>
      <w:pPr>
        <w:spacing w:after="0" w:line="225" w:lineRule="exact"/>
        <w:rPr>
          <w:sz w:val="20"/>
          <w:szCs w:val="20"/>
          <w:color w:val="auto"/>
        </w:rPr>
      </w:pPr>
    </w:p>
    <w:p>
      <w:pPr>
        <w:ind w:right="280" w:firstLine="648"/>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third-party contractors are vulnerable to compromise, damage, loss or exfiltration from cyber-attacks, computer viruses, unauthorized access, natural disasters, terrorism, war and telecommunication and electrical failures. In particular, companies and other entities and individuals have been increasingly subject to a wide variety of security incidents, cyber-attacks, phishing scams and other attempts to gain unauthorized access to systems and information, including through social engineering. The number and complexity of these threats continue to increase over time. These threats can come from a variety of sources, ranging in sophistication from individual hackers to state-sponsored attacks. Cyber threats may be broadly targeted, or they may be custom-crafted against our information systems or those of our third-party contractors.</w:t>
      </w:r>
    </w:p>
    <w:p>
      <w:pPr>
        <w:spacing w:after="0" w:line="231"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In particular, as a result of the COVID-19 pandemic, we have switched to remote working since mid-March 2020 and as a result, have increasingly relied upon teleconferencing and cloud-based means of communication. Many other companies have done the same. There have been numerous publicized attempts of bad actors attempting to intercept proprietary communications. We may be similarly susceptible to those kinds of threats.</w:t>
      </w:r>
    </w:p>
    <w:p>
      <w:pPr>
        <w:spacing w:after="0" w:line="20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For information stored with our third-party contractors, we rely upon, and the integrity and confidentiality of such information is dependent upon, the risk mitigation efforts such third-party contractors have in place. Cyber-attacks have become more prevalent and much harder to detect and defend against. Our and our third-party contractors’ respective network and storage applications may be subject to unauthorized access by hackers or breached due to operator error, malfeasance or other system disruptions. We might not anticipate or immediately detect such incidents and the damage caused by such incidents. System failures, data breaches and any unauthorized access or disclosure of our information or intellectual property could compromise our intellectual property and expose sensitive business information. System failures or accidents or security breaches could cause interruptions in our operations, and could result in a material disruption of our research and development activities and business operations, in addition to possibly requiring substantial expenditures of resources to remedy. Moreover, if a breach of our security or that of our vendors occurs, the market perception of the effectiveness of our security measures could be harmed and our reputation could be damaged.</w:t>
      </w:r>
    </w:p>
    <w:p>
      <w:pPr>
        <w:spacing w:after="0" w:line="23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 data security breach could also lead to public or unauthorized exposure of personal information of our clinical trial participants, our employees or others. Cyber-attacks and the measures we implement to prevent, detect, and respond to them could cause us to incur significant remediation costs, result in product development delays, disrupt key business operations, expose us to contractual damages and/or regulatory liability, require us to make certain breach notifications, divert the attention of our management and key information technology resources, harm our reputation and deter patients, clinical investigators or other business collaborators from participating in our clinical trials or otherwise working with us. Any loss of preclinical data or clinical trial data could result in delays in our regulatory approval efforts and significantly increase our costs to recover or</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125" w:right="3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reproduce the data. To the extent that any disruption or security breach were to result in a loss of, or damage to, our data or applications, or inappropriate public disclosure of confidential or proprietary information, we could incur liability and our product development and commercialization efforts could be delayed. In addition, we may not have adequate insurance coverage to provide compensation for any losses associated with such events.</w:t>
      </w:r>
    </w:p>
    <w:p>
      <w:pPr>
        <w:spacing w:after="0" w:line="20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23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and those frameworks may not be consistent. For example, the collection, use, disclosure, transfer, or other processing of personal data regarding individuals in the European Union, including personal health data, is subject to the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data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also provides certain discretion to individual European member states, and many of them have enacted local legislation that differ from one another. We are aware that many other countries have enacted or are considering legislation similar to the GDPR.</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Similar actions are either in place or under way in the United States. There are a broad variety of data protection laws</w:t>
      </w:r>
    </w:p>
    <w:p>
      <w:pPr>
        <w:spacing w:after="0" w:line="2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that are applicable to our activities, and a wide range of enforcement agencies at both the state and federal levels with the authority to review our privacy and data security practices based on general consumer protection laws. The Federal Trade Commission and state Attorneys General have been increasingly active in reviewing companies' privacy and data security practices in relation to consumer information. New legislation and regulations are also being considered at both the state and federal levels. For example, the California Consumer Privacy Act, or the CCPA, which went into effect on January 1, 2020, is creating similar risks and obligations as those created by GDPR, although the CCPA exempts certain information collected as part of a clinical trial that is subject to the Federal Policy for the Protection of Human Subjects (the Common Rule).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We also may be subject to consumer class action litigation related to alleged noncompliance with these laws. Even if we are not determined to have violated these laws, responding to government investigations and/or consumer litigation in these areas typically requires the expenditure of significant resources and has the potential to generate negative publicity, which could harm our reputation and our business.</w:t>
      </w:r>
    </w:p>
    <w:p>
      <w:pPr>
        <w:spacing w:after="0" w:line="9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Given the breadth and depth of changes in data protection obligations, preparing for and complying with these requirements has required and will continue to require significant time, resources and a review of our technologies, systems and practices, as well as those of any third-party collaborators, service providers, contractors or consultants that process or transfer personal data. The GDPR and other changes in laws or regulations associated with the enhanced protection of certain types of sensitive data, such as healthcare data or other personal information from our clinical trials, has resulted in certain changes to our business practices, such as additional consideration to the GDPR in setting up clinical trial agreements and informed consent forms for our ISEE2008 trial, and may require further changes to our business practices. Any non-compliance by us or our employees, consultants or contractors with the GDPR or other data protection laws could lead to setbacks in the development or approval of our product candidates, government enforcement actions, private litigation, significant fines and penalties, or reputational harm and could have a material adverse effect on our business, financial condition or results of operations.</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125" w:right="3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Product Candidates and Other Legal Compliance Matters</w:t>
      </w:r>
    </w:p>
    <w:p>
      <w:pPr>
        <w:spacing w:after="0" w:line="28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would be materially impaired.</w:t>
      </w:r>
    </w:p>
    <w:p>
      <w:pPr>
        <w:spacing w:after="0" w:line="241"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and import and export, are subject to comprehensive regulation by the FDA, the EMA and comparable regulatory agencies in other countries.</w:t>
      </w:r>
    </w:p>
    <w:p>
      <w:pPr>
        <w:spacing w:after="0" w:line="23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general, the FDA and similar regulatory authorities outside the United States require two adequate and well-controlled clinical trials demonstrating safety and effectiveness for marketing approval for an ophthalmic pharmaceutical product.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upon third-party CROs to assist us in this process. Securing marketing approval requires obtaining positive safety and efficacy data from required clinical trials, as well as the submission of extensive preclinical and clinical data and supporting information to regulatory authorities for each indication to establish the product candidate’s safety and efficacy. Securing marketing approval also requires the submission of information about the product manufacturing processes to, and inspection of manufacturing facilities by, the relevant regulatory authorities. The FDA or other regulatory authorities may determine that a product candidate that we may develop is not effective, is only moderately effective or has undesirable or unintended side effects, toxicities or other characteristics that preclude our obtaining marketing approval or prevent or limit commercial use.</w:t>
      </w:r>
    </w:p>
    <w:p>
      <w:pPr>
        <w:spacing w:after="0" w:line="22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23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Marketing approval of novel product candidates such as Zimura and our gene therapy product candidates manufactured using novel manufacturing processes can be more expensive and take longer than for other, more well-known or extensively studied pharmaceutical or biopharmaceutical products, due to regulatory agencies’ lack of experience with them. We believe that the FDA has only granted marketing approval for one aptamer product and two gene replacement products to date. This lack of experience may lengthen the regulatory review process, require us to conduct additional studies or clinical trials, increase our development costs, lead to changes in regulatory positions and interpretations, delay or prevent approval and commercialization of these product candidates or lead to significant post-approval limitations or restrictions.</w:t>
      </w:r>
    </w:p>
    <w:p>
      <w:pPr>
        <w:spacing w:after="0" w:line="232"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Accordingly, if we or our collaborators experience delays in obtaining approval or if we fail to obtain approval of our product candidates, the commercial prospects for such product candidate may be harmed and our ability to generate revenues would be materially impaired.</w:t>
      </w:r>
    </w:p>
    <w:p>
      <w:pPr>
        <w:spacing w:after="0" w:line="20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in such jurisdictions. The approval requirements in foreign jurisdictions may differ significantly from those in the United States.</w:t>
      </w:r>
    </w:p>
    <w:p>
      <w:pPr>
        <w:spacing w:after="0" w:line="22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order to market and sell our product candidates in the European Union and many other jurisdictions, we or our third-party commercialization partners must obtain separate marketing approvals and comply with numerous and varying regulatory requirements. The approval procedure varies among countries and can involve additional preclinical or clinical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third-party commercialization partners may not obtain marketing and/or reimbursement approvals from regulatory authorities outside the United States on a timely basis, if at all. Approval by</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FDA does not ensure approval by regulatory authorities in other countries or jurisdictions, and approval by one regulatory authority outside the United States does not ensure approval by regulatory authorities in other countries or jurisdictions or by the FDA. We and our third-party commercialization partners may not be able to file for marketing approvals and may not receive necessary approvals to commercialize our products in any market.</w:t>
      </w:r>
    </w:p>
    <w:p>
      <w:pPr>
        <w:spacing w:after="0" w:line="6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June 2016, the electorate in the United Kingdom, or UK, voted in favor of leaving the European Union, commonly referred to as “Brexit”. Following protracted negotiations, the UK left the European Union on January 31, 2020. There is a transitional period until December 31, 2020, and the UK government and the European Union are attempting to agree to long-term trade and other agreements. Since the existing regulatory framework for pharmaceutical products in the UK is derived from European Union directives and regulations, Brexit could materially impact the future regulatory regime for pharmaceutical products in the UK, which remains uncertain.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30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A fast track designation or grant of priority review status by the FDA may not actually lead to a faster development or regulatory review or approval process. The FDA may withdraw fast track designation if it believes that the designation is no longer supported by data from our clinical development program.</w:t>
      </w:r>
    </w:p>
    <w:p>
      <w:pPr>
        <w:spacing w:after="0" w:line="23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FDA may designate a product for fast track review if it is intended, whether alone or in combination with one or more other products, for the treatment of a serious or life-threatening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21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April 2020, the FDA granted fast track designation to Zimura for the treatment of GA secondary to dry AMD. Even though Zimura has received fast track designation, we must continue to follow the requirements of the program in order to maintain the fast track designation, and even if we maintain the designation, we may not ultimately experience a faster development process, review or approval compared to conventional FDA procedures. The FDA's grant of fast track designation to Zimura for the treatment of GA secondary to dry AMD does not imply that the FDA will grant fast track designation to Zimura for another indication, such as STGD1, or that the FDA will grant fast track designation for any of our other product candidates, if we choose to apply for fast track designation.</w:t>
      </w:r>
    </w:p>
    <w:p>
      <w:pPr>
        <w:spacing w:after="0" w:line="24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would receive marketing approval.</w:t>
      </w:r>
    </w:p>
    <w:p>
      <w:pPr>
        <w:spacing w:after="0" w:line="20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23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decide not to make such designation. In any event, the receipt of a breakthrough therapy designation for a product candidate may not result in a faster development process, review or approval compared to drugs considered for approval under conventional FDA procedures and does not ensure ultimate approval by the FDA. In addition, even if one or more of our product candidates qualify as breakthrough therapies, the FDA may later decide that the products no longer meet the conditions for qualification or that the time period for FDA review or approval will not be shortened.</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320" w:top="125" w:right="3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We currently do not have orphan drug designations or orphan drug exclusivity for any product candidate. If our competitors are able to obtain orphan drug exclusivity for products that constitute the same drug and treat the same indications as our product candidates, we may not be able to have our product candidates approved by the applicable regulatory authority for a significant period of time.</w:t>
      </w:r>
    </w:p>
    <w:p>
      <w:pPr>
        <w:spacing w:after="0" w:line="21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22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If we request orphan drug designation for any of our product candidates in one or more indications,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23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during that marketing exclusivity period from approving another marketing application for a product that constitutes the same drug treating the same indication, except in limited circumstances. If another sponsor receives such approval before we do, regardless of our orphan drug designation, we will be precluded from receiving marketing approval for our product candidate during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222"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later drug is not the same drug or is clinically superior in that it is shown to be safer, more effective or makes a major contribution to patient care. In particular, the concept of what constitutes the "same drug" for purposes of orphan drug exclusivity remains in flux in the context of gene therapies, and the FDA has issued recent draft guidance suggesting that it would not consider two gene therapy products to be different drugs solely based on minor differences in the transgenes or vectors. In the European Union, marketing authorization may be granted to a similar medicinal product for the same orphan indication if:</w:t>
      </w:r>
    </w:p>
    <w:p>
      <w:pPr>
        <w:spacing w:after="0" w:line="231" w:lineRule="exact"/>
        <w:rPr>
          <w:sz w:val="20"/>
          <w:szCs w:val="20"/>
          <w:color w:val="auto"/>
        </w:rPr>
      </w:pPr>
    </w:p>
    <w:p>
      <w:pPr>
        <w:ind w:left="980" w:right="52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224" w:lineRule="exact"/>
        <w:rPr>
          <w:rFonts w:ascii="Arial" w:cs="Arial" w:eastAsia="Arial" w:hAnsi="Arial"/>
          <w:sz w:val="18"/>
          <w:szCs w:val="18"/>
          <w:color w:val="auto"/>
        </w:rPr>
      </w:pPr>
    </w:p>
    <w:p>
      <w:pPr>
        <w:ind w:left="980" w:right="8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224"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the orphan medicinal product.</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could be subject to post-marketing restrictions or withdrawal from the market and we or our third-party commercialization partners may be subject to penalties if we or our third-party commercialization partners or our or their manufacturers fail to comply with regulatory requirements or if we or our third-party commercialization partners or our or their manufacturers experience unanticipated problems with our products, when and if any of them are approved.</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Any product candidate for which we or our commercialization partners obtain marketing approval, along with the manufacturing processes, post-approval clinical data, labeling, advertising and promotional activities for such product, will be subject to the continued requirements of and review by the FDA and other regulatory authorities. These requirements include submissions of safety and other post-marketing information and reports, registration and listing requirements, cGMP requirements relating to manufacturing, quality control and quality assurance, complaints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may be subject to significant conditions of approval or contain requirements for costly post-marketing testing and surveillance to monitor the safety or efficacy of the medicine, including the requirement to implement a risk evaluation and mitigation strategy.</w:t>
      </w:r>
    </w:p>
    <w:p>
      <w:pPr>
        <w:spacing w:after="0" w:line="23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FDA and other agencies, including the Department of Justice, or the DOJ, closely regulate and monitor the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w:t>
      </w:r>
    </w:p>
    <w:p>
      <w:pPr>
        <w:spacing w:after="0" w:line="23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224"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restrictions on distribution or use of a product;</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7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w:t>
      </w:r>
    </w:p>
    <w:p>
      <w:pPr>
        <w:sectPr>
          <w:pgSz w:w="11900" w:h="16838" w:orient="portrait"/>
          <w:cols w:equalWidth="0" w:num="1">
            <w:col w:w="11240"/>
          </w:cols>
          <w:pgMar w:left="320" w:top="125"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40"/>
          </w:cols>
          <w:pgMar w:left="320" w:top="125" w:right="3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b w:val="1"/>
          <w:bCs w:val="1"/>
          <w:i w:val="1"/>
          <w:iCs w:val="1"/>
          <w:color w:val="auto"/>
        </w:rPr>
        <w:t>Our and our potential commercialization partners’ relationships with customers and third-party payors will be subject to applicable anti-kickback, fraud and abuse and other healthcare laws and regulations, which could expose us and our commercialization partners to criminal sanctions, civil penalties, contractual damages, reputational harm and diminished profits and future earnings.</w:t>
      </w:r>
    </w:p>
    <w:p>
      <w:pPr>
        <w:spacing w:after="0" w:line="219"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Healthcare providers, physicians and third-party payors play a primary role in the recommendation and prescription of any product candidates for which we obtain marketing approval. Our future arrangements with healthcare providers, physicians and third-party payors may expose us and our commercialization partners to broadly applicable fraud and abuse and other healthcare laws and regulations that may constrain the business or financial arrangements and relationships through which we and our commercialization partners market, sell and distribute any products for which we or they obtain marketing approval. Restrictions under applicable federal and state healthcare laws and regulations include the following:</w:t>
      </w:r>
    </w:p>
    <w:p>
      <w:pPr>
        <w:spacing w:after="0" w:line="215" w:lineRule="exact"/>
        <w:rPr>
          <w:sz w:val="20"/>
          <w:szCs w:val="20"/>
          <w:color w:val="auto"/>
        </w:rPr>
      </w:pPr>
    </w:p>
    <w:p>
      <w:pPr>
        <w:ind w:left="980" w:hanging="324"/>
        <w:spacing w:after="0" w:line="259"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240" w:lineRule="exact"/>
        <w:rPr>
          <w:rFonts w:ascii="Arial" w:cs="Arial" w:eastAsia="Arial" w:hAnsi="Arial"/>
          <w:sz w:val="18"/>
          <w:szCs w:val="18"/>
          <w:color w:val="auto"/>
        </w:rPr>
      </w:pPr>
    </w:p>
    <w:p>
      <w:pPr>
        <w:ind w:left="980" w:hanging="324"/>
        <w:spacing w:after="0" w:line="25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a minimum of $11,181 and a maximum of $22,363 per false claim;</w:t>
      </w:r>
    </w:p>
    <w:p>
      <w:pPr>
        <w:spacing w:after="0" w:line="241"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224" w:lineRule="exact"/>
        <w:rPr>
          <w:rFonts w:ascii="Arial" w:cs="Arial" w:eastAsia="Arial" w:hAnsi="Arial"/>
          <w:sz w:val="18"/>
          <w:szCs w:val="18"/>
          <w:color w:val="auto"/>
        </w:rPr>
      </w:pPr>
    </w:p>
    <w:p>
      <w:pPr>
        <w:ind w:left="980" w:right="420" w:hanging="324"/>
        <w:spacing w:after="0" w:line="263"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237" w:lineRule="exact"/>
        <w:rPr>
          <w:rFonts w:ascii="Arial" w:cs="Arial" w:eastAsia="Arial" w:hAnsi="Arial"/>
          <w:sz w:val="18"/>
          <w:szCs w:val="18"/>
          <w:color w:val="auto"/>
        </w:rPr>
      </w:pPr>
    </w:p>
    <w:p>
      <w:pPr>
        <w:ind w:left="980" w:right="300" w:hanging="324"/>
        <w:spacing w:after="0" w:line="342" w:lineRule="auto"/>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federal Physician Payments Sunshine Act requires certain manufacturers of drugs, medical devices and biological products covered by federal healthcare benefit programs to report payments and other transfers of value to physicians and teaching hospitals; and</w:t>
      </w:r>
    </w:p>
    <w:p>
      <w:pPr>
        <w:spacing w:after="0" w:line="177" w:lineRule="exact"/>
        <w:rPr>
          <w:rFonts w:ascii="Arial" w:cs="Arial" w:eastAsia="Arial" w:hAnsi="Arial"/>
          <w:sz w:val="16"/>
          <w:szCs w:val="16"/>
          <w:color w:val="auto"/>
        </w:rPr>
      </w:pPr>
    </w:p>
    <w:p>
      <w:pPr>
        <w:ind w:left="980" w:right="100" w:hanging="324"/>
        <w:spacing w:after="0" w:line="263"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governmental and non-governmental third-party payors, including private insurers.</w:t>
      </w:r>
    </w:p>
    <w:p>
      <w:pPr>
        <w:spacing w:after="0" w:line="23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such as the GDPR, also govern the privacy and security of health information in some circumstances, many of which differ from each other in significant ways and often are not preempted by HIPAA, thus complicating compliance efforts.</w:t>
      </w:r>
    </w:p>
    <w:p>
      <w:pPr>
        <w:spacing w:after="0" w:line="24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As our product candidates advance in clinical development, we plan to develop and implement a corporate compliance program to ensure that we will market and sell any future products that we successfully develop in compliance with all applicable laws and regulations, but we cannot guarantee that any such program will protect us from governmental investigations or other actions or lawsuits stemming from a failure to be in compliance with such laws and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3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or our commercialization partners’ operations are found to be in violation of any of these laws or</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any other governmental regulations that may apply to us or them, we or they may be subject to significant civil, criminal and administrative penalties, including damages, fines, imprisonment, exclusion of products from government funded healthcare programs, such as Medicare and Medicaid, and the curtailment or restructuring of our or their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4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Current and future legislation and regulations may increase the difficulty and cost for us and any future collaborators to obtain marketing approval of and commercialize our product candidates and affect the prices we or they may charge for such products, when and if approved.</w:t>
      </w:r>
    </w:p>
    <w:p>
      <w:pPr>
        <w:spacing w:after="0" w:line="17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charge for any approved products.</w:t>
      </w:r>
    </w:p>
    <w:p>
      <w:pPr>
        <w:spacing w:after="0" w:line="230"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In March 2010, President Barack H. Obama signed into law the Patient Protection and Affordable Care Act, as amended by the Health Care and Education Reconciliation Act, or collectively the ACA. Among the provisions of the ACA of potential importance to our business and our product candidates are the following:</w:t>
      </w:r>
    </w:p>
    <w:p>
      <w:pPr>
        <w:spacing w:after="0" w:line="238" w:lineRule="exact"/>
        <w:rPr>
          <w:sz w:val="20"/>
          <w:szCs w:val="20"/>
          <w:color w:val="auto"/>
        </w:rPr>
      </w:pPr>
    </w:p>
    <w:p>
      <w:pPr>
        <w:ind w:left="880" w:hanging="359"/>
        <w:spacing w:after="0"/>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products and biologic agents;</w:t>
      </w:r>
    </w:p>
    <w:p>
      <w:pPr>
        <w:spacing w:after="0" w:line="290" w:lineRule="exact"/>
        <w:rPr>
          <w:rFonts w:ascii="Arial" w:cs="Arial" w:eastAsia="Arial" w:hAnsi="Arial"/>
          <w:sz w:val="17"/>
          <w:szCs w:val="17"/>
          <w:color w:val="auto"/>
        </w:rPr>
      </w:pPr>
    </w:p>
    <w:p>
      <w:pPr>
        <w:ind w:left="880" w:hanging="359"/>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79" w:lineRule="exact"/>
        <w:rPr>
          <w:rFonts w:ascii="Arial" w:cs="Arial" w:eastAsia="Arial" w:hAnsi="Arial"/>
          <w:sz w:val="18"/>
          <w:szCs w:val="18"/>
          <w:color w:val="auto"/>
        </w:rPr>
      </w:pPr>
    </w:p>
    <w:p>
      <w:pPr>
        <w:ind w:left="880" w:right="340" w:hanging="359"/>
        <w:spacing w:after="0" w:line="277"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224" w:lineRule="exact"/>
        <w:rPr>
          <w:rFonts w:ascii="Arial" w:cs="Arial" w:eastAsia="Arial" w:hAnsi="Arial"/>
          <w:sz w:val="18"/>
          <w:szCs w:val="18"/>
          <w:color w:val="auto"/>
        </w:rPr>
      </w:pPr>
    </w:p>
    <w:p>
      <w:pPr>
        <w:ind w:left="880" w:right="60" w:hanging="359"/>
        <w:spacing w:after="0" w:line="277"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70%, point-of-sale discounts off negotiated prices;</w:t>
      </w:r>
    </w:p>
    <w:p>
      <w:pPr>
        <w:spacing w:after="0" w:line="224" w:lineRule="exact"/>
        <w:rPr>
          <w:rFonts w:ascii="Arial" w:cs="Arial" w:eastAsia="Arial" w:hAnsi="Arial"/>
          <w:sz w:val="18"/>
          <w:szCs w:val="18"/>
          <w:color w:val="auto"/>
        </w:rPr>
      </w:pPr>
    </w:p>
    <w:p>
      <w:pPr>
        <w:ind w:left="880" w:hanging="359"/>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279" w:lineRule="exact"/>
        <w:rPr>
          <w:rFonts w:ascii="Arial" w:cs="Arial" w:eastAsia="Arial" w:hAnsi="Arial"/>
          <w:sz w:val="18"/>
          <w:szCs w:val="18"/>
          <w:color w:val="auto"/>
        </w:rPr>
      </w:pPr>
    </w:p>
    <w:p>
      <w:pPr>
        <w:ind w:left="880" w:hanging="359"/>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79" w:lineRule="exact"/>
        <w:rPr>
          <w:rFonts w:ascii="Arial" w:cs="Arial" w:eastAsia="Arial" w:hAnsi="Arial"/>
          <w:sz w:val="18"/>
          <w:szCs w:val="18"/>
          <w:color w:val="auto"/>
        </w:rPr>
      </w:pPr>
    </w:p>
    <w:p>
      <w:pPr>
        <w:ind w:left="880" w:hanging="359"/>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79" w:lineRule="exact"/>
        <w:rPr>
          <w:rFonts w:ascii="Arial" w:cs="Arial" w:eastAsia="Arial" w:hAnsi="Arial"/>
          <w:sz w:val="18"/>
          <w:szCs w:val="18"/>
          <w:color w:val="auto"/>
        </w:rPr>
      </w:pPr>
    </w:p>
    <w:p>
      <w:pPr>
        <w:ind w:left="880" w:hanging="359"/>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279" w:lineRule="exact"/>
        <w:rPr>
          <w:rFonts w:ascii="Arial" w:cs="Arial" w:eastAsia="Arial" w:hAnsi="Arial"/>
          <w:sz w:val="18"/>
          <w:szCs w:val="18"/>
          <w:color w:val="auto"/>
        </w:rPr>
      </w:pPr>
    </w:p>
    <w:p>
      <w:pPr>
        <w:ind w:left="880" w:hanging="359"/>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new requirement to annually report product samples that manufacturers and distributors provide to physicians; and</w:t>
      </w:r>
    </w:p>
    <w:p>
      <w:pPr>
        <w:spacing w:after="0" w:line="279" w:lineRule="exact"/>
        <w:rPr>
          <w:rFonts w:ascii="Arial" w:cs="Arial" w:eastAsia="Arial" w:hAnsi="Arial"/>
          <w:sz w:val="18"/>
          <w:szCs w:val="18"/>
          <w:color w:val="auto"/>
        </w:rPr>
      </w:pPr>
    </w:p>
    <w:p>
      <w:pPr>
        <w:ind w:left="880" w:right="120" w:hanging="359"/>
        <w:spacing w:after="0" w:line="277"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2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2025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23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Since enactment of the ACA, there have been numerous legal challenges and congressional actions to repeal and replace provisions of the law. For example, with enactment of the TCJA, Congress repealed the “individual mandate.” The repeal of this provision, which required most Americans to carry a minimal level of health insurance, became effective in 2019. According to the Congressional Budget Office, the repeal of the individual mandate will cause 13 million fewer Americans to</w:t>
      </w:r>
    </w:p>
    <w:p>
      <w:pPr>
        <w:sectPr>
          <w:pgSz w:w="11900" w:h="16838" w:orient="portrait"/>
          <w:cols w:equalWidth="0" w:num="1">
            <w:col w:w="11240"/>
          </w:cols>
          <w:pgMar w:left="320" w:top="125" w:right="33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40"/>
          </w:cols>
          <w:pgMar w:left="320" w:top="125" w:right="3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color w:val="auto"/>
        </w:rPr>
        <w:t>be insured in 2027 and premiums in insurance markets may rise. Further, the Bipartisan Budget Act of 2018,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Congress may consider other legislation to amend or replace elements of the ACA during the current congressional session.</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Trump Administration has also taken executive actions to undermine or delay implementation of the ACA, which has led to numerous legal challenges to the ACA and the Trump Administration's actions. Since January 2017, President Trump has signed at least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 second executive order terminated the cost-sharing subsidies that reimburse insurers under the ACA, which has led some states attorneys general and some insurers to sue the Trump Administration for such payments and a number of those lawsuits remain pending. Further, in June 2018, the U.S. Court of Appeals for the Federal Circuit ruled that the federal government was not required to pay more than $12 billion in ACA risk corridor payments to third-party payors who argued the payments were owed to them, a decision which the U.S. Supreme Court reversed on April 27, 2020. In addition, in October 2018 CMS promulgated regulations that would give states greater flexibility in setting benchmarks for insurers in the individual and small group marketplaces, which may have the effect of relaxing the essential health benefits required under the ACA for plans sold through such marketplaces. Additional executive actions or regulations may be forthcoming.</w:t>
      </w:r>
    </w:p>
    <w:p>
      <w:pPr>
        <w:spacing w:after="0" w:line="22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addition, in December 2018, a U.S. District Court in the Northern District of Texas ruled that the individual mandate portion of the ACA is an essential and inseverable feature of the ACA, and therefore because the mandate was repealed as part of the TCJA, the remaining provisions of the ACA are invalid as well. The Trump Administration and CMS have both stated that the ruling will have no immediate effect, and later in December 2018, the same court issued an order staying the judgment pending appeal. In December 2019, the U.S. Circuit Court of Appeals for the Fifth Circuit affirmed the lower court's ruling that the individual mandate portion of the ACA is unconstitutional and remanded the case to the district court for reconsideration of the severability question and additional analysis of the provisions of the ACA. In March 2020, the U.S. Supreme Court agreed to review this decision, which will likely be in its next term. Litigation and legislation over the ACA are likely to continue, with unpredictable and uncertain results.</w:t>
      </w:r>
    </w:p>
    <w:p>
      <w:pPr>
        <w:spacing w:after="0" w:line="220"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will continue to evaluate the effect that the ACA, its possible amendment or repeal and the actions of the Trump Administration in relation to the ACA could have on our business. It is possible that amendment or repeal initiatives, if enacted into law, could ultimately result in fewer individuals having health insurance coverage or in individuals having insurance coverage with less generous benefits.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 While the timing and scope of any potential future legislation to amend or repeal ACA provisions is highly uncertain in many respects, including the possibility that any such amendment or repeal is brought about by a court ruling rather than legislative action, it is also possible that some of the ACA provisions that generally are not favorable for the research-based pharmaceutical industry could also be amended or repealed.</w:t>
      </w:r>
    </w:p>
    <w:p>
      <w:pPr>
        <w:spacing w:after="0" w:line="23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costs of prescription pharmaceuticals in the United States has also been the subject of considerable discussion in the United States, and members of Congress and the Trump Administration have stated that they will address such costs through new legislative and administrative measures. In May 2018, the Trump Administration announced a plan that would include several initiatives designed to lower drug prices and additional similar proposals from HHS and CMS have followed. In September 2019, members of both houses of Congress unveiled separate bills aimed at controlling drug pricing. At the state level, individual states are increasingly passing legislation and implementing regulations designed to control pharmaceutical and biological product pricing and to increase the transparency of drug pricing. Additionally, third party payors, regional health care authorities and individual hospitals are increasingly using bidding procedures to determine what pharmaceutical products and which suppliers will be included in their prescription drug and other health care programs. We expect additional measures addressing pharmaceutical pricing to be proposed and may be adopted in the future, which could reduce the ultimate demand for our products, once approved, or put pressure on our product pricing. For example, in December 2019, the Trump Administration published proposed rules that, if finalized, would allow states or certain other non-federal government entities to submit importation program proposals to the FDA for review and approval. Applicants would be required to demonstrate their importation plans pose no additional risk to public health and safety and will result in significant cost savings for consumers. At the same time, the FDA issued draft guidance that would allow manufacturers to import their own FDA-approved drugs that are authorized for sale in other countries (multi-market approved products).</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In the European Union, similar political, economic and regulatory developments as those in the United States may affect our ability to profitably commercialize our products, if approved.</w:t>
      </w:r>
    </w:p>
    <w:p>
      <w:pPr>
        <w:spacing w:after="0" w:line="23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Finally, 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commercialization of our product candidates, if any, may be.</w:t>
      </w:r>
    </w:p>
    <w:p>
      <w:pPr>
        <w:spacing w:after="0" w:line="21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Our operations may be dependent on the normal function of the FDA, the SEC and other government agencies. The inability of those agencies to obtain necessary funding and other effects from the political process could prevent those agencies from performing normal functions on which the operation of our business may rely, which could negatively impact our business.</w:t>
      </w:r>
    </w:p>
    <w:p>
      <w:pPr>
        <w:spacing w:after="0" w:line="23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ability of the FDA to review and approve new product applications such as INDs, new drug applications and biologics license applications can be affected by a variety of factors, including government funding levels, ability to hire and retain key personnel and to accept the payment of user fees, and statutory, regulatory, and policy changes. Government funding of the FDA, the SEC and other government agencies on which our operations may rely is subject to the political process, which is inherently fluid and unpredictable. For example, over the last several years, the U.S. government has shut down several times and certain regulatory agencies, such as the FDA and the SEC, have had to furlough critical employees and stop critical activities. Additionally, the COVID-19 pandemic has caused many regulatory agencies, including the FDA, to reduce staff availability and operations. In addition, we may face impediments to scheduling or conducting regulatory meetings and approvals due to measures intended to limit in-person interactions. If a prolonged government restriction or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 In addition, the Trump Administration has taken several executive actions, including the issuance of a number of executive orders, that could affect federal agencies, including the FDA. Those executive actions, some of which are still being implemented, may impose significant burdens on, or otherwise materially delay, the FDA’s ability to engage in routine regulatory and oversight activities, which could negatively impact our business.</w:t>
      </w:r>
    </w:p>
    <w:p>
      <w:pPr>
        <w:spacing w:after="0" w:line="22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224" w:lineRule="exact"/>
        <w:rPr>
          <w:sz w:val="20"/>
          <w:szCs w:val="20"/>
          <w:color w:val="auto"/>
        </w:rPr>
      </w:pPr>
    </w:p>
    <w:p>
      <w:pPr>
        <w:ind w:right="260" w:firstLine="648"/>
        <w:spacing w:after="0" w:line="270" w:lineRule="auto"/>
        <w:rPr>
          <w:sz w:val="20"/>
          <w:szCs w:val="20"/>
          <w:color w:val="auto"/>
        </w:rPr>
      </w:pPr>
      <w:r>
        <w:rPr>
          <w:rFonts w:ascii="Arial" w:cs="Arial" w:eastAsia="Arial" w:hAnsi="Arial"/>
          <w:sz w:val="17"/>
          <w:szCs w:val="17"/>
          <w:color w:val="auto"/>
        </w:rPr>
        <w:t>We are subject to the U.S. Foreign Corrupt Practices Act of 1977, as amended, or the FCPA, the U.S. domestic bribery statute contained in 18 U.S.C. § 201, the U.S. International Travel Act of 1961,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may have direct or indirect interactions with officials and employees of government agencies or government-affiliated hospitals, universities, and other organizations.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23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320" w:top="125" w:right="3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or our third-party manufacturers fail to comply with environmental, health and safety laws and regulations, we could become subject to fines or penalties or incur costs that could harm our business.</w:t>
      </w:r>
    </w:p>
    <w:p>
      <w:pPr>
        <w:spacing w:after="0" w:line="224"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We and our third-party manufacturers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produce hazardous waste products. We cannot eliminate the risk of contamination or injury from these materials. In the event of contamination or injury resulting from our use of hazardous materials, we could be held liable for any resulting damages, and any liability could exceed our resources and any coverage provided by our insurance. We also could incur significant costs associated with civil or criminal fines and penalties for failure to comply with such laws and regulations.</w:t>
      </w:r>
    </w:p>
    <w:p>
      <w:pPr>
        <w:spacing w:after="0" w:line="21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w:t>
      </w:r>
    </w:p>
    <w:p>
      <w:pPr>
        <w:spacing w:after="0" w:line="23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3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 candidates or products, we could be held liable for any resulting damages, suffer reputational harm or experience a disruption in the manufacture and supply of our product candidates or products.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Operations</w:t>
      </w:r>
    </w:p>
    <w:p>
      <w:pPr>
        <w:spacing w:after="0" w:line="28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are a development-stage company with a limited number of employees to oversee our research and development programs and general and administrative functions. We may experience difficulties in recruiting necessary personnel, especially in building our gene therapy capabilities, and in retaining key employees and consultants.</w:t>
      </w:r>
    </w:p>
    <w:p>
      <w:pPr>
        <w:spacing w:after="0" w:line="23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a development-stage company with a total of 44 full-time employees as of May 1, 2020. These employees support key areas of our business and operations, including clinical operations, regulatory affairs, drug safety, data management, medical affairs, scientific research, outsourced manufacturing and supply chain management, analytical development and quality assurance, as well as all of our general and administrative functions and public company infrastructure.</w:t>
      </w:r>
    </w:p>
    <w:p>
      <w:pPr>
        <w:spacing w:after="0" w:line="24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remain highly dependent on David R. Guyer, M.D., our executive chairman, and Glenn P. Sblendorio, our chief executive officer and president, as well as the other principal members of our management, scientific and clinical teams. We do not maintain “key person” insurance for any of our executives or other employees. Although we have entered into letter agreements with our executive officers, each of them and our non-executive employees may terminate their employment with us at any time. As a result, key employees whom we expect to retain to assist with the growth of our business may choose not to remain employees. Additionally, because of our size, we have only a small number of employees supporting some of the key areas of our business and operations. If any of those employees were to leave our company or become unavailable due to the COVID-19 pandemic or other reasons, the loss of their services could seriously disrupt our ability to carry on our operations as planned and seriously harm our ability to successfully implement our business plan.</w:t>
      </w:r>
    </w:p>
    <w:p>
      <w:pPr>
        <w:spacing w:after="0" w:line="246"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Furthermore, replacing any of our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if at all, given the competition among numerous pharmaceutical and biotechnology companies for similar personnel, including, in particular, personnel with gene therapy experience. In preparation for our ISEE2008 trial and future development and potential commercialization of Zimura, we expect we will need to hire additional clinical operations, manufacturing, medical, regulatory and other personnel from this limited pool. We also experience competition for the hiring of scientific and clinical personnel from universities and research institutions. The COVID-19 pandemic has made interviewing and hiring qualified candidates more difficult.</w:t>
      </w:r>
    </w:p>
    <w:p>
      <w:pPr>
        <w:spacing w:after="0" w:line="23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addition to our employees, we rely on consultants and advisors, including scientific and clinical advisors, to assist us in formulating our research and development, pipeline expansion and commercialization strategies. Our consultants and advisors may be employed by employers other than us and may have commitments under consulting or advisory contracts with</w:t>
      </w: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40"/>
          </w:cols>
          <w:pgMar w:left="320" w:top="125" w:right="3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other entities that may limit their availability to us. Many consultants and advisors, especially those with gene therapy experience, are high demand and we may not be able to obtain or retain their services for any number of reasons, which could limit our ability to pursue our strategy.</w:t>
      </w:r>
    </w:p>
    <w:p>
      <w:pPr>
        <w:spacing w:after="0" w:line="20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As a result of the COVID-19 pandemic, our entire company has been working remotely since March 2020 and we expect to continue working remotely in the near future. Our ability to work remotely and transition effectively to working in our offices may affect our operations and the success of our company going forward.</w:t>
      </w:r>
    </w:p>
    <w:p>
      <w:pPr>
        <w:spacing w:after="0" w:line="23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the middle of March 2020, we instituted a company-wide working from home policy, which has remained in effect. Our working from home policy may negatively impact productivity or disrupt our business, the magnitude of which will depend, in part, on the length of this remote working arrangement and other limitations on our ability to conduct our business in the ordinary course. We expect to work from home in the near future and will closely follow the guidance from federal and state authorities, including the Centers for Disease Control and Prevention, the New York State Department of Health and the New Jersey Department of Health, in deciding when to transition back to working in our offices. We expect the transition to occur in stages. When we transition back to working at company sites, there may be an increased risk to our employees and contractors, including as a result of a second or subsequent wave of the COVID-19 pandemic. Because of our small size and the importance of our employees and contractors to the success of our company, their exposure to the COVID-19 pandemic may adversely affect our ability to carry on our operations.</w:t>
      </w:r>
    </w:p>
    <w:p>
      <w:pPr>
        <w:spacing w:after="0" w:line="23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effective internal control over financial reporting, our ability to accurately report our financial results could be adversely affected.</w:t>
      </w:r>
    </w:p>
    <w:p>
      <w:pPr>
        <w:spacing w:after="0" w:line="22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company’s annual or interim financial statements would not be prevented or detected on a timely basis. If any material weakness in our internal control over financial reporting is discovered or occurs in the future, our financial statements may contain material misstatements and we could be required to restate our financial results. As previously disclosed, in 2015 our management concluded that we experienced a material weakness in internal controls that required us to restate the relevant financial statements and we took steps that year to address the deficiency and prevent similar deficiencies in the future. Although we have remediated this deficiency in internal control over financial reporting, we cannot be certain that the remedial measures that we took in the past or other measures we take in the future, especially in light of the decrease in staffing in our accounting and finance areas following our reduction in force during 2017, will ensure that we maintain adequate controls over our financial reporting going forward and, accordingly, additional material weaknesses could occur or be identified. The COVID-19 pandemic may also affect the effectiveness of our internal controls. Any additional material weaknesses or combination of deficiencies could materially and adversely affect our ability to provide timely and accurate financial information, and any future deficiencies may impact investors’ confidence in our internal controls and our company, which could cause our stock price to decline.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members of our board of directors and management.</w:t>
      </w:r>
    </w:p>
    <w:p>
      <w:pPr>
        <w:spacing w:after="0" w:line="154"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32"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for a classified board of directors such that only one of three classes of directors is elected each year;</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279"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for advance notice requirements for stockholder proposals that can be acted on at stockholder meetings and nominations to our board of directors;</w:t>
      </w:r>
    </w:p>
    <w:p>
      <w:pPr>
        <w:spacing w:after="0" w:line="224"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ectPr>
          <w:pgSz w:w="11900" w:h="16838" w:orient="portrait"/>
          <w:cols w:equalWidth="0" w:num="1">
            <w:col w:w="11240"/>
          </w:cols>
          <w:pgMar w:left="320" w:top="125"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40"/>
          </w:cols>
          <w:pgMar w:left="320" w:top="125" w:right="3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79" w:lineRule="exact"/>
        <w:rPr>
          <w:rFonts w:ascii="Arial" w:cs="Arial" w:eastAsia="Arial" w:hAnsi="Arial"/>
          <w:sz w:val="18"/>
          <w:szCs w:val="18"/>
          <w:color w:val="auto"/>
        </w:rPr>
      </w:pPr>
    </w:p>
    <w:p>
      <w:pPr>
        <w:ind w:left="980" w:right="260" w:hanging="324"/>
        <w:spacing w:after="0" w:line="263"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37"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2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stockholders.</w:t>
      </w:r>
    </w:p>
    <w:p>
      <w:pPr>
        <w:spacing w:after="0" w:line="29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stock price may be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As a result of this volatility, our stockholders may not be able to sell their shares of common stock at or above the price at which they purchased their shares. The market price for our common stock may be influenced by many factors, including:</w:t>
      </w:r>
    </w:p>
    <w:p>
      <w:pPr>
        <w:spacing w:after="0" w:line="242" w:lineRule="exact"/>
        <w:rPr>
          <w:sz w:val="20"/>
          <w:szCs w:val="20"/>
          <w:color w:val="auto"/>
        </w:rPr>
      </w:pPr>
    </w:p>
    <w:p>
      <w:pPr>
        <w:ind w:left="980" w:right="56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results of research, preclinical development activities and clinical trials for our product candidates and the timing of the receipt of such results;</w:t>
      </w:r>
    </w:p>
    <w:p>
      <w:pPr>
        <w:spacing w:after="0" w:line="224"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success of products or technologies that compete with our product candidates, including results of clinical trials of product candidates of our competitors;</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results of our efforts to in-license or acquire the rights to other product candidates and technologies for the treatment of retinal diseases;</w:t>
      </w:r>
    </w:p>
    <w:p>
      <w:pPr>
        <w:spacing w:after="0" w:line="302" w:lineRule="exact"/>
        <w:rPr>
          <w:rFonts w:ascii="Arial" w:cs="Arial" w:eastAsia="Arial" w:hAnsi="Arial"/>
          <w:sz w:val="16"/>
          <w:szCs w:val="16"/>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development programs;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90" w:lineRule="exact"/>
        <w:rPr>
          <w:rFonts w:ascii="Arial" w:cs="Arial" w:eastAsia="Arial" w:hAnsi="Arial"/>
          <w:sz w:val="17"/>
          <w:szCs w:val="17"/>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economic, industry and market conditions, such as those caused by the COVID-19 pandemic;</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political, regulatory or legal developments in the United States and other countries;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44" w:lineRule="exact"/>
        <w:rPr>
          <w:sz w:val="20"/>
          <w:szCs w:val="20"/>
          <w:color w:val="auto"/>
        </w:rPr>
      </w:pPr>
    </w:p>
    <w:p>
      <w:pPr>
        <w:ind w:right="2120" w:firstLine="648"/>
        <w:spacing w:after="0" w:line="258" w:lineRule="auto"/>
        <w:rPr>
          <w:sz w:val="20"/>
          <w:szCs w:val="20"/>
          <w:color w:val="auto"/>
        </w:rPr>
      </w:pPr>
      <w:r>
        <w:rPr>
          <w:rFonts w:ascii="Arial" w:cs="Arial" w:eastAsia="Arial" w:hAnsi="Arial"/>
          <w:sz w:val="18"/>
          <w:szCs w:val="18"/>
          <w:color w:val="auto"/>
        </w:rPr>
        <w:t>In addition, the COVID-19 pandemic has caused significant disruptions in the financial markets, and may continue to cause such disruptions, and has also impacted, and may continue to</w:t>
      </w:r>
    </w:p>
    <w:p>
      <w:pPr>
        <w:spacing w:after="0" w:line="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impact, the volatility of our stock price and trading in our stock. Following periods of volatility in the market price of a company’s stock, securities class-action litigation has often been instituted against that company. For example, we and certain of our current and former executive officers have been named as defendants in a purported class action lawsuit and a related shareholder derivative action following our announcement in December 2016 of the initial, top-line results from the first two of our Phase 3 Fovista trials for the treatment of wet AMD. See Part II, Item 1 of this Quarterly Report on Form 10-Q and in this "Risk Factors" section, “</w:t>
      </w:r>
      <w:r>
        <w:rPr>
          <w:rFonts w:ascii="Arial" w:cs="Arial" w:eastAsia="Arial" w:hAnsi="Arial"/>
          <w:sz w:val="17"/>
          <w:szCs w:val="17"/>
          <w:i w:val="1"/>
          <w:iCs w:val="1"/>
          <w:color w:val="auto"/>
        </w:rPr>
        <w:t>Risks Related to Our Business Plan, Financial Position and Need for Additional Capital—We and certain of our current</w:t>
      </w:r>
      <w:r>
        <w:rPr>
          <w:rFonts w:ascii="Arial" w:cs="Arial" w:eastAsia="Arial" w:hAnsi="Arial"/>
          <w:sz w:val="17"/>
          <w:szCs w:val="17"/>
          <w:color w:val="auto"/>
        </w:rPr>
        <w:t xml:space="preserve"> </w:t>
      </w:r>
      <w:r>
        <w:rPr>
          <w:rFonts w:ascii="Arial" w:cs="Arial" w:eastAsia="Arial" w:hAnsi="Arial"/>
          <w:sz w:val="17"/>
          <w:szCs w:val="17"/>
          <w:i w:val="1"/>
          <w:iCs w:val="1"/>
          <w:color w:val="auto"/>
        </w:rPr>
        <w:t>and former executive officers have been named as defendants in lawsuits that could result in substantial costs and divert management’s attention</w:t>
      </w:r>
      <w:r>
        <w:rPr>
          <w:rFonts w:ascii="Arial" w:cs="Arial" w:eastAsia="Arial" w:hAnsi="Arial"/>
          <w:sz w:val="17"/>
          <w:szCs w:val="17"/>
          <w:color w:val="auto"/>
        </w:rPr>
        <w:t>.” These</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proceedings and other similar litigation, if instituted against us, could cause</w:t>
      </w:r>
    </w:p>
    <w:p>
      <w:pPr>
        <w:sectPr>
          <w:pgSz w:w="11900" w:h="16838" w:orient="portrait"/>
          <w:cols w:equalWidth="0" w:num="1">
            <w:col w:w="11240"/>
          </w:cols>
          <w:pgMar w:left="320" w:top="125"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240"/>
          </w:cols>
          <w:pgMar w:left="320" w:top="125" w:right="3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us to incur substantial costs to defend such claims and divert management’s attention and resources, which could seriously harm our business.</w:t>
      </w:r>
    </w:p>
    <w:p>
      <w:pPr>
        <w:spacing w:after="0" w:line="1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22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For example, we issued 5,174,727 shares of our common stock to the former equityholders of Inception 4 as upfront consideration for our acquisition of Inception 4. These shares were subject to lock-up restrictions, which expired at the end of April 2019 with respect to 50% of such shares and at the end of October 2019 with respect to the remaining 50% of such shares, following which such shares may be freely sold and traded pursuant to a registration statement on Form S-3 (File No. 333-229978) that was declared effective by the Securities and Exchange Commission on April 25, 2019. If the holders of these shares sell, or the market perceives that these holders will sell, the shares currently held by them, the price of our common stock may decline.</w:t>
      </w:r>
    </w:p>
    <w:p>
      <w:pPr>
        <w:spacing w:after="0" w:line="22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Moreover, we have filed, and expect to continue to file, registration statements on Form S-8 registering all shares of common stock that we may issue under our equity compensation plans. Once registered on Form S-8, shares underlying these equity awards can be freely sold in the public market upon issuance, subject to volume, notice and manner of sale limitations applicable to affiliates.</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ownership percentage of our stockholders may be diluted in the future, which could dilute the voting power or reduce the value of our outstanding shares of common stock.</w:t>
      </w:r>
    </w:p>
    <w:p>
      <w:pPr>
        <w:spacing w:after="0" w:line="30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with any publicly traded company, the ownership percentage of our stockholders may be diluted in the future because of equity issuances for acquisitions, capital markets transactions, business development transactions or otherwise, including equity awards that we intend to continue to grant to our directors, officers and employees pursuant to our equity compensation plans. Our employees are also entitled, subject to certain conditions, to purchase our ordinary shares at a discount pursuant to our Employee Stock Purchase Plan.</w:t>
      </w:r>
    </w:p>
    <w:p>
      <w:pPr>
        <w:spacing w:after="0" w:line="241"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In addition, the warrants that we issued in connection with our December 2019 public offering are exercisable at any time, and any exercise of such warrants will increase the number of shares of our outstanding common stock, which may dilute the ownership percentage or voting power of our stockholders.</w:t>
      </w:r>
    </w:p>
    <w:p>
      <w:pPr>
        <w:spacing w:after="0" w:line="103"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Also, our certificate of incorporation authorizes us to issue, without the approval of our shareholders, one or more classes or series of preferred stock having such designation, powers, preferences and relative, participating, optional and other special rights, including preferences over our common stock with respect to dividends and distributions, as our board of directors generally may determine. The terms of one or more classes or series of preferred stock could dilute the voting power or reduce the value of our ordinary shares. Similarly, the repurchase or redemption rights or liquidation preferences we could assign to holders of preferred stock could affect the residual value of our common stock.</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more information about the dilutive effects of financing or business development transactions we may undertake, see the risk factor above,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Raising additional capital may cause dilution to our stockholders, restrict our operations or require us to relinquish rights to our technologies or product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candidates</w:t>
      </w:r>
      <w:r>
        <w:rPr>
          <w:rFonts w:ascii="Arial" w:cs="Arial" w:eastAsia="Arial" w:hAnsi="Arial"/>
          <w:sz w:val="18"/>
          <w:szCs w:val="18"/>
          <w:color w:val="auto"/>
        </w:rPr>
        <w:t>."</w:t>
      </w:r>
    </w:p>
    <w:p>
      <w:pPr>
        <w:spacing w:after="0" w:line="13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22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a public company, we incur and will continue to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246"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Pursuant to Section 404 of the Sarbanes-Oxley Act of 2002, or Section 404, we are required to furnish with our periodic Exchange Act reports a report by our management on our internal control over financial reporting. We are also required to include with our annual report an attestation report on internal control over financial reporting issued by our independent registered public accounting firm. To achieve compliance with Section 404, we must document and evaluate our internal control over financial reporting, which is both costly and challenging. In this regard, we will need to continue to dedicate internal resources and engage outside consultants to assess and document the adequacy of internal control over</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80"/>
          </w:cols>
          <w:pgMar w:left="320" w:top="125" w:right="3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financial reporting, continue steps to improve control processes as appropriate, validate through testing that controls are functioning as documented and implement a continuous reporting and improvement process for internal control over financial reporting. There is a risk that our internal control over financial reporting may, in the future, be found to be ineffective under Section 404. Our identification of one or more material weaknesses could result in an adverse reaction in the financial markets due to a loss of confidence in the reliability of our financial statements.</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224"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of our business. In addition, the terms of any future debt agreements that we enter into may preclude us from paying dividends. As a result, capital appreciation, if any, of our common stock will be our stockholders’ sole source of gain for the foreseeable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sell any unregistered equity securities during the period covered by this Quarterly Report on Form 10-Q.</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purchase any of our registered equity securities during the period covered by this Quarterly Report on Form 10-Q.</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exhibits filed as part of this Quarterly Report on Form 10-Q are set forth on the Exhibit Index, which is incorporated herein by reference.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8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 financial statement schedules have been filed as part of this Quarterly Report on Form 10-Q because they are not applicable, not required or because the information is otherwise included in our financial statements or notes thereto.</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jc w:val="right"/>
              <w:ind w:right="292"/>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320" w:type="dxa"/>
            <w:vAlign w:val="bottom"/>
            <w:gridSpan w:val="10"/>
            <w:vMerge w:val="restart"/>
          </w:tcPr>
          <w:p>
            <w:pPr>
              <w:ind w:left="27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32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40" w:type="dxa"/>
            <w:vAlign w:val="bottom"/>
          </w:tcPr>
          <w:p>
            <w:pPr>
              <w:jc w:val="right"/>
              <w:spacing w:after="0" w:line="202" w:lineRule="exact"/>
              <w:rPr>
                <w:rFonts w:ascii="Arial" w:cs="Arial" w:eastAsia="Arial" w:hAnsi="Arial"/>
                <w:sz w:val="18"/>
                <w:szCs w:val="18"/>
                <w:u w:val="single" w:color="auto"/>
                <w:color w:val="0000FF"/>
              </w:rPr>
            </w:pPr>
            <w:hyperlink r:id="rId15">
              <w:r>
                <w:rPr>
                  <w:rFonts w:ascii="Arial" w:cs="Arial" w:eastAsia="Arial" w:hAnsi="Arial"/>
                  <w:sz w:val="18"/>
                  <w:szCs w:val="18"/>
                  <w:u w:val="single" w:color="auto"/>
                  <w:color w:val="0000FF"/>
                </w:rPr>
                <w:t>3.1</w:t>
              </w:r>
            </w:hyperlink>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13"/>
          </w:tcPr>
          <w:p>
            <w:pPr>
              <w:spacing w:after="0" w:line="202" w:lineRule="exact"/>
              <w:rPr>
                <w:rFonts w:ascii="Arial" w:cs="Arial" w:eastAsia="Arial" w:hAnsi="Arial"/>
                <w:sz w:val="18"/>
                <w:szCs w:val="18"/>
                <w:color w:val="0000FF"/>
              </w:rPr>
            </w:pPr>
            <w:hyperlink r:id="rId15">
              <w:r>
                <w:rPr>
                  <w:rFonts w:ascii="Arial" w:cs="Arial" w:eastAsia="Arial" w:hAnsi="Arial"/>
                  <w:sz w:val="18"/>
                  <w:szCs w:val="18"/>
                  <w:color w:val="0000FF"/>
                </w:rPr>
                <w:t>Restated Certificate of Incorporation of the Registrant (incorporated by reference to Exhibit 3.3 to Amendment No. 2 of the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2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6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Registrant's Registration Statement on Form S-1 (File No. 333-190643) filed with the Securities and Exchange Commission on</w:t>
              </w:r>
            </w:hyperlink>
          </w:p>
        </w:tc>
        <w:tc>
          <w:tcPr>
            <w:tcW w:w="5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13"/>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September 9, 2013)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jc w:val="right"/>
              <w:spacing w:after="0"/>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3.2</w:t>
              </w:r>
            </w:hyperlink>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60" w:type="dxa"/>
            <w:vAlign w:val="bottom"/>
            <w:tcBorders>
              <w:bottom w:val="single" w:sz="8" w:color="0000FF"/>
            </w:tcBorders>
            <w:gridSpan w:val="10"/>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Certificate of Amendment to Restated Certificate of Incorporation of the Registrant (incorporated by reference to Exhibit 3.1 of the</w:t>
              </w:r>
            </w:hyperlink>
          </w:p>
        </w:tc>
        <w:tc>
          <w:tcPr>
            <w:tcW w:w="2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13"/>
          </w:tcPr>
          <w:p>
            <w:pPr>
              <w:spacing w:after="0"/>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Registrant's Current Report on Form 8-K filed with the Securities and Exchange Commission on April 16, 2019)</w:t>
              </w:r>
            </w:hyperlink>
          </w:p>
        </w:tc>
        <w:tc>
          <w:tcPr>
            <w:tcW w:w="0" w:type="dxa"/>
            <w:vAlign w:val="bottom"/>
          </w:tcPr>
          <w:p>
            <w:pPr>
              <w:spacing w:after="0"/>
              <w:rPr>
                <w:sz w:val="1"/>
                <w:szCs w:val="1"/>
                <w:color w:val="auto"/>
              </w:rPr>
            </w:pPr>
          </w:p>
        </w:tc>
      </w:tr>
      <w:tr>
        <w:trPr>
          <w:trHeight w:val="229"/>
        </w:trPr>
        <w:tc>
          <w:tcPr>
            <w:tcW w:w="1240" w:type="dxa"/>
            <w:vAlign w:val="bottom"/>
          </w:tcPr>
          <w:p>
            <w:pPr>
              <w:jc w:val="right"/>
              <w:spacing w:after="0"/>
              <w:rPr>
                <w:rFonts w:ascii="Arial" w:cs="Arial" w:eastAsia="Arial" w:hAnsi="Arial"/>
                <w:sz w:val="18"/>
                <w:szCs w:val="18"/>
                <w:u w:val="single" w:color="auto"/>
                <w:color w:val="0000FF"/>
              </w:rPr>
            </w:pPr>
            <w:hyperlink r:id="rId17">
              <w:r>
                <w:rPr>
                  <w:rFonts w:ascii="Arial" w:cs="Arial" w:eastAsia="Arial" w:hAnsi="Arial"/>
                  <w:sz w:val="18"/>
                  <w:szCs w:val="18"/>
                  <w:u w:val="single" w:color="auto"/>
                  <w:color w:val="0000FF"/>
                </w:rPr>
                <w:t>3.3</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0" w:type="dxa"/>
            <w:vAlign w:val="bottom"/>
            <w:tcBorders>
              <w:bottom w:val="single" w:sz="8" w:color="0000FF"/>
            </w:tcBorders>
            <w:gridSpan w:val="9"/>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Amended and Restated Bylaws of the Registrant (incorporated by reference to Exhibit 3.4 to Amendment No. 2 of the Registrant's</w:t>
              </w:r>
            </w:hyperlink>
          </w:p>
        </w:tc>
        <w:tc>
          <w:tcPr>
            <w:tcW w:w="3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13"/>
          </w:tcPr>
          <w:p>
            <w:pPr>
              <w:spacing w:after="0" w:line="196" w:lineRule="exact"/>
              <w:rPr>
                <w:rFonts w:ascii="Arial" w:cs="Arial" w:eastAsia="Arial" w:hAnsi="Arial"/>
                <w:sz w:val="18"/>
                <w:szCs w:val="18"/>
                <w:color w:val="0000FF"/>
                <w:w w:val="95"/>
              </w:rPr>
            </w:pPr>
            <w:hyperlink r:id="rId17">
              <w:r>
                <w:rPr>
                  <w:rFonts w:ascii="Arial" w:cs="Arial" w:eastAsia="Arial" w:hAnsi="Arial"/>
                  <w:sz w:val="18"/>
                  <w:szCs w:val="18"/>
                  <w:color w:val="0000FF"/>
                  <w:w w:val="95"/>
                </w:rPr>
                <w:t>Registration Statement on Form S-1 (File No. 333-190643) filed with the Securities and Exchange Commission on September 9,</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17">
              <w:r>
                <w:rPr>
                  <w:rFonts w:ascii="Arial" w:cs="Arial" w:eastAsia="Arial" w:hAnsi="Arial"/>
                  <w:sz w:val="18"/>
                  <w:szCs w:val="18"/>
                  <w:color w:val="0000FF"/>
                  <w:w w:val="86"/>
                </w:rPr>
                <w:t>2013)</w:t>
              </w:r>
            </w:hyperlink>
          </w:p>
        </w:tc>
        <w:tc>
          <w:tcPr>
            <w:tcW w:w="14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5220" w:type="dxa"/>
            <w:vAlign w:val="bottom"/>
            <w:tcBorders>
              <w:top w:val="single" w:sz="8" w:color="0000FF"/>
            </w:tcBorders>
          </w:tcPr>
          <w:p>
            <w:pPr>
              <w:spacing w:after="0"/>
              <w:rPr>
                <w:sz w:val="17"/>
                <w:szCs w:val="17"/>
                <w:color w:val="auto"/>
              </w:rPr>
            </w:pPr>
          </w:p>
        </w:tc>
        <w:tc>
          <w:tcPr>
            <w:tcW w:w="22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240" w:type="dxa"/>
            <w:vAlign w:val="bottom"/>
          </w:tcPr>
          <w:p>
            <w:pPr>
              <w:jc w:val="right"/>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10.1</w:t>
              </w:r>
            </w:hyperlink>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3"/>
          </w:tcPr>
          <w:p>
            <w:pPr>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Amendment No. 1 to 2019 Inducement Stock Incentive Plan of the Registrant</w:t>
              </w:r>
            </w:hyperlink>
          </w:p>
        </w:tc>
        <w:tc>
          <w:tcPr>
            <w:tcW w:w="0" w:type="dxa"/>
            <w:vAlign w:val="bottom"/>
          </w:tcPr>
          <w:p>
            <w:pPr>
              <w:spacing w:after="0"/>
              <w:rPr>
                <w:sz w:val="1"/>
                <w:szCs w:val="1"/>
                <w:color w:val="auto"/>
              </w:rPr>
            </w:pPr>
          </w:p>
        </w:tc>
      </w:tr>
      <w:tr>
        <w:trPr>
          <w:trHeight w:val="229"/>
        </w:trPr>
        <w:tc>
          <w:tcPr>
            <w:tcW w:w="1240" w:type="dxa"/>
            <w:vAlign w:val="bottom"/>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10.2</w:t>
              </w:r>
            </w:hyperlink>
          </w:p>
        </w:tc>
        <w:tc>
          <w:tcPr>
            <w:tcW w:w="10000" w:type="dxa"/>
            <w:vAlign w:val="bottom"/>
            <w:gridSpan w:val="15"/>
          </w:tcPr>
          <w:p>
            <w:pPr>
              <w:ind w:left="4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w:anchor="page92">
              <w:r>
                <w:rPr>
                  <w:rFonts w:ascii="Arial" w:cs="Arial" w:eastAsia="Arial" w:hAnsi="Arial"/>
                  <w:sz w:val="18"/>
                  <w:szCs w:val="18"/>
                  <w:color w:val="0000FF"/>
                  <w:w w:val="97"/>
                </w:rPr>
                <w:t>Amendment No. 1 to Exclusive License Agreement with Know-How, by and among Trustees of the University of Pennsylvania,</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w:anchor="page92">
              <w:r>
                <w:rPr>
                  <w:rFonts w:ascii="Arial" w:cs="Arial" w:eastAsia="Arial" w:hAnsi="Arial"/>
                  <w:sz w:val="18"/>
                  <w:szCs w:val="18"/>
                  <w:color w:val="0000FF"/>
                  <w:w w:val="90"/>
                </w:rPr>
                <w:t>University of Florida Research Foundation, Incorporated and Registrant, dated May 1, 2020</w:t>
              </w:r>
            </w:hyperlink>
          </w:p>
        </w:tc>
        <w:tc>
          <w:tcPr>
            <w:tcW w:w="2600" w:type="dxa"/>
            <w:vAlign w:val="bottom"/>
            <w:tcBorders>
              <w:top w:val="single" w:sz="8" w:color="0000FF"/>
            </w:tcBorders>
            <w:gridSpan w:val="3"/>
          </w:tcPr>
          <w:p>
            <w:pPr>
              <w:spacing w:after="0"/>
              <w:rPr>
                <w:sz w:val="17"/>
                <w:szCs w:val="17"/>
                <w:color w:val="auto"/>
              </w:rPr>
            </w:pPr>
          </w:p>
        </w:tc>
        <w:tc>
          <w:tcPr>
            <w:tcW w:w="5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240" w:type="dxa"/>
            <w:vAlign w:val="bottom"/>
          </w:tcPr>
          <w:p>
            <w:pPr>
              <w:jc w:val="right"/>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10.3</w:t>
              </w:r>
            </w:hyperlink>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3"/>
          </w:tcPr>
          <w:p>
            <w:pPr>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Letter agreement between One Penn Plaza LLC and Registrant, dated April 6, 2020</w:t>
              </w:r>
            </w:hyperlink>
          </w:p>
        </w:tc>
        <w:tc>
          <w:tcPr>
            <w:tcW w:w="0" w:type="dxa"/>
            <w:vAlign w:val="bottom"/>
          </w:tcPr>
          <w:p>
            <w:pPr>
              <w:spacing w:after="0"/>
              <w:rPr>
                <w:sz w:val="1"/>
                <w:szCs w:val="1"/>
                <w:color w:val="auto"/>
              </w:rPr>
            </w:pPr>
          </w:p>
        </w:tc>
      </w:tr>
      <w:tr>
        <w:trPr>
          <w:trHeight w:val="270"/>
        </w:trPr>
        <w:tc>
          <w:tcPr>
            <w:tcW w:w="1240" w:type="dxa"/>
            <w:vAlign w:val="bottom"/>
          </w:tcPr>
          <w:p>
            <w:pPr>
              <w:jc w:val="right"/>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31.1</w:t>
              </w:r>
            </w:hyperlink>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gridSpan w:val="13"/>
          </w:tcPr>
          <w:p>
            <w:pPr>
              <w:spacing w:after="0"/>
              <w:rPr>
                <w:rFonts w:ascii="Arial" w:cs="Arial" w:eastAsia="Arial" w:hAnsi="Arial"/>
                <w:sz w:val="18"/>
                <w:szCs w:val="18"/>
                <w:u w:val="single" w:color="auto"/>
                <w:color w:val="0000FF"/>
                <w:w w:val="92"/>
              </w:rPr>
            </w:pPr>
            <w:hyperlink w:anchor="page99">
              <w:r>
                <w:rPr>
                  <w:rFonts w:ascii="Arial" w:cs="Arial" w:eastAsia="Arial" w:hAnsi="Arial"/>
                  <w:sz w:val="18"/>
                  <w:szCs w:val="18"/>
                  <w:u w:val="single" w:color="auto"/>
                  <w:color w:val="0000FF"/>
                  <w:w w:val="92"/>
                </w:rPr>
                <w:t>Certification of principal executive officer pursuant to Rule 13a-14(a)/15d-14(a) of the Securities Exchange Act of 1934, as amended</w:t>
              </w:r>
            </w:hyperlink>
          </w:p>
        </w:tc>
        <w:tc>
          <w:tcPr>
            <w:tcW w:w="0" w:type="dxa"/>
            <w:vAlign w:val="bottom"/>
          </w:tcPr>
          <w:p>
            <w:pPr>
              <w:spacing w:after="0"/>
              <w:rPr>
                <w:sz w:val="1"/>
                <w:szCs w:val="1"/>
                <w:color w:val="auto"/>
              </w:rPr>
            </w:pPr>
          </w:p>
        </w:tc>
      </w:tr>
      <w:tr>
        <w:trPr>
          <w:trHeight w:val="270"/>
        </w:trPr>
        <w:tc>
          <w:tcPr>
            <w:tcW w:w="1240" w:type="dxa"/>
            <w:vAlign w:val="bottom"/>
          </w:tcPr>
          <w:p>
            <w:pPr>
              <w:jc w:val="right"/>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31.2</w:t>
              </w:r>
            </w:hyperlink>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gridSpan w:val="13"/>
          </w:tcPr>
          <w:p>
            <w:pPr>
              <w:spacing w:after="0"/>
              <w:rPr>
                <w:rFonts w:ascii="Arial" w:cs="Arial" w:eastAsia="Arial" w:hAnsi="Arial"/>
                <w:sz w:val="18"/>
                <w:szCs w:val="18"/>
                <w:u w:val="single" w:color="auto"/>
                <w:color w:val="0000FF"/>
                <w:w w:val="93"/>
              </w:rPr>
            </w:pPr>
            <w:hyperlink w:anchor="page100">
              <w:r>
                <w:rPr>
                  <w:rFonts w:ascii="Arial" w:cs="Arial" w:eastAsia="Arial" w:hAnsi="Arial"/>
                  <w:sz w:val="18"/>
                  <w:szCs w:val="18"/>
                  <w:u w:val="single" w:color="auto"/>
                  <w:color w:val="0000FF"/>
                  <w:w w:val="93"/>
                </w:rPr>
                <w:t>Certification of principal financial officer pursuant to Rule 13a-14(a)/15d-14(a) of the Securities Exchange Act of 1934, as amended</w:t>
              </w:r>
            </w:hyperlink>
          </w:p>
        </w:tc>
        <w:tc>
          <w:tcPr>
            <w:tcW w:w="0" w:type="dxa"/>
            <w:vAlign w:val="bottom"/>
          </w:tcPr>
          <w:p>
            <w:pPr>
              <w:spacing w:after="0"/>
              <w:rPr>
                <w:sz w:val="1"/>
                <w:szCs w:val="1"/>
                <w:color w:val="auto"/>
              </w:rPr>
            </w:pPr>
          </w:p>
        </w:tc>
      </w:tr>
      <w:tr>
        <w:trPr>
          <w:trHeight w:val="230"/>
        </w:trPr>
        <w:tc>
          <w:tcPr>
            <w:tcW w:w="1240" w:type="dxa"/>
            <w:vAlign w:val="bottom"/>
          </w:tcPr>
          <w:p>
            <w:pPr>
              <w:jc w:val="right"/>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32.1</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101">
              <w:r>
                <w:rPr>
                  <w:rFonts w:ascii="Arial" w:cs="Arial" w:eastAsia="Arial" w:hAnsi="Arial"/>
                  <w:sz w:val="18"/>
                  <w:szCs w:val="18"/>
                  <w:color w:val="0000FF"/>
                  <w:w w:val="91"/>
                </w:rPr>
                <w:t>Certification of principal executive officer pursuant to 18 U.S.C. §1350, as adopted pursuant to Section 906 of the Sarbanes-Oxley Act</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13"/>
          </w:tcPr>
          <w:p>
            <w:pPr>
              <w:spacing w:after="0" w:line="196" w:lineRule="exact"/>
              <w:rPr>
                <w:rFonts w:ascii="Arial" w:cs="Arial" w:eastAsia="Arial" w:hAnsi="Arial"/>
                <w:sz w:val="18"/>
                <w:szCs w:val="18"/>
                <w:color w:val="0000FF"/>
              </w:rPr>
            </w:pPr>
            <w:hyperlink w:anchor="page101">
              <w:r>
                <w:rPr>
                  <w:rFonts w:ascii="Arial" w:cs="Arial" w:eastAsia="Arial" w:hAnsi="Arial"/>
                  <w:sz w:val="18"/>
                  <w:szCs w:val="18"/>
                  <w:color w:val="0000FF"/>
                </w:rPr>
                <w:t>of 2002</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10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jc w:val="right"/>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32.2</w:t>
              </w:r>
            </w:hyperlink>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6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102">
              <w:r>
                <w:rPr>
                  <w:rFonts w:ascii="Arial" w:cs="Arial" w:eastAsia="Arial" w:hAnsi="Arial"/>
                  <w:sz w:val="18"/>
                  <w:szCs w:val="18"/>
                  <w:color w:val="0000FF"/>
                  <w:w w:val="91"/>
                </w:rPr>
                <w:t>Certification of principal financial officer pursuant to 18 U.S.C. §1350, as adopted pursuant to Section 906 of the Sarbanes-Oxley Act</w:t>
              </w:r>
            </w:hyperlink>
          </w:p>
        </w:tc>
        <w:tc>
          <w:tcPr>
            <w:tcW w:w="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13"/>
          </w:tcPr>
          <w:p>
            <w:pPr>
              <w:spacing w:after="0" w:line="196" w:lineRule="exact"/>
              <w:rPr>
                <w:rFonts w:ascii="Arial" w:cs="Arial" w:eastAsia="Arial" w:hAnsi="Arial"/>
                <w:sz w:val="18"/>
                <w:szCs w:val="18"/>
                <w:color w:val="0000FF"/>
              </w:rPr>
            </w:pPr>
            <w:hyperlink w:anchor="page102">
              <w:r>
                <w:rPr>
                  <w:rFonts w:ascii="Arial" w:cs="Arial" w:eastAsia="Arial" w:hAnsi="Arial"/>
                  <w:sz w:val="18"/>
                  <w:szCs w:val="18"/>
                  <w:color w:val="0000FF"/>
                </w:rPr>
                <w:t>of 2002</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1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40" w:type="dxa"/>
            <w:vAlign w:val="bottom"/>
          </w:tcPr>
          <w:p>
            <w:pPr>
              <w:jc w:val="right"/>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3"/>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70"/>
        </w:trPr>
        <w:tc>
          <w:tcPr>
            <w:tcW w:w="1240" w:type="dxa"/>
            <w:vAlign w:val="bottom"/>
          </w:tcPr>
          <w:p>
            <w:pPr>
              <w:jc w:val="right"/>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0"/>
        </w:trPr>
        <w:tc>
          <w:tcPr>
            <w:tcW w:w="1240" w:type="dxa"/>
            <w:vAlign w:val="bottom"/>
          </w:tcPr>
          <w:p>
            <w:pPr>
              <w:jc w:val="right"/>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gridSpan w:val="13"/>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270"/>
        </w:trPr>
        <w:tc>
          <w:tcPr>
            <w:tcW w:w="1240" w:type="dxa"/>
            <w:vAlign w:val="bottom"/>
          </w:tcPr>
          <w:p>
            <w:pPr>
              <w:jc w:val="right"/>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70"/>
        </w:trPr>
        <w:tc>
          <w:tcPr>
            <w:tcW w:w="1240" w:type="dxa"/>
            <w:vAlign w:val="bottom"/>
          </w:tcPr>
          <w:p>
            <w:pPr>
              <w:jc w:val="right"/>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gridSpan w:val="13"/>
          </w:tcPr>
          <w:p>
            <w:pPr>
              <w:spacing w:after="0"/>
              <w:rPr>
                <w:sz w:val="20"/>
                <w:szCs w:val="20"/>
                <w:color w:val="auto"/>
              </w:rPr>
            </w:pPr>
            <w:r>
              <w:rPr>
                <w:rFonts w:ascii="Arial" w:cs="Arial" w:eastAsia="Arial" w:hAnsi="Arial"/>
                <w:sz w:val="18"/>
                <w:szCs w:val="18"/>
                <w:color w:val="auto"/>
              </w:rPr>
              <w:t>Inline XBRL Taxonomy Label Linkbase Document</w:t>
            </w:r>
          </w:p>
        </w:tc>
        <w:tc>
          <w:tcPr>
            <w:tcW w:w="0" w:type="dxa"/>
            <w:vAlign w:val="bottom"/>
          </w:tcPr>
          <w:p>
            <w:pPr>
              <w:spacing w:after="0"/>
              <w:rPr>
                <w:sz w:val="1"/>
                <w:szCs w:val="1"/>
                <w:color w:val="auto"/>
              </w:rPr>
            </w:pPr>
          </w:p>
        </w:tc>
      </w:tr>
      <w:tr>
        <w:trPr>
          <w:trHeight w:val="270"/>
        </w:trPr>
        <w:tc>
          <w:tcPr>
            <w:tcW w:w="1240" w:type="dxa"/>
            <w:vAlign w:val="bottom"/>
          </w:tcPr>
          <w:p>
            <w:pPr>
              <w:jc w:val="right"/>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gridSpan w:val="13"/>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r>
        <w:trPr>
          <w:trHeight w:val="270"/>
        </w:trPr>
        <w:tc>
          <w:tcPr>
            <w:tcW w:w="124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gridSpan w:val="13"/>
          </w:tcPr>
          <w:p>
            <w:pPr>
              <w:spacing w:after="0"/>
              <w:rPr>
                <w:sz w:val="20"/>
                <w:szCs w:val="20"/>
                <w:color w:val="auto"/>
              </w:rPr>
            </w:pPr>
            <w:r>
              <w:rPr>
                <w:rFonts w:ascii="Arial" w:cs="Arial" w:eastAsia="Arial" w:hAnsi="Arial"/>
                <w:sz w:val="18"/>
                <w:szCs w:val="18"/>
                <w:color w:val="auto"/>
              </w:rPr>
              <w:t>The cover page from this Quarterly Report on Form 10-Q, formatted in Inline XBRL</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Submitted electronically herewith.</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Portions of this exhibit have been omitted pursuant to Item 601(b)(10)(iv) of Regulation S-K.</w:t>
      </w:r>
    </w:p>
    <w:p>
      <w:pPr>
        <w:spacing w:after="0" w:line="15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Consolidated Balance Sheets at March 31, 2020 (unaudited) and December 31, 2019, (ii) Consolidated Statements of Operations and Comprehensive Loss (unaudited) for the three month periods ended March 31, 2020 and 2019, (iii) Consolidated Statements of Stockholders' Equity (unaudited) for the three month periods ended March 31, 2020 and 2019, (iv) Consolidated Statements of Cash Flows (unaudited) for the three month periods ended March 31, 2020 and 2019 and (v) Notes to Financial Statements (unaudited).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8"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IVERIC bio,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520" w:val="left"/>
          <w:tab w:leader="none" w:pos="630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31750</wp:posOffset>
            </wp:positionV>
            <wp:extent cx="31375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David F. Carroll</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20"/>
          </w:cols>
          <w:pgMar w:left="320" w:top="125" w:right="659" w:bottom="1440" w:gutter="0" w:footer="0" w:header="0"/>
        </w:sectPr>
      </w:pPr>
    </w:p>
    <w:bookmarkStart w:id="90" w:name="page91"/>
    <w:bookmarkEnd w:id="90"/>
    <w:p>
      <w:pPr>
        <w:jc w:val="center"/>
        <w:ind w:right="-59"/>
        <w:spacing w:after="0"/>
        <w:rPr>
          <w:sz w:val="20"/>
          <w:szCs w:val="20"/>
          <w:color w:val="auto"/>
        </w:rPr>
      </w:pPr>
      <w:r>
        <w:rPr>
          <w:rFonts w:ascii="Arial" w:cs="Arial" w:eastAsia="Arial" w:hAnsi="Arial"/>
          <w:sz w:val="20"/>
          <w:szCs w:val="20"/>
          <w:color w:val="auto"/>
        </w:rPr>
        <w:t>AMENDMENT NO. 1 TO</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2019 INDUCEMENT STOCK INCENTIVE PLAN</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OF</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IVERIC BIO, INC.</w:t>
      </w:r>
    </w:p>
    <w:p>
      <w:pPr>
        <w:spacing w:after="0" w:line="229" w:lineRule="exact"/>
        <w:rPr>
          <w:sz w:val="20"/>
          <w:szCs w:val="20"/>
          <w:color w:val="auto"/>
        </w:rPr>
      </w:pPr>
    </w:p>
    <w:p>
      <w:pPr>
        <w:ind w:right="560" w:firstLine="432"/>
        <w:spacing w:after="0" w:line="316" w:lineRule="auto"/>
        <w:rPr>
          <w:sz w:val="20"/>
          <w:szCs w:val="20"/>
          <w:color w:val="auto"/>
        </w:rPr>
      </w:pPr>
      <w:r>
        <w:rPr>
          <w:rFonts w:ascii="Arial" w:cs="Arial" w:eastAsia="Arial" w:hAnsi="Arial"/>
          <w:sz w:val="18"/>
          <w:szCs w:val="18"/>
          <w:color w:val="auto"/>
        </w:rPr>
        <w:t>The 2019 Inducement Stock Incentive Plan (the “Plan”) of IVERIC bio, Inc. (the “Company”) is hereby amended as follows (all capitalized terms used and not defined herein shall have the respective meanings ascribed to such terms in the Plan):</w:t>
      </w:r>
    </w:p>
    <w:p>
      <w:pPr>
        <w:spacing w:after="0" w:line="143" w:lineRule="exact"/>
        <w:rPr>
          <w:sz w:val="20"/>
          <w:szCs w:val="20"/>
          <w:color w:val="auto"/>
        </w:rPr>
      </w:pPr>
    </w:p>
    <w:p>
      <w:pPr>
        <w:ind w:left="400" w:hanging="392"/>
        <w:spacing w:after="0"/>
        <w:tabs>
          <w:tab w:leader="none" w:pos="4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Section 4(a)(1) of the Plan be and hereby is deleted in its entirety and the following is inserted in lieu thereof:</w:t>
      </w:r>
    </w:p>
    <w:p>
      <w:pPr>
        <w:spacing w:after="0" w:line="229" w:lineRule="exact"/>
        <w:rPr>
          <w:rFonts w:ascii="Arial" w:cs="Arial" w:eastAsia="Arial" w:hAnsi="Arial"/>
          <w:sz w:val="20"/>
          <w:szCs w:val="20"/>
          <w:color w:val="auto"/>
        </w:rPr>
      </w:pPr>
    </w:p>
    <w:p>
      <w:pPr>
        <w:jc w:val="both"/>
        <w:ind w:left="1300" w:firstLine="328"/>
        <w:spacing w:after="0" w:line="269" w:lineRule="auto"/>
        <w:tabs>
          <w:tab w:leader="none" w:pos="1904"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Authorized Number of Shares</w:t>
      </w:r>
      <w:r>
        <w:rPr>
          <w:rFonts w:ascii="Arial" w:cs="Arial" w:eastAsia="Arial" w:hAnsi="Arial"/>
          <w:sz w:val="19"/>
          <w:szCs w:val="19"/>
          <w:color w:val="auto"/>
        </w:rPr>
        <w:t>. Subject to adjustment under Section 9, Awards may be made under the Plan for up to 2,000,000 shares of common stock, $0.001 par value per share, of the Company (the “Common Stock”). Shares issued under the Plan may consist in whole or in part of authorized but unissued shares or treasury shares.</w:t>
      </w:r>
    </w:p>
    <w:p>
      <w:pPr>
        <w:spacing w:after="0" w:line="183" w:lineRule="exact"/>
        <w:rPr>
          <w:rFonts w:ascii="Arial" w:cs="Arial" w:eastAsia="Arial" w:hAnsi="Arial"/>
          <w:sz w:val="19"/>
          <w:szCs w:val="19"/>
          <w:color w:val="auto"/>
        </w:rPr>
      </w:pPr>
    </w:p>
    <w:p>
      <w:pPr>
        <w:ind w:left="400" w:hanging="392"/>
        <w:spacing w:after="0"/>
        <w:tabs>
          <w:tab w:leader="none" w:pos="4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Except as set forth herein, the Plan shall remain in full force and effect.</w:t>
      </w:r>
    </w:p>
    <w:p>
      <w:pPr>
        <w:spacing w:after="0" w:line="229" w:lineRule="exact"/>
        <w:rPr>
          <w:rFonts w:ascii="Arial" w:cs="Arial" w:eastAsia="Arial" w:hAnsi="Arial"/>
          <w:sz w:val="20"/>
          <w:szCs w:val="20"/>
          <w:color w:val="auto"/>
        </w:rPr>
      </w:pPr>
    </w:p>
    <w:p>
      <w:pPr>
        <w:ind w:left="5420"/>
        <w:spacing w:after="0"/>
        <w:rPr>
          <w:rFonts w:ascii="Arial" w:cs="Arial" w:eastAsia="Arial" w:hAnsi="Arial"/>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59" w:lineRule="exact"/>
        <w:rPr>
          <w:sz w:val="20"/>
          <w:szCs w:val="20"/>
          <w:color w:val="auto"/>
        </w:rPr>
      </w:pPr>
    </w:p>
    <w:p>
      <w:pPr>
        <w:ind w:left="4540"/>
        <w:spacing w:after="0"/>
        <w:rPr>
          <w:sz w:val="20"/>
          <w:szCs w:val="20"/>
          <w:color w:val="auto"/>
        </w:rPr>
      </w:pPr>
      <w:r>
        <w:rPr>
          <w:rFonts w:ascii="Arial" w:cs="Arial" w:eastAsia="Arial" w:hAnsi="Arial"/>
          <w:sz w:val="20"/>
          <w:szCs w:val="20"/>
          <w:i w:val="1"/>
          <w:iCs w:val="1"/>
          <w:color w:val="auto"/>
        </w:rPr>
        <w:t>Approved by the Board of Directors on March 27, 2020.</w:t>
      </w:r>
    </w:p>
    <w:p>
      <w:pPr>
        <w:sectPr>
          <w:pgSz w:w="11900" w:h="16838" w:orient="portrait"/>
          <w:cols w:equalWidth="0" w:num="1">
            <w:col w:w="11180"/>
          </w:cols>
          <w:pgMar w:left="320" w:top="555" w:right="39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color w:val="auto"/>
        </w:rPr>
        <w:t>Certain identified information has been excluded from the exhibit because it is both (i) not material and (ii) would likely cause competitive</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harm to the Company, if publicly disclosed.</w:t>
      </w:r>
    </w:p>
    <w:p>
      <w:pPr>
        <w:jc w:val="center"/>
        <w:ind w:right="-39"/>
        <w:spacing w:after="0"/>
        <w:rPr>
          <w:sz w:val="20"/>
          <w:szCs w:val="20"/>
          <w:color w:val="auto"/>
        </w:rPr>
      </w:pPr>
      <w:r>
        <w:rPr>
          <w:rFonts w:ascii="Arial" w:cs="Arial" w:eastAsia="Arial" w:hAnsi="Arial"/>
          <w:sz w:val="20"/>
          <w:szCs w:val="20"/>
          <w:color w:val="auto"/>
        </w:rPr>
        <w:t>Double asterisks denote omissions.</w:t>
      </w:r>
    </w:p>
    <w:p>
      <w:pPr>
        <w:spacing w:after="0" w:line="207" w:lineRule="exact"/>
        <w:rPr>
          <w:sz w:val="20"/>
          <w:szCs w:val="20"/>
          <w:color w:val="auto"/>
        </w:rPr>
      </w:pPr>
    </w:p>
    <w:p>
      <w:pPr>
        <w:ind w:left="1840"/>
        <w:spacing w:after="0"/>
        <w:rPr>
          <w:sz w:val="20"/>
          <w:szCs w:val="20"/>
          <w:color w:val="auto"/>
        </w:rPr>
      </w:pPr>
      <w:r>
        <w:rPr>
          <w:rFonts w:ascii="Arial" w:cs="Arial" w:eastAsia="Arial" w:hAnsi="Arial"/>
          <w:sz w:val="20"/>
          <w:szCs w:val="20"/>
          <w:b w:val="1"/>
          <w:bCs w:val="1"/>
          <w:color w:val="auto"/>
        </w:rPr>
        <w:t>AMENDMENT NO. 1 TO EXCLUSIVE LICENSE AGREEMENT WITH KNOW-HOW</w:t>
      </w:r>
    </w:p>
    <w:p>
      <w:pPr>
        <w:spacing w:after="0" w:line="16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This Amendment No. 1 to Exclusive License Agreement with Know-How</w:t>
      </w:r>
    </w:p>
    <w:p>
      <w:pPr>
        <w:spacing w:after="0" w:line="27" w:lineRule="exact"/>
        <w:rPr>
          <w:sz w:val="20"/>
          <w:szCs w:val="20"/>
          <w:color w:val="auto"/>
        </w:rPr>
      </w:pPr>
    </w:p>
    <w:p>
      <w:pPr>
        <w:ind w:right="20"/>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Amendment</w:t>
      </w:r>
      <w:r>
        <w:rPr>
          <w:rFonts w:ascii="Arial" w:cs="Arial" w:eastAsia="Arial" w:hAnsi="Arial"/>
          <w:sz w:val="19"/>
          <w:szCs w:val="19"/>
          <w:color w:val="auto"/>
        </w:rPr>
        <w:t>”) is made effective as of May 1, 2020, by and among the Trustees of the University of Pennsylvania, a Pennsylvania nonprofit corporation (“</w:t>
      </w:r>
      <w:r>
        <w:rPr>
          <w:rFonts w:ascii="Arial" w:cs="Arial" w:eastAsia="Arial" w:hAnsi="Arial"/>
          <w:sz w:val="19"/>
          <w:szCs w:val="19"/>
          <w:u w:val="single" w:color="auto"/>
          <w:color w:val="auto"/>
        </w:rPr>
        <w:t>Penn</w:t>
      </w:r>
      <w:r>
        <w:rPr>
          <w:rFonts w:ascii="Arial" w:cs="Arial" w:eastAsia="Arial" w:hAnsi="Arial"/>
          <w:sz w:val="19"/>
          <w:szCs w:val="19"/>
          <w:color w:val="auto"/>
        </w:rPr>
        <w:t>”), the University of Florida Research Foundation, Incorporated, a nonstock, nonprofit Florida corporation (“</w:t>
      </w:r>
      <w:r>
        <w:rPr>
          <w:rFonts w:ascii="Arial" w:cs="Arial" w:eastAsia="Arial" w:hAnsi="Arial"/>
          <w:sz w:val="19"/>
          <w:szCs w:val="19"/>
          <w:u w:val="single" w:color="auto"/>
          <w:color w:val="auto"/>
        </w:rPr>
        <w:t>UFRF</w:t>
      </w:r>
      <w:r>
        <w:rPr>
          <w:rFonts w:ascii="Arial" w:cs="Arial" w:eastAsia="Arial" w:hAnsi="Arial"/>
          <w:sz w:val="19"/>
          <w:szCs w:val="19"/>
          <w:color w:val="auto"/>
        </w:rPr>
        <w:t>”; together with Penn, the “</w:t>
      </w:r>
      <w:r>
        <w:rPr>
          <w:rFonts w:ascii="Arial" w:cs="Arial" w:eastAsia="Arial" w:hAnsi="Arial"/>
          <w:sz w:val="19"/>
          <w:szCs w:val="19"/>
          <w:u w:val="single" w:color="auto"/>
          <w:color w:val="auto"/>
        </w:rPr>
        <w:t>Licensors</w:t>
      </w:r>
      <w:r>
        <w:rPr>
          <w:rFonts w:ascii="Arial" w:cs="Arial" w:eastAsia="Arial" w:hAnsi="Arial"/>
          <w:sz w:val="19"/>
          <w:szCs w:val="19"/>
          <w:color w:val="auto"/>
        </w:rPr>
        <w:t>”) and IVERIC bio, Inc., a Delaware corporation (“</w:t>
      </w:r>
      <w:r>
        <w:rPr>
          <w:rFonts w:ascii="Arial" w:cs="Arial" w:eastAsia="Arial" w:hAnsi="Arial"/>
          <w:sz w:val="19"/>
          <w:szCs w:val="19"/>
          <w:u w:val="single" w:color="auto"/>
          <w:color w:val="auto"/>
        </w:rPr>
        <w:t>Licensee</w:t>
      </w:r>
      <w:r>
        <w:rPr>
          <w:rFonts w:ascii="Arial" w:cs="Arial" w:eastAsia="Arial" w:hAnsi="Arial"/>
          <w:sz w:val="19"/>
          <w:szCs w:val="19"/>
          <w:color w:val="auto"/>
        </w:rPr>
        <w:t>”).</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20"/>
          <w:szCs w:val="20"/>
          <w:i w:val="1"/>
          <w:iCs w:val="1"/>
          <w:u w:val="single" w:color="auto"/>
          <w:color w:val="auto"/>
        </w:rPr>
        <w:t>Recitals</w:t>
      </w:r>
    </w:p>
    <w:p>
      <w:pPr>
        <w:spacing w:after="0" w:line="162" w:lineRule="exact"/>
        <w:rPr>
          <w:sz w:val="20"/>
          <w:szCs w:val="20"/>
          <w:color w:val="auto"/>
        </w:rPr>
      </w:pPr>
    </w:p>
    <w:p>
      <w:pPr>
        <w:ind w:right="140" w:firstLine="648"/>
        <w:spacing w:after="0" w:line="293" w:lineRule="auto"/>
        <w:rPr>
          <w:sz w:val="20"/>
          <w:szCs w:val="20"/>
          <w:color w:val="auto"/>
        </w:rPr>
      </w:pPr>
      <w:r>
        <w:rPr>
          <w:rFonts w:ascii="Arial" w:cs="Arial" w:eastAsia="Arial" w:hAnsi="Arial"/>
          <w:sz w:val="19"/>
          <w:szCs w:val="19"/>
          <w:color w:val="auto"/>
        </w:rPr>
        <w:t>WHEREAS, the Licensors and Licensee entered into an Exclusive License Agreement with Know-How, dated as of April 10, 2019 (the “</w:t>
      </w:r>
      <w:r>
        <w:rPr>
          <w:rFonts w:ascii="Arial" w:cs="Arial" w:eastAsia="Arial" w:hAnsi="Arial"/>
          <w:sz w:val="19"/>
          <w:szCs w:val="19"/>
          <w:u w:val="single" w:color="auto"/>
          <w:color w:val="auto"/>
        </w:rPr>
        <w:t>License Agreement</w:t>
      </w:r>
      <w:r>
        <w:rPr>
          <w:rFonts w:ascii="Arial" w:cs="Arial" w:eastAsia="Arial" w:hAnsi="Arial"/>
          <w:sz w:val="19"/>
          <w:szCs w:val="19"/>
          <w:color w:val="auto"/>
        </w:rPr>
        <w:t xml:space="preserve">”) pursuant to which the Licensors granted Licensee exclusive rights to certain patent rights and information and non-exclusive rights to certain know-how, in each case to develop, manufacture and commercialize certain gene therapy technologies in the field of treating diseases associated with mutations in the </w:t>
      </w:r>
      <w:r>
        <w:rPr>
          <w:rFonts w:ascii="Arial" w:cs="Arial" w:eastAsia="Arial" w:hAnsi="Arial"/>
          <w:sz w:val="19"/>
          <w:szCs w:val="19"/>
          <w:i w:val="1"/>
          <w:iCs w:val="1"/>
          <w:color w:val="auto"/>
        </w:rPr>
        <w:t>BEST1</w:t>
      </w:r>
      <w:r>
        <w:rPr>
          <w:rFonts w:ascii="Arial" w:cs="Arial" w:eastAsia="Arial" w:hAnsi="Arial"/>
          <w:sz w:val="19"/>
          <w:szCs w:val="19"/>
          <w:color w:val="auto"/>
        </w:rPr>
        <w:t xml:space="preserve"> gene;</w:t>
      </w:r>
    </w:p>
    <w:p>
      <w:pPr>
        <w:spacing w:after="0" w:line="94" w:lineRule="exact"/>
        <w:rPr>
          <w:sz w:val="20"/>
          <w:szCs w:val="20"/>
          <w:color w:val="auto"/>
        </w:rPr>
      </w:pPr>
    </w:p>
    <w:p>
      <w:pPr>
        <w:ind w:right="80" w:firstLine="4212"/>
        <w:spacing w:after="0" w:line="288" w:lineRule="auto"/>
        <w:rPr>
          <w:sz w:val="20"/>
          <w:szCs w:val="20"/>
          <w:color w:val="auto"/>
        </w:rPr>
      </w:pPr>
      <w:r>
        <w:rPr>
          <w:rFonts w:ascii="Arial" w:cs="Arial" w:eastAsia="Arial" w:hAnsi="Arial"/>
          <w:sz w:val="20"/>
          <w:szCs w:val="20"/>
          <w:color w:val="auto"/>
        </w:rPr>
        <w:t>WHEREAS, in connection with the License Agreement, Licensee entered into separate sponsored research agreements with Penn and UFRF;</w:t>
      </w:r>
    </w:p>
    <w:p>
      <w:pPr>
        <w:spacing w:after="0" w:line="96" w:lineRule="exact"/>
        <w:rPr>
          <w:sz w:val="20"/>
          <w:szCs w:val="20"/>
          <w:color w:val="auto"/>
        </w:rPr>
      </w:pPr>
    </w:p>
    <w:p>
      <w:pPr>
        <w:ind w:right="380" w:firstLine="648"/>
        <w:spacing w:after="0" w:line="278" w:lineRule="auto"/>
        <w:rPr>
          <w:sz w:val="20"/>
          <w:szCs w:val="20"/>
          <w:color w:val="auto"/>
        </w:rPr>
      </w:pPr>
      <w:r>
        <w:rPr>
          <w:rFonts w:ascii="Arial" w:cs="Arial" w:eastAsia="Arial" w:hAnsi="Arial"/>
          <w:sz w:val="20"/>
          <w:szCs w:val="20"/>
          <w:color w:val="auto"/>
        </w:rPr>
        <w:t xml:space="preserve">WHEREAS, as a result of the sponsored research with Penn, Penn has filed [**] patent applications covering certain methods of treating </w:t>
      </w:r>
      <w:r>
        <w:rPr>
          <w:rFonts w:ascii="Arial" w:cs="Arial" w:eastAsia="Arial" w:hAnsi="Arial"/>
          <w:sz w:val="20"/>
          <w:szCs w:val="20"/>
          <w:i w:val="1"/>
          <w:iCs w:val="1"/>
          <w:color w:val="auto"/>
        </w:rPr>
        <w:t>BEST1</w:t>
      </w:r>
      <w:r>
        <w:rPr>
          <w:rFonts w:ascii="Arial" w:cs="Arial" w:eastAsia="Arial" w:hAnsi="Arial"/>
          <w:sz w:val="20"/>
          <w:szCs w:val="20"/>
          <w:color w:val="auto"/>
        </w:rPr>
        <w:t>-related retinal diseases (the “</w:t>
      </w:r>
      <w:r>
        <w:rPr>
          <w:rFonts w:ascii="Arial" w:cs="Arial" w:eastAsia="Arial" w:hAnsi="Arial"/>
          <w:sz w:val="20"/>
          <w:szCs w:val="20"/>
          <w:u w:val="single" w:color="auto"/>
          <w:color w:val="auto"/>
        </w:rPr>
        <w:t>Patent Applications</w:t>
      </w:r>
      <w:r>
        <w:rPr>
          <w:rFonts w:ascii="Arial" w:cs="Arial" w:eastAsia="Arial" w:hAnsi="Arial"/>
          <w:sz w:val="20"/>
          <w:szCs w:val="20"/>
          <w:color w:val="auto"/>
        </w:rPr>
        <w:t>”</w:t>
      </w:r>
      <w:r>
        <w:rPr>
          <w:rFonts w:ascii="Arial" w:cs="Arial" w:eastAsia="Arial" w:hAnsi="Arial"/>
          <w:sz w:val="20"/>
          <w:szCs w:val="20"/>
          <w:u w:val="single" w:color="auto"/>
          <w:color w:val="auto"/>
        </w:rPr>
        <w:t>)</w:t>
      </w:r>
      <w:r>
        <w:rPr>
          <w:rFonts w:ascii="Arial" w:cs="Arial" w:eastAsia="Arial" w:hAnsi="Arial"/>
          <w:sz w:val="20"/>
          <w:szCs w:val="20"/>
          <w:color w:val="auto"/>
        </w:rPr>
        <w:t xml:space="preserve"> and the Patent Applications constitute “Related Penn Intellectual Property” under the Penn SRA;</w:t>
      </w:r>
    </w:p>
    <w:p>
      <w:pPr>
        <w:spacing w:after="0" w:line="105" w:lineRule="exact"/>
        <w:rPr>
          <w:sz w:val="20"/>
          <w:szCs w:val="20"/>
          <w:color w:val="auto"/>
        </w:rPr>
      </w:pPr>
    </w:p>
    <w:p>
      <w:pPr>
        <w:ind w:right="340" w:firstLine="4212"/>
        <w:spacing w:after="0" w:line="288" w:lineRule="auto"/>
        <w:rPr>
          <w:sz w:val="20"/>
          <w:szCs w:val="20"/>
          <w:color w:val="auto"/>
        </w:rPr>
      </w:pPr>
      <w:r>
        <w:rPr>
          <w:rFonts w:ascii="Arial" w:cs="Arial" w:eastAsia="Arial" w:hAnsi="Arial"/>
          <w:sz w:val="20"/>
          <w:szCs w:val="20"/>
          <w:color w:val="auto"/>
        </w:rPr>
        <w:t>WHEREAS, Licensee exercised its option rights under the Penn SRA to include the Patent Applications as “Subsequently Added Intellectual Property” under the License Agreement; and</w:t>
      </w:r>
    </w:p>
    <w:p>
      <w:pPr>
        <w:spacing w:after="0" w:line="9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WHEREAS, the Licensors and Licensee agree to amend the License Agreement to add</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such Subsequently Added Intellectual Property.</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0"/>
          <w:szCs w:val="20"/>
          <w:i w:val="1"/>
          <w:iCs w:val="1"/>
          <w:u w:val="single" w:color="auto"/>
          <w:color w:val="auto"/>
        </w:rPr>
        <w:t>Agreement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The Licensors and Licensee agree as follows:</w:t>
      </w:r>
    </w:p>
    <w:p>
      <w:pPr>
        <w:spacing w:after="0" w:line="162" w:lineRule="exact"/>
        <w:rPr>
          <w:sz w:val="20"/>
          <w:szCs w:val="20"/>
          <w:color w:val="auto"/>
        </w:rPr>
      </w:pPr>
    </w:p>
    <w:p>
      <w:pPr>
        <w:ind w:left="660" w:hanging="328"/>
        <w:spacing w:after="0" w:line="278" w:lineRule="auto"/>
        <w:tabs>
          <w:tab w:leader="none" w:pos="6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The Patent Applications, which are described in the </w:t>
      </w:r>
      <w:r>
        <w:rPr>
          <w:rFonts w:ascii="Arial" w:cs="Arial" w:eastAsia="Arial" w:hAnsi="Arial"/>
          <w:sz w:val="20"/>
          <w:szCs w:val="20"/>
          <w:u w:val="single" w:color="auto"/>
          <w:color w:val="auto"/>
        </w:rPr>
        <w:t>Appendix 1</w:t>
      </w:r>
      <w:r>
        <w:rPr>
          <w:rFonts w:ascii="Arial" w:cs="Arial" w:eastAsia="Arial" w:hAnsi="Arial"/>
          <w:sz w:val="20"/>
          <w:szCs w:val="20"/>
          <w:color w:val="auto"/>
        </w:rPr>
        <w:t xml:space="preserve"> of this Amendment, and all patent rights arising therefrom constitute Subsequently Added Intellectual Property and Appendix G to the License Agreement is hereby amended by adding the information on </w:t>
      </w:r>
      <w:r>
        <w:rPr>
          <w:rFonts w:ascii="Arial" w:cs="Arial" w:eastAsia="Arial" w:hAnsi="Arial"/>
          <w:sz w:val="20"/>
          <w:szCs w:val="20"/>
          <w:u w:val="single" w:color="auto"/>
          <w:color w:val="auto"/>
        </w:rPr>
        <w:t>Appendix 1</w:t>
      </w:r>
      <w:r>
        <w:rPr>
          <w:rFonts w:ascii="Arial" w:cs="Arial" w:eastAsia="Arial" w:hAnsi="Arial"/>
          <w:sz w:val="20"/>
          <w:szCs w:val="20"/>
          <w:color w:val="auto"/>
        </w:rPr>
        <w:t xml:space="preserve"> hereto to Appendix G.</w:t>
      </w:r>
    </w:p>
    <w:p>
      <w:pPr>
        <w:spacing w:after="0" w:line="226" w:lineRule="exact"/>
        <w:rPr>
          <w:rFonts w:ascii="Arial" w:cs="Arial" w:eastAsia="Arial" w:hAnsi="Arial"/>
          <w:sz w:val="20"/>
          <w:szCs w:val="20"/>
          <w:color w:val="auto"/>
        </w:rPr>
      </w:pPr>
    </w:p>
    <w:p>
      <w:pPr>
        <w:ind w:left="660" w:hanging="328"/>
        <w:spacing w:after="0"/>
        <w:tabs>
          <w:tab w:leader="none" w:pos="6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following definitions shall be added to Section 1 of the License Agreement in the appropriate alphabetical order:</w:t>
      </w:r>
    </w:p>
    <w:p>
      <w:pPr>
        <w:spacing w:after="0" w:line="283" w:lineRule="exact"/>
        <w:rPr>
          <w:rFonts w:ascii="Arial" w:cs="Arial" w:eastAsia="Arial" w:hAnsi="Arial"/>
          <w:sz w:val="20"/>
          <w:szCs w:val="20"/>
          <w:color w:val="auto"/>
        </w:rPr>
      </w:pPr>
    </w:p>
    <w:p>
      <w:pPr>
        <w:ind w:left="660" w:right="380"/>
        <w:spacing w:after="0" w:line="669" w:lineRule="auto"/>
        <w:rPr>
          <w:rFonts w:ascii="Arial" w:cs="Arial" w:eastAsia="Arial" w:hAnsi="Arial"/>
          <w:sz w:val="20"/>
          <w:szCs w:val="20"/>
          <w:color w:val="auto"/>
        </w:rPr>
      </w:pPr>
      <w:r>
        <w:rPr>
          <w:rFonts w:ascii="Arial" w:cs="Arial" w:eastAsia="Arial" w:hAnsi="Arial"/>
          <w:sz w:val="16"/>
          <w:szCs w:val="16"/>
          <w:color w:val="auto"/>
        </w:rPr>
        <w:t>“Penn Subsequently Added Intellectual Property” means Subsequently Added Intellectual Property arising under the Penn SRA. “UF Subsequently Added Intellectual Property” means Subsequently Added Intellectual Property arising under the UF SRA.</w:t>
      </w:r>
    </w:p>
    <w:p>
      <w:pPr>
        <w:ind w:left="660" w:hanging="328"/>
        <w:spacing w:after="0"/>
        <w:tabs>
          <w:tab w:leader="none" w:pos="6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following subsections shall be added to Section 7 of the License Agreement (Patent Prosecution):</w:t>
      </w:r>
    </w:p>
    <w:p>
      <w:pPr>
        <w:sectPr>
          <w:pgSz w:w="11900" w:h="16838" w:orient="portrait"/>
          <w:cols w:equalWidth="0" w:num="1">
            <w:col w:w="11200"/>
          </w:cols>
          <w:pgMar w:left="320" w:top="121" w:right="379" w:bottom="1440" w:gutter="0" w:footer="0" w:header="0"/>
        </w:sectPr>
      </w:pPr>
    </w:p>
    <w:bookmarkStart w:id="92" w:name="page93"/>
    <w:bookmarkEnd w:id="92"/>
    <w:p>
      <w:pPr>
        <w:ind w:left="408" w:hanging="404"/>
        <w:spacing w:after="0" w:line="286" w:lineRule="auto"/>
        <w:tabs>
          <w:tab w:leader="none" w:pos="388" w:val="left"/>
        </w:tabs>
        <w:rPr>
          <w:sz w:val="20"/>
          <w:szCs w:val="20"/>
          <w:color w:val="auto"/>
        </w:rPr>
      </w:pPr>
      <w:r>
        <w:rPr>
          <w:rFonts w:ascii="Arial" w:cs="Arial" w:eastAsia="Arial" w:hAnsi="Arial"/>
          <w:sz w:val="20"/>
          <w:szCs w:val="20"/>
          <w:u w:val="single" w:color="auto"/>
          <w:color w:val="auto"/>
        </w:rPr>
        <w:t>7.6</w:t>
      </w:r>
      <w:r>
        <w:rPr>
          <w:sz w:val="20"/>
          <w:szCs w:val="20"/>
          <w:color w:val="auto"/>
        </w:rPr>
        <w:tab/>
      </w:r>
      <w:r>
        <w:rPr>
          <w:rFonts w:ascii="Arial" w:cs="Arial" w:eastAsia="Arial" w:hAnsi="Arial"/>
          <w:sz w:val="19"/>
          <w:szCs w:val="19"/>
          <w:u w:val="single" w:color="auto"/>
          <w:color w:val="auto"/>
        </w:rPr>
        <w:t>Prosecution of the Subsequently Added Intellectual Property</w:t>
      </w:r>
      <w:r>
        <w:rPr>
          <w:rFonts w:ascii="Arial" w:cs="Arial" w:eastAsia="Arial" w:hAnsi="Arial"/>
          <w:sz w:val="19"/>
          <w:szCs w:val="19"/>
          <w:color w:val="auto"/>
        </w:rPr>
        <w:t>. Penn shall file, prosecute, and maintain the Patent Rights related to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Penn Subsequently Added Intellectual Property using counsel of its choice reasonably acceptable to Licensee, and UFRF shall file, prosecute, and maintain the Patent Rights related to the UF Subsequently Added Intellectual Property using counsel of its choice reasonably acceptable to Licensee. Licensee acknowledges that for Penn Subsequently Added Intellectual Property, [**] is acceptable and for UF Subsequently Added Intellectual Property, [**] is acceptable. Penn or UFRF, as applicable, shall promptly provide Licensee with copies of all documents sent to and received from the United States Patent and Trademark Office and foreign patent offices relating to Penn Subsequently Added Intellectual Property or UF Subsequently Added Intellectual Property, as applicable. Licensee shall keep those documents confidential.</w:t>
      </w:r>
    </w:p>
    <w:p>
      <w:pPr>
        <w:spacing w:after="0" w:line="104"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20"/>
          <w:szCs w:val="20"/>
          <w:u w:val="single" w:color="auto"/>
          <w:color w:val="auto"/>
        </w:rPr>
        <w:t>7.7</w:t>
      </w:r>
      <w:r>
        <w:rPr>
          <w:sz w:val="20"/>
          <w:szCs w:val="20"/>
          <w:color w:val="auto"/>
        </w:rPr>
        <w:tab/>
      </w:r>
      <w:r>
        <w:rPr>
          <w:rFonts w:ascii="Arial" w:cs="Arial" w:eastAsia="Arial" w:hAnsi="Arial"/>
          <w:sz w:val="16"/>
          <w:szCs w:val="16"/>
          <w:u w:val="single" w:color="auto"/>
          <w:color w:val="auto"/>
        </w:rPr>
        <w:t>Consultation and Maintenance</w:t>
      </w:r>
      <w:r>
        <w:rPr>
          <w:rFonts w:ascii="Arial" w:cs="Arial" w:eastAsia="Arial" w:hAnsi="Arial"/>
          <w:sz w:val="16"/>
          <w:szCs w:val="16"/>
          <w:color w:val="auto"/>
        </w:rPr>
        <w:t>.</w:t>
      </w:r>
    </w:p>
    <w:p>
      <w:pPr>
        <w:spacing w:after="0" w:line="162" w:lineRule="exact"/>
        <w:rPr>
          <w:sz w:val="20"/>
          <w:szCs w:val="20"/>
          <w:color w:val="auto"/>
        </w:rPr>
      </w:pPr>
    </w:p>
    <w:p>
      <w:pPr>
        <w:ind w:left="408" w:right="20" w:hanging="408"/>
        <w:spacing w:after="0" w:line="285" w:lineRule="auto"/>
        <w:tabs>
          <w:tab w:leader="none" w:pos="408" w:val="left"/>
        </w:tabs>
        <w:numPr>
          <w:ilvl w:val="0"/>
          <w:numId w:val="58"/>
        </w:numPr>
        <w:rPr>
          <w:rFonts w:ascii="Arial" w:cs="Arial" w:eastAsia="Arial" w:hAnsi="Arial"/>
          <w:sz w:val="19"/>
          <w:szCs w:val="19"/>
          <w:color w:val="auto"/>
        </w:rPr>
      </w:pPr>
      <w:r>
        <w:rPr>
          <w:rFonts w:ascii="Arial" w:cs="Arial" w:eastAsia="Arial" w:hAnsi="Arial"/>
          <w:sz w:val="19"/>
          <w:szCs w:val="19"/>
          <w:color w:val="auto"/>
        </w:rPr>
        <w:t>Penn or UFRF, as applicable, will solicit input from Licensee regarding (a) actions to be taken and material decisions in connection with prosecution and maintenance of the Patent Rights related to Penn Subsequently Added Intellectual Property or UF Subsequently Added Intellectual Property, as applicable, and (b) fees, annuities, costs and expenses to be incurred in connection therewith. Penn or UFRF, as applicable, will submit, or will cause to be submitted to Licensee (or its designated counsel) all correspondence or other materials related to the preparation, filing, prosecution (including interferences and oppositions), issuance, maintenance and reporting of the Patent Rights related to Penn Subsequently Added Intellectual Property or UF Subsequently Added Intellectual Property, as applicable, for Licensee’s review and comment prior to any filing or other submission thereof, and Penn or UFRF, as applicable, will give due consideration to comments provided by Licensee or Licensee’s counsel. If Licensee fails to provide comments regarding actions to be taken, submissions or payment of fees, annuities, or other costs or expenses within [**] of the date of Penn’s or UFRF’s, as applicable, submission thereof to Licensee, then Penn or UFRF, as applicable, will assume Licensee has no comments.</w:t>
      </w:r>
    </w:p>
    <w:p>
      <w:pPr>
        <w:spacing w:after="0" w:line="102" w:lineRule="exact"/>
        <w:rPr>
          <w:rFonts w:ascii="Arial" w:cs="Arial" w:eastAsia="Arial" w:hAnsi="Arial"/>
          <w:sz w:val="19"/>
          <w:szCs w:val="19"/>
          <w:color w:val="auto"/>
        </w:rPr>
      </w:pPr>
    </w:p>
    <w:p>
      <w:pPr>
        <w:ind w:left="408" w:right="40" w:hanging="408"/>
        <w:spacing w:after="0" w:line="302" w:lineRule="auto"/>
        <w:tabs>
          <w:tab w:leader="none" w:pos="408"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Penn or UFRF, as applicable, shall maintain the Patent Rights related to Penn Subsequently Added Intellectual Property or UF Subsequently Added Intellectual Property, as applicable, in at least the following countries: [**]. Licensee shall pay all costs and expenses incurred by Penn or UFRF, as applicable, related to the preparation, filing, prosecution (including interferences and oppositions), issuance, maintenance and reporting of the Patent Rights related to Penn Subsequently Added Intellectual Property or UF Subsequently Added Intellectual Property, as applicable, in such countries and in any additional countries or jurisdictions in which Penn or UFRF, as applicable, and Licensee mutually agree to pursue such preparation, filing, prosecution (including interferences and oppositions), issuance, maintenance and reporting, in each case that were not previously reimbursed, within [**] of receipt of an invoice from Penn or UFRF, as applicable. Licensee shall keep Penn or UFRF, as applicable, fully apprised of the entity status of Licensee and all Sublicensees with respect to United States and applicable foreign patent laws. Licensee shall inform Penn or UFRF, as applicable, of any changes in writing of the entity status from “small entity” to “large entity” or vice versa with respect to United States and applicable foreign patent laws within [**] of any change.</w:t>
      </w:r>
    </w:p>
    <w:p>
      <w:pPr>
        <w:spacing w:after="0" w:line="91" w:lineRule="exact"/>
        <w:rPr>
          <w:sz w:val="20"/>
          <w:szCs w:val="20"/>
          <w:color w:val="auto"/>
        </w:rPr>
      </w:pPr>
    </w:p>
    <w:p>
      <w:pPr>
        <w:ind w:left="408" w:right="480" w:hanging="404"/>
        <w:spacing w:after="0" w:line="288" w:lineRule="auto"/>
        <w:rPr>
          <w:sz w:val="20"/>
          <w:szCs w:val="20"/>
          <w:color w:val="auto"/>
        </w:rPr>
      </w:pPr>
      <w:r>
        <w:rPr>
          <w:rFonts w:ascii="Arial" w:cs="Arial" w:eastAsia="Arial" w:hAnsi="Arial"/>
          <w:sz w:val="20"/>
          <w:szCs w:val="20"/>
          <w:color w:val="auto"/>
        </w:rPr>
        <w:t>(c ) Penn or UFRF, as applicable, shall, with respect to Penn Subsequently Added Intellectual Property or UF Subsequently Added Intellectual Property, as applicable, and any related Patent</w:t>
      </w:r>
    </w:p>
    <w:p>
      <w:pPr>
        <w:sectPr>
          <w:pgSz w:w="11900" w:h="16838" w:orient="portrait"/>
          <w:cols w:equalWidth="0" w:num="1">
            <w:col w:w="10908"/>
          </w:cols>
          <w:pgMar w:left="652" w:top="582" w:right="339" w:bottom="1440" w:gutter="0" w:footer="0" w:header="0"/>
        </w:sectPr>
      </w:pPr>
    </w:p>
    <w:bookmarkStart w:id="93" w:name="page94"/>
    <w:bookmarkEnd w:id="93"/>
    <w:p>
      <w:pPr>
        <w:jc w:val="both"/>
        <w:ind w:left="408" w:right="340"/>
        <w:spacing w:after="0" w:line="291" w:lineRule="auto"/>
        <w:rPr>
          <w:sz w:val="20"/>
          <w:szCs w:val="20"/>
          <w:color w:val="auto"/>
        </w:rPr>
      </w:pPr>
      <w:r>
        <w:rPr>
          <w:rFonts w:ascii="Arial" w:cs="Arial" w:eastAsia="Arial" w:hAnsi="Arial"/>
          <w:sz w:val="18"/>
          <w:szCs w:val="18"/>
          <w:color w:val="auto"/>
        </w:rPr>
        <w:t>Rights, remain in compliance with The Patent and Trademark Law Amendments Act of 1980 (Public Law 96-517; 35 U.S.C. §§ 200-212), including any amendments thereto and all regulations promulgated thereunder, and shall reasonably assist Licensee in complying with Licensee’s obligations under such law, including, as applicable, that set forth in Section 17.1.</w:t>
      </w:r>
    </w:p>
    <w:p>
      <w:pPr>
        <w:spacing w:after="0" w:line="84" w:lineRule="exact"/>
        <w:rPr>
          <w:sz w:val="20"/>
          <w:szCs w:val="20"/>
          <w:color w:val="auto"/>
        </w:rPr>
      </w:pPr>
    </w:p>
    <w:p>
      <w:pPr>
        <w:ind w:left="408" w:right="240" w:hanging="408"/>
        <w:spacing w:after="0" w:line="272" w:lineRule="auto"/>
        <w:tabs>
          <w:tab w:leader="none" w:pos="408" w:val="left"/>
        </w:tabs>
        <w:numPr>
          <w:ilvl w:val="0"/>
          <w:numId w:val="59"/>
        </w:numPr>
        <w:rPr>
          <w:rFonts w:ascii="Arial" w:cs="Arial" w:eastAsia="Arial" w:hAnsi="Arial"/>
          <w:sz w:val="20"/>
          <w:szCs w:val="20"/>
          <w:color w:val="auto"/>
        </w:rPr>
      </w:pPr>
      <w:r>
        <w:rPr>
          <w:rFonts w:ascii="Arial" w:cs="Arial" w:eastAsia="Arial" w:hAnsi="Arial"/>
          <w:sz w:val="20"/>
          <w:szCs w:val="20"/>
          <w:color w:val="auto"/>
        </w:rPr>
        <w:t>Licensee shall have the sole right in electing which of the Patent Rights related to Subsequently Added Intellectual Property shall receive any patent term extension under 35 U.S.C. § 156 in the United States, supplemental protection certificate in the European Union and similar rights in foreign jurisdictions. Penn or UFRF, as applicable, and Licensee shall cooperate in timely filing and obtaining the patent term extension, supplemental protection certificate and similar rights for such Patent Right(s) elected by Licensee.</w:t>
      </w:r>
    </w:p>
    <w:p>
      <w:pPr>
        <w:spacing w:after="0" w:line="114" w:lineRule="exact"/>
        <w:rPr>
          <w:sz w:val="20"/>
          <w:szCs w:val="20"/>
          <w:color w:val="auto"/>
        </w:rPr>
      </w:pPr>
    </w:p>
    <w:p>
      <w:pPr>
        <w:ind w:left="408" w:right="140" w:hanging="404"/>
        <w:spacing w:after="0" w:line="309" w:lineRule="auto"/>
        <w:tabs>
          <w:tab w:leader="none" w:pos="388" w:val="left"/>
        </w:tabs>
        <w:rPr>
          <w:sz w:val="20"/>
          <w:szCs w:val="20"/>
          <w:color w:val="auto"/>
        </w:rPr>
      </w:pPr>
      <w:r>
        <w:rPr>
          <w:rFonts w:ascii="Arial" w:cs="Arial" w:eastAsia="Arial" w:hAnsi="Arial"/>
          <w:sz w:val="20"/>
          <w:szCs w:val="20"/>
          <w:color w:val="auto"/>
        </w:rPr>
        <w:t>7.8</w:t>
      </w:r>
      <w:r>
        <w:rPr>
          <w:sz w:val="20"/>
          <w:szCs w:val="20"/>
          <w:color w:val="auto"/>
        </w:rPr>
        <w:tab/>
      </w:r>
      <w:r>
        <w:rPr>
          <w:rFonts w:ascii="Arial" w:cs="Arial" w:eastAsia="Arial" w:hAnsi="Arial"/>
          <w:sz w:val="18"/>
          <w:szCs w:val="18"/>
          <w:color w:val="auto"/>
        </w:rPr>
        <w:t>Licensee may elect upon [**] prior written notice to decline to reimburse Penn or UFRF, as applicable, for patent expenses for any Patent Right related to Penn Subsequently Added Intellectual Property or UF Subsequently Added Intellectual Property, as applicable, in any particular country or jurisdiction, provided that if Licensee elects to decline to reimburse Penn or UFRF, as applicable, for such patent expenses in any country, then upon such election, the license granted to Licensee by this Agreement terminates after the [**] with respect to the applicable Patent Right in that country or jurisdiction.</w:t>
      </w:r>
    </w:p>
    <w:p>
      <w:pPr>
        <w:spacing w:after="0" w:line="342" w:lineRule="exact"/>
        <w:rPr>
          <w:sz w:val="20"/>
          <w:szCs w:val="20"/>
          <w:color w:val="auto"/>
        </w:rPr>
      </w:pPr>
    </w:p>
    <w:p>
      <w:pPr>
        <w:ind w:left="328" w:hanging="328"/>
        <w:spacing w:after="0" w:line="278" w:lineRule="auto"/>
        <w:tabs>
          <w:tab w:leader="none" w:pos="328"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Reimbursement</w:t>
      </w:r>
      <w:r>
        <w:rPr>
          <w:rFonts w:ascii="Arial" w:cs="Arial" w:eastAsia="Arial" w:hAnsi="Arial"/>
          <w:sz w:val="20"/>
          <w:szCs w:val="20"/>
          <w:color w:val="auto"/>
        </w:rPr>
        <w:t>. Licensee shall pay Penn, within [**] after receipt of an invoice therefor, to reimburse expenses associated with preparation, filing, prosecution, issuance, maintenance, and reporting of the Patent Rights relating to the Patent Applications incurred prior to the effective date of this Amendment.</w:t>
      </w:r>
    </w:p>
    <w:p>
      <w:pPr>
        <w:spacing w:after="0" w:line="226" w:lineRule="exact"/>
        <w:rPr>
          <w:rFonts w:ascii="Arial" w:cs="Arial" w:eastAsia="Arial" w:hAnsi="Arial"/>
          <w:sz w:val="20"/>
          <w:szCs w:val="20"/>
          <w:color w:val="auto"/>
        </w:rPr>
      </w:pPr>
    </w:p>
    <w:p>
      <w:pPr>
        <w:ind w:left="328" w:hanging="328"/>
        <w:spacing w:after="0"/>
        <w:tabs>
          <w:tab w:leader="none" w:pos="328"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Except as expressly set forth in this Amendment, the License Agreement remains in full force and effect in accordance with its terms.</w:t>
      </w:r>
    </w:p>
    <w:p>
      <w:pPr>
        <w:spacing w:after="0" w:line="329" w:lineRule="exact"/>
        <w:rPr>
          <w:rFonts w:ascii="Arial" w:cs="Arial" w:eastAsia="Arial" w:hAnsi="Arial"/>
          <w:sz w:val="16"/>
          <w:szCs w:val="16"/>
          <w:color w:val="auto"/>
        </w:rPr>
      </w:pPr>
    </w:p>
    <w:p>
      <w:pPr>
        <w:ind w:left="328" w:right="580" w:hanging="328"/>
        <w:spacing w:after="0" w:line="288" w:lineRule="auto"/>
        <w:tabs>
          <w:tab w:leader="none" w:pos="328" w:val="left"/>
        </w:tabs>
        <w:numPr>
          <w:ilvl w:val="0"/>
          <w:numId w:val="60"/>
        </w:numPr>
        <w:rPr>
          <w:rFonts w:ascii="Arial" w:cs="Arial" w:eastAsia="Arial" w:hAnsi="Arial"/>
          <w:sz w:val="20"/>
          <w:szCs w:val="20"/>
          <w:color w:val="auto"/>
        </w:rPr>
      </w:pPr>
      <w:r>
        <w:rPr>
          <w:rFonts w:ascii="Arial" w:cs="Arial" w:eastAsia="Arial" w:hAnsi="Arial"/>
          <w:sz w:val="20"/>
          <w:szCs w:val="20"/>
          <w:color w:val="auto"/>
        </w:rPr>
        <w:t>Penn and UFRF each consents to Licensee filing a copy of this Amendment with the Securities and Exchange Commission, in accordance with its rules and regulations.</w:t>
      </w:r>
    </w:p>
    <w:p>
      <w:pPr>
        <w:spacing w:after="0" w:line="217" w:lineRule="exact"/>
        <w:rPr>
          <w:rFonts w:ascii="Arial" w:cs="Arial" w:eastAsia="Arial" w:hAnsi="Arial"/>
          <w:sz w:val="20"/>
          <w:szCs w:val="20"/>
          <w:color w:val="auto"/>
        </w:rPr>
      </w:pPr>
    </w:p>
    <w:p>
      <w:pPr>
        <w:ind w:left="328" w:right="120" w:hanging="328"/>
        <w:spacing w:after="0" w:line="267" w:lineRule="auto"/>
        <w:tabs>
          <w:tab w:leader="none" w:pos="328"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This Amendment may be executed in counterparts, each of which will be deemed an original, and all of which together will be deemed to be one and the same instrument. A portable document format (PDF) or electronic copy of this Amendment, including the signature pages, will be deemed an original.</w:t>
      </w:r>
    </w:p>
    <w:p>
      <w:pPr>
        <w:spacing w:after="0" w:line="2" w:lineRule="exact"/>
        <w:rPr>
          <w:sz w:val="20"/>
          <w:szCs w:val="20"/>
          <w:color w:val="auto"/>
        </w:rPr>
      </w:pPr>
    </w:p>
    <w:p>
      <w:pPr>
        <w:jc w:val="center"/>
        <w:ind w:right="292"/>
        <w:spacing w:after="0"/>
        <w:rPr>
          <w:sz w:val="20"/>
          <w:szCs w:val="20"/>
          <w:color w:val="auto"/>
        </w:rPr>
      </w:pPr>
      <w:r>
        <w:rPr>
          <w:rFonts w:ascii="Arial" w:cs="Arial" w:eastAsia="Arial" w:hAnsi="Arial"/>
          <w:sz w:val="20"/>
          <w:szCs w:val="20"/>
          <w:color w:val="auto"/>
        </w:rPr>
        <w:t>[Signatures follow]</w:t>
      </w:r>
    </w:p>
    <w:p>
      <w:pPr>
        <w:sectPr>
          <w:pgSz w:w="11900" w:h="16838" w:orient="portrait"/>
          <w:cols w:equalWidth="0" w:num="1">
            <w:col w:w="10888"/>
          </w:cols>
          <w:pgMar w:left="652" w:top="568" w:right="359" w:bottom="1440" w:gutter="0" w:footer="0" w:header="0"/>
        </w:sectPr>
      </w:pPr>
    </w:p>
    <w:bookmarkStart w:id="94" w:name="page95"/>
    <w:bookmarkEnd w:id="94"/>
    <w:p>
      <w:pPr>
        <w:ind w:firstLine="648"/>
        <w:spacing w:after="0" w:line="288" w:lineRule="auto"/>
        <w:rPr>
          <w:sz w:val="20"/>
          <w:szCs w:val="20"/>
          <w:color w:val="auto"/>
        </w:rPr>
      </w:pPr>
      <w:r>
        <w:rPr>
          <w:rFonts w:ascii="Arial" w:cs="Arial" w:eastAsia="Arial" w:hAnsi="Arial"/>
          <w:sz w:val="20"/>
          <w:szCs w:val="20"/>
          <w:color w:val="auto"/>
        </w:rPr>
        <w:t>This Amendment No. 1 to Exclusive License Agreement with Know-How is entered into by the parties by their duly authorized signatories.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Licensors: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TRUSTEES OF THE UNIVERSITY OF PENNSYLVANIA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_/s/ Benjamin Dibling</w:t>
      </w:r>
      <w:r>
        <w:rPr>
          <w:rFonts w:ascii="Arial" w:cs="Arial" w:eastAsia="Arial" w:hAnsi="Arial"/>
          <w:sz w:val="20"/>
          <w:szCs w:val="20"/>
          <w:color w:val="auto"/>
        </w:rPr>
        <w:t>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Name: Benjamin Dibling, Ph.D.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Title: Executive Director of Licensing,</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Penn Center for Innovation</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UNIVERSITY OF FLORIDA RESEARCH FOUNDATION,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_/s/ Jim O’Connell</w:t>
      </w:r>
      <w:r>
        <w:rPr>
          <w:rFonts w:ascii="Arial" w:cs="Arial" w:eastAsia="Arial" w:hAnsi="Arial"/>
          <w:sz w:val="20"/>
          <w:szCs w:val="20"/>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Name: Jim O’Connell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UF Innovate | Tech Licensing</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Licensee: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IVERIC BIO,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Abraham Scaria</w:t>
      </w:r>
      <w:r>
        <w:rPr>
          <w:rFonts w:ascii="Arial" w:cs="Arial" w:eastAsia="Arial" w:hAnsi="Arial"/>
          <w:sz w:val="20"/>
          <w:szCs w:val="20"/>
          <w:color w:val="auto"/>
        </w:rPr>
        <w:t>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Name: Abraham Scaria, Ph.D.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Title: Chief Scientific Officer</w:t>
      </w:r>
    </w:p>
    <w:p>
      <w:pPr>
        <w:sectPr>
          <w:pgSz w:w="11900" w:h="16838" w:orient="portrait"/>
          <w:cols w:equalWidth="0" w:num="1">
            <w:col w:w="10760"/>
          </w:cols>
          <w:pgMar w:left="320" w:top="973" w:right="819" w:bottom="1440" w:gutter="0" w:footer="0" w:header="0"/>
        </w:sectPr>
      </w:pPr>
    </w:p>
    <w:bookmarkStart w:id="95" w:name="page96"/>
    <w:bookmarkEnd w:id="95"/>
    <w:p>
      <w:pPr>
        <w:jc w:val="center"/>
        <w:ind w:left="3120"/>
        <w:spacing w:after="0"/>
        <w:rPr>
          <w:sz w:val="20"/>
          <w:szCs w:val="20"/>
          <w:color w:val="auto"/>
        </w:rPr>
      </w:pPr>
      <w:r>
        <w:rPr>
          <w:rFonts w:ascii="Arial" w:cs="Arial" w:eastAsia="Arial" w:hAnsi="Arial"/>
          <w:sz w:val="22"/>
          <w:szCs w:val="22"/>
          <w:color w:val="auto"/>
        </w:rPr>
        <w:t>ONE PENN PLAZA LLC</w:t>
      </w:r>
    </w:p>
    <w:p>
      <w:pPr>
        <w:spacing w:after="0" w:line="21" w:lineRule="exact"/>
        <w:rPr>
          <w:sz w:val="20"/>
          <w:szCs w:val="20"/>
          <w:color w:val="auto"/>
        </w:rPr>
      </w:pPr>
    </w:p>
    <w:p>
      <w:pPr>
        <w:jc w:val="center"/>
        <w:ind w:left="3120"/>
        <w:spacing w:after="0"/>
        <w:rPr>
          <w:sz w:val="20"/>
          <w:szCs w:val="20"/>
          <w:color w:val="auto"/>
        </w:rPr>
      </w:pPr>
      <w:r>
        <w:rPr>
          <w:rFonts w:ascii="Arial" w:cs="Arial" w:eastAsia="Arial" w:hAnsi="Arial"/>
          <w:sz w:val="22"/>
          <w:szCs w:val="22"/>
          <w:color w:val="auto"/>
        </w:rPr>
        <w:t>c/o Vornado Office Management LLC 888 Seventh Avenue</w:t>
      </w:r>
    </w:p>
    <w:p>
      <w:pPr>
        <w:spacing w:after="0" w:line="4" w:lineRule="exact"/>
        <w:rPr>
          <w:sz w:val="20"/>
          <w:szCs w:val="20"/>
          <w:color w:val="auto"/>
        </w:rPr>
      </w:pPr>
    </w:p>
    <w:p>
      <w:pPr>
        <w:jc w:val="center"/>
        <w:ind w:left="3120"/>
        <w:spacing w:after="0"/>
        <w:rPr>
          <w:sz w:val="20"/>
          <w:szCs w:val="20"/>
          <w:color w:val="auto"/>
        </w:rPr>
      </w:pPr>
      <w:r>
        <w:rPr>
          <w:rFonts w:ascii="Arial" w:cs="Arial" w:eastAsia="Arial" w:hAnsi="Arial"/>
          <w:sz w:val="22"/>
          <w:szCs w:val="22"/>
          <w:color w:val="auto"/>
        </w:rPr>
        <w:t>New York, New York 10019</w:t>
      </w:r>
    </w:p>
    <w:p>
      <w:pPr>
        <w:spacing w:after="0" w:line="242"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As of April 16, 2020</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IVERIC BIO,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One Penn Plaza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10119</w:t>
      </w:r>
    </w:p>
    <w:p>
      <w:pPr>
        <w:spacing w:after="0" w:line="229" w:lineRule="exact"/>
        <w:rPr>
          <w:sz w:val="20"/>
          <w:szCs w:val="20"/>
          <w:color w:val="auto"/>
        </w:rPr>
      </w:pPr>
    </w:p>
    <w:p>
      <w:pPr>
        <w:ind w:left="620" w:right="120" w:hanging="638"/>
        <w:spacing w:after="0" w:line="297" w:lineRule="auto"/>
        <w:tabs>
          <w:tab w:leader="none" w:pos="6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Lease, dated as of September 30, 2007 (as amended, the "</w:t>
      </w:r>
      <w:r>
        <w:rPr>
          <w:rFonts w:ascii="Arial" w:cs="Arial" w:eastAsia="Arial" w:hAnsi="Arial"/>
          <w:sz w:val="19"/>
          <w:szCs w:val="19"/>
          <w:u w:val="single" w:color="auto"/>
          <w:color w:val="auto"/>
        </w:rPr>
        <w:t>Lease</w:t>
      </w:r>
      <w:r>
        <w:rPr>
          <w:rFonts w:ascii="Arial" w:cs="Arial" w:eastAsia="Arial" w:hAnsi="Arial"/>
          <w:sz w:val="19"/>
          <w:szCs w:val="19"/>
          <w:color w:val="auto"/>
        </w:rPr>
        <w:t>"), between One Penn Plaza LLC ("</w:t>
      </w:r>
      <w:r>
        <w:rPr>
          <w:rFonts w:ascii="Arial" w:cs="Arial" w:eastAsia="Arial" w:hAnsi="Arial"/>
          <w:sz w:val="19"/>
          <w:szCs w:val="19"/>
          <w:u w:val="single" w:color="auto"/>
          <w:color w:val="auto"/>
        </w:rPr>
        <w:t>Landlord</w:t>
      </w:r>
      <w:r>
        <w:rPr>
          <w:rFonts w:ascii="Arial" w:cs="Arial" w:eastAsia="Arial" w:hAnsi="Arial"/>
          <w:sz w:val="19"/>
          <w:szCs w:val="19"/>
          <w:color w:val="auto"/>
        </w:rPr>
        <w:t>") and Iveric Bio, Inc. f/k/a Ophthotech Corporation ("</w:t>
      </w:r>
      <w:r>
        <w:rPr>
          <w:rFonts w:ascii="Arial" w:cs="Arial" w:eastAsia="Arial" w:hAnsi="Arial"/>
          <w:sz w:val="19"/>
          <w:szCs w:val="19"/>
          <w:u w:val="single" w:color="auto"/>
          <w:color w:val="auto"/>
        </w:rPr>
        <w:t>Tenant</w:t>
      </w:r>
      <w:r>
        <w:rPr>
          <w:rFonts w:ascii="Arial" w:cs="Arial" w:eastAsia="Arial" w:hAnsi="Arial"/>
          <w:sz w:val="19"/>
          <w:szCs w:val="19"/>
          <w:color w:val="auto"/>
        </w:rPr>
        <w:t>"), for the premises located on a portion of the thirty-fifth (35</w:t>
      </w:r>
      <w:r>
        <w:rPr>
          <w:rFonts w:ascii="Arial" w:cs="Arial" w:eastAsia="Arial" w:hAnsi="Arial"/>
          <w:sz w:val="13"/>
          <w:szCs w:val="13"/>
          <w:color w:val="auto"/>
        </w:rPr>
        <w:t>th</w:t>
      </w:r>
      <w:r>
        <w:rPr>
          <w:rFonts w:ascii="Arial" w:cs="Arial" w:eastAsia="Arial" w:hAnsi="Arial"/>
          <w:sz w:val="19"/>
          <w:szCs w:val="19"/>
          <w:color w:val="auto"/>
        </w:rPr>
        <w:t>) floor (the "</w:t>
      </w:r>
      <w:r>
        <w:rPr>
          <w:rFonts w:ascii="Arial" w:cs="Arial" w:eastAsia="Arial" w:hAnsi="Arial"/>
          <w:sz w:val="19"/>
          <w:szCs w:val="19"/>
          <w:u w:val="single" w:color="auto"/>
          <w:color w:val="auto"/>
        </w:rPr>
        <w:t>Premises</w:t>
      </w:r>
      <w:r>
        <w:rPr>
          <w:rFonts w:ascii="Arial" w:cs="Arial" w:eastAsia="Arial" w:hAnsi="Arial"/>
          <w:sz w:val="19"/>
          <w:szCs w:val="19"/>
          <w:color w:val="auto"/>
        </w:rPr>
        <w:t>") of the building known by the street address One Penn Plaza, New York, New York</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Gentlemen:</w:t>
      </w:r>
    </w:p>
    <w:p>
      <w:pPr>
        <w:spacing w:after="0" w:line="260" w:lineRule="exact"/>
        <w:rPr>
          <w:sz w:val="20"/>
          <w:szCs w:val="20"/>
          <w:color w:val="auto"/>
        </w:rPr>
      </w:pPr>
    </w:p>
    <w:p>
      <w:pPr>
        <w:ind w:right="200"/>
        <w:spacing w:after="0" w:line="263" w:lineRule="auto"/>
        <w:rPr>
          <w:sz w:val="20"/>
          <w:szCs w:val="20"/>
          <w:color w:val="auto"/>
        </w:rPr>
      </w:pPr>
      <w:r>
        <w:rPr>
          <w:rFonts w:ascii="Arial" w:cs="Arial" w:eastAsia="Arial" w:hAnsi="Arial"/>
          <w:sz w:val="22"/>
          <w:szCs w:val="22"/>
          <w:color w:val="auto"/>
        </w:rPr>
        <w:t>Reference is made to the Lease. Capitalized terms used herein but not otherwise defined shall have the meaning ascribed to such terms in the Lease.</w:t>
      </w:r>
    </w:p>
    <w:p>
      <w:pPr>
        <w:spacing w:after="0" w:line="215" w:lineRule="exact"/>
        <w:rPr>
          <w:sz w:val="20"/>
          <w:szCs w:val="20"/>
          <w:color w:val="auto"/>
        </w:rPr>
      </w:pPr>
    </w:p>
    <w:p>
      <w:pPr>
        <w:ind w:right="640"/>
        <w:spacing w:after="0" w:line="263" w:lineRule="auto"/>
        <w:rPr>
          <w:sz w:val="20"/>
          <w:szCs w:val="20"/>
          <w:color w:val="auto"/>
        </w:rPr>
      </w:pPr>
      <w:r>
        <w:rPr>
          <w:rFonts w:ascii="Arial" w:cs="Arial" w:eastAsia="Arial" w:hAnsi="Arial"/>
          <w:sz w:val="22"/>
          <w:szCs w:val="22"/>
          <w:color w:val="auto"/>
        </w:rPr>
        <w:t>In consideration of the mutual covenants and conditions set forth in the Lease, Landlord and Tenant hereby agree as follows:</w:t>
      </w:r>
    </w:p>
    <w:p>
      <w:pPr>
        <w:spacing w:after="0" w:line="215" w:lineRule="exact"/>
        <w:rPr>
          <w:sz w:val="20"/>
          <w:szCs w:val="20"/>
          <w:color w:val="auto"/>
        </w:rPr>
      </w:pPr>
    </w:p>
    <w:p>
      <w:pPr>
        <w:jc w:val="both"/>
        <w:ind w:left="1300" w:hanging="650"/>
        <w:spacing w:after="0" w:line="247" w:lineRule="auto"/>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Term is hereby extended on all of the same terms and conditions set forth in the Lease, as hereinafter modified, so that the Term shall expire at 11:59 PM on December 31, 2020 (the "</w:t>
      </w:r>
      <w:r>
        <w:rPr>
          <w:rFonts w:ascii="Arial" w:cs="Arial" w:eastAsia="Arial" w:hAnsi="Arial"/>
          <w:sz w:val="22"/>
          <w:szCs w:val="22"/>
          <w:u w:val="single" w:color="auto"/>
          <w:color w:val="auto"/>
        </w:rPr>
        <w:t>Renewal Expiration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unless it shall sooner expire pursuant to any of the terms, covenants or conditions set forth in the Lease, as amended by this letter agreement, or pursuant to applicable law. Accordingly, the Renewal Expiration Date shall be deemed to be the Fixed Expiration Date for all purposes of the Lease, as amended by this letter agreement.</w:t>
      </w:r>
    </w:p>
    <w:p>
      <w:pPr>
        <w:spacing w:after="0" w:line="233" w:lineRule="exact"/>
        <w:rPr>
          <w:rFonts w:ascii="Arial" w:cs="Arial" w:eastAsia="Arial" w:hAnsi="Arial"/>
          <w:sz w:val="22"/>
          <w:szCs w:val="22"/>
          <w:color w:val="auto"/>
        </w:rPr>
      </w:pPr>
    </w:p>
    <w:p>
      <w:pPr>
        <w:jc w:val="both"/>
        <w:ind w:left="1300" w:hanging="650"/>
        <w:spacing w:after="0" w:line="261" w:lineRule="auto"/>
        <w:tabs>
          <w:tab w:leader="none" w:pos="130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Tenant acknowledges that Landlord has made no representations to Tenant with respect to the condition of the Premises. Tenant acknowledges that it is currently occupying the Premises and agrees to take the same "as is" in the condition existing on the date hereof and that, notwithstanding anything to the contrary contained in the Lease, as amended by this letter agreement, Landlord shall have no obligation to perform any work, provide any work allowance or rent credit, alter, improve, decorate, or otherwise prepare the Premises for Tenant's continued occupancy.</w:t>
      </w:r>
    </w:p>
    <w:p>
      <w:pPr>
        <w:spacing w:after="0" w:line="220" w:lineRule="exact"/>
        <w:rPr>
          <w:sz w:val="20"/>
          <w:szCs w:val="20"/>
          <w:color w:val="auto"/>
        </w:rPr>
      </w:pPr>
    </w:p>
    <w:p>
      <w:pPr>
        <w:jc w:val="both"/>
        <w:ind w:left="1300" w:hanging="650"/>
        <w:spacing w:after="0" w:line="260" w:lineRule="auto"/>
        <w:tabs>
          <w:tab w:leader="none" w:pos="1300" w:val="left"/>
        </w:tabs>
        <w:numPr>
          <w:ilvl w:val="0"/>
          <w:numId w:val="62"/>
        </w:numPr>
        <w:rPr>
          <w:rFonts w:ascii="Arial" w:cs="Arial" w:eastAsia="Arial" w:hAnsi="Arial"/>
          <w:sz w:val="21"/>
          <w:szCs w:val="21"/>
          <w:color w:val="auto"/>
        </w:rPr>
      </w:pPr>
      <w:r>
        <w:rPr>
          <w:rFonts w:ascii="Arial" w:cs="Arial" w:eastAsia="Arial" w:hAnsi="Arial"/>
          <w:sz w:val="21"/>
          <w:szCs w:val="21"/>
          <w:color w:val="auto"/>
        </w:rPr>
        <w:t>Tenant represents and warrants to Landlord that it has not dealt with any broker, finder or like agent in connection with this letter agreement other than CBRE, Inc. ("</w:t>
      </w:r>
      <w:r>
        <w:rPr>
          <w:rFonts w:ascii="Arial" w:cs="Arial" w:eastAsia="Arial" w:hAnsi="Arial"/>
          <w:sz w:val="21"/>
          <w:szCs w:val="21"/>
          <w:u w:val="single" w:color="auto"/>
          <w:color w:val="auto"/>
        </w:rPr>
        <w:t>Broker</w:t>
      </w:r>
      <w:r>
        <w:rPr>
          <w:rFonts w:ascii="Arial" w:cs="Arial" w:eastAsia="Arial" w:hAnsi="Arial"/>
          <w:sz w:val="21"/>
          <w:szCs w:val="21"/>
          <w:color w:val="auto"/>
        </w:rPr>
        <w:t>"). Tenant does hereby indemnify and hold Landlord harmless of and from any and all loss, costs, damage or expense (including, without limitation, attorneys' fees and disbursements) incurred by Landlord by reason of any claim of or liability to any broker, finder or like agent (including, without limitation, Broker) who shall claim to have dealt with Tenant in connection herewith. The provisions of this Paragraph 3 shall survive the expiration or termination of the Lease, as amended by this letter agreement.</w:t>
      </w:r>
    </w:p>
    <w:p>
      <w:pPr>
        <w:sectPr>
          <w:pgSz w:w="11900" w:h="16838" w:orient="portrait"/>
          <w:cols w:equalWidth="0" w:num="1">
            <w:col w:w="10640"/>
          </w:cols>
          <w:pgMar w:left="920" w:top="415" w:right="339" w:bottom="1440" w:gutter="0" w:footer="0" w:header="0"/>
        </w:sectPr>
      </w:pPr>
    </w:p>
    <w:bookmarkStart w:id="96" w:name="page97"/>
    <w:bookmarkEnd w:id="96"/>
    <w:p>
      <w:pPr>
        <w:ind w:left="760" w:hanging="630"/>
        <w:spacing w:after="0"/>
        <w:tabs>
          <w:tab w:leader="none" w:pos="7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Except as modified by this letter agreement, the Lease is hereby ratified and confirmed.</w:t>
      </w:r>
    </w:p>
    <w:p>
      <w:pPr>
        <w:spacing w:after="0" w:line="260" w:lineRule="exact"/>
        <w:rPr>
          <w:rFonts w:ascii="Arial" w:cs="Arial" w:eastAsia="Arial" w:hAnsi="Arial"/>
          <w:sz w:val="22"/>
          <w:szCs w:val="22"/>
          <w:color w:val="auto"/>
        </w:rPr>
      </w:pPr>
    </w:p>
    <w:p>
      <w:pPr>
        <w:ind w:left="760" w:hanging="630"/>
        <w:spacing w:after="0" w:line="263" w:lineRule="auto"/>
        <w:tabs>
          <w:tab w:leader="none" w:pos="742"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This letter agreement may be signed in counterparts each of which when taken together shall constitute but one original.</w:t>
      </w:r>
    </w:p>
    <w:p>
      <w:pPr>
        <w:spacing w:after="0" w:line="215" w:lineRule="exact"/>
        <w:rPr>
          <w:sz w:val="20"/>
          <w:szCs w:val="20"/>
          <w:color w:val="auto"/>
        </w:rPr>
      </w:pPr>
    </w:p>
    <w:p>
      <w:pPr>
        <w:ind w:left="1240"/>
        <w:spacing w:after="0"/>
        <w:rPr>
          <w:sz w:val="20"/>
          <w:szCs w:val="20"/>
          <w:color w:val="auto"/>
        </w:rPr>
      </w:pPr>
      <w:r>
        <w:rPr>
          <w:rFonts w:ascii="Arial" w:cs="Arial" w:eastAsia="Arial" w:hAnsi="Arial"/>
          <w:sz w:val="22"/>
          <w:szCs w:val="22"/>
          <w:color w:val="auto"/>
        </w:rPr>
        <w:t>[REMAINDER OF PAGE INTENTIONALLY LEFT BLANK]</w:t>
      </w:r>
    </w:p>
    <w:p>
      <w:pPr>
        <w:sectPr>
          <w:pgSz w:w="11900" w:h="16838" w:orient="portrait"/>
          <w:cols w:equalWidth="0" w:num="1">
            <w:col w:w="9980"/>
          </w:cols>
          <w:pgMar w:left="1440" w:top="348" w:right="479" w:bottom="1440" w:gutter="0" w:footer="0" w:header="0"/>
        </w:sectPr>
      </w:pPr>
    </w:p>
    <w:bookmarkStart w:id="97" w:name="page98"/>
    <w:bookmarkEnd w:id="97"/>
    <w:p>
      <w:pPr>
        <w:ind w:firstLine="648"/>
        <w:spacing w:after="0" w:line="263" w:lineRule="auto"/>
        <w:rPr>
          <w:sz w:val="20"/>
          <w:szCs w:val="20"/>
          <w:color w:val="auto"/>
        </w:rPr>
      </w:pPr>
      <w:r>
        <w:rPr>
          <w:rFonts w:ascii="Arial" w:cs="Arial" w:eastAsia="Arial" w:hAnsi="Arial"/>
          <w:sz w:val="22"/>
          <w:szCs w:val="22"/>
          <w:color w:val="1D1D1D"/>
        </w:rPr>
        <w:t>Kindly indicate Tenant's acceptance of the terms of this letter agreement by signing in the space provided below and returning one copy to the attention of Jared Silverman at jsilverman@vno.com.</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22"/>
          <w:szCs w:val="22"/>
          <w:color w:val="1D1D1D"/>
        </w:rPr>
        <w:t>Sincerely,</w:t>
      </w:r>
    </w:p>
    <w:p>
      <w:pPr>
        <w:spacing w:after="0" w:line="260" w:lineRule="exact"/>
        <w:rPr>
          <w:sz w:val="20"/>
          <w:szCs w:val="20"/>
          <w:color w:val="auto"/>
        </w:rPr>
      </w:pPr>
    </w:p>
    <w:p>
      <w:pPr>
        <w:ind w:left="3340"/>
        <w:spacing w:after="0"/>
        <w:rPr>
          <w:sz w:val="20"/>
          <w:szCs w:val="20"/>
          <w:color w:val="auto"/>
        </w:rPr>
      </w:pPr>
      <w:r>
        <w:rPr>
          <w:rFonts w:ascii="Arial" w:cs="Arial" w:eastAsia="Arial" w:hAnsi="Arial"/>
          <w:sz w:val="22"/>
          <w:szCs w:val="22"/>
          <w:color w:val="1D1D1D"/>
        </w:rPr>
        <w:t>ONE PENN PLAZA LLC, Landlord</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1D1D1D"/>
        </w:rPr>
        <w:t>By: Vornado Realty L.P., as managing member</w:t>
      </w:r>
    </w:p>
    <w:p>
      <w:pPr>
        <w:spacing w:after="0" w:line="260" w:lineRule="exact"/>
        <w:rPr>
          <w:sz w:val="20"/>
          <w:szCs w:val="20"/>
          <w:color w:val="auto"/>
        </w:rPr>
      </w:pPr>
    </w:p>
    <w:p>
      <w:pPr>
        <w:ind w:left="4000"/>
        <w:spacing w:after="0"/>
        <w:rPr>
          <w:sz w:val="20"/>
          <w:szCs w:val="20"/>
          <w:color w:val="auto"/>
        </w:rPr>
      </w:pPr>
      <w:r>
        <w:rPr>
          <w:rFonts w:ascii="Arial" w:cs="Arial" w:eastAsia="Arial" w:hAnsi="Arial"/>
          <w:sz w:val="22"/>
          <w:szCs w:val="22"/>
          <w:color w:val="1D1D1D"/>
        </w:rPr>
        <w:t>By: Vornado Realty Trust, its general partner</w:t>
      </w:r>
    </w:p>
    <w:p>
      <w:pPr>
        <w:spacing w:after="0" w:line="200" w:lineRule="exact"/>
        <w:rPr>
          <w:sz w:val="20"/>
          <w:szCs w:val="20"/>
          <w:color w:val="auto"/>
        </w:rPr>
      </w:pPr>
    </w:p>
    <w:p>
      <w:pPr>
        <w:spacing w:after="0" w:line="317" w:lineRule="exact"/>
        <w:rPr>
          <w:sz w:val="20"/>
          <w:szCs w:val="20"/>
          <w:color w:val="auto"/>
        </w:rPr>
      </w:pPr>
    </w:p>
    <w:p>
      <w:pPr>
        <w:ind w:left="4640"/>
        <w:spacing w:after="0"/>
        <w:rPr>
          <w:sz w:val="20"/>
          <w:szCs w:val="20"/>
          <w:color w:val="auto"/>
        </w:rPr>
      </w:pPr>
      <w:r>
        <w:rPr>
          <w:rFonts w:ascii="Arial" w:cs="Arial" w:eastAsia="Arial" w:hAnsi="Arial"/>
          <w:sz w:val="22"/>
          <w:szCs w:val="22"/>
          <w:color w:val="1D1D1D"/>
        </w:rPr>
        <w:t>By: __</w:t>
      </w:r>
      <w:r>
        <w:rPr>
          <w:rFonts w:ascii="Arial" w:cs="Arial" w:eastAsia="Arial" w:hAnsi="Arial"/>
          <w:sz w:val="22"/>
          <w:szCs w:val="22"/>
          <w:u w:val="single" w:color="auto"/>
          <w:color w:val="1D1D1D"/>
        </w:rPr>
        <w:t>/s/ David Greenbaum________________</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22"/>
          <w:szCs w:val="22"/>
          <w:color w:val="1D1D1D"/>
        </w:rPr>
        <w:t>David R. Greenbaum</w:t>
      </w:r>
    </w:p>
    <w:p>
      <w:pPr>
        <w:spacing w:after="0" w:line="17" w:lineRule="exact"/>
        <w:rPr>
          <w:sz w:val="20"/>
          <w:szCs w:val="20"/>
          <w:color w:val="auto"/>
        </w:rPr>
      </w:pPr>
    </w:p>
    <w:p>
      <w:pPr>
        <w:ind w:left="5280"/>
        <w:spacing w:after="0"/>
        <w:rPr>
          <w:sz w:val="20"/>
          <w:szCs w:val="20"/>
          <w:color w:val="auto"/>
        </w:rPr>
      </w:pPr>
      <w:r>
        <w:rPr>
          <w:rFonts w:ascii="Arial" w:cs="Arial" w:eastAsia="Arial" w:hAnsi="Arial"/>
          <w:sz w:val="22"/>
          <w:szCs w:val="22"/>
          <w:color w:val="1D1D1D"/>
        </w:rPr>
        <w:t>Vice Chairman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21"/>
          <w:szCs w:val="21"/>
          <w:color w:val="1D1D1D"/>
        </w:rPr>
        <w:t>ACCEPTED AND AGREED:</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1"/>
          <w:szCs w:val="21"/>
          <w:color w:val="1D1D1D"/>
        </w:rPr>
        <w:t>IVERIC bio, INC., Tenant</w:t>
      </w:r>
    </w:p>
    <w:p>
      <w:pPr>
        <w:spacing w:after="0" w:line="200" w:lineRule="exact"/>
        <w:rPr>
          <w:sz w:val="20"/>
          <w:szCs w:val="20"/>
          <w:color w:val="auto"/>
        </w:rPr>
      </w:pPr>
    </w:p>
    <w:p>
      <w:pPr>
        <w:spacing w:after="0" w:line="301" w:lineRule="exact"/>
        <w:rPr>
          <w:sz w:val="20"/>
          <w:szCs w:val="20"/>
          <w:color w:val="auto"/>
        </w:rPr>
      </w:pPr>
    </w:p>
    <w:p>
      <w:pPr>
        <w:ind w:left="180"/>
        <w:spacing w:after="0"/>
        <w:rPr>
          <w:sz w:val="20"/>
          <w:szCs w:val="20"/>
          <w:color w:val="auto"/>
        </w:rPr>
      </w:pPr>
      <w:r>
        <w:rPr>
          <w:rFonts w:ascii="Arial" w:cs="Arial" w:eastAsia="Arial" w:hAnsi="Arial"/>
          <w:sz w:val="21"/>
          <w:szCs w:val="21"/>
          <w:color w:val="1D1D1D"/>
        </w:rPr>
        <w:t>By: _</w:t>
      </w:r>
      <w:r>
        <w:rPr>
          <w:rFonts w:ascii="Arial" w:cs="Arial" w:eastAsia="Arial" w:hAnsi="Arial"/>
          <w:sz w:val="21"/>
          <w:szCs w:val="21"/>
          <w:u w:val="single" w:color="auto"/>
          <w:color w:val="1D1D1D"/>
        </w:rPr>
        <w:t>/s/ David Carroll</w:t>
      </w:r>
      <w:r>
        <w:rPr>
          <w:rFonts w:ascii="Arial" w:cs="Arial" w:eastAsia="Arial" w:hAnsi="Arial"/>
          <w:sz w:val="21"/>
          <w:szCs w:val="21"/>
          <w:color w:val="1D1D1D"/>
        </w:rPr>
        <w:t>_______________</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21"/>
          <w:szCs w:val="21"/>
          <w:color w:val="1D1D1D"/>
        </w:rPr>
        <w:t>Name: David F. Carroll</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21"/>
          <w:szCs w:val="21"/>
          <w:color w:val="1D1D1D"/>
        </w:rPr>
        <w:t>Title: Senior Vice President, Chief Financial Officer</w:t>
      </w:r>
    </w:p>
    <w:p>
      <w:pPr>
        <w:sectPr>
          <w:pgSz w:w="11900" w:h="16838" w:orient="portrait"/>
          <w:cols w:equalWidth="0" w:num="1">
            <w:col w:w="10700"/>
          </w:cols>
          <w:pgMar w:left="400" w:top="645" w:right="799" w:bottom="1440" w:gutter="0" w:footer="0" w:header="0"/>
        </w:sectPr>
      </w:pPr>
    </w:p>
    <w:bookmarkStart w:id="98" w:name="page99"/>
    <w:bookmarkEnd w:id="98"/>
    <w:p>
      <w:pPr>
        <w:ind w:left="10360"/>
        <w:spacing w:after="0"/>
        <w:rPr>
          <w:sz w:val="20"/>
          <w:szCs w:val="20"/>
          <w:color w:val="auto"/>
        </w:rPr>
      </w:pPr>
      <w:r>
        <w:rPr>
          <w:rFonts w:ascii="Arial" w:cs="Arial" w:eastAsia="Arial" w:hAnsi="Arial"/>
          <w:sz w:val="15"/>
          <w:szCs w:val="15"/>
          <w:b w:val="1"/>
          <w:bCs w:val="1"/>
          <w:color w:val="auto"/>
        </w:rPr>
        <w:t>Exhibit 31.1</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 Glenn P. Sblendorio, certify that:</w:t>
      </w:r>
    </w:p>
    <w:p>
      <w:pPr>
        <w:spacing w:after="0" w:line="190"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March 31, 2020 of IVERIC bio, Inc.;</w:t>
      </w:r>
    </w:p>
    <w:p>
      <w:pPr>
        <w:spacing w:after="0" w:line="194"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right="340" w:hanging="328"/>
        <w:spacing w:after="0" w:line="261"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6"/>
          <w:szCs w:val="16"/>
          <w:color w:val="auto"/>
        </w:rPr>
      </w:pPr>
    </w:p>
    <w:p>
      <w:pPr>
        <w:ind w:left="980" w:right="100" w:hanging="324"/>
        <w:spacing w:after="0" w:line="261" w:lineRule="auto"/>
        <w:tabs>
          <w:tab w:leader="none" w:pos="957"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ind w:left="980" w:right="240" w:hanging="324"/>
        <w:spacing w:after="0" w:line="261" w:lineRule="auto"/>
        <w:tabs>
          <w:tab w:leader="none" w:pos="966"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left="980" w:right="260" w:hanging="324"/>
        <w:spacing w:after="0" w:line="275" w:lineRule="auto"/>
        <w:tabs>
          <w:tab w:leader="none" w:pos="957"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right="220" w:hanging="324"/>
        <w:spacing w:after="0" w:line="261" w:lineRule="auto"/>
        <w:tabs>
          <w:tab w:leader="none" w:pos="966" w:val="left"/>
        </w:tabs>
        <w:numPr>
          <w:ilvl w:val="1"/>
          <w:numId w:val="6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660" w:right="300" w:hanging="328"/>
        <w:spacing w:after="0" w:line="275" w:lineRule="auto"/>
        <w:tabs>
          <w:tab w:leader="none" w:pos="698"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980" w:right="440" w:hanging="324"/>
        <w:spacing w:after="0" w:line="275" w:lineRule="auto"/>
        <w:tabs>
          <w:tab w:leader="none" w:pos="948"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right="40" w:hanging="324"/>
        <w:spacing w:after="0" w:line="275" w:lineRule="auto"/>
        <w:tabs>
          <w:tab w:leader="none" w:pos="957" w:val="left"/>
        </w:tabs>
        <w:numPr>
          <w:ilvl w:val="1"/>
          <w:numId w:val="6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7" w:lineRule="exact"/>
        <w:rPr>
          <w:sz w:val="20"/>
          <w:szCs w:val="20"/>
          <w:color w:val="auto"/>
        </w:rPr>
      </w:pPr>
    </w:p>
    <w:p>
      <w:pPr>
        <w:ind w:left="40"/>
        <w:spacing w:after="0"/>
        <w:tabs>
          <w:tab w:leader="none" w:pos="7000" w:val="left"/>
          <w:tab w:leader="none" w:pos="7780" w:val="left"/>
        </w:tabs>
        <w:rPr>
          <w:sz w:val="20"/>
          <w:szCs w:val="20"/>
          <w:color w:val="auto"/>
        </w:rPr>
      </w:pPr>
      <w:r>
        <w:rPr>
          <w:rFonts w:ascii="Arial" w:cs="Arial" w:eastAsia="Arial" w:hAnsi="Arial"/>
          <w:sz w:val="16"/>
          <w:szCs w:val="16"/>
          <w:color w:val="auto"/>
        </w:rPr>
        <w:t>Date: May 7,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34925</wp:posOffset>
            </wp:positionV>
            <wp:extent cx="2202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66" w:lineRule="exact"/>
        <w:rPr>
          <w:sz w:val="20"/>
          <w:szCs w:val="20"/>
          <w:color w:val="auto"/>
        </w:rPr>
      </w:pPr>
    </w:p>
    <w:p>
      <w:pPr>
        <w:ind w:left="7800"/>
        <w:spacing w:after="0"/>
        <w:rPr>
          <w:sz w:val="20"/>
          <w:szCs w:val="20"/>
          <w:color w:val="auto"/>
        </w:rPr>
      </w:pPr>
      <w:r>
        <w:rPr>
          <w:rFonts w:ascii="Arial" w:cs="Arial" w:eastAsia="Arial" w:hAnsi="Arial"/>
          <w:sz w:val="16"/>
          <w:szCs w:val="16"/>
          <w:color w:val="auto"/>
        </w:rPr>
        <w:t>Glenn P. Sblendorio</w:t>
      </w:r>
    </w:p>
    <w:p>
      <w:pPr>
        <w:spacing w:after="0" w:line="22" w:lineRule="exact"/>
        <w:rPr>
          <w:sz w:val="20"/>
          <w:szCs w:val="20"/>
          <w:color w:val="auto"/>
        </w:rPr>
      </w:pPr>
    </w:p>
    <w:p>
      <w:pPr>
        <w:ind w:left="780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780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33020</wp:posOffset>
            </wp:positionV>
            <wp:extent cx="22028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9" w:name="page100"/>
    <w:bookmarkEnd w:id="99"/>
    <w:p>
      <w:pPr>
        <w:ind w:left="10360"/>
        <w:spacing w:after="0"/>
        <w:rPr>
          <w:sz w:val="20"/>
          <w:szCs w:val="20"/>
          <w:color w:val="auto"/>
        </w:rPr>
      </w:pPr>
      <w:r>
        <w:rPr>
          <w:rFonts w:ascii="Arial" w:cs="Arial" w:eastAsia="Arial" w:hAnsi="Arial"/>
          <w:sz w:val="15"/>
          <w:szCs w:val="15"/>
          <w:b w:val="1"/>
          <w:bCs w:val="1"/>
          <w:color w:val="auto"/>
        </w:rPr>
        <w:t>Exhibit 31.2</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 David F. Carroll, certify that:</w:t>
      </w:r>
    </w:p>
    <w:p>
      <w:pPr>
        <w:spacing w:after="0" w:line="194"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March 31, 2020 of IVERIC bio, Inc.;</w:t>
      </w:r>
    </w:p>
    <w:p>
      <w:pPr>
        <w:spacing w:after="0" w:line="194"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right="340" w:hanging="328"/>
        <w:spacing w:after="0" w:line="261" w:lineRule="auto"/>
        <w:tabs>
          <w:tab w:leader="none" w:pos="657"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6"/>
          <w:szCs w:val="16"/>
          <w:color w:val="auto"/>
        </w:rPr>
      </w:pPr>
    </w:p>
    <w:p>
      <w:pPr>
        <w:ind w:left="980" w:right="100" w:hanging="324"/>
        <w:spacing w:after="0" w:line="261" w:lineRule="auto"/>
        <w:tabs>
          <w:tab w:leader="none" w:pos="957"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ind w:left="980" w:right="240" w:hanging="324"/>
        <w:spacing w:after="0" w:line="261" w:lineRule="auto"/>
        <w:tabs>
          <w:tab w:leader="none" w:pos="966"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left="980" w:right="260" w:hanging="324"/>
        <w:spacing w:after="0" w:line="275" w:lineRule="auto"/>
        <w:tabs>
          <w:tab w:leader="none" w:pos="957"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right="220" w:hanging="324"/>
        <w:spacing w:after="0" w:line="261" w:lineRule="auto"/>
        <w:tabs>
          <w:tab w:leader="none" w:pos="966" w:val="left"/>
        </w:tabs>
        <w:numPr>
          <w:ilvl w:val="1"/>
          <w:numId w:val="6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660" w:right="340" w:hanging="328"/>
        <w:spacing w:after="0" w:line="275" w:lineRule="auto"/>
        <w:tabs>
          <w:tab w:leader="none" w:pos="657"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980" w:right="440" w:hanging="324"/>
        <w:spacing w:after="0" w:line="275" w:lineRule="auto"/>
        <w:tabs>
          <w:tab w:leader="none" w:pos="948"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right="40" w:hanging="324"/>
        <w:spacing w:after="0" w:line="275" w:lineRule="auto"/>
        <w:tabs>
          <w:tab w:leader="none" w:pos="957" w:val="left"/>
        </w:tabs>
        <w:numPr>
          <w:ilvl w:val="1"/>
          <w:numId w:val="6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ind w:left="40"/>
        <w:spacing w:after="0"/>
        <w:tabs>
          <w:tab w:leader="none" w:pos="7000" w:val="left"/>
          <w:tab w:leader="none" w:pos="7780" w:val="left"/>
        </w:tabs>
        <w:rPr>
          <w:sz w:val="20"/>
          <w:szCs w:val="20"/>
          <w:color w:val="auto"/>
        </w:rPr>
      </w:pPr>
      <w:r>
        <w:rPr>
          <w:rFonts w:ascii="Arial" w:cs="Arial" w:eastAsia="Arial" w:hAnsi="Arial"/>
          <w:sz w:val="16"/>
          <w:szCs w:val="16"/>
          <w:color w:val="auto"/>
        </w:rPr>
        <w:t>Date: May 7,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34925</wp:posOffset>
            </wp:positionV>
            <wp:extent cx="22028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66" w:lineRule="exact"/>
        <w:rPr>
          <w:sz w:val="20"/>
          <w:szCs w:val="20"/>
          <w:color w:val="auto"/>
        </w:rPr>
      </w:pPr>
    </w:p>
    <w:p>
      <w:pPr>
        <w:ind w:left="7800"/>
        <w:spacing w:after="0"/>
        <w:rPr>
          <w:sz w:val="20"/>
          <w:szCs w:val="20"/>
          <w:color w:val="auto"/>
        </w:rPr>
      </w:pPr>
      <w:r>
        <w:rPr>
          <w:rFonts w:ascii="Arial" w:cs="Arial" w:eastAsia="Arial" w:hAnsi="Arial"/>
          <w:sz w:val="16"/>
          <w:szCs w:val="16"/>
          <w:color w:val="auto"/>
        </w:rPr>
        <w:t>David F. Carroll</w:t>
      </w:r>
    </w:p>
    <w:p>
      <w:pPr>
        <w:spacing w:after="0" w:line="22" w:lineRule="exact"/>
        <w:rPr>
          <w:sz w:val="20"/>
          <w:szCs w:val="20"/>
          <w:color w:val="auto"/>
        </w:rPr>
      </w:pPr>
    </w:p>
    <w:p>
      <w:pPr>
        <w:ind w:left="780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7800"/>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color w:val="auto"/>
        </w:rPr>
        <w:t>Exhibit 32.1</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9" w:lineRule="exact"/>
        <w:rPr>
          <w:sz w:val="20"/>
          <w:szCs w:val="20"/>
          <w:color w:val="auto"/>
        </w:rPr>
      </w:pPr>
    </w:p>
    <w:p>
      <w:pPr>
        <w:jc w:val="both"/>
        <w:ind w:right="380" w:firstLine="324"/>
        <w:spacing w:after="0" w:line="286" w:lineRule="auto"/>
        <w:rPr>
          <w:sz w:val="20"/>
          <w:szCs w:val="20"/>
          <w:color w:val="auto"/>
        </w:rPr>
      </w:pPr>
      <w:r>
        <w:rPr>
          <w:rFonts w:ascii="Arial" w:cs="Arial" w:eastAsia="Arial" w:hAnsi="Arial"/>
          <w:sz w:val="15"/>
          <w:szCs w:val="15"/>
          <w:color w:val="auto"/>
        </w:rPr>
        <w:t>In connection with the Quarterly Report on Form 10-Q of IVERIC bio, Inc. (the "Company") for the period ended March 31, 2020 as filed with the Securities and Exchange Commission on the date hereof (the "Report"), the undersigned, Glenn P. Sblendorio, Chief Executive Officer of the Company, hereby certifies, pursuant to Rule 13a-14(b) and 18 U.S.C. Section 1350, as adopted pursuant to Section 906 of the Sarbanes-Oxley Act of 2002, that to his knowledge:</w:t>
      </w:r>
    </w:p>
    <w:p>
      <w:pPr>
        <w:spacing w:after="0" w:line="139" w:lineRule="exact"/>
        <w:rPr>
          <w:sz w:val="20"/>
          <w:szCs w:val="20"/>
          <w:color w:val="auto"/>
        </w:rPr>
      </w:pPr>
    </w:p>
    <w:p>
      <w:pPr>
        <w:ind w:left="640" w:hanging="308"/>
        <w:spacing w:after="0"/>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5720" w:val="left"/>
          <w:tab w:leader="none" w:pos="6380" w:val="left"/>
        </w:tabs>
        <w:rPr>
          <w:sz w:val="20"/>
          <w:szCs w:val="20"/>
          <w:color w:val="auto"/>
        </w:rPr>
      </w:pPr>
      <w:r>
        <w:rPr>
          <w:rFonts w:ascii="Arial" w:cs="Arial" w:eastAsia="Arial" w:hAnsi="Arial"/>
          <w:sz w:val="16"/>
          <w:szCs w:val="16"/>
          <w:color w:val="auto"/>
        </w:rPr>
        <w:t>Date: May 7,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34925</wp:posOffset>
            </wp:positionV>
            <wp:extent cx="30518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66"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Glenn P. Sblendorio</w:t>
      </w:r>
    </w:p>
    <w:p>
      <w:pPr>
        <w:spacing w:after="0" w:line="22"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640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101" w:name="page102"/>
    <w:bookmarkEnd w:id="101"/>
    <w:p>
      <w:pPr>
        <w:jc w:val="right"/>
        <w:spacing w:after="0"/>
        <w:rPr>
          <w:sz w:val="20"/>
          <w:szCs w:val="20"/>
          <w:color w:val="auto"/>
        </w:rPr>
      </w:pPr>
      <w:r>
        <w:rPr>
          <w:rFonts w:ascii="Arial" w:cs="Arial" w:eastAsia="Arial" w:hAnsi="Arial"/>
          <w:sz w:val="16"/>
          <w:szCs w:val="16"/>
          <w:b w:val="1"/>
          <w:bCs w:val="1"/>
          <w:color w:val="auto"/>
        </w:rPr>
        <w:t>Exhibit 32.2</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9" w:lineRule="exact"/>
        <w:rPr>
          <w:sz w:val="20"/>
          <w:szCs w:val="20"/>
          <w:color w:val="auto"/>
        </w:rPr>
      </w:pPr>
    </w:p>
    <w:p>
      <w:pPr>
        <w:ind w:right="60" w:firstLine="324"/>
        <w:spacing w:after="0" w:line="286" w:lineRule="auto"/>
        <w:rPr>
          <w:sz w:val="20"/>
          <w:szCs w:val="20"/>
          <w:color w:val="auto"/>
        </w:rPr>
      </w:pPr>
      <w:r>
        <w:rPr>
          <w:rFonts w:ascii="Arial" w:cs="Arial" w:eastAsia="Arial" w:hAnsi="Arial"/>
          <w:sz w:val="15"/>
          <w:szCs w:val="15"/>
          <w:color w:val="auto"/>
        </w:rPr>
        <w:t>In connection with the Quarterly Report on Form 10-Q of IVERIC bio, Inc. (the "Company") for the period ended March 31, 2020 as filed with the Securities and Exchange Commission on the date hereof (the "Report"), the undersigned, David F. Carroll, Chief Financial Officer of the Company, hereby certifies, pursuant to Rule 13a-14(b) and 18 U.S.C. Section 1350, as adopted pursuant to Section 906 of the Sarbanes-Oxley Act of 2002, that to his knowledge:</w:t>
      </w:r>
    </w:p>
    <w:p>
      <w:pPr>
        <w:spacing w:after="0" w:line="139" w:lineRule="exact"/>
        <w:rPr>
          <w:sz w:val="20"/>
          <w:szCs w:val="20"/>
          <w:color w:val="auto"/>
        </w:rPr>
      </w:pPr>
    </w:p>
    <w:p>
      <w:pPr>
        <w:ind w:left="640" w:hanging="308"/>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5880" w:val="left"/>
          <w:tab w:leader="none" w:pos="6540" w:val="left"/>
        </w:tabs>
        <w:rPr>
          <w:sz w:val="20"/>
          <w:szCs w:val="20"/>
          <w:color w:val="auto"/>
        </w:rPr>
      </w:pPr>
      <w:r>
        <w:rPr>
          <w:rFonts w:ascii="Arial" w:cs="Arial" w:eastAsia="Arial" w:hAnsi="Arial"/>
          <w:sz w:val="16"/>
          <w:szCs w:val="16"/>
          <w:color w:val="auto"/>
        </w:rPr>
        <w:t>Date: May 7,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34925</wp:posOffset>
            </wp:positionV>
            <wp:extent cx="29914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66"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David F. Carroll</w:t>
      </w:r>
    </w:p>
    <w:p>
      <w:pPr>
        <w:spacing w:after="0" w:line="22"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6560"/>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sectPr>
      <w:pgSz w:w="11900" w:h="16838" w:orient="portrait"/>
      <w:cols w:equalWidth="0" w:num="1">
        <w:col w:w="11200"/>
      </w:cols>
      <w:pgMar w:left="320" w:top="7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1)"/>
      <w:numFmt w:val="decimal"/>
      <w:start w:val="1"/>
    </w:lvl>
    <w:lvl w:ilvl="1">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56">
    <w:nsid w:val="61574095"/>
    <w:multiLevelType w:val="hybridMultilevel"/>
    <w:lvl w:ilvl="0">
      <w:lvlJc w:val="left"/>
      <w:lvlText w:val="%1."/>
      <w:numFmt w:val="decimal"/>
      <w:start w:val="1"/>
    </w:lvl>
  </w:abstractNum>
  <w:abstractNum w:abstractNumId="57">
    <w:nsid w:val="7E0C57B1"/>
    <w:multiLevelType w:val="hybridMultilevel"/>
    <w:lvl w:ilvl="0">
      <w:lvlJc w:val="left"/>
      <w:lvlText w:val="(%1)"/>
      <w:numFmt w:val="lowerLetter"/>
      <w:start w:val="1"/>
    </w:lvl>
  </w:abstractNum>
  <w:abstractNum w:abstractNumId="58">
    <w:nsid w:val="77AE35EB"/>
    <w:multiLevelType w:val="hybridMultilevel"/>
    <w:lvl w:ilvl="0">
      <w:lvlJc w:val="left"/>
      <w:lvlText w:val="(%1)"/>
      <w:numFmt w:val="lowerLetter"/>
      <w:start w:val="4"/>
    </w:lvl>
  </w:abstractNum>
  <w:abstractNum w:abstractNumId="59">
    <w:nsid w:val="579BE4F1"/>
    <w:multiLevelType w:val="hybridMultilevel"/>
    <w:lvl w:ilvl="0">
      <w:lvlJc w:val="left"/>
      <w:lvlText w:val="%1."/>
      <w:numFmt w:val="decimal"/>
      <w:start w:val="4"/>
    </w:lvl>
  </w:abstractNum>
  <w:abstractNum w:abstractNumId="60">
    <w:nsid w:val="310C50B3"/>
    <w:multiLevelType w:val="hybridMultilevel"/>
    <w:lvl w:ilvl="0">
      <w:lvlJc w:val="left"/>
      <w:lvlText w:val="%1."/>
      <w:numFmt w:val="decimal"/>
      <w:start w:val="1"/>
    </w:lvl>
  </w:abstractNum>
  <w:abstractNum w:abstractNumId="61">
    <w:nsid w:val="5FF87E05"/>
    <w:multiLevelType w:val="hybridMultilevel"/>
    <w:lvl w:ilvl="0">
      <w:lvlJc w:val="left"/>
      <w:lvlText w:val="%1."/>
      <w:numFmt w:val="decimal"/>
      <w:start w:val="4"/>
    </w:lvl>
  </w:abstractNum>
  <w:abstractNum w:abstractNumId="62">
    <w:nsid w:val="2F305DEF"/>
    <w:multiLevelType w:val="hybridMultilevel"/>
    <w:lvl w:ilvl="0">
      <w:lvlJc w:val="left"/>
      <w:lvlText w:val="%1."/>
      <w:numFmt w:val="decimal"/>
      <w:start w:val="5"/>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15" Type="http://schemas.openxmlformats.org/officeDocument/2006/relationships/hyperlink" Target="http://www.sec.gov/Archives/edgar/data/1410939/000119312513360785/d560505dex33.htm" TargetMode="External"/><Relationship Id="rId16" Type="http://schemas.openxmlformats.org/officeDocument/2006/relationships/hyperlink" Target="http://www.sec.gov/Archives/edgar/data/1410939/000141093919000021/opht-charteramendmentnamec.htm" TargetMode="External"/><Relationship Id="rId17" Type="http://schemas.openxmlformats.org/officeDocument/2006/relationships/hyperlink" Target="http://www.sec.gov/Archives/edgar/data/1410939/000119312513360785/d560505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2020-05-07T15:20:50Z</dcterms:created>
  <dcterms:modified xsi:type="dcterms:W3CDTF">2020-05-07T15:20:50Z</dcterms:modified>
</cp:coreProperties>
</file>