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Registration No. 333-253897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99060</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8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POST-EFFECTIVE AMENDMENT NO. 1</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TO</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S-3 REGISTRATION STATEMENT NO. 333-253897</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UNDER</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100330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7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IVERIC bio,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99060</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93" w:lineRule="exact"/>
        <w:rPr>
          <w:sz w:val="24"/>
          <w:szCs w:val="24"/>
          <w:color w:val="auto"/>
        </w:rPr>
      </w:pPr>
    </w:p>
    <w:tbl>
      <w:tblPr>
        <w:tblLayout w:type="fixed"/>
        <w:tblInd w:w="1700" w:type="dxa"/>
        <w:tblCellMar>
          <w:top w:w="0" w:type="dxa"/>
          <w:left w:w="0" w:type="dxa"/>
          <w:bottom w:w="0" w:type="dxa"/>
          <w:right w:w="0" w:type="dxa"/>
        </w:tblCellMar>
      </w:tblPr>
      <w:tr>
        <w:trPr>
          <w:trHeight w:val="216"/>
        </w:trPr>
        <w:tc>
          <w:tcPr>
            <w:tcW w:w="4120" w:type="dxa"/>
            <w:vAlign w:val="bottom"/>
          </w:tcPr>
          <w:p>
            <w:pPr>
              <w:jc w:val="center"/>
              <w:ind w:right="1690"/>
              <w:spacing w:after="0"/>
              <w:rPr>
                <w:sz w:val="20"/>
                <w:szCs w:val="20"/>
                <w:color w:val="auto"/>
              </w:rPr>
            </w:pPr>
            <w:r>
              <w:rPr>
                <w:rFonts w:ascii="Arial" w:cs="Arial" w:eastAsia="Arial" w:hAnsi="Arial"/>
                <w:sz w:val="18"/>
                <w:szCs w:val="18"/>
                <w:b w:val="1"/>
                <w:bCs w:val="1"/>
                <w:color w:val="auto"/>
                <w:w w:val="93"/>
              </w:rPr>
              <w:t>Delaware</w:t>
            </w:r>
          </w:p>
        </w:tc>
        <w:tc>
          <w:tcPr>
            <w:tcW w:w="3560" w:type="dxa"/>
            <w:vAlign w:val="bottom"/>
          </w:tcPr>
          <w:p>
            <w:pPr>
              <w:jc w:val="center"/>
              <w:ind w:left="1690"/>
              <w:spacing w:after="0"/>
              <w:rPr>
                <w:sz w:val="20"/>
                <w:szCs w:val="20"/>
                <w:color w:val="auto"/>
              </w:rPr>
            </w:pPr>
            <w:r>
              <w:rPr>
                <w:rFonts w:ascii="Arial" w:cs="Arial" w:eastAsia="Arial" w:hAnsi="Arial"/>
                <w:sz w:val="18"/>
                <w:szCs w:val="18"/>
                <w:b w:val="1"/>
                <w:bCs w:val="1"/>
                <w:color w:val="auto"/>
                <w:w w:val="89"/>
              </w:rPr>
              <w:t>20-8185347</w:t>
            </w:r>
          </w:p>
        </w:tc>
      </w:tr>
      <w:tr>
        <w:trPr>
          <w:trHeight w:val="216"/>
        </w:trPr>
        <w:tc>
          <w:tcPr>
            <w:tcW w:w="4120" w:type="dxa"/>
            <w:vAlign w:val="bottom"/>
          </w:tcPr>
          <w:p>
            <w:pPr>
              <w:jc w:val="center"/>
              <w:ind w:right="1690"/>
              <w:spacing w:after="0"/>
              <w:rPr>
                <w:sz w:val="20"/>
                <w:szCs w:val="20"/>
                <w:color w:val="auto"/>
              </w:rPr>
            </w:pPr>
            <w:r>
              <w:rPr>
                <w:rFonts w:ascii="Arial" w:cs="Arial" w:eastAsia="Arial" w:hAnsi="Arial"/>
                <w:sz w:val="18"/>
                <w:szCs w:val="18"/>
                <w:b w:val="1"/>
                <w:bCs w:val="1"/>
                <w:color w:val="auto"/>
                <w:w w:val="90"/>
              </w:rPr>
              <w:t>(State or jurisdiction of</w:t>
            </w:r>
          </w:p>
        </w:tc>
        <w:tc>
          <w:tcPr>
            <w:tcW w:w="3560" w:type="dxa"/>
            <w:vAlign w:val="bottom"/>
          </w:tcPr>
          <w:p>
            <w:pPr>
              <w:jc w:val="center"/>
              <w:ind w:left="169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4120" w:type="dxa"/>
            <w:vAlign w:val="bottom"/>
          </w:tcPr>
          <w:p>
            <w:pPr>
              <w:jc w:val="center"/>
              <w:ind w:right="1690"/>
              <w:spacing w:after="0"/>
              <w:rPr>
                <w:sz w:val="20"/>
                <w:szCs w:val="20"/>
                <w:color w:val="auto"/>
              </w:rPr>
            </w:pPr>
            <w:r>
              <w:rPr>
                <w:rFonts w:ascii="Arial" w:cs="Arial" w:eastAsia="Arial" w:hAnsi="Arial"/>
                <w:sz w:val="18"/>
                <w:szCs w:val="18"/>
                <w:b w:val="1"/>
                <w:bCs w:val="1"/>
                <w:color w:val="auto"/>
                <w:w w:val="91"/>
              </w:rPr>
              <w:t>incorporation or organization)</w:t>
            </w:r>
          </w:p>
        </w:tc>
        <w:tc>
          <w:tcPr>
            <w:tcW w:w="3560" w:type="dxa"/>
            <w:vAlign w:val="bottom"/>
          </w:tcPr>
          <w:p>
            <w:pPr>
              <w:jc w:val="center"/>
              <w:ind w:left="1690"/>
              <w:spacing w:after="0"/>
              <w:rPr>
                <w:sz w:val="20"/>
                <w:szCs w:val="20"/>
                <w:color w:val="auto"/>
              </w:rPr>
            </w:pPr>
            <w:r>
              <w:rPr>
                <w:rFonts w:ascii="Arial" w:cs="Arial" w:eastAsia="Arial" w:hAnsi="Arial"/>
                <w:sz w:val="18"/>
                <w:szCs w:val="18"/>
                <w:b w:val="1"/>
                <w:bCs w:val="1"/>
                <w:color w:val="auto"/>
                <w:w w:val="93"/>
              </w:rPr>
              <w:t>Identification Number)</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 Sylvan Way</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Parsippany, NJ 07054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(800) 727-7003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100330</wp:posOffset>
            </wp:positionV>
            <wp:extent cx="1783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9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Catherine Levitt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General Counsel</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Astellas Pharma US,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2375 Waterview Drive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Northbrook, IL 60062-6111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(800) 727-7003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(Name, Address, and Telephone Number, including Area Code, of Agent for Service)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Copy to:</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Jonn Beeson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Ben Chouka</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Jones Day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3161 Michelson Drive, Suite 800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Irvine, CA 92612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(949) 851-3939</w:t>
      </w:r>
    </w:p>
    <w:p>
      <w:pPr>
        <w:spacing w:after="0" w:line="139"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Approximate date of commencement of proposed sale to the public: </w:t>
      </w:r>
      <w:r>
        <w:rPr>
          <w:rFonts w:ascii="Arial" w:cs="Arial" w:eastAsia="Arial" w:hAnsi="Arial"/>
          <w:sz w:val="18"/>
          <w:szCs w:val="18"/>
          <w:b w:val="1"/>
          <w:bCs w:val="1"/>
          <w:color w:val="auto"/>
        </w:rPr>
        <w:t>Not applicable.</w:t>
      </w:r>
    </w:p>
    <w:p>
      <w:pPr>
        <w:spacing w:after="0" w:line="117"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225" w:lineRule="exact"/>
        <w:rPr>
          <w:sz w:val="24"/>
          <w:szCs w:val="24"/>
          <w:color w:val="auto"/>
        </w:rPr>
      </w:pPr>
    </w:p>
    <w:p>
      <w:pPr>
        <w:ind w:right="340"/>
        <w:spacing w:after="0" w:line="238" w:lineRule="exact"/>
        <w:rPr>
          <w:sz w:val="20"/>
          <w:szCs w:val="20"/>
          <w:color w:val="auto"/>
        </w:rPr>
      </w:pPr>
      <w:r>
        <w:rPr>
          <w:rFonts w:ascii="Arial" w:cs="Arial" w:eastAsia="Arial" w:hAnsi="Arial"/>
          <w:sz w:val="17"/>
          <w:szCs w:val="17"/>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7"/>
          <w:szCs w:val="17"/>
          <w:color w:val="auto"/>
        </w:rPr>
        <w:t>☐</w:t>
      </w:r>
    </w:p>
    <w:p>
      <w:pPr>
        <w:spacing w:after="0" w:line="106" w:lineRule="exact"/>
        <w:rPr>
          <w:sz w:val="24"/>
          <w:szCs w:val="24"/>
          <w:color w:val="auto"/>
        </w:rPr>
      </w:pPr>
    </w:p>
    <w:p>
      <w:pPr>
        <w:ind w:right="60"/>
        <w:spacing w:after="0" w:line="238"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06" w:lineRule="exact"/>
        <w:rPr>
          <w:sz w:val="24"/>
          <w:szCs w:val="24"/>
          <w:color w:val="auto"/>
        </w:rPr>
      </w:pPr>
    </w:p>
    <w:p>
      <w:pPr>
        <w:ind w:right="560"/>
        <w:spacing w:after="0" w:line="238"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06" w:lineRule="exact"/>
        <w:rPr>
          <w:sz w:val="24"/>
          <w:szCs w:val="24"/>
          <w:color w:val="auto"/>
        </w:rPr>
      </w:pPr>
    </w:p>
    <w:p>
      <w:pPr>
        <w:ind w:right="280"/>
        <w:spacing w:after="0" w:line="238"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06" w:lineRule="exact"/>
        <w:rPr>
          <w:sz w:val="24"/>
          <w:szCs w:val="24"/>
          <w:color w:val="auto"/>
        </w:rPr>
      </w:pPr>
    </w:p>
    <w:p>
      <w:pPr>
        <w:ind w:right="440"/>
        <w:spacing w:after="0" w:line="238"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06" w:lineRule="exact"/>
        <w:rPr>
          <w:sz w:val="24"/>
          <w:szCs w:val="24"/>
          <w:color w:val="auto"/>
        </w:rPr>
      </w:pPr>
    </w:p>
    <w:p>
      <w:pPr>
        <w:ind w:right="2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34"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25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640" w:type="dxa"/>
            <w:vAlign w:val="bottom"/>
          </w:tcPr>
          <w:p>
            <w:pPr>
              <w:ind w:left="880"/>
              <w:spacing w:after="0"/>
              <w:rPr>
                <w:sz w:val="20"/>
                <w:szCs w:val="20"/>
                <w:color w:val="auto"/>
              </w:rPr>
            </w:pPr>
            <w:r>
              <w:rPr>
                <w:rFonts w:ascii="Arial" w:cs="Arial" w:eastAsia="Arial" w:hAnsi="Arial"/>
                <w:sz w:val="18"/>
                <w:szCs w:val="18"/>
                <w:color w:val="auto"/>
              </w:rPr>
              <w:t>x</w:t>
            </w:r>
          </w:p>
        </w:tc>
        <w:tc>
          <w:tcPr>
            <w:tcW w:w="4720" w:type="dxa"/>
            <w:vAlign w:val="bottom"/>
          </w:tcPr>
          <w:p>
            <w:pPr>
              <w:ind w:left="1600"/>
              <w:spacing w:after="0"/>
              <w:rPr>
                <w:sz w:val="20"/>
                <w:szCs w:val="20"/>
                <w:color w:val="auto"/>
              </w:rPr>
            </w:pPr>
            <w:r>
              <w:rPr>
                <w:rFonts w:ascii="Arial" w:cs="Arial" w:eastAsia="Arial" w:hAnsi="Arial"/>
                <w:sz w:val="18"/>
                <w:szCs w:val="18"/>
                <w:color w:val="auto"/>
              </w:rPr>
              <w:t>Accelerated filer</w:t>
            </w:r>
          </w:p>
        </w:tc>
        <w:tc>
          <w:tcPr>
            <w:tcW w:w="1320" w:type="dxa"/>
            <w:vAlign w:val="bottom"/>
          </w:tcPr>
          <w:p>
            <w:pPr>
              <w:ind w:left="1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64"/>
        </w:trPr>
        <w:tc>
          <w:tcPr>
            <w:tcW w:w="2500" w:type="dxa"/>
            <w:vAlign w:val="bottom"/>
          </w:tcPr>
          <w:p>
            <w:pPr>
              <w:spacing w:after="0"/>
              <w:rPr>
                <w:sz w:val="20"/>
                <w:szCs w:val="20"/>
                <w:color w:val="auto"/>
              </w:rPr>
            </w:pPr>
            <w:r>
              <w:rPr>
                <w:rFonts w:ascii="Arial" w:cs="Arial" w:eastAsia="Arial" w:hAnsi="Arial"/>
                <w:sz w:val="18"/>
                <w:szCs w:val="18"/>
                <w:color w:val="auto"/>
              </w:rPr>
              <w:t>Non-accelerated filer</w:t>
            </w:r>
          </w:p>
        </w:tc>
        <w:tc>
          <w:tcPr>
            <w:tcW w:w="2640" w:type="dxa"/>
            <w:vAlign w:val="bottom"/>
          </w:tcPr>
          <w:p>
            <w:pPr>
              <w:ind w:left="880"/>
              <w:spacing w:after="0" w:line="181" w:lineRule="exact"/>
              <w:rPr>
                <w:sz w:val="20"/>
                <w:szCs w:val="20"/>
                <w:color w:val="auto"/>
              </w:rPr>
            </w:pPr>
            <w:r>
              <w:rPr>
                <w:rFonts w:ascii="MS PGothic" w:cs="MS PGothic" w:eastAsia="MS PGothic" w:hAnsi="MS PGothic"/>
                <w:sz w:val="18"/>
                <w:szCs w:val="18"/>
                <w:color w:val="auto"/>
              </w:rPr>
              <w:t>☐</w:t>
            </w:r>
          </w:p>
        </w:tc>
        <w:tc>
          <w:tcPr>
            <w:tcW w:w="4720" w:type="dxa"/>
            <w:vAlign w:val="bottom"/>
          </w:tcPr>
          <w:p>
            <w:pPr>
              <w:ind w:left="1600"/>
              <w:spacing w:after="0"/>
              <w:rPr>
                <w:sz w:val="20"/>
                <w:szCs w:val="20"/>
                <w:color w:val="auto"/>
              </w:rPr>
            </w:pPr>
            <w:r>
              <w:rPr>
                <w:rFonts w:ascii="Arial" w:cs="Arial" w:eastAsia="Arial" w:hAnsi="Arial"/>
                <w:sz w:val="18"/>
                <w:szCs w:val="18"/>
                <w:color w:val="auto"/>
              </w:rPr>
              <w:t>Smaller reporting company</w:t>
            </w:r>
          </w:p>
        </w:tc>
        <w:tc>
          <w:tcPr>
            <w:tcW w:w="1320" w:type="dxa"/>
            <w:vAlign w:val="bottom"/>
          </w:tcPr>
          <w:p>
            <w:pPr>
              <w:ind w:left="1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65"/>
        </w:trPr>
        <w:tc>
          <w:tcPr>
            <w:tcW w:w="25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4720" w:type="dxa"/>
            <w:vAlign w:val="bottom"/>
          </w:tcPr>
          <w:p>
            <w:pPr>
              <w:ind w:left="1600"/>
              <w:spacing w:after="0"/>
              <w:rPr>
                <w:sz w:val="20"/>
                <w:szCs w:val="20"/>
                <w:color w:val="auto"/>
              </w:rPr>
            </w:pPr>
            <w:r>
              <w:rPr>
                <w:rFonts w:ascii="Arial" w:cs="Arial" w:eastAsia="Arial" w:hAnsi="Arial"/>
                <w:sz w:val="18"/>
                <w:szCs w:val="18"/>
                <w:color w:val="auto"/>
              </w:rPr>
              <w:t>Emerging growth company</w:t>
            </w:r>
          </w:p>
        </w:tc>
        <w:tc>
          <w:tcPr>
            <w:tcW w:w="1320" w:type="dxa"/>
            <w:vAlign w:val="bottom"/>
          </w:tcPr>
          <w:p>
            <w:pPr>
              <w:ind w:left="11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06"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2" w:right="339" w:bottom="297"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DEREGISTRATION OF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Post-Effective Amendment (the “Post-Effective Amendment”) relates to the following Registration Statement on Form S-3 (the “Registration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Statement”) filed by IVERIC bio, Inc. (“IVERIC” or the “Company”) with the Securities and Exchange Commission (the “SEC”):</w:t>
      </w:r>
    </w:p>
    <w:p>
      <w:pPr>
        <w:spacing w:after="0" w:line="211" w:lineRule="exact"/>
        <w:rPr>
          <w:sz w:val="20"/>
          <w:szCs w:val="20"/>
          <w:color w:val="auto"/>
        </w:rPr>
      </w:pPr>
    </w:p>
    <w:p>
      <w:pPr>
        <w:ind w:left="1020" w:right="20" w:hanging="364"/>
        <w:spacing w:after="0" w:line="263" w:lineRule="auto"/>
        <w:tabs>
          <w:tab w:leader="none" w:pos="1020" w:val="left"/>
        </w:tabs>
        <w:numPr>
          <w:ilvl w:val="0"/>
          <w:numId w:val="1"/>
        </w:numPr>
        <w:rPr>
          <w:rFonts w:ascii="Arial" w:cs="Arial" w:eastAsia="Arial" w:hAnsi="Arial"/>
          <w:sz w:val="18"/>
          <w:szCs w:val="18"/>
          <w:u w:val="single" w:color="auto"/>
          <w:color w:val="0000EE"/>
        </w:rPr>
      </w:pPr>
      <w:hyperlink r:id="rId17">
        <w:r>
          <w:rPr>
            <w:rFonts w:ascii="Arial" w:cs="Arial" w:eastAsia="Arial" w:hAnsi="Arial"/>
            <w:sz w:val="18"/>
            <w:szCs w:val="18"/>
            <w:u w:val="single" w:color="auto"/>
            <w:color w:val="0000EE"/>
          </w:rPr>
          <w:t>Registration Statement No. 333-253897, originally filed with the SEC on March 5, 2021, relating to the registration of up to $300,000,000 of</w:t>
        </w:r>
      </w:hyperlink>
      <w:r>
        <w:rPr>
          <w:rFonts w:ascii="Arial" w:cs="Arial" w:eastAsia="Arial" w:hAnsi="Arial"/>
          <w:sz w:val="18"/>
          <w:szCs w:val="18"/>
          <w:u w:val="single" w:color="auto"/>
          <w:color w:val="0000EE"/>
        </w:rPr>
        <w:t xml:space="preserve"> </w:t>
      </w:r>
      <w:hyperlink r:id="rId17">
        <w:r>
          <w:rPr>
            <w:rFonts w:ascii="Arial" w:cs="Arial" w:eastAsia="Arial" w:hAnsi="Arial"/>
            <w:sz w:val="18"/>
            <w:szCs w:val="18"/>
            <w:u w:val="single" w:color="auto"/>
            <w:color w:val="0000EE"/>
          </w:rPr>
          <w:t>senior debt securities, subordinated debt securities, common stock, par value $0.001 per share, preferred stock, par value $0.001 per share,</w:t>
        </w:r>
      </w:hyperlink>
      <w:r>
        <w:rPr>
          <w:rFonts w:ascii="Arial" w:cs="Arial" w:eastAsia="Arial" w:hAnsi="Arial"/>
          <w:sz w:val="18"/>
          <w:szCs w:val="18"/>
          <w:u w:val="single" w:color="auto"/>
          <w:color w:val="0000EE"/>
        </w:rPr>
        <w:t xml:space="preserve"> </w:t>
      </w:r>
      <w:hyperlink r:id="rId17">
        <w:r>
          <w:rPr>
            <w:rFonts w:ascii="Arial" w:cs="Arial" w:eastAsia="Arial" w:hAnsi="Arial"/>
            <w:sz w:val="18"/>
            <w:szCs w:val="18"/>
            <w:u w:val="single" w:color="auto"/>
            <w:color w:val="0000EE"/>
          </w:rPr>
          <w:t>warrants, subscription rights, depositary shares and units of the Company.</w:t>
        </w:r>
      </w:hyperlink>
    </w:p>
    <w:p>
      <w:pPr>
        <w:spacing w:after="0" w:line="184" w:lineRule="exact"/>
        <w:rPr>
          <w:rFonts w:ascii="Arial" w:cs="Arial" w:eastAsia="Arial" w:hAnsi="Arial"/>
          <w:sz w:val="18"/>
          <w:szCs w:val="18"/>
          <w:u w:val="single" w:color="auto"/>
          <w:color w:val="0000EE"/>
        </w:rPr>
      </w:pPr>
    </w:p>
    <w:p>
      <w:pPr>
        <w:ind w:right="60" w:firstLine="648"/>
        <w:spacing w:after="0" w:line="257" w:lineRule="auto"/>
        <w:rPr>
          <w:sz w:val="20"/>
          <w:szCs w:val="20"/>
          <w:color w:val="auto"/>
        </w:rPr>
      </w:pPr>
      <w:r>
        <w:rPr>
          <w:rFonts w:ascii="Arial" w:cs="Arial" w:eastAsia="Arial" w:hAnsi="Arial"/>
          <w:sz w:val="18"/>
          <w:szCs w:val="18"/>
          <w:color w:val="auto"/>
        </w:rPr>
        <w:t>On July 11, 2023, Berry Merger Sub, Inc., a Delaware corporation (“Merger Sub”) and a wholly owned subsidiary of Astellas US Holding, Inc., a Delaware corporation (“Parent”), completed its merger (the “Merger”) with and into IVERIC pursuant to the terms of the Agreement and Plan of Merger, dated April 28, 2023 (the “Merger Agreement”), by and among Parent, Merger Sub, IVERIC, and solely as provided by Section 8‎.10(b) of the Merger Agreement, Astellas Pharma Inc., a company organized under the laws of Japan. IVERIC was the surviving corporation in the Merger and, as a result, is now a wholly owned subsidiary of Parent.</w:t>
      </w:r>
    </w:p>
    <w:p>
      <w:pPr>
        <w:spacing w:after="0" w:line="188" w:lineRule="exact"/>
        <w:rPr>
          <w:rFonts w:ascii="Arial" w:cs="Arial" w:eastAsia="Arial" w:hAnsi="Arial"/>
          <w:sz w:val="18"/>
          <w:szCs w:val="18"/>
          <w:u w:val="single" w:color="auto"/>
          <w:color w:val="0000EE"/>
        </w:rPr>
      </w:pPr>
    </w:p>
    <w:p>
      <w:pPr>
        <w:ind w:firstLine="648"/>
        <w:spacing w:after="0" w:line="279" w:lineRule="auto"/>
        <w:rPr>
          <w:sz w:val="20"/>
          <w:szCs w:val="20"/>
          <w:color w:val="auto"/>
        </w:rPr>
      </w:pPr>
      <w:r>
        <w:rPr>
          <w:rFonts w:ascii="Arial" w:cs="Arial" w:eastAsia="Arial" w:hAnsi="Arial"/>
          <w:sz w:val="17"/>
          <w:szCs w:val="17"/>
          <w:color w:val="auto"/>
        </w:rPr>
        <w:t>As a result of the Merger, IVERIC has terminated all offerings and sales of securities pursuant to the Registration Statement. In accordance with an undertaking made by IVERIC in the Registration Statement to remove from registration, by means of a post-effective amendment, any of the securities that had been registered for issuance under the Registration Statement that remain unsold at the termination of such offering, IVERIC hereby removes from registration all of such securities registered but remaining unsold under the Registration Statement as of the date hereof.</w:t>
      </w:r>
    </w:p>
    <w:p>
      <w:pPr>
        <w:spacing w:after="0" w:line="387" w:lineRule="exact"/>
        <w:rPr>
          <w:rFonts w:ascii="Arial" w:cs="Arial" w:eastAsia="Arial" w:hAnsi="Arial"/>
          <w:sz w:val="18"/>
          <w:szCs w:val="18"/>
          <w:u w:val="single" w:color="auto"/>
          <w:color w:val="0000EE"/>
        </w:rPr>
      </w:pPr>
    </w:p>
    <w:p>
      <w:pPr>
        <w:jc w:val="center"/>
        <w:ind w:right="-39"/>
        <w:spacing w:after="0"/>
        <w:rPr>
          <w:sz w:val="20"/>
          <w:szCs w:val="20"/>
          <w:color w:val="auto"/>
        </w:rPr>
      </w:pPr>
      <w:r>
        <w:rPr>
          <w:rFonts w:ascii="Arial" w:cs="Arial" w:eastAsia="Arial" w:hAnsi="Arial"/>
          <w:sz w:val="18"/>
          <w:szCs w:val="18"/>
          <w:color w:val="auto"/>
        </w:rPr>
        <w:t>- 2 -</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3" w:name="page4"/>
    <w:bookmarkEnd w:id="3"/>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Post-Effective Amendment to be signed on its behalf by the undersigned, thereunto duly authorized, in Parsippany, New Jersey, on July 11, 2023.</w:t>
      </w:r>
    </w:p>
    <w:p>
      <w:pPr>
        <w:spacing w:after="0" w:line="180"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IVERIC bio, Inc.</w:t>
      </w:r>
    </w:p>
    <w:p>
      <w:pPr>
        <w:spacing w:after="0" w:line="229" w:lineRule="exact"/>
        <w:rPr>
          <w:sz w:val="20"/>
          <w:szCs w:val="20"/>
          <w:color w:val="auto"/>
        </w:rPr>
      </w:pPr>
    </w:p>
    <w:p>
      <w:pPr>
        <w:ind w:left="562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Mark Reisenauer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Mark Reisenauer</w:t>
      </w:r>
    </w:p>
    <w:p>
      <w:pPr>
        <w:spacing w:after="0" w:line="9" w:lineRule="exact"/>
        <w:rPr>
          <w:sz w:val="20"/>
          <w:szCs w:val="20"/>
          <w:color w:val="auto"/>
        </w:rPr>
      </w:pPr>
    </w:p>
    <w:p>
      <w:pPr>
        <w:ind w:left="5620"/>
        <w:spacing w:after="0"/>
        <w:tabs>
          <w:tab w:leader="none" w:pos="61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President, Secretary and Treasurer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 other person is required to sign this Post-Effective Amendment in reliance on Rule 478 of the Securities Act of 1933.</w:t>
      </w:r>
    </w:p>
    <w:p>
      <w:pPr>
        <w:spacing w:after="0" w:line="200" w:lineRule="exact"/>
        <w:rPr>
          <w:sz w:val="20"/>
          <w:szCs w:val="20"/>
          <w:color w:val="auto"/>
        </w:rPr>
      </w:pPr>
    </w:p>
    <w:p>
      <w:pPr>
        <w:spacing w:after="0" w:line="2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020"/>
      </w:cols>
      <w:pgMar w:left="320" w:top="904"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17" Type="http://schemas.openxmlformats.org/officeDocument/2006/relationships/hyperlink" Target="http://www.sec.gov/Archives/edgar/data/1410939/000110465921032306/tm218372-1_s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2023-07-11T09:00:36Z</dcterms:created>
  <dcterms:modified xsi:type="dcterms:W3CDTF">2023-07-11T09:00:36Z</dcterms:modified>
</cp:coreProperties>
</file>