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81915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6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060" w:right="1280" w:hanging="2439"/>
        <w:spacing w:after="0" w:line="432" w:lineRule="auto"/>
        <w:tabs>
          <w:tab w:leader="none" w:pos="255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2540" w:hanging="926"/>
        <w:spacing w:after="0"/>
        <w:tabs>
          <w:tab w:leader="none" w:pos="2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20" w:type="dxa"/>
            <w:vAlign w:val="bottom"/>
          </w:tcPr>
          <w:p>
            <w:pPr>
              <w:ind w:left="720"/>
              <w:spacing w:after="0"/>
              <w:rPr>
                <w:sz w:val="20"/>
                <w:szCs w:val="20"/>
                <w:color w:val="auto"/>
              </w:rPr>
            </w:pPr>
            <w:r>
              <w:rPr>
                <w:rFonts w:ascii="Arial" w:cs="Arial" w:eastAsia="Arial" w:hAnsi="Arial"/>
                <w:sz w:val="14"/>
                <w:szCs w:val="14"/>
                <w:b w:val="1"/>
                <w:bCs w:val="1"/>
                <w:color w:val="auto"/>
              </w:rPr>
              <w:t>For the transition period from</w:t>
            </w:r>
          </w:p>
        </w:tc>
        <w:tc>
          <w:tcPr>
            <w:tcW w:w="2800" w:type="dxa"/>
            <w:vAlign w:val="bottom"/>
            <w:gridSpan w:val="2"/>
          </w:tcPr>
          <w:p>
            <w:pPr>
              <w:jc w:val="right"/>
              <w:ind w:right="240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540"/>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2"/>
              </w:rPr>
              <w:t>Commission file number: 001-36080</w:t>
            </w:r>
          </w:p>
        </w:tc>
        <w:tc>
          <w:tcPr>
            <w:tcW w:w="0" w:type="dxa"/>
            <w:vAlign w:val="bottom"/>
          </w:tcPr>
          <w:p>
            <w:pPr>
              <w:spacing w:after="0"/>
              <w:rPr>
                <w:sz w:val="1"/>
                <w:szCs w:val="1"/>
                <w:color w:val="auto"/>
              </w:rPr>
            </w:pPr>
          </w:p>
        </w:tc>
      </w:tr>
      <w:tr>
        <w:trPr>
          <w:trHeight w:val="425"/>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29"/>
                <w:szCs w:val="29"/>
                <w:b w:val="1"/>
                <w:bCs w:val="1"/>
                <w:color w:val="auto"/>
                <w:w w:val="98"/>
              </w:rPr>
              <w:t>IVERIC bio, Inc.</w:t>
            </w: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64"/>
        </w:trPr>
        <w:tc>
          <w:tcPr>
            <w:tcW w:w="1680" w:type="dxa"/>
            <w:vAlign w:val="bottom"/>
          </w:tcPr>
          <w:p>
            <w:pPr>
              <w:spacing w:after="0"/>
              <w:rPr>
                <w:sz w:val="24"/>
                <w:szCs w:val="24"/>
                <w:color w:val="auto"/>
              </w:rPr>
            </w:pPr>
          </w:p>
        </w:tc>
        <w:tc>
          <w:tcPr>
            <w:tcW w:w="3520" w:type="dxa"/>
            <w:vAlign w:val="bottom"/>
            <w:gridSpan w:val="2"/>
          </w:tcPr>
          <w:p>
            <w:pPr>
              <w:jc w:val="center"/>
              <w:ind w:right="1779"/>
              <w:spacing w:after="0"/>
              <w:rPr>
                <w:sz w:val="20"/>
                <w:szCs w:val="20"/>
                <w:color w:val="auto"/>
              </w:rPr>
            </w:pPr>
            <w:r>
              <w:rPr>
                <w:rFonts w:ascii="Arial" w:cs="Arial" w:eastAsia="Arial" w:hAnsi="Arial"/>
                <w:sz w:val="14"/>
                <w:szCs w:val="14"/>
                <w:b w:val="1"/>
                <w:bCs w:val="1"/>
                <w:color w:val="auto"/>
                <w:w w:val="94"/>
              </w:rPr>
              <w:t>Delaware</w:t>
            </w:r>
          </w:p>
        </w:tc>
        <w:tc>
          <w:tcPr>
            <w:tcW w:w="28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7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00" w:type="dxa"/>
            <w:vAlign w:val="bottom"/>
            <w:gridSpan w:val="2"/>
          </w:tcPr>
          <w:p>
            <w:pPr>
              <w:jc w:val="right"/>
              <w:ind w:right="340"/>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70"/>
        </w:trPr>
        <w:tc>
          <w:tcPr>
            <w:tcW w:w="5200" w:type="dxa"/>
            <w:vAlign w:val="bottom"/>
            <w:gridSpan w:val="3"/>
          </w:tcPr>
          <w:p>
            <w:pPr>
              <w:ind w:left="1460"/>
              <w:spacing w:after="0"/>
              <w:rPr>
                <w:sz w:val="20"/>
                <w:szCs w:val="20"/>
                <w:color w:val="auto"/>
              </w:rPr>
            </w:pPr>
            <w:r>
              <w:rPr>
                <w:rFonts w:ascii="Arial" w:cs="Arial" w:eastAsia="Arial" w:hAnsi="Arial"/>
                <w:sz w:val="14"/>
                <w:szCs w:val="14"/>
                <w:b w:val="1"/>
                <w:bCs w:val="1"/>
                <w:color w:val="auto"/>
              </w:rPr>
              <w:t>One Penn Plaza, 35th Floor</w:t>
            </w:r>
          </w:p>
        </w:tc>
        <w:tc>
          <w:tcPr>
            <w:tcW w:w="280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4"/>
                <w:szCs w:val="14"/>
                <w:b w:val="1"/>
                <w:bCs w:val="1"/>
                <w:color w:val="auto"/>
              </w:rPr>
              <w:t>New York, NY</w:t>
            </w:r>
          </w:p>
        </w:tc>
        <w:tc>
          <w:tcPr>
            <w:tcW w:w="2800" w:type="dxa"/>
            <w:vAlign w:val="bottom"/>
            <w:gridSpan w:val="2"/>
          </w:tcPr>
          <w:p>
            <w:pPr>
              <w:jc w:val="right"/>
              <w:ind w:right="108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79"/>
              <w:spacing w:after="0"/>
              <w:rPr>
                <w:sz w:val="20"/>
                <w:szCs w:val="20"/>
                <w:color w:val="auto"/>
              </w:rPr>
            </w:pPr>
            <w:r>
              <w:rPr>
                <w:rFonts w:ascii="Arial" w:cs="Arial" w:eastAsia="Arial" w:hAnsi="Arial"/>
                <w:sz w:val="14"/>
                <w:szCs w:val="14"/>
                <w:color w:val="auto"/>
                <w:w w:val="95"/>
              </w:rPr>
              <w:t>(Address of principal executive offices)</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4"/>
                <w:szCs w:val="24"/>
                <w:color w:val="auto"/>
              </w:rPr>
            </w:pPr>
          </w:p>
        </w:tc>
        <w:tc>
          <w:tcPr>
            <w:tcW w:w="3520" w:type="dxa"/>
            <w:vAlign w:val="bottom"/>
            <w:gridSpan w:val="2"/>
          </w:tcPr>
          <w:p>
            <w:pPr>
              <w:jc w:val="center"/>
              <w:ind w:left="2188"/>
              <w:spacing w:after="0"/>
              <w:rPr>
                <w:sz w:val="20"/>
                <w:szCs w:val="20"/>
                <w:color w:val="auto"/>
              </w:rPr>
            </w:pPr>
            <w:r>
              <w:rPr>
                <w:rFonts w:ascii="Arial" w:cs="Arial" w:eastAsia="Arial" w:hAnsi="Arial"/>
                <w:sz w:val="14"/>
                <w:szCs w:val="14"/>
                <w:b w:val="1"/>
                <w:bCs w:val="1"/>
                <w:color w:val="auto"/>
                <w:w w:val="93"/>
              </w:rPr>
              <w:t>(212) 845-8200</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154"/>
        </w:trPr>
        <w:tc>
          <w:tcPr>
            <w:tcW w:w="1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180" w:type="dxa"/>
            <w:vAlign w:val="bottom"/>
            <w:tcBorders>
              <w:bottom w:val="single" w:sz="8" w:color="auto"/>
            </w:tcBorders>
            <w:gridSpan w:val="2"/>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4"/>
        </w:trPr>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97"/>
        </w:trPr>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24"/>
                <w:szCs w:val="24"/>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b w:val="1"/>
                <w:bCs w:val="1"/>
                <w:color w:val="auto"/>
                <w:w w:val="94"/>
              </w:rPr>
              <w:t>Trading Symbol(s)</w:t>
            </w: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Name of each exchange on which registered</w:t>
            </w:r>
          </w:p>
        </w:tc>
        <w:tc>
          <w:tcPr>
            <w:tcW w:w="0" w:type="dxa"/>
            <w:vAlign w:val="bottom"/>
          </w:tcPr>
          <w:p>
            <w:pPr>
              <w:spacing w:after="0"/>
              <w:rPr>
                <w:sz w:val="1"/>
                <w:szCs w:val="1"/>
                <w:color w:val="auto"/>
              </w:rPr>
            </w:pPr>
          </w:p>
        </w:tc>
      </w:tr>
      <w:tr>
        <w:trPr>
          <w:trHeight w:val="147"/>
        </w:trPr>
        <w:tc>
          <w:tcPr>
            <w:tcW w:w="5200" w:type="dxa"/>
            <w:vAlign w:val="bottom"/>
            <w:gridSpan w:val="3"/>
          </w:tcPr>
          <w:p>
            <w:pPr>
              <w:jc w:val="center"/>
              <w:ind w:right="3179"/>
              <w:spacing w:after="0" w:line="147" w:lineRule="exact"/>
              <w:rPr>
                <w:sz w:val="20"/>
                <w:szCs w:val="20"/>
                <w:color w:val="auto"/>
              </w:rPr>
            </w:pPr>
            <w:r>
              <w:rPr>
                <w:rFonts w:ascii="Arial" w:cs="Arial" w:eastAsia="Arial" w:hAnsi="Arial"/>
                <w:sz w:val="14"/>
                <w:szCs w:val="14"/>
                <w:color w:val="auto"/>
                <w:w w:val="93"/>
              </w:rPr>
              <w:t>Common Stock, $0.001 par value</w:t>
            </w:r>
          </w:p>
        </w:tc>
        <w:tc>
          <w:tcPr>
            <w:tcW w:w="280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182"/>
        </w:trPr>
        <w:tc>
          <w:tcPr>
            <w:tcW w:w="1680" w:type="dxa"/>
            <w:vAlign w:val="bottom"/>
          </w:tcPr>
          <w:p>
            <w:pPr>
              <w:jc w:val="center"/>
              <w:ind w:left="208"/>
              <w:spacing w:after="0"/>
              <w:rPr>
                <w:sz w:val="20"/>
                <w:szCs w:val="20"/>
                <w:color w:val="auto"/>
              </w:rPr>
            </w:pPr>
            <w:r>
              <w:rPr>
                <w:rFonts w:ascii="Arial" w:cs="Arial" w:eastAsia="Arial" w:hAnsi="Arial"/>
                <w:sz w:val="14"/>
                <w:szCs w:val="14"/>
                <w:color w:val="auto"/>
                <w:w w:val="87"/>
              </w:rPr>
              <w:t>per share</w:t>
            </w:r>
          </w:p>
        </w:tc>
        <w:tc>
          <w:tcPr>
            <w:tcW w:w="800" w:type="dxa"/>
            <w:vAlign w:val="bottom"/>
          </w:tcPr>
          <w:p>
            <w:pPr>
              <w:spacing w:after="0"/>
              <w:rPr>
                <w:sz w:val="15"/>
                <w:szCs w:val="15"/>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color w:val="auto"/>
              </w:rPr>
              <w:t>ISEE</w:t>
            </w: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ind w:right="3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p>
      <w:pPr>
        <w:ind w:left="680"/>
        <w:spacing w:after="0" w:line="161" w:lineRule="exact"/>
        <w:tabs>
          <w:tab w:leader="none" w:pos="3240" w:val="left"/>
          <w:tab w:leader="none" w:pos="5220" w:val="left"/>
          <w:tab w:leader="none" w:pos="7100" w:val="left"/>
          <w:tab w:leader="none" w:pos="93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8" w:lineRule="exact"/>
        <w:rPr>
          <w:sz w:val="24"/>
          <w:szCs w:val="24"/>
          <w:color w:val="auto"/>
        </w:rPr>
      </w:pPr>
    </w:p>
    <w:p>
      <w:pPr>
        <w:ind w:right="4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70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November 2, 2020 there were 89,567,544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48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404"/>
        </w:trPr>
        <w:tc>
          <w:tcPr>
            <w:tcW w:w="920" w:type="dxa"/>
            <w:vAlign w:val="bottom"/>
          </w:tcPr>
          <w:p>
            <w:pPr>
              <w:spacing w:after="0"/>
              <w:rPr>
                <w:sz w:val="24"/>
                <w:szCs w:val="24"/>
                <w:color w:val="auto"/>
              </w:rPr>
            </w:pPr>
          </w:p>
        </w:tc>
        <w:tc>
          <w:tcPr>
            <w:tcW w:w="8480" w:type="dxa"/>
            <w:vAlign w:val="bottom"/>
          </w:tcPr>
          <w:p>
            <w:pPr>
              <w:ind w:left="308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I—FINANCIAL INFORMATION</w:t>
              </w:r>
            </w:hyperlink>
          </w:p>
        </w:tc>
        <w:tc>
          <w:tcPr>
            <w:tcW w:w="1760" w:type="dxa"/>
            <w:vAlign w:val="bottom"/>
          </w:tcPr>
          <w:p>
            <w:pPr>
              <w:spacing w:after="0"/>
              <w:rPr>
                <w:sz w:val="24"/>
                <w:szCs w:val="24"/>
                <w:color w:val="auto"/>
              </w:rPr>
            </w:pPr>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48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30"/>
        </w:trPr>
        <w:tc>
          <w:tcPr>
            <w:tcW w:w="920" w:type="dxa"/>
            <w:vAlign w:val="bottom"/>
          </w:tcPr>
          <w:p>
            <w:pPr>
              <w:spacing w:after="0"/>
              <w:rPr>
                <w:sz w:val="19"/>
                <w:szCs w:val="19"/>
                <w:color w:val="auto"/>
              </w:rPr>
            </w:pPr>
          </w:p>
        </w:tc>
        <w:tc>
          <w:tcPr>
            <w:tcW w:w="8480" w:type="dxa"/>
            <w:vAlign w:val="bottom"/>
          </w:tcPr>
          <w:p>
            <w:pPr>
              <w:ind w:left="6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Balance Sheets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29"/>
        </w:trPr>
        <w:tc>
          <w:tcPr>
            <w:tcW w:w="920" w:type="dxa"/>
            <w:vAlign w:val="bottom"/>
          </w:tcPr>
          <w:p>
            <w:pPr>
              <w:spacing w:after="0"/>
              <w:rPr>
                <w:sz w:val="19"/>
                <w:szCs w:val="19"/>
                <w:color w:val="auto"/>
              </w:rPr>
            </w:pPr>
          </w:p>
        </w:tc>
        <w:tc>
          <w:tcPr>
            <w:tcW w:w="8480" w:type="dxa"/>
            <w:vAlign w:val="bottom"/>
          </w:tcPr>
          <w:p>
            <w:pPr>
              <w:ind w:left="6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Statements of Operations and Comprehensive Loss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29"/>
        </w:trPr>
        <w:tc>
          <w:tcPr>
            <w:tcW w:w="920" w:type="dxa"/>
            <w:vAlign w:val="bottom"/>
          </w:tcPr>
          <w:p>
            <w:pPr>
              <w:spacing w:after="0"/>
              <w:rPr>
                <w:sz w:val="19"/>
                <w:szCs w:val="19"/>
                <w:color w:val="auto"/>
              </w:rPr>
            </w:pPr>
          </w:p>
        </w:tc>
        <w:tc>
          <w:tcPr>
            <w:tcW w:w="8480" w:type="dxa"/>
            <w:vAlign w:val="bottom"/>
          </w:tcPr>
          <w:p>
            <w:pPr>
              <w:ind w:left="6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Unaudited Consolidated Statements of Stockholders' Equity</w:t>
              </w:r>
            </w:hyperlink>
          </w:p>
        </w:tc>
        <w:tc>
          <w:tcPr>
            <w:tcW w:w="17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30"/>
        </w:trPr>
        <w:tc>
          <w:tcPr>
            <w:tcW w:w="920" w:type="dxa"/>
            <w:vAlign w:val="bottom"/>
          </w:tcPr>
          <w:p>
            <w:pPr>
              <w:spacing w:after="0"/>
              <w:rPr>
                <w:sz w:val="19"/>
                <w:szCs w:val="19"/>
                <w:color w:val="auto"/>
              </w:rPr>
            </w:pPr>
          </w:p>
        </w:tc>
        <w:tc>
          <w:tcPr>
            <w:tcW w:w="8480" w:type="dxa"/>
            <w:vAlign w:val="bottom"/>
          </w:tcPr>
          <w:p>
            <w:pPr>
              <w:ind w:left="6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Consolidated Statements of Cash Flows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29"/>
        </w:trPr>
        <w:tc>
          <w:tcPr>
            <w:tcW w:w="920" w:type="dxa"/>
            <w:vAlign w:val="bottom"/>
          </w:tcPr>
          <w:p>
            <w:pPr>
              <w:spacing w:after="0"/>
              <w:rPr>
                <w:sz w:val="19"/>
                <w:szCs w:val="19"/>
                <w:color w:val="auto"/>
              </w:rPr>
            </w:pPr>
          </w:p>
        </w:tc>
        <w:tc>
          <w:tcPr>
            <w:tcW w:w="8480" w:type="dxa"/>
            <w:vAlign w:val="bottom"/>
          </w:tcPr>
          <w:p>
            <w:pPr>
              <w:ind w:left="6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Consolidated Financial Statements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229"/>
        </w:trPr>
        <w:tc>
          <w:tcPr>
            <w:tcW w:w="9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w:t>
              </w:r>
            </w:hyperlink>
          </w:p>
        </w:tc>
        <w:tc>
          <w:tcPr>
            <w:tcW w:w="8480" w:type="dxa"/>
            <w:vAlign w:val="bottom"/>
          </w:tcPr>
          <w:p>
            <w:pPr>
              <w:ind w:left="4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3.</w:t>
              </w:r>
            </w:hyperlink>
          </w:p>
        </w:tc>
        <w:tc>
          <w:tcPr>
            <w:tcW w:w="8480" w:type="dxa"/>
            <w:vAlign w:val="bottom"/>
          </w:tcPr>
          <w:p>
            <w:pPr>
              <w:ind w:left="4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r>
      <w:tr>
        <w:trPr>
          <w:trHeight w:val="230"/>
        </w:trPr>
        <w:tc>
          <w:tcPr>
            <w:tcW w:w="92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w:t>
              </w:r>
            </w:hyperlink>
          </w:p>
        </w:tc>
        <w:tc>
          <w:tcPr>
            <w:tcW w:w="8480" w:type="dxa"/>
            <w:vAlign w:val="bottom"/>
          </w:tcPr>
          <w:p>
            <w:pPr>
              <w:ind w:left="4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000" w:type="dxa"/>
            <w:vAlign w:val="bottom"/>
          </w:tcPr>
          <w:p>
            <w:pPr>
              <w:ind w:left="316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II—OTHER INFORMATION</w:t>
              </w:r>
            </w:hyperlink>
          </w:p>
        </w:tc>
        <w:tc>
          <w:tcPr>
            <w:tcW w:w="2160" w:type="dxa"/>
            <w:vAlign w:val="bottom"/>
          </w:tcPr>
          <w:p>
            <w:pPr>
              <w:spacing w:after="0"/>
              <w:rPr>
                <w:sz w:val="20"/>
                <w:szCs w:val="20"/>
                <w:color w:val="auto"/>
              </w:rPr>
            </w:pPr>
          </w:p>
        </w:tc>
      </w:tr>
      <w:tr>
        <w:trPr>
          <w:trHeight w:val="499"/>
        </w:trPr>
        <w:tc>
          <w:tcPr>
            <w:tcW w:w="100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w:t>
              </w:r>
            </w:hyperlink>
          </w:p>
        </w:tc>
        <w:tc>
          <w:tcPr>
            <w:tcW w:w="8000" w:type="dxa"/>
            <w:vAlign w:val="bottom"/>
          </w:tcPr>
          <w:p>
            <w:pPr>
              <w:ind w:left="3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21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1A.</w:t>
              </w:r>
            </w:hyperlink>
          </w:p>
        </w:tc>
        <w:tc>
          <w:tcPr>
            <w:tcW w:w="8000" w:type="dxa"/>
            <w:vAlign w:val="bottom"/>
          </w:tcPr>
          <w:p>
            <w:pPr>
              <w:ind w:left="3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21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2.</w:t>
              </w:r>
            </w:hyperlink>
          </w:p>
        </w:tc>
        <w:tc>
          <w:tcPr>
            <w:tcW w:w="8000" w:type="dxa"/>
            <w:vAlign w:val="bottom"/>
          </w:tcPr>
          <w:p>
            <w:pPr>
              <w:ind w:left="34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Unregistered Sales of Equity Securities and Use of Proceeds</w:t>
              </w:r>
            </w:hyperlink>
          </w:p>
        </w:tc>
        <w:tc>
          <w:tcPr>
            <w:tcW w:w="216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94</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5.</w:t>
              </w:r>
            </w:hyperlink>
          </w:p>
        </w:tc>
        <w:tc>
          <w:tcPr>
            <w:tcW w:w="8000" w:type="dxa"/>
            <w:vAlign w:val="bottom"/>
          </w:tcPr>
          <w:p>
            <w:pPr>
              <w:ind w:left="34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Other Information</w:t>
              </w:r>
            </w:hyperlink>
          </w:p>
        </w:tc>
        <w:tc>
          <w:tcPr>
            <w:tcW w:w="216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94</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6.</w:t>
              </w:r>
            </w:hyperlink>
          </w:p>
        </w:tc>
        <w:tc>
          <w:tcPr>
            <w:tcW w:w="8000" w:type="dxa"/>
            <w:vAlign w:val="bottom"/>
          </w:tcPr>
          <w:p>
            <w:pPr>
              <w:ind w:left="34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Exhibits</w:t>
              </w:r>
            </w:hyperlink>
          </w:p>
        </w:tc>
        <w:tc>
          <w:tcPr>
            <w:tcW w:w="216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94</w:t>
              </w:r>
            </w:hyperlink>
          </w:p>
        </w:tc>
      </w:tr>
      <w:tr>
        <w:trPr>
          <w:trHeight w:val="230"/>
        </w:trPr>
        <w:tc>
          <w:tcPr>
            <w:tcW w:w="1000" w:type="dxa"/>
            <w:vAlign w:val="bottom"/>
          </w:tcPr>
          <w:p>
            <w:pPr>
              <w:spacing w:after="0"/>
              <w:rPr>
                <w:sz w:val="20"/>
                <w:szCs w:val="20"/>
                <w:color w:val="auto"/>
              </w:rPr>
            </w:pPr>
          </w:p>
        </w:tc>
        <w:tc>
          <w:tcPr>
            <w:tcW w:w="8000" w:type="dxa"/>
            <w:vAlign w:val="bottom"/>
          </w:tcPr>
          <w:p>
            <w:pPr>
              <w:ind w:left="34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Signatures</w:t>
              </w:r>
            </w:hyperlink>
          </w:p>
        </w:tc>
        <w:tc>
          <w:tcPr>
            <w:tcW w:w="216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417"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98" w:lineRule="exact"/>
        <w:rPr>
          <w:sz w:val="20"/>
          <w:szCs w:val="20"/>
          <w:color w:val="auto"/>
        </w:rPr>
      </w:pPr>
    </w:p>
    <w:p>
      <w:pPr>
        <w:ind w:left="660" w:right="9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pursue our collaborative gene therapy sponsored research programs;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and expected effects of the COVID-19 pandemic and related response measures on our business and operations, including the timing, costs, conduct and outcome of our research and development programs, and financial position;</w:t>
      </w:r>
    </w:p>
    <w:p>
      <w:pPr>
        <w:spacing w:after="0" w:line="170"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secondary to age-related macular degeneration on our business strategy, including our plans to pursue further development of Zimura and/or seek potential collaboration or outlicensing opportunities;</w:t>
      </w:r>
    </w:p>
    <w:p>
      <w:pPr>
        <w:spacing w:after="0" w:line="183" w:lineRule="exact"/>
        <w:rPr>
          <w:rFonts w:ascii="Arial" w:cs="Arial" w:eastAsia="Arial" w:hAnsi="Arial"/>
          <w:sz w:val="18"/>
          <w:szCs w:val="18"/>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costs, conduct and outcome of GATHER2, our ongoing Phase 3 clinical trial evaluating Zimura for the treatment of geographic atrophy secondary to age-related macular degeneration, and expectations regarding the potential for Zimura to receive regulatory approval for the treatment of geographic atrophy secondary to age-related macular degeneration based on the clinical trial results we have received to date and future results from the GATHER2 clinical trial and any other trials we or a potential collaborator may conduct;</w:t>
      </w:r>
    </w:p>
    <w:p>
      <w:pPr>
        <w:spacing w:after="0" w:line="171" w:lineRule="exact"/>
        <w:rPr>
          <w:rFonts w:ascii="Arial" w:cs="Arial" w:eastAsia="Arial" w:hAnsi="Arial"/>
          <w:sz w:val="17"/>
          <w:szCs w:val="17"/>
          <w:color w:val="auto"/>
        </w:rPr>
      </w:pPr>
    </w:p>
    <w:p>
      <w:pPr>
        <w:ind w:left="660" w:right="6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OPH2005, our ongoing clinical trial evaluating Zimura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therapeutics and gene therapy product candidates, including scale up and validation of the manufacturing process for Zimura drug substance and securing the supply of Zimura drug product and the polyethylene glycol starting material for our expected needs;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consummate business development transactions, including potential collaboration or out-licensing opportunities for further development and potential commercialization of Zimura or in-license or other opportunities to acquire rights to additional product candidates or technologies to treat retinal diseases;</w:t>
      </w:r>
    </w:p>
    <w:p>
      <w:pPr>
        <w:spacing w:after="0" w:line="183"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3" w:lineRule="exact"/>
        <w:rPr>
          <w:rFonts w:ascii="Arial" w:cs="Arial" w:eastAsia="Arial" w:hAnsi="Arial"/>
          <w:sz w:val="18"/>
          <w:szCs w:val="18"/>
          <w:color w:val="auto"/>
        </w:rPr>
      </w:pPr>
    </w:p>
    <w:p>
      <w:pPr>
        <w:ind w:left="660" w:right="5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inhibition of complement factor C5 and HtrA1, including our hypotheses regarding complement inhibition as a mechanism of action to treat geographic atrophy, and of gene therapy, including the use of minigenes;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0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TRADEMARKS</w:t>
      </w:r>
    </w:p>
    <w:p>
      <w:pPr>
        <w:spacing w:after="0" w:line="162" w:lineRule="exact"/>
        <w:rPr>
          <w:sz w:val="20"/>
          <w:szCs w:val="20"/>
          <w:color w:val="auto"/>
        </w:rPr>
      </w:pPr>
    </w:p>
    <w:p>
      <w:pPr>
        <w:ind w:right="220" w:firstLine="177"/>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Quarterly Report on Form 10-Q after their first reference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0" w:type="dxa"/>
            <w:vAlign w:val="bottom"/>
          </w:tcPr>
          <w:p>
            <w:pPr>
              <w:spacing w:after="0"/>
              <w:rPr>
                <w:sz w:val="1"/>
                <w:szCs w:val="1"/>
                <w:color w:val="auto"/>
              </w:rPr>
            </w:pPr>
          </w:p>
        </w:tc>
      </w:tr>
      <w:tr>
        <w:trPr>
          <w:trHeight w:val="230"/>
        </w:trPr>
        <w:tc>
          <w:tcPr>
            <w:tcW w:w="7840" w:type="dxa"/>
            <w:vAlign w:val="bottom"/>
          </w:tcPr>
          <w:p>
            <w:pPr>
              <w:ind w:left="320"/>
              <w:spacing w:after="0"/>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Income tax receivable, non-current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8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29"/>
        </w:trPr>
        <w:tc>
          <w:tcPr>
            <w:tcW w:w="78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Common stock—$0.001 par value, 200,000,000 shares authorized, 89,554,044 and 49,627,064 shares</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at September 30, 2020 and December 31, 2019, respectively</w:t>
            </w: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754,136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597,679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117,203</w:t>
            </w:r>
          </w:p>
        </w:tc>
        <w:tc>
          <w:tcPr>
            <w:tcW w:w="0" w:type="dxa"/>
            <w:vAlign w:val="bottom"/>
          </w:tcPr>
          <w:p>
            <w:pPr>
              <w:spacing w:after="0"/>
              <w:rPr>
                <w:sz w:val="1"/>
                <w:szCs w:val="1"/>
                <w:color w:val="auto"/>
              </w:rPr>
            </w:pPr>
          </w:p>
        </w:tc>
      </w:tr>
      <w:tr>
        <w:trPr>
          <w:trHeight w:val="229"/>
        </w:trPr>
        <w:tc>
          <w:tcPr>
            <w:tcW w:w="784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18,841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10,383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45,311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28,077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Loss before income tax benefit</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(62,810)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597,679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(480,526)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117,203</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(15,076)</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600,182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(495,602)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104,630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w w:val="97"/>
              </w:rPr>
              <w:t>Issuance of common stock and pre-funded warrants through underwritten offering,</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300" w:type="dxa"/>
            <w:vAlign w:val="bottom"/>
            <w:vMerge w:val="continue"/>
          </w:tcPr>
          <w:p>
            <w:pPr>
              <w:spacing w:after="0"/>
              <w:rPr>
                <w:sz w:val="5"/>
                <w:szCs w:val="5"/>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5"/>
                <w:szCs w:val="5"/>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28,503</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116,855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5"/>
                <w:szCs w:val="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116,883</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net of issuance costs</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Issuance of common stock in connection with private offering, net of issuance costs.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33,237</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under the exercise of pre-funded warrants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1,873</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(18,589)</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89,489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752,143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(514,191)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238,041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6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(25,450)</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Unrealized gain on available for sale securities, net of tax</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754,136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(539,641)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214,586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00" w:type="dxa"/>
            <w:vAlign w:val="bottom"/>
          </w:tcPr>
          <w:p>
            <w:pPr>
              <w:spacing w:after="0"/>
              <w:rPr>
                <w:sz w:val="24"/>
                <w:szCs w:val="24"/>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Preferred Stock</w:t>
            </w:r>
          </w:p>
        </w:tc>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300" w:type="dxa"/>
            <w:vAlign w:val="bottom"/>
          </w:tcPr>
          <w:p>
            <w:pPr>
              <w:spacing w:after="0"/>
              <w:rPr>
                <w:sz w:val="6"/>
                <w:szCs w:val="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545,585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(421,667)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(12,501)</w:t>
            </w:r>
          </w:p>
        </w:tc>
        <w:tc>
          <w:tcPr>
            <w:tcW w:w="0" w:type="dxa"/>
            <w:vAlign w:val="bottom"/>
          </w:tcPr>
          <w:p>
            <w:pPr>
              <w:spacing w:after="0"/>
              <w:rPr>
                <w:sz w:val="1"/>
                <w:szCs w:val="1"/>
                <w:color w:val="auto"/>
              </w:rPr>
            </w:pPr>
          </w:p>
        </w:tc>
      </w:tr>
      <w:tr>
        <w:trPr>
          <w:trHeight w:val="20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(434,168)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113,969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tcBorders>
              <w:top w:val="single" w:sz="8" w:color="CCEEFF"/>
            </w:tcBorders>
            <w:vMerge w:val="continue"/>
          </w:tcPr>
          <w:p>
            <w:pPr>
              <w:spacing w:after="0"/>
              <w:rPr>
                <w:sz w:val="12"/>
                <w:szCs w:val="12"/>
                <w:color w:val="auto"/>
              </w:rPr>
            </w:pPr>
          </w:p>
        </w:tc>
        <w:tc>
          <w:tcPr>
            <w:tcW w:w="64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70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(14,443)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(14,443)</w:t>
            </w:r>
          </w:p>
        </w:tc>
        <w:tc>
          <w:tcPr>
            <w:tcW w:w="0" w:type="dxa"/>
            <w:vAlign w:val="bottom"/>
          </w:tcPr>
          <w:p>
            <w:pPr>
              <w:spacing w:after="0"/>
              <w:rPr>
                <w:sz w:val="1"/>
                <w:szCs w:val="1"/>
                <w:color w:val="auto"/>
              </w:rPr>
            </w:pPr>
          </w:p>
        </w:tc>
      </w:tr>
      <w:tr>
        <w:trPr>
          <w:trHeight w:val="20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Balance at June 30, 2019</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550,303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(448,611)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101,733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tcBorders>
              <w:top w:val="single" w:sz="8" w:color="CCEEFF"/>
            </w:tcBorders>
            <w:vMerge w:val="continue"/>
          </w:tcPr>
          <w:p>
            <w:pPr>
              <w:spacing w:after="0"/>
              <w:rPr>
                <w:sz w:val="12"/>
                <w:szCs w:val="12"/>
                <w:color w:val="auto"/>
              </w:rPr>
            </w:pPr>
          </w:p>
        </w:tc>
        <w:tc>
          <w:tcPr>
            <w:tcW w:w="64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70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(14,437)</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2019</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41,602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552,468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(463,048)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89,462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2019</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(41,381)</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Pr>
          <w:p>
            <w:pPr>
              <w:ind w:left="10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premium and discounts on investment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0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6,803</w:t>
            </w:r>
          </w:p>
        </w:tc>
      </w:tr>
      <w:tr>
        <w:trPr>
          <w:trHeight w:val="230"/>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29"/>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30"/>
        </w:trPr>
        <w:tc>
          <w:tcPr>
            <w:tcW w:w="8320" w:type="dxa"/>
            <w:vAlign w:val="bottom"/>
          </w:tcPr>
          <w:p>
            <w:pPr>
              <w:ind w:left="200"/>
              <w:spacing w:after="0"/>
              <w:rPr>
                <w:sz w:val="20"/>
                <w:szCs w:val="20"/>
                <w:color w:val="auto"/>
              </w:rPr>
            </w:pPr>
            <w:r>
              <w:rPr>
                <w:rFonts w:ascii="Arial" w:cs="Arial" w:eastAsia="Arial" w:hAnsi="Arial"/>
                <w:sz w:val="18"/>
                <w:szCs w:val="18"/>
                <w:color w:val="auto"/>
              </w:rPr>
              <w:t>Accrued interest receivable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29"/>
        </w:trPr>
        <w:tc>
          <w:tcPr>
            <w:tcW w:w="8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r>
      <w:tr>
        <w:trPr>
          <w:trHeight w:val="223"/>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(36,581)</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8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Proceeds from follow-on public offering, net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private-placement, net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(36,350)</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131,201</w:t>
            </w: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Income tax refunds received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r>
    </w:tbl>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62" w:lineRule="exact"/>
        <w:rPr>
          <w:sz w:val="20"/>
          <w:szCs w:val="20"/>
          <w:color w:val="auto"/>
        </w:rPr>
      </w:pPr>
    </w:p>
    <w:p>
      <w:pPr>
        <w:ind w:right="240" w:firstLine="180"/>
        <w:spacing w:after="0" w:line="259" w:lineRule="auto"/>
        <w:rPr>
          <w:sz w:val="20"/>
          <w:szCs w:val="20"/>
          <w:color w:val="auto"/>
        </w:rPr>
      </w:pPr>
      <w:r>
        <w:rPr>
          <w:rFonts w:ascii="Arial" w:cs="Arial" w:eastAsia="Arial" w:hAnsi="Arial"/>
          <w:sz w:val="18"/>
          <w:szCs w:val="18"/>
          <w:color w:val="auto"/>
        </w:rPr>
        <w:t>IVERIC bio, Inc. (the “Company”), formerly Ophthotech Corporation, was incorporated on January 5, 2007, in Delaware. The Company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w:t>
      </w:r>
    </w:p>
    <w:p>
      <w:pPr>
        <w:spacing w:after="0" w:line="119"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The Company's therapeutics portfolio consists of its clinical stage product candidate Zimura® (avacincaptad pegol), a complement C5 inhibitor, and its preclinical product candidate IC-500, a High temperature requirement A serine peptidase 1 protein ("HtrA1") inhibitor. The Company is currently targeting the following diseases with Zimura:</w:t>
      </w:r>
    </w:p>
    <w:p>
      <w:pPr>
        <w:spacing w:after="0" w:line="103" w:lineRule="exact"/>
        <w:rPr>
          <w:sz w:val="20"/>
          <w:szCs w:val="20"/>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age-related macular degeneration ("AMD") and is characterized by marked thinning or atrophy of retinal tissue, leading to irreversible loss of vision;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characterized by progressive damage to the central portion of the retina (the "macula") and other retinal tissue of young adults, leading to loss of vision.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developing IC-500 for GA and potentially other age-related retinal diseases.</w:t>
      </w:r>
    </w:p>
    <w:p>
      <w:pPr>
        <w:spacing w:after="0" w:line="144" w:lineRule="exact"/>
        <w:rPr>
          <w:sz w:val="20"/>
          <w:szCs w:val="20"/>
          <w:color w:val="auto"/>
        </w:rPr>
      </w:pPr>
    </w:p>
    <w:p>
      <w:pPr>
        <w:ind w:right="460" w:firstLine="177"/>
        <w:spacing w:after="0" w:line="263" w:lineRule="auto"/>
        <w:rPr>
          <w:sz w:val="20"/>
          <w:szCs w:val="20"/>
          <w:color w:val="auto"/>
        </w:rPr>
      </w:pPr>
      <w:r>
        <w:rPr>
          <w:rFonts w:ascii="Arial" w:cs="Arial" w:eastAsia="Arial" w:hAnsi="Arial"/>
          <w:sz w:val="18"/>
          <w:szCs w:val="18"/>
          <w:color w:val="auto"/>
        </w:rPr>
        <w:t>The Company's gene therapy portfolio consists of two product candidates in preclinical development (IC-100 and IC-200) and several ongoing collaborative sponsored research programs, each of which uses adeno-associated virus ("AAV") for gene delivery. These AAV mediated gene therapy programs are targeting the following orphan IRDs:</w:t>
      </w:r>
    </w:p>
    <w:p>
      <w:pPr>
        <w:spacing w:after="0" w:line="116" w:lineRule="exact"/>
        <w:rPr>
          <w:sz w:val="20"/>
          <w:szCs w:val="20"/>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02" w:lineRule="exact"/>
        <w:rPr>
          <w:rFonts w:ascii="Arial" w:cs="Arial" w:eastAsia="Arial" w:hAnsi="Arial"/>
          <w:sz w:val="18"/>
          <w:szCs w:val="18"/>
          <w:color w:val="auto"/>
        </w:rPr>
      </w:pPr>
    </w:p>
    <w:p>
      <w:pPr>
        <w:ind w:left="660" w:right="96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IRDs associated with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including Best vitelliform macular dystrophy ("Best disease"), which is generally characterized by bilateral egg yolk-like lesions in the macula, which, over time, progress to atrophy and loss of vision;</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15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is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r>
        <w:rPr>
          <w:rFonts w:ascii="Arial" w:cs="Arial" w:eastAsia="Arial" w:hAnsi="Arial"/>
          <w:sz w:val="18"/>
          <w:szCs w:val="18"/>
          <w:i w:val="1"/>
          <w:iCs w:val="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2019 filed with the Securities and Exchange Commission ("SEC") on February 27,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6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212529"/>
        </w:rPr>
        <w:t>In the opinion of management, the Company’s condensed consolidated financial statements include all adjustments, consisting of normal recurring 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8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212529"/>
        </w:rPr>
        <w:t>The year-end condensed consolidated balance sheet data presented for comparative purposes was derived from the Company’s audited financial statements but does not include all disclosures required by U.S. GAAP.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for the three and nine months ended September 30, 2020 are not necessarily indicative of the operating results for the full year or for any other subsequent interim period.</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48"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right="260" w:firstLine="445"/>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right="540" w:firstLine="445"/>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14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1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1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14"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97" w:lineRule="exact"/>
        <w:rPr>
          <w:sz w:val="20"/>
          <w:szCs w:val="20"/>
          <w:color w:val="auto"/>
        </w:rPr>
      </w:pPr>
    </w:p>
    <w:p>
      <w:pPr>
        <w:ind w:left="660" w:right="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 w:lineRule="exact"/>
        <w:rPr>
          <w:rFonts w:ascii="Arial" w:cs="Arial" w:eastAsia="Arial" w:hAnsi="Arial"/>
          <w:sz w:val="18"/>
          <w:szCs w:val="18"/>
          <w:color w:val="auto"/>
        </w:rPr>
      </w:pPr>
    </w:p>
    <w:p>
      <w:pPr>
        <w:ind w:left="660" w:right="68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10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Company’s available for sale securities are also invested in U.S. Treasury securities, investment-grade corporate debt securities and asset-backed securities. The Company has not recognized any losses from credit risks on such investments during any of the periods presented. The Company believes it is not exposed to significant credit risk on its cash, cash equivalents and available for sale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62"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The Company has historically relied on a single third-party manufacturer to provide the drug substance for Zimura on a purchase order basis. The Company also has historically relied 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proprietary polyethylene glycol starting material ("PEG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cGMP manufacture of IC-500 for preclinical toxicology studies and clinical trials.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 has leased its office spaces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w:t>
      </w:r>
    </w:p>
    <w:p>
      <w:pPr>
        <w:spacing w:after="0" w:line="90" w:lineRule="exact"/>
        <w:rPr>
          <w:sz w:val="20"/>
          <w:szCs w:val="20"/>
          <w:color w:val="auto"/>
        </w:rPr>
      </w:pPr>
    </w:p>
    <w:p>
      <w:pPr>
        <w:ind w:right="160" w:firstLine="364"/>
        <w:spacing w:after="0" w:line="263" w:lineRule="auto"/>
        <w:rPr>
          <w:sz w:val="20"/>
          <w:szCs w:val="20"/>
          <w:color w:val="auto"/>
        </w:rPr>
      </w:pPr>
      <w:r>
        <w:rPr>
          <w:rFonts w:ascii="Arial" w:cs="Arial" w:eastAsia="Arial" w:hAnsi="Arial"/>
          <w:sz w:val="18"/>
          <w:szCs w:val="18"/>
          <w:color w:val="auto"/>
        </w:rPr>
        <w:t xml:space="preserve">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Company records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its product candidates and costs associated with its collaborative gene therapy sponsored research programs. The Company's research and development expenses consist of:</w:t>
      </w:r>
    </w:p>
    <w:p>
      <w:pPr>
        <w:spacing w:after="0" w:line="116" w:lineRule="exact"/>
        <w:rPr>
          <w:sz w:val="20"/>
          <w:szCs w:val="20"/>
          <w:color w:val="auto"/>
        </w:rPr>
      </w:pPr>
    </w:p>
    <w:p>
      <w:pPr>
        <w:ind w:left="980" w:right="2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116"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260" w:firstLine="445"/>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56" w:lineRule="exact"/>
        <w:rPr>
          <w:sz w:val="20"/>
          <w:szCs w:val="20"/>
          <w:color w:val="auto"/>
        </w:rPr>
      </w:pPr>
    </w:p>
    <w:p>
      <w:pPr>
        <w:ind w:right="20" w:firstLine="445"/>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share-based payment awards made to employees and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0"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and nine month periods ended September 30,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980" w:type="dxa"/>
            <w:vAlign w:val="bottom"/>
            <w:gridSpan w:val="3"/>
          </w:tcPr>
          <w:p>
            <w:pPr>
              <w:ind w:lef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2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0.22%-0.26%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1.38%-1.84%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0.22%-1.34%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1.38%-2.54%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 Update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Measurement of Credit Losses on Financial Instrument </w:t>
      </w:r>
      <w:r>
        <w:rPr>
          <w:rFonts w:ascii="Arial" w:cs="Arial" w:eastAsia="Arial" w:hAnsi="Arial"/>
          <w:sz w:val="17"/>
          <w:szCs w:val="17"/>
          <w:color w:val="auto"/>
        </w:rPr>
        <w:t>(“CECL”). ASU 2016-13 requires an allowance for expected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be recognized as early as day one of the instrument. This ASU departs from the incurred loss model which means the probability threshold is removed. It considers more forward-looking information and requires the entity to estimate its credit losses as far as it can reasonably estimate. This ASU is effective for fiscal years beginning after December 15, 2019, including interim periods within those fiscal years. The Company adopted this accounting standard effective January 1, 2020 with no material impact to its financial statements.</w:t>
      </w:r>
    </w:p>
    <w:p>
      <w:pPr>
        <w:spacing w:after="0" w:line="9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120"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became effective for fiscal years beginning after December 15, 2019, and for interim periods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within those fiscal years. The Company adopted this accounting standard effective January 1, 2020 with no material impact to its financial statements.</w:t>
      </w:r>
    </w:p>
    <w:p>
      <w:pPr>
        <w:spacing w:after="0" w:line="16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which clarifies the interaction between the guidance for collaborative arrangements (Topic 808) and the new revenue recognition standard (Topic 606).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11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simplifies the accounting for income taxes, eliminates certain exceptions within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adopted this accounting standard effective January 1, 2020 with no material impact to its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256" w:lineRule="exact"/>
        <w:rPr>
          <w:sz w:val="20"/>
          <w:szCs w:val="20"/>
          <w:color w:val="auto"/>
        </w:rPr>
      </w:pPr>
    </w:p>
    <w:p>
      <w:pPr>
        <w:ind w:right="20" w:firstLine="405"/>
        <w:spacing w:after="0" w:line="241" w:lineRule="auto"/>
        <w:rPr>
          <w:sz w:val="20"/>
          <w:szCs w:val="20"/>
          <w:color w:val="auto"/>
        </w:rPr>
      </w:pPr>
      <w:r>
        <w:rPr>
          <w:rFonts w:ascii="Arial" w:cs="Arial" w:eastAsia="Arial" w:hAnsi="Arial"/>
          <w:sz w:val="18"/>
          <w:szCs w:val="18"/>
          <w:color w:val="auto"/>
        </w:rPr>
        <w:t>In June 2020, the Company completed an underwritten public offering in which the Company sold 28,503,220 shares of its common stock, which includes the exercise in full of the underwriters’ option to purchase additional shares of the Company’s common stock, at a price to the public of $4.100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w:t>
      </w:r>
    </w:p>
    <w:p>
      <w:pPr>
        <w:spacing w:after="0" w:line="216"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Concurrently with the June 2020 public offering, the Company completed a private placement in which the Company sold 8,649,453 shares of its common stock to affiliates of Vivo Capital, LLC and Samsara BioCapital, LP, at a sale price equal to the price to the public in the underwritten public offering.</w:t>
      </w:r>
    </w:p>
    <w:p>
      <w:pPr>
        <w:spacing w:after="0" w:line="211"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underwriting and placement agent commissions and other expenses totaling $10.1 million, was approximately $150.1 million.</w:t>
      </w:r>
    </w:p>
    <w:p>
      <w:pPr>
        <w:spacing w:after="0" w:line="197"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 xml:space="preserve">The Company evaluated the pre-funded warrants for liability or equity classification in accordance with the provisions of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and ASC 815-40,</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Based on the provisions governing the pre-funded warrants in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Company determined that the pre-funded warrants meet the criteria required to be classified as an equity award subject to the guidance in ASC 815-10 and 815-40 and should effectively be treated as outstanding common shares in both basic and diluted earnings per share calculations.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6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September 30, 2020,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of common stock - basic and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1"/>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9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2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7,426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1,727</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4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9,153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w:t>
      </w:r>
    </w:p>
    <w:p>
      <w:pPr>
        <w:spacing w:after="0" w:line="148"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the date of purchase to be cash equivalents. As of September 30, 2020 and December 31, 2019, the Company had cash and cash equivalents of approximately $122.8 million and $125.7 million, respectively. Cash and cash equivalents included cash of $3.7 million at September 30, 2020 and $3.2 million at December 31, 2019. Cash and cash equivalents at September 30, 2020 and December 31, 2019 included $119.1 million and $122.5 million, respectively, of investments in money market funds and certain investment-grade corporate debt securities with original maturities of 90 days or less.</w:t>
      </w:r>
    </w:p>
    <w:p>
      <w:pPr>
        <w:spacing w:after="0" w:line="109" w:lineRule="exact"/>
        <w:rPr>
          <w:sz w:val="20"/>
          <w:szCs w:val="20"/>
          <w:color w:val="auto"/>
        </w:rPr>
      </w:pPr>
    </w:p>
    <w:p>
      <w:pPr>
        <w:jc w:val="both"/>
        <w:ind w:right="340" w:firstLine="445"/>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As of September 30, 2020, the Company held available for sale securities of $108.3 million, all of which have maturities of less than one year. The Company held no available for sale securities at December 31, 2019, respectively.</w:t>
      </w:r>
    </w:p>
    <w:p>
      <w:pPr>
        <w:spacing w:after="0" w:line="116"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September 30, 2020.</w:t>
      </w:r>
    </w:p>
    <w:p>
      <w:pPr>
        <w:spacing w:after="0" w:line="65" w:lineRule="exact"/>
        <w:rPr>
          <w:sz w:val="20"/>
          <w:szCs w:val="20"/>
          <w:color w:val="auto"/>
        </w:rPr>
      </w:pPr>
    </w:p>
    <w:p>
      <w:pPr>
        <w:ind w:right="640" w:firstLine="445"/>
        <w:spacing w:after="0" w:line="308" w:lineRule="auto"/>
        <w:rPr>
          <w:sz w:val="20"/>
          <w:szCs w:val="20"/>
          <w:color w:val="auto"/>
        </w:rPr>
      </w:pPr>
      <w:r>
        <w:rPr>
          <w:rFonts w:ascii="Arial" w:cs="Arial" w:eastAsia="Arial" w:hAnsi="Arial"/>
          <w:sz w:val="17"/>
          <w:szCs w:val="17"/>
          <w:color w:val="auto"/>
        </w:rPr>
        <w:t>The Company classifies these securities as available for sale. However, the Company does not currently intend to sell its investments and the Company believes it is more likely than not that the Company will recover the carrying value of these investments.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The Company believes that its existing cash, cash equivalents and available for sale securities as of September 30, 2020 will be sufficient to fund its currently planned capital expenditure requirements and operating expenses for at least the next 12 months from the filing of this Quarterly Report on Form 10-Q. This estimate is based on the Company’s current business plan, which includes the continuation of its clinical development programs for Zimura, the progression of its IC-100 and IC-200 programs into the clinic, and the advancement of its IC-500 development program. This estimate assumes that the Company will enroll approximately 400 patients in the GATHER2 trial. This estimate does not reflect any additional expenditures resulting from the potential in licensing or acquisition of additional product candidates or technologies, commencement of any new sponsored research programs or any associated development the Company may pursue. The Company has based this estimate on assumptions that may prove to be wrong and the Company could use its available capital resources sooner than it currently expects.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ind w:left="1300"/>
              <w:spacing w:after="0"/>
              <w:rPr>
                <w:sz w:val="20"/>
                <w:szCs w:val="20"/>
                <w:color w:val="auto"/>
              </w:rPr>
            </w:pPr>
            <w:r>
              <w:rPr>
                <w:rFonts w:ascii="Arial" w:cs="Arial" w:eastAsia="Arial" w:hAnsi="Arial"/>
                <w:sz w:val="14"/>
                <w:szCs w:val="14"/>
                <w:b w:val="1"/>
                <w:bCs w:val="1"/>
                <w:color w:val="auto"/>
              </w:rPr>
              <w:t>As of September 30, 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187"/>
        </w:trPr>
        <w:tc>
          <w:tcPr>
            <w:tcW w:w="2880" w:type="dxa"/>
            <w:vAlign w:val="bottom"/>
          </w:tcPr>
          <w:p>
            <w:pPr>
              <w:spacing w:after="0"/>
              <w:rPr>
                <w:sz w:val="16"/>
                <w:szCs w:val="16"/>
                <w:color w:val="auto"/>
              </w:rPr>
            </w:pPr>
          </w:p>
        </w:tc>
        <w:tc>
          <w:tcPr>
            <w:tcW w:w="210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tcPr>
          <w:p>
            <w:pPr>
              <w:ind w:left="280"/>
              <w:spacing w:after="0"/>
              <w:rPr>
                <w:sz w:val="20"/>
                <w:szCs w:val="20"/>
                <w:color w:val="auto"/>
              </w:rPr>
            </w:pPr>
            <w:r>
              <w:rPr>
                <w:rFonts w:ascii="Arial" w:cs="Arial" w:eastAsia="Arial" w:hAnsi="Arial"/>
                <w:sz w:val="14"/>
                <w:szCs w:val="14"/>
                <w:b w:val="1"/>
                <w:bCs w:val="1"/>
                <w:color w:val="auto"/>
                <w:w w:val="94"/>
              </w:rPr>
              <w:t>Gross Unrealized Gains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w w:val="88"/>
              </w:rPr>
              <w:t>Gross Unrealized Losses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59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45,221</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52,862</w:t>
            </w: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52,859</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108,302</w:t>
            </w:r>
          </w:p>
        </w:tc>
        <w:tc>
          <w:tcPr>
            <w:tcW w:w="80" w:type="dxa"/>
            <w:vAlign w:val="bottom"/>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108,303</w:t>
            </w:r>
          </w:p>
        </w:tc>
      </w:tr>
      <w:tr>
        <w:trPr>
          <w:trHeight w:val="21"/>
        </w:trPr>
        <w:tc>
          <w:tcPr>
            <w:tcW w:w="28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301" w:lineRule="auto"/>
        <w:rPr>
          <w:sz w:val="20"/>
          <w:szCs w:val="20"/>
          <w:color w:val="auto"/>
        </w:rPr>
      </w:pPr>
      <w:r>
        <w:rPr>
          <w:rFonts w:ascii="Arial" w:cs="Arial" w:eastAsia="Arial" w:hAnsi="Arial"/>
          <w:sz w:val="16"/>
          <w:szCs w:val="16"/>
          <w:color w:val="auto"/>
        </w:rPr>
        <w:t>The Company’s available for sale securities are reported at fair value on the Company’s Balance Sheets. Unrealized gains (losses) are reported within other comprehensive income in the statements of comprehensive loss. The cost of securities sold and any realized gains/losses from the sale of available for sale securities are based on the specific identification method. The changes in other comprehensive income associated with the unrealized gain on available for sale securities during the three and nine months ended September 30, 2020 and 2019, respectively,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4"/>
              </w:rPr>
              <w:t>Current period changes in fair value before reclassifications,</w:t>
            </w:r>
          </w:p>
        </w:tc>
        <w:tc>
          <w:tcPr>
            <w:tcW w:w="11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14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1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1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6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Pursuant to the evergreen provisions of the Company's 2013 stock incentive plan (the "2013 Plan"), annual increases have resulted in the addition of an aggregate of approximately 10,539,000 additional shares to the 2013 Plan, including for 2020, an increase of approximately 1,985,000 shares, or approximately 4% of the total number of shares of the Company's common stock outstanding as of January 1, 2020. As of September 30, 2020, the Company had approximately 2,666,000 shares available for grant under the 2013 Plan.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October 2019, the Company's board of directors adopted its 2019 Inducement Stock Incentive Plan (the “2019 Inducement Plan”) to</w:t>
      </w:r>
    </w:p>
    <w:p>
      <w:pPr>
        <w:spacing w:after="0" w:line="23"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As of September 30, 2020, the Company had approximately 610,000 shares available for grant under the 2019 Inducement Plan.</w:t>
      </w:r>
    </w:p>
    <w:p>
      <w:pPr>
        <w:spacing w:after="0" w:line="8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1,847</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1,847</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stock option activity, weighted average exercise prices, options outstanding, exercisable and expected to vest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is as follows (in thousands except weighted average exercise price):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990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(264)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Outstanding, September 30,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September 30, 2020</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7,114</w:t>
            </w:r>
          </w:p>
        </w:tc>
        <w:tc>
          <w:tcPr>
            <w:tcW w:w="3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As of September 30, 2020, there were approximately $7.2 million of unrecognized compensation costs, net of estimated forfeitures, related to stock option awards grants, which are expected to be recognized over a remaining weighted average period of 2.7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58"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September 30, 2020 (in thousands except weighted average grant-date fair value):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Restricted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7600" w:type="dxa"/>
            <w:vAlign w:val="bottom"/>
          </w:tcPr>
          <w:p>
            <w:pPr>
              <w:spacing w:after="0"/>
              <w:rPr>
                <w:sz w:val="11"/>
                <w:szCs w:val="11"/>
                <w:color w:val="auto"/>
              </w:rPr>
            </w:pPr>
          </w:p>
        </w:tc>
        <w:tc>
          <w:tcPr>
            <w:tcW w:w="1240" w:type="dxa"/>
            <w:vAlign w:val="bottom"/>
          </w:tcPr>
          <w:p>
            <w:pPr>
              <w:jc w:val="center"/>
              <w:ind w:left="428"/>
              <w:spacing w:after="0" w:line="135"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9"/>
              </w:rPr>
              <w:t>Grant-Date</w:t>
            </w:r>
          </w:p>
        </w:tc>
      </w:tr>
      <w:tr>
        <w:trPr>
          <w:trHeight w:val="188"/>
        </w:trPr>
        <w:tc>
          <w:tcPr>
            <w:tcW w:w="76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7"/>
              </w:rPr>
              <w:t>Units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Fair Value</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2020</w:t>
            </w: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1,727</w:t>
            </w:r>
          </w:p>
        </w:tc>
        <w:tc>
          <w:tcPr>
            <w:tcW w:w="340" w:type="dxa"/>
            <w:vAlign w:val="bottom"/>
            <w:tcBorders>
              <w:top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Outstanding, Expected to vest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1,515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7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September 30, 2020, there were approximately $4.2 million of unrecognized compensation costs, net of estimated forfeitures, related to RSUs grants, which are expected to be recognized over a remaining weighted average period of 2.6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15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September 30, 2020, there were 805,361 shares available for future purchases under the ESPP. There were 32,821 and 38,944 shares issued under the ESPP during the three months ended September 30, 2020 and 2019. There were 76,402 and 70,466 shares of common stock issued under the ESPP during the nine months ended September 30, 2020 and 2019. Cash proceeds from ESPP purchases were $147 thousand and $81 thousand during the nine months ended September 30, 2020 and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color w:val="auto"/>
        </w:rPr>
        <w:t>. Income Taxes</w:t>
      </w:r>
    </w:p>
    <w:p>
      <w:pPr>
        <w:spacing w:after="0" w:line="148"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For the three months ended September 30, 2020, the Company recorded no income tax benefit. For the nine months ended September 30, 2020, the Company recorded an income tax benefit of $3.7 million to reflect a settlement of a local tax audit and the associated decrease in the Company's related uncertain tax position, including interest and penalties. For the three and nine months ended September 30, 2019, the Company recorded an income tax benefit of $0.1 million primarily to reflect a settlement of a local tax audit.</w:t>
      </w:r>
    </w:p>
    <w:p>
      <w:pPr>
        <w:spacing w:after="0" w:line="10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response to the COVID-19 pandemic, the U.S. Congress enacted the Coronavirus Aid, Relief, and Economic Security Act ("CARES Act") on March 27, 2020. The CARES Act provides numerous tax provisions and other stimulus measures, including the immediate refund of minimum tax credits. The Company has recorded a current tax receivable of approximately $1.8 million in anticipation of this refund.</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62"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06"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September 30,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119,079</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52,859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108,585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18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Consolidated Balance Sheets.</w:t>
      </w:r>
    </w:p>
    <w:p>
      <w:pPr>
        <w:spacing w:after="0" w:line="103"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The Company recorded as an expense a $6.0 million milestone payment due to Archemix in its Consolidated Statement of Operations for the three and nine months ended September 30, 2020. The Company subsequently paid this milestone to Archemix in October 2020. In addition,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158" w:lineRule="exact"/>
        <w:rPr>
          <w:sz w:val="20"/>
          <w:szCs w:val="20"/>
          <w:color w:val="auto"/>
        </w:rPr>
      </w:pPr>
    </w:p>
    <w:p>
      <w:pPr>
        <w:ind w:firstLine="180"/>
        <w:spacing w:after="0" w:line="268" w:lineRule="auto"/>
        <w:rPr>
          <w:sz w:val="20"/>
          <w:szCs w:val="20"/>
          <w:color w:val="auto"/>
        </w:rPr>
      </w:pPr>
      <w:r>
        <w:rPr>
          <w:rFonts w:ascii="Arial" w:cs="Arial" w:eastAsia="Arial" w:hAnsi="Arial"/>
          <w:sz w:val="17"/>
          <w:szCs w:val="17"/>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United States Food and Drug Administration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Under the agreement and plan of merger between the Company and Inception 4, Inc. ("Inception 4"), pursuant to which the Company acquired Inception</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4 and its HtrA1 inhibitor program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58" w:lineRule="exact"/>
        <w:rPr>
          <w:sz w:val="20"/>
          <w:szCs w:val="20"/>
          <w:color w:val="auto"/>
        </w:rPr>
      </w:pPr>
    </w:p>
    <w:p>
      <w:pPr>
        <w:jc w:val="both"/>
        <w:ind w:right="400" w:firstLine="177"/>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44"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This case is currently in the discovery phase.</w:t>
      </w:r>
    </w:p>
    <w:p>
      <w:pPr>
        <w:spacing w:after="0" w:line="1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the Company's motion to dismiss this complaint. This matter was subsequently referred to a special litigation committee of the Company's board of directors. On February 18, 2020, the Company filed an answer to the complaint. The Company and the plaintiff agreed to stay this litigation while the special litigation committee conducts its investigation. On May 5, 2020, the court approved the stipulation and stayed the litigation through November 1, 2020. On October 30, 2020, the parties submitted a joint stipulation requesting that the court extend the stay through January 30, 2021.</w:t>
      </w:r>
    </w:p>
    <w:p>
      <w:pPr>
        <w:spacing w:after="0" w:line="11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 The Company has entered into tolling agreements with the directors named in the demands.</w:t>
      </w:r>
    </w:p>
    <w:p>
      <w:pPr>
        <w:spacing w:after="0" w:line="11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2019 included in our Annual Report on Form 10-K filed with the Securities and Exchange Commission on February 27, 2020.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w:t>
      </w:r>
    </w:p>
    <w:p>
      <w:pPr>
        <w:spacing w:after="0" w:line="184"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Our therapeutics portfolio consists of our clinical stage product candidate Zimura® (avacincaptad pegol), a complement C5 inhibitor, and our preclinical product candidate IC-500, a High temperature requirement A serine peptidase 1 protein, or HtrA1, inhibitor. We are currently targeting the following diseases with Zimura:</w:t>
      </w:r>
    </w:p>
    <w:p>
      <w:pPr>
        <w:spacing w:after="0" w:line="184" w:lineRule="exact"/>
        <w:rPr>
          <w:sz w:val="20"/>
          <w:szCs w:val="20"/>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 and</w:t>
      </w:r>
    </w:p>
    <w:p>
      <w:pPr>
        <w:spacing w:after="0" w:line="10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characterized by progressive damage to the central portion of the retina, or the macula, and other retinal tissue of young adults, leading to loss of vision.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IC-500 for GA and potentially other age-related retinal diseases.</w:t>
      </w:r>
    </w:p>
    <w:p>
      <w:pPr>
        <w:spacing w:after="0" w:line="225" w:lineRule="exact"/>
        <w:rPr>
          <w:sz w:val="20"/>
          <w:szCs w:val="20"/>
          <w:color w:val="auto"/>
        </w:rPr>
      </w:pPr>
    </w:p>
    <w:p>
      <w:pPr>
        <w:ind w:right="460" w:firstLine="180"/>
        <w:spacing w:after="0" w:line="263" w:lineRule="auto"/>
        <w:rPr>
          <w:sz w:val="20"/>
          <w:szCs w:val="20"/>
          <w:color w:val="auto"/>
        </w:rPr>
      </w:pPr>
      <w:r>
        <w:rPr>
          <w:rFonts w:ascii="Arial" w:cs="Arial" w:eastAsia="Arial" w:hAnsi="Arial"/>
          <w:sz w:val="18"/>
          <w:szCs w:val="18"/>
          <w:color w:val="auto"/>
        </w:rPr>
        <w:t>Our gene therapy portfolio consists of two product candidates in preclinical development (IC-100 and IC-200) and several ongoing collaborative sponsored research programs, each of which uses adeno-associated virus, or AAV, for gene delivery. These AAV mediated gene therapy programs are targeting the following orphan IRDs:</w:t>
      </w:r>
    </w:p>
    <w:p>
      <w:pPr>
        <w:spacing w:after="0" w:line="184" w:lineRule="exact"/>
        <w:rPr>
          <w:sz w:val="20"/>
          <w:szCs w:val="20"/>
          <w:color w:val="auto"/>
        </w:rPr>
      </w:pPr>
    </w:p>
    <w:p>
      <w:pPr>
        <w:ind w:left="660" w:right="3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right="160" w:firstLine="177"/>
        <w:spacing w:after="0" w:line="257" w:lineRule="auto"/>
        <w:rPr>
          <w:sz w:val="20"/>
          <w:szCs w:val="20"/>
          <w:color w:val="auto"/>
        </w:rPr>
      </w:pPr>
      <w:r>
        <w:rPr>
          <w:rFonts w:ascii="Arial" w:cs="Arial" w:eastAsia="Arial" w:hAnsi="Arial"/>
          <w:sz w:val="18"/>
          <w:szCs w:val="18"/>
          <w:color w:val="auto"/>
        </w:rPr>
        <w:t>We have summarized the current status of our ongoing research and development programs in the table below. We have given an IC number to our preclinical gene therapy product candidates (IC-100 and IC-200) and to the selected product candidate from our HtrA1 inhibitor program (IC-500). In the future, we intend to give an IC number to other product candidates that advance to preclinical development, whether from our collaborative gene therapy sponsored research programs or that we may otherwise in-license or acquire, in each case, once a lead product candidate is identified for a particular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888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359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80" w:firstLine="180"/>
        <w:spacing w:after="0" w:line="279" w:lineRule="auto"/>
        <w:rPr>
          <w:sz w:val="20"/>
          <w:szCs w:val="20"/>
          <w:color w:val="auto"/>
        </w:rPr>
      </w:pPr>
      <w:r>
        <w:rPr>
          <w:rFonts w:ascii="Arial" w:cs="Arial" w:eastAsia="Arial" w:hAnsi="Arial"/>
          <w:sz w:val="17"/>
          <w:szCs w:val="17"/>
          <w:color w:val="auto"/>
        </w:rPr>
        <w:t>Zimura, our complement C5 inhibitor, is a chemically-synthesized, pegylated RNA aptamer. Aptamers are short molecules made up of a single stranded nucleic acid sequence or amino acid sequence that binds molecular targets with high selectivity and specificity. In April 2020, we received fast track designation from the U.S. Food and Drug Administration, or FDA, for Zimura for the treatment of GA secondary to dry AMD. The following are brief descriptions of the status of the GATHER1 trial and our ongoing clinical trials for Zimura and our manufacturing activities for Zimura.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GATHER1 (GA secondary to AMD - Completed)</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GATHER1 is an international, randomized, double masked, sham controlled, multi-center Phase 3 clinical trial assessing the safety and efficacy of Zimura for the treatment of GA secondary to AMD. We enrolled 286 patients in this trial across multiple treatment groups, including various Zimura doses and sham control groups, and patients were followed for 18 months. In October 2019, we announced positive 12-month data from this trial and in June 2020, we completed this trial and announced 18-month data from this trial, which supported the 12-month data. We believe that the GATHER1 trial qualifies as the first of two Phase 3 trials typically required by the FDA for marketing approval of a pharmaceutical product.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GATHER2 is an international, randomized, double-masked, sham controlled, multi-center Phase 3 clinical trial assessing the safety and efficacy of Zimura for the treatment of GA secondary to AMD. We are continuing to recruit and enroll patients; meanwhile, we continue to monitor the COVID-19 pandemic closely and may need to slow down or stop patient enrollment in certain geographies depending on the local situation. We are also adding more countries and sites to this trial due to the ongoing and variable nature of the COVID-19 pandemic and its potential impact on patient recruitment and retention.</w:t>
      </w:r>
    </w:p>
    <w:p>
      <w:pPr>
        <w:spacing w:after="0" w:line="21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this trial, we plan to enroll approximately 400 patients, who will be randomized to receive either monthly administration of Zimura 2 mg or sham during the first 12 months of the trial, at which time the primary efficacy analysis of the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mean rate of change of GA growth over 12 months using square root transformation, which is the same as the primary efficacy endpoint we used for the GATHER1 trial, will be performed. If the 12 month results are positive, we plan to file an application with the FDA and the European Medicines Agency, or the EMA, for marketing approval of Zimura for GA. At month 12, we plan to re-randomize patients in the Zimura 2 mg arm to receive either monthly or every other month administration of Zimura 2 mg. The final evaluation will take place at month 24. We recently amended the protocol for this trial to provide that if an investigator suspects that a patient has choroidal neovascularization, or CNV, or if a patient experiences a decrease in visual acuity, as measured by a loss of more than five Early Treatment Diabetic Retinopathy Study, or ETDRS, letters, between a visit and the immediately prior visit, the independent masked reading center will confirm whether the patient has CNV using multi-modal imaging. In the event a CNV case is confirmed, the investigator will treat the CNV with one of two anti-VEGF agents, Lucentis® (ranibizumab) or Eylea® (aflibercept), in accordance with the label for that anti-VEGF agent.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OPH2005 (STGD1 - Ongoing)</w:t>
      </w:r>
    </w:p>
    <w:p>
      <w:pPr>
        <w:spacing w:after="0" w:line="25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OPH2005 is an international, randomized, double masked, sham controlled, multi-center clinical trial evaluating the safety and efficacy of Zimura for the treatment of STGD1. OPH2005,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OPH2005 trial. As of September 1, 2020, all of these initially enrolled patients had completed their scheduled visits.</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July 2020, we reopened enrollment in this trial in the United States. We plan to enroll approximately 25 additional patients, with the goal of enrolling a total of approximately 120 patients. Similar to GATHER2, we continue to monitor the COVID-19 pandemic closely and may need to slow down or stop patient enrollment in certain geographies depending on the local situation. Newly enrolled patients will be randomized on a 1:1 basis to be treated with either Zimura 4 mg or sham for 18 months.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have initiated activities for the scale-up and validation of the manufacturing process for the drug substance for Zimura. We have been continuing discussions with our existing manufacturer, Agilent Technologies, Inc., or Agilent, for scale-up and validation and other activities in preparation for potential commercialization. We have also engaged a second manufacturer, with the goal of assessing whether this manufacturer can produce Zimura drug substance at an adequate scale for future potential commercial use. Depending on these discussions with Agilent and the success of any scale-up activities by Agilent and the second manufacturer, we may use either Agilent, this second manufacturer or both for future supply of Zimura drug substance. In addition, regardless of which manufacturer we use, we will need to demonstrate that the drug substance produced through the scaled-up process is analytically comparable to the Zimura we are currently using. We are continuing analytical method development and validation work with our contract manufacturers and laboratories.</w:t>
      </w:r>
    </w:p>
    <w:p>
      <w:pPr>
        <w:spacing w:after="0" w:line="19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are also exploring a potential change to the vial used for the Zimura drug product, which we believe may allow us to support a more efficient fill/finish operation at a commercial scale. We have been in discussions with our existing fill/finish manufacturer, Ajinomoto Bio-Pharma Services, or Ajinomoto, for supply of the changed vial and its capacity to supply us and/or a potential collaborator with Zimura drug product for potential commercial use. We have also engaged a second manufacturer to provide us additional supply of Zimura drug product using the existing vial configuration. This second manufacturer is in the process of making additional Zimura drug product to support our needs for the GATHER2 trial and the expanded OPH2005 trial.</w:t>
      </w:r>
    </w:p>
    <w:p>
      <w:pPr>
        <w:spacing w:after="0" w:line="16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We currently procure the supply on a purchase order basis and are planning to enter into a long-term supply agreement with this manufacturer for the PEG starting material.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225"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We are pursuing the preclinical development of IC-500 for the treatment of GA secondary to AMD and potentially other age-related retinal diseases. We have selected IC-500, the lead compound from our HtrA1 inhibitor program, which includes a number of small molecule compounds that show high affinity and specificity for HtrA1 when tested. We are continuing process development and formulation development with the goal of developing a manufacturing process and a formulation for intravitreal administration in the eye. We are also planning to initiate IND-enabling studies for IC-500 if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process development and formulation development are successful. Based on current timelines and subject to successful preclinical development and cGMP manufacturing, we plan to file an IND for IC-500 during the second half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225" w:lineRule="exact"/>
        <w:rPr>
          <w:sz w:val="20"/>
          <w:szCs w:val="20"/>
          <w:color w:val="auto"/>
        </w:rPr>
      </w:pPr>
    </w:p>
    <w:p>
      <w:pPr>
        <w:ind w:right="40" w:firstLine="177"/>
        <w:spacing w:after="0" w:line="272" w:lineRule="auto"/>
        <w:rPr>
          <w:sz w:val="20"/>
          <w:szCs w:val="20"/>
          <w:color w:val="auto"/>
        </w:rPr>
      </w:pPr>
      <w:r>
        <w:rPr>
          <w:rFonts w:ascii="Arial" w:cs="Arial" w:eastAsia="Arial" w:hAnsi="Arial"/>
          <w:sz w:val="17"/>
          <w:szCs w:val="17"/>
          <w:color w:val="auto"/>
        </w:rPr>
        <w:t>We are pursuing the preclinical development of IC-100, our novel AAV gene therapy product candidate for the treatment of RHO-adRP. We and the University of Pennsylvania, or Penn, have conducted a number of preclinical studies of IC-100 and a natural history study of RHO-adRP patients. In parallel, we have engaged a gene therapy contract development and manufacturing organization, or CDMO, as the manufacturer for preclinical and Phase 1/2 clinical supply of IC-100. We are in the process of completing cGMP manufacturing activities at our CDMO and other IND-enabling activities, including toxicology studies of IC-100. We have also begun planning for a Phase 1/2 clinical trial for IC-100, including site selection and other startup activities. Based on current timelines and subject to successful completion of preclinical development and cGMP manufacturing, we plan to file an IND for IC-100 during early 2021 with the goal of starting patient enrollment in a Phase 1/2 clinical trial during the first half of 2021.</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225" w:lineRule="exact"/>
        <w:rPr>
          <w:sz w:val="20"/>
          <w:szCs w:val="20"/>
          <w:color w:val="auto"/>
        </w:rPr>
      </w:pPr>
    </w:p>
    <w:p>
      <w:pPr>
        <w:ind w:right="20" w:firstLine="177"/>
        <w:spacing w:after="0" w:line="255" w:lineRule="auto"/>
        <w:rPr>
          <w:sz w:val="20"/>
          <w:szCs w:val="20"/>
          <w:color w:val="auto"/>
        </w:rPr>
      </w:pPr>
      <w:r>
        <w:rPr>
          <w:rFonts w:ascii="Arial" w:cs="Arial" w:eastAsia="Arial" w:hAnsi="Arial"/>
          <w:sz w:val="18"/>
          <w:szCs w:val="18"/>
          <w:color w:val="auto"/>
        </w:rPr>
        <w:t xml:space="preserve">We are pursuing the preclinical development of IC-200, our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We and Penn are conducting preclinical studies of IC-200 and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In parallel, we have engaged a gene therapy CDMO as the manufacturer for preclinical and Phase 1/2 clinical supply of IC-200. We are conducting cGMP manufacturing activities at our CDMO and other IND-enabling activities, including planning for a toxicology study of IC-200. Based on current timelines and subject to successful completion of preclinical development and cGMP manufacturing, we plan to file an IND during the middle of 2021 with the goal of starting patient enrollment in a Phase 1/2 clinical trial for IC-200 during the second half of 2021.</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225" w:lineRule="exact"/>
        <w:rPr>
          <w:sz w:val="20"/>
          <w:szCs w:val="20"/>
          <w:color w:val="auto"/>
        </w:rPr>
      </w:pPr>
    </w:p>
    <w:p>
      <w:pPr>
        <w:ind w:firstLine="170"/>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87" w:lineRule="exact"/>
        <w:rPr>
          <w:sz w:val="20"/>
          <w:szCs w:val="20"/>
          <w:color w:val="auto"/>
        </w:rPr>
      </w:pPr>
    </w:p>
    <w:p>
      <w:pPr>
        <w:ind w:right="60" w:firstLine="177"/>
        <w:spacing w:after="0" w:line="308" w:lineRule="auto"/>
        <w:rPr>
          <w:sz w:val="20"/>
          <w:szCs w:val="20"/>
          <w:color w:val="auto"/>
        </w:rPr>
      </w:pPr>
      <w:r>
        <w:rPr>
          <w:rFonts w:ascii="Arial" w:cs="Arial" w:eastAsia="Arial" w:hAnsi="Arial"/>
          <w:sz w:val="17"/>
          <w:szCs w:val="17"/>
          <w:color w:val="auto"/>
        </w:rPr>
        <w:t>We are funding several sponsored research programs at the University of Massachusetts Medical School, or UMMS, seeking to use a minigene approach to develop new gene therapies for several orphan IRDs. The following is a summary of these minigene programs and their status:</w:t>
      </w:r>
    </w:p>
    <w:p>
      <w:pPr>
        <w:spacing w:after="0" w:line="142" w:lineRule="exact"/>
        <w:rPr>
          <w:sz w:val="20"/>
          <w:szCs w:val="20"/>
          <w:color w:val="auto"/>
        </w:rPr>
      </w:pPr>
    </w:p>
    <w:p>
      <w:pPr>
        <w:ind w:left="660" w:right="10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miniCEP290 (LCA10): </w:t>
      </w:r>
      <w:r>
        <w:rPr>
          <w:rFonts w:ascii="Arial" w:cs="Arial" w:eastAsia="Arial" w:hAnsi="Arial"/>
          <w:sz w:val="18"/>
          <w:szCs w:val="18"/>
          <w:color w:val="auto"/>
        </w:rPr>
        <w:t>This program, which we refer to as the miniCEP290 program, is targeting LCA10,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 July 2019, we entered into a license agreement with the University of Massachusetts, or UMass, for exclusive development and commercialization rights to this program. The sponsored research has yielded a number of minigene constructs that show encouraging results when tested in a mouse model. UMMS is conducting additional experiments to optimize constructs, which were delayed because of restrictions placed by UMMS on animal research activities as a result of the COVID-19 pandemic. We currently expect to identify a lead construct in the fourth quarter of 2020 or early 2021.</w:t>
      </w:r>
    </w:p>
    <w:p>
      <w:pPr>
        <w:spacing w:after="0" w:line="18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miniABCA4 (STGD1): </w:t>
      </w:r>
      <w:r>
        <w:rPr>
          <w:rFonts w:ascii="Arial" w:cs="Arial" w:eastAsia="Arial" w:hAnsi="Arial"/>
          <w:sz w:val="18"/>
          <w:szCs w:val="18"/>
          <w:color w:val="auto"/>
        </w:rPr>
        <w:t>This program, which we refer to as the miniABCA4 program, is targeting STGD1,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UMMS generated and evaluated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which yielded what we believe to be encouraging results. UMMS is conducting additional experiments to optimize the constructs. We expect to receive additional results from the miniABCA4 program in early 2021.</w:t>
      </w:r>
    </w:p>
    <w:p>
      <w:pPr>
        <w:spacing w:after="0" w:line="17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miniUSH2A (</w:t>
      </w:r>
      <w:r>
        <w:rPr>
          <w:rFonts w:ascii="Arial" w:cs="Arial" w:eastAsia="Arial" w:hAnsi="Arial"/>
          <w:sz w:val="18"/>
          <w:szCs w:val="18"/>
          <w:b w:val="1"/>
          <w:bCs w:val="1"/>
          <w:i w:val="1"/>
          <w:iCs w:val="1"/>
          <w:color w:val="auto"/>
        </w:rPr>
        <w:t>USH2A</w:t>
      </w:r>
      <w:r>
        <w:rPr>
          <w:rFonts w:ascii="Arial" w:cs="Arial" w:eastAsia="Arial" w:hAnsi="Arial"/>
          <w:sz w:val="18"/>
          <w:szCs w:val="18"/>
          <w:b w:val="1"/>
          <w:bCs w:val="1"/>
          <w:color w:val="auto"/>
        </w:rPr>
        <w:t xml:space="preserve">-related IRDs): </w:t>
      </w:r>
      <w:r>
        <w:rPr>
          <w:rFonts w:ascii="Arial" w:cs="Arial" w:eastAsia="Arial" w:hAnsi="Arial"/>
          <w:sz w:val="18"/>
          <w:szCs w:val="18"/>
          <w:color w:val="auto"/>
        </w:rPr>
        <w:t>This program, which we refer to as the miniUSH2A program, is targeting IRDs associated with mutations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including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 Some of the activities in this program were delayed as a result of the closure of UMMS animal research laboratories due to the COVID-19 pandemic. We expect to receive preliminary results in early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The COVID-19 pandemic and measures taken to contain it have affected our business and operations in a number of ways. These include, but are not limited to, the following:</w:t>
      </w:r>
    </w:p>
    <w:p>
      <w:pPr>
        <w:spacing w:after="0" w:line="170" w:lineRule="exact"/>
        <w:rPr>
          <w:sz w:val="20"/>
          <w:szCs w:val="20"/>
          <w:color w:val="auto"/>
        </w:rPr>
      </w:pPr>
    </w:p>
    <w:p>
      <w:pPr>
        <w:ind w:left="660" w:hanging="328"/>
        <w:spacing w:after="0" w:line="26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March 2020, we decided to delay the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are continuing with activating additional sites and, because of the ongoing and variable nature of the pandemic and its potential impact on patient recruitment and retention, we are adding more countries and sites to this trial.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Although many clinical trial sites have reopened, many are doing so with reduced staff and operations and focusing on more urgent matters rather than clinical trials. We may face difficulties in recruiting or retaining patients to the extent patients are affected by the virus or are fearful of visiting or traveling to our clinical trial sites because of the pandemic. At this time, we do not know whether there will be further impacts on the timing and progress of patient enrollment or on patient retention in the GATHER2 trial as a result of the COVID-19 pandemic. We may face similar issues with patient recruitment and patient retention for the expansion of the OPH2005 trial.</w:t>
      </w:r>
    </w:p>
    <w:p>
      <w:pPr>
        <w:spacing w:after="0" w:line="213" w:lineRule="exact"/>
        <w:rPr>
          <w:rFonts w:ascii="Arial" w:cs="Arial" w:eastAsia="Arial" w:hAnsi="Arial"/>
          <w:sz w:val="17"/>
          <w:szCs w:val="17"/>
          <w:color w:val="auto"/>
        </w:rPr>
      </w:pPr>
    </w:p>
    <w:p>
      <w:pPr>
        <w:ind w:left="660" w:right="20" w:hanging="328"/>
        <w:spacing w:after="0" w:line="271"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Most of our clinical trial sites, even though they are operating with fewer staff and other restrictions, have continued to conduct patient visits for our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personal protective equipment to support our sites. We are aware that a small number of patients enrolled in the OPH2005 trial missed consecutive visits during the pandemic. We do not yet know whether the number of missed visits will increase or decrease in the OPH2005 trial or how many missed visits will occur in the GATHER2 trial, or what the impact of missed visits may be on trial results, especially because we are masked to the treatment of patients during the conduct of the trials. We have been and will continue to monitor the situation closely.</w:t>
      </w:r>
    </w:p>
    <w:p>
      <w:pPr>
        <w:spacing w:after="0" w:line="205"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the middle of March 2020 and expect to continue working remotely for the foreseeable future. Investor and scientific meetings and conferences have been canceled or are occurring virtually. We have been relying on remote means of working and communication both internally and externally. We are continuing to monitor and support the health and well-being of our employees and their productivity as remote working continues.</w:t>
      </w:r>
    </w:p>
    <w:p>
      <w:pPr>
        <w:spacing w:after="0" w:line="213"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UMMS caused delays to the progress of, and to our timelines for receipt of data from, our collaborative gene therapy sponsored research programs.</w:t>
      </w:r>
    </w:p>
    <w:p>
      <w:pPr>
        <w:spacing w:after="0" w:line="198" w:lineRule="exact"/>
        <w:rPr>
          <w:rFonts w:ascii="Arial" w:cs="Arial" w:eastAsia="Arial" w:hAnsi="Arial"/>
          <w:sz w:val="17"/>
          <w:szCs w:val="17"/>
          <w:color w:val="auto"/>
        </w:rPr>
      </w:pPr>
    </w:p>
    <w:p>
      <w:pPr>
        <w:ind w:left="660" w:right="120" w:hanging="328"/>
        <w:spacing w:after="0" w:line="272"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Shortages and governmental restrictions arising from the COVID-19 pandemic have disrupted and may continue to disrupt the ability of our contract manufacturers to procure items, such as raw materials, that are essential for the manufacture of our product candidates. For example,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Additionally, there is increased demand for the vials we are considering using for the fill/finish of Zimura drug product, which governments and other companies intend to use for COVID-19 vaccines and medicines. This increased demand may limit our ability to obtain these vials for our own needs.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pandemic has caused significant disruption to the financial markets, and has caused increased volatility in the price of our stock and that of other companies in the biotechnology industry.</w:t>
      </w:r>
    </w:p>
    <w:p>
      <w:pPr>
        <w:spacing w:after="0" w:line="197" w:lineRule="exact"/>
        <w:rPr>
          <w:sz w:val="20"/>
          <w:szCs w:val="20"/>
          <w:color w:val="auto"/>
        </w:rPr>
      </w:pPr>
    </w:p>
    <w:p>
      <w:pPr>
        <w:ind w:right="40" w:firstLine="177"/>
        <w:spacing w:after="0" w:line="254" w:lineRule="auto"/>
        <w:rPr>
          <w:sz w:val="20"/>
          <w:szCs w:val="20"/>
          <w:color w:val="auto"/>
        </w:rPr>
      </w:pPr>
      <w:r>
        <w:rPr>
          <w:rFonts w:ascii="Arial" w:cs="Arial" w:eastAsia="Arial" w:hAnsi="Arial"/>
          <w:sz w:val="18"/>
          <w:szCs w:val="18"/>
          <w:color w:val="212529"/>
        </w:rPr>
        <w:t>We do not believe that the COVID-19 pandemic, and our actions in response and the costs of those actions, have had a material impact on our financial position, results of operations, or cash flows for the three or nine months ended September 30, 2020.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92" w:lineRule="exact"/>
        <w:rPr>
          <w:sz w:val="20"/>
          <w:szCs w:val="20"/>
          <w:color w:val="auto"/>
        </w:rPr>
      </w:pPr>
    </w:p>
    <w:p>
      <w:pPr>
        <w:ind w:right="620" w:firstLine="180"/>
        <w:spacing w:after="0" w:line="342" w:lineRule="auto"/>
        <w:rPr>
          <w:sz w:val="20"/>
          <w:szCs w:val="20"/>
          <w:color w:val="auto"/>
        </w:rPr>
      </w:pPr>
      <w:r>
        <w:rPr>
          <w:rFonts w:ascii="Arial" w:cs="Arial" w:eastAsia="Arial" w:hAnsi="Arial"/>
          <w:sz w:val="16"/>
          <w:szCs w:val="16"/>
          <w:color w:val="212529"/>
        </w:rPr>
        <w:t>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right="60" w:firstLine="170"/>
        <w:spacing w:after="0" w:line="273" w:lineRule="auto"/>
        <w:rPr>
          <w:sz w:val="20"/>
          <w:szCs w:val="20"/>
          <w:color w:val="auto"/>
        </w:rPr>
      </w:pPr>
      <w:r>
        <w:rPr>
          <w:rFonts w:ascii="Arial" w:cs="Arial" w:eastAsia="Arial" w:hAnsi="Arial"/>
          <w:sz w:val="17"/>
          <w:szCs w:val="17"/>
          <w:color w:val="auto"/>
        </w:rPr>
        <w:t>As we continue the development of our product candidates and programs and evaluate our overall strategic priorities, we will continue to pursue selective business development and financing opportunities that advance us toward our strategic goals. We have been, and plan to continue, exploring options for the future development and potential commercialization of Zimura, including potential collaboration and out-licensing opportunities, including for indications for which we previously developed Zimura such as wet AMD and IPCV. In addition, we expect to continue to evaluate, on a selective and targeted basis, opportunities to potentially obtain rights to additional product candidates and technologies for retinal diseases, including technologies that may complement our existing product candidates and other strategic lifecycle initiatives.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June 2020, we closed an underwritten public offering in which we sold 28,503,220 shares of our common stock, which includes the exercise in full of the underwriters’ option to purchase additional shares of our common stock, at a price to the public of $4.10 per share, and at a price to the underwriters of $3.854 per share. We also sold to certain investors in lieu of common stock, pre-funded warrants to purchase 1,914,280 shares of our common stock at a price to the public of $4.099 per share underlying each pre-funded warrant, and at a price to the underwriters of $3.853 per share underlying each pre-funded warrant.</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Concurrently with the June 2020 public offering, we completed a private placement exempt from the registration requirements of the Securities Act of 1933, as amended, in which we sold 8,649,453 shares of our common stock to affiliates of Vivo Capital, LLC and Samsara BioCapital, LP, or the Private Placement Purchasers, at a purchase price equal to $4.10 per share, the price to the public in the public offering. The shares in the private placement were issued pursuant to a stock purchase agreement entered into among us and the Private Placement Purchasers.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placement agent fees and other offering expenses of approximately $10.1 million, was approximately $150.1 million.</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expect to continue to pursue capital raising transactions opportunistically when they are available and if the opportunity benefits us and advances our strategic goals.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58" w:lineRule="exact"/>
        <w:rPr>
          <w:sz w:val="20"/>
          <w:szCs w:val="20"/>
          <w:color w:val="auto"/>
        </w:rPr>
      </w:pPr>
    </w:p>
    <w:p>
      <w:pPr>
        <w:ind w:right="20" w:firstLine="170"/>
        <w:spacing w:after="0" w:line="288" w:lineRule="auto"/>
        <w:rPr>
          <w:sz w:val="20"/>
          <w:szCs w:val="20"/>
          <w:color w:val="auto"/>
        </w:rPr>
      </w:pPr>
      <w:r>
        <w:rPr>
          <w:rFonts w:ascii="Arial" w:cs="Arial" w:eastAsia="Arial" w:hAnsi="Arial"/>
          <w:sz w:val="16"/>
          <w:szCs w:val="16"/>
          <w:color w:val="auto"/>
        </w:rPr>
        <w:t>As of September 30, 2020, we had cash, cash equivalents and available for sale securities of $231.1 million. We estimate that our year-end 2020 cash, cash equivalents and available for sale securities will range between $210 million and $215 million, which reflects the impact of a $6.0 million milestone payment to Archemix. We also estimate that our cash, cash equivalents and available for sale securities will be sufficient to fund our currently planned capital expenditure requirements and operating expenses, excluding any potential approval or sales milestones payable to Archemix or any commercialization expenses for Zimura, through at least mid-2024.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including for any collaborations or outlicensing of rights for further development and potential commercialization of Zimura, we may generate revenue from product sales or from such third parties.</w:t>
      </w:r>
    </w:p>
    <w:p>
      <w:pPr>
        <w:spacing w:after="0" w:line="10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collaborative gene therapy sponsored research programs. Our research and development expenses consist of:</w:t>
      </w:r>
    </w:p>
    <w:p>
      <w:pPr>
        <w:spacing w:after="0" w:line="103" w:lineRule="exact"/>
        <w:rPr>
          <w:sz w:val="20"/>
          <w:szCs w:val="20"/>
          <w:color w:val="auto"/>
        </w:rPr>
      </w:pPr>
    </w:p>
    <w:p>
      <w:pPr>
        <w:ind w:left="980" w:right="40" w:hanging="324"/>
        <w:spacing w:after="0" w:line="342"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CDMOs and other vendors for the production and analysis of drug substance and drug product;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4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all research and development expenses to individual projects or product candidates, although we do allocate some portion of these expenses by project or product candidate, as shown below.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research and development expenses for the three and nine months ended September 30, 2020 and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3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27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7"/>
        </w:trPr>
        <w:tc>
          <w:tcPr>
            <w:tcW w:w="46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183"/>
        </w:trPr>
        <w:tc>
          <w:tcPr>
            <w:tcW w:w="4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IC 200:BEST1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Prior product candidate Fovista</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3,101</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3"/>
        </w:trPr>
        <w:tc>
          <w:tcPr>
            <w:tcW w:w="462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18,841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28,077</w:t>
            </w: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As we continue our ongoing clinical trials and our manufacturing activities for Zimura, we expect our research and development expenses for Zimura to increase. We also expect our research and development expenses for each of IC-100, IC-200 and IC-500 to increase as development continues. We expect our research and development expenses for our miniCEP290 program and other collaborative gene therapy sponsored research programs to decrease as the sponsored research for those programs reaches completion. Our research and development expenses may also increase if we in-license or acquire any new product candidates, including from our collaborative gene therapy sponsored research programs, or technologies or commence any new sponsored research programs.</w:t>
      </w:r>
    </w:p>
    <w:p>
      <w:pPr>
        <w:spacing w:after="0" w:line="1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03" w:lineRule="exact"/>
        <w:rPr>
          <w:sz w:val="20"/>
          <w:szCs w:val="20"/>
          <w:color w:val="auto"/>
        </w:rPr>
      </w:pPr>
    </w:p>
    <w:p>
      <w:pPr>
        <w:ind w:left="980" w:hanging="24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44" w:lineRule="exact"/>
        <w:rPr>
          <w:rFonts w:ascii="Arial" w:cs="Arial" w:eastAsia="Arial" w:hAnsi="Arial"/>
          <w:sz w:val="18"/>
          <w:szCs w:val="18"/>
          <w:color w:val="auto"/>
        </w:rPr>
      </w:pPr>
    </w:p>
    <w:p>
      <w:pPr>
        <w:ind w:left="980" w:right="380" w:hanging="243"/>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10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 approximately 25 additional patients in our ongoing OPH2005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sufficient to seek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In addition, the COVID-19 pandemic may result in disruptions to the progress of the GATHER2 trial or the OPH2005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OPH2005 trial, a small number of patients missed consecutive visits during the COVID-19 pandemic and we do not know yet whether the number of missed visits will increase or decrease in the OPH2005 trial or how many missed visits will occur in the GATHER2 trial, and whether and to what extent missed visits may impact the results of the trial. As a result of any of the above, we may need or may seek to obtain additional funding for our continuing operations sooner or in greater amounts than expected.</w:t>
      </w:r>
    </w:p>
    <w:p>
      <w:pPr>
        <w:spacing w:after="0" w:line="1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80" w:firstLine="18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We currently have invested our cash, cash equivalents and available for sale securities in money market funds, U.S Treasury securities, asset-backed securities and investment-grade corporate debt securities, which generate a nominal amount of interest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7"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111" w:lineRule="exact"/>
        <w:rPr>
          <w:sz w:val="20"/>
          <w:szCs w:val="20"/>
          <w:color w:val="auto"/>
        </w:rPr>
      </w:pPr>
    </w:p>
    <w:p>
      <w:pPr>
        <w:ind w:right="400" w:firstLine="177"/>
        <w:spacing w:after="0" w:line="277" w:lineRule="auto"/>
        <w:rPr>
          <w:sz w:val="20"/>
          <w:szCs w:val="20"/>
          <w:color w:val="auto"/>
        </w:rPr>
      </w:pPr>
      <w:r>
        <w:rPr>
          <w:rFonts w:ascii="Arial" w:cs="Arial" w:eastAsia="Arial" w:hAnsi="Arial"/>
          <w:sz w:val="18"/>
          <w:szCs w:val="18"/>
          <w:color w:val="auto"/>
        </w:rPr>
        <w:t>We base our expenses related to academic research collaborators, CROs and CDMOs on our estimates of the services received and efforts expended pursuant to quotations and contracts with such vendors that conduct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September 30, 2020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4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3"/>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income tax benefit</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research and development expenses were $18.8 million for the three months ended September 30, 2020, an increase of $8.5 million compared to $10.4 million for the three months ended September 30, 2019. The increase in research and development expenses for the three months ended September 30, 2020 was primarily due to a $7.8 million increase in costs associated with Zimura, a $0.9 million increase in costs associated with IC-100, a $0.1 million increase in costs associated with IC-500 and a $1.6 million increase in personnel costs, which were partially offset by a $0.8 million decrease in costs related to our prior Fovista manufacturing activities due to a sales tax refund and a $0.6 million decrease in costs associated with IC-200. The increased costs for Zimura were primarily due to the continued start-up and recruitment activities for our GATHER2 trial, increased manufacturing activities and the accrual of a $6.0 million milestone payable to Archemix. The increased costs for IC-100 and IC-500 primarily reflect increased manufacturing and preclinical development activities.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general and administrative expenses were $6.6 million for the three months ended September 30, 2020, an increase of $2.0 million, compared to $4.7 million for the three months ended September 30, 2019. The increase in general and administrative expenses for the three months ended September 30, 2020 was primarily due to an increase in general consulting costs and professional fees.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Interest income for the three months ended September 30, 2020 was $33 thousand compared to interest income of $0.5 million for the three months ended September 30, 2019. The decrease in interest income was primarily due to the decrease in interest rate yields.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three months ended September 30, 2020, we recorded no income tax benefit. For the three months ended September 30, 2019, we recorded an income tax benefit of $0.1 which was primarily to reflect a settlement of a local tax audit.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 Periods Ended September 30, 2020 and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Arial" w:cs="Arial" w:eastAsia="Arial" w:hAnsi="Arial"/>
                <w:sz w:val="18"/>
                <w:szCs w:val="18"/>
                <w:color w:val="auto"/>
              </w:rPr>
              <w:t>Nine months ended September 30,</w:t>
            </w:r>
          </w:p>
        </w:tc>
        <w:tc>
          <w:tcPr>
            <w:tcW w:w="280" w:type="dxa"/>
            <w:vAlign w:val="bottom"/>
          </w:tcPr>
          <w:p>
            <w:pPr>
              <w:spacing w:after="0"/>
              <w:rPr>
                <w:sz w:val="20"/>
                <w:szCs w:val="20"/>
                <w:color w:val="auto"/>
              </w:rPr>
            </w:pPr>
          </w:p>
        </w:tc>
        <w:tc>
          <w:tcPr>
            <w:tcW w:w="12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15"/>
        </w:trPr>
        <w:tc>
          <w:tcPr>
            <w:tcW w:w="6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before income tax benefit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research and development expenses were $45.3 million for the nine months ended September 30, 2020, an increase of $17.2 million compared to $28.1 million for the nine months ended September 30, 2019. The increase in research and development expenses for the nine months ended September 30, 2020 was primarily due to a $9.8 million increase in costs associated with Zimura, a $3.8 million increase in personnel related costs, a $2.7 million increase in costs associated with IC-100, a $1.7 million increase in costs associated with IC-200 and a $0.7 million increase in costs associated with IC-500, partially offset by an $0.8 million decrease in costs related to our prior Fovista manufacturing activities due to a sales tax refund. The increased costs for Zimura were primarily due to the initiation and start-up activities for our GATHER2 trial, increased manufacturing activities and the accrual of a $6.0 million milestone payable to Archemix. The increased costs for IC-100, IC-200 and IC-500 reflect increased manufacturing and preclinical development activities for these product candidates.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general and administrative expenses were $17.9 million for the nine months ended September 30, 2020, an increase of $2.6 million, compared to $15.4 million for the nine months ended September 30, 2019. The increase in general and administrative expenses for the nine months ended September 30, 2020 was primarily due to an increase in general consulting costs and professional fees.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Interest income for the nine months ended September 30, 2020 was $0.4 million compared to interest income of $1.8 million for the nine months ended September 30, 2019. The decrease in interest income was primarily due to the decrease in interest rate yields.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nine months ended September 30, 2020 and 2019, we recorded an income tax benefit of $3.7 million and $0.1 million, respectively, which were primarily to reflect the settlement of local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Since inception, we have financed our operations primarily through private placements of our common stock and preferred stock, venture debt borrowings, funding we received under our prior Fovista royalty purchase and sale agreement with Novo Holdings A/S, our initial public offering of common stock, which we closed in September 2013, funds we received under a prior Fovista licensing and commercialization agreement with Novartis Pharma AG, funds we received in connection with our acquisition of Inception 4, Inc., or Inception 4, in October 2018 and our follow-on public offerings of common stock, which we closed in February 2014, December 2019 and June 2020, including the sale of pre-funded warrants in December 2019 and June 2020. We do not have any committed external source of funds.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September 30, 2020, we had cash, cash equivalents and available for sale securities totaling $231.1 million and no debt. We currently have invested our cash, cash equivalents and available for sale securities in money market funds, U.S. Treasury securities, certain asset-backed securities and certain investment-grade corporate debt securities.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183"/>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(45,028)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(36,581)</w:t>
            </w:r>
          </w:p>
        </w:tc>
      </w:tr>
      <w:tr>
        <w:trPr>
          <w:trHeight w:val="230"/>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Net cash used in operating activities in the nine months ended September 30, 2020 and September 30, 2019 related primarily to net cash used to fund our Zimura clinical trials and manufacturing activities, preclinical development of IC-100, IC-200 and IC-500, and our collaborative gene therapy sponsored research programs and to support our general and administrative operations.</w:t>
      </w:r>
    </w:p>
    <w:p>
      <w:pPr>
        <w:spacing w:after="0" w:line="116" w:lineRule="exact"/>
        <w:rPr>
          <w:sz w:val="20"/>
          <w:szCs w:val="20"/>
          <w:color w:val="auto"/>
        </w:rPr>
      </w:pPr>
    </w:p>
    <w:p>
      <w:pPr>
        <w:ind w:left="380" w:right="1200" w:firstLine="284"/>
        <w:spacing w:after="0" w:line="414"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2020 was $108.3 million, which related to the purchase of marketable securities. Net cash provided by investing activities for the nine months ended September 30, 2019 related to the proceeds received from the sale of manufacturing and clinical equipment.</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Net cash provided by financing activities was $150.5 million for the nine months ended September 30, 2020, which relates primarily to our June 2020 public offering and private placement of our common stock. Net cash provided by financing activities was $81 thousand for the nine months ended September 30, 2019, which related to purchases made under our employee stock purchase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We could incur additional research and development expenses if we modify or further expand the scope of our clinical trials, including developing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for example, we are required by the FDA, the EMA, or regulatory authorities in other jurisdictions to perform clinical trials and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52"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5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and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52" w:lineRule="exact"/>
        <w:rPr>
          <w:sz w:val="20"/>
          <w:szCs w:val="20"/>
          <w:color w:val="auto"/>
        </w:rPr>
      </w:pPr>
    </w:p>
    <w:p>
      <w:pPr>
        <w:ind w:firstLine="170"/>
        <w:spacing w:after="0" w:line="270" w:lineRule="auto"/>
        <w:rPr>
          <w:sz w:val="20"/>
          <w:szCs w:val="20"/>
          <w:color w:val="auto"/>
        </w:rPr>
      </w:pPr>
      <w:r>
        <w:rPr>
          <w:rFonts w:ascii="Arial" w:cs="Arial" w:eastAsia="Arial" w:hAnsi="Arial"/>
          <w:sz w:val="16"/>
          <w:szCs w:val="16"/>
          <w:color w:val="auto"/>
        </w:rPr>
        <w:t>As of September 30, 2020, we had cash, cash equivalents and available for sale securities of $231.1 million. We estimate that our year-end 2020 cash, cash equivalents and available for sale securities will range between $210 million and $215 million, which reflects the impact of a $6.0 million milestone payment to Archemix. We also estimate that our cash, cash equivalents and available for sale securities will be sufficient to fund our currently planned capital expenditure requirements and operating expenses, excluding any potential approval or sales milestones payable to Archemix or any commercialization expenses for Zimura, through at least mid-2024.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980" w:right="1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97"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costs, progress, and results of process development, manufacturing scale-up and validation activities, analytical development and stability studies associated with Zimura and our other product candidates;</w:t>
      </w:r>
    </w:p>
    <w:p>
      <w:pPr>
        <w:spacing w:after="0" w:line="197" w:lineRule="exact"/>
        <w:rPr>
          <w:rFonts w:ascii="Arial" w:cs="Arial" w:eastAsia="Arial" w:hAnsi="Arial"/>
          <w:sz w:val="18"/>
          <w:szCs w:val="18"/>
          <w:color w:val="auto"/>
        </w:rPr>
      </w:pPr>
    </w:p>
    <w:p>
      <w:pPr>
        <w:ind w:left="980" w:right="40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73" w:lineRule="exact"/>
        <w:rPr>
          <w:rFonts w:ascii="Arial" w:cs="Arial" w:eastAsia="Arial" w:hAnsi="Arial"/>
          <w:sz w:val="17"/>
          <w:szCs w:val="17"/>
          <w:color w:val="auto"/>
        </w:rPr>
      </w:pPr>
    </w:p>
    <w:p>
      <w:pPr>
        <w:ind w:left="980" w:right="44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73" w:lineRule="exact"/>
        <w:rPr>
          <w:rFonts w:ascii="Arial" w:cs="Arial" w:eastAsia="Arial" w:hAnsi="Arial"/>
          <w:sz w:val="17"/>
          <w:szCs w:val="17"/>
          <w:color w:val="auto"/>
        </w:rPr>
      </w:pPr>
    </w:p>
    <w:p>
      <w:pPr>
        <w:ind w:left="980" w:right="8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Zimura;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52" w:lineRule="exact"/>
        <w:rPr>
          <w:rFonts w:ascii="Arial" w:cs="Arial" w:eastAsia="Arial" w:hAnsi="Arial"/>
          <w:sz w:val="18"/>
          <w:szCs w:val="18"/>
          <w:color w:val="auto"/>
        </w:rPr>
      </w:pPr>
    </w:p>
    <w:p>
      <w:pPr>
        <w:ind w:left="980" w:right="9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9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9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9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192" w:lineRule="exact"/>
        <w:rPr>
          <w:sz w:val="20"/>
          <w:szCs w:val="20"/>
          <w:color w:val="auto"/>
        </w:rPr>
      </w:pPr>
    </w:p>
    <w:p>
      <w:pPr>
        <w:ind w:right="140" w:firstLine="180"/>
        <w:spacing w:after="0" w:line="254" w:lineRule="auto"/>
        <w:rPr>
          <w:sz w:val="20"/>
          <w:szCs w:val="20"/>
          <w:color w:val="auto"/>
        </w:rPr>
      </w:pPr>
      <w:r>
        <w:rPr>
          <w:rFonts w:ascii="Arial" w:cs="Arial" w:eastAsia="Arial" w:hAnsi="Arial"/>
          <w:sz w:val="18"/>
          <w:szCs w:val="18"/>
          <w:color w:val="auto"/>
        </w:rPr>
        <w:t>In response to the COVID-19 pandemic, the U.S. Congress enacted the Coronavirus Aid, Relief, and Economic Security Act, or the CARES Act, on March 27, 2020. The CARES Act provides numerous tax provisions and other stimulus measures, including minimum tax credit refunds, temporary changes regarding the utilization of net operating losses, temporary changes to the prior and future limitations on interest deductions, deferral of certain payment requirements for the employer portion of Social Security taxes, technical corrections from prior tax legislation for tax depreciation of certain qualified improved property, and the creation of certain refundable employee retention credits. As a result of the CARES Act, we have recorded a current tax receivable of approximately $1.8 million in anticipation of a refund of minimum tax credits. We are continuing to evaluate how these provisions in the CARES Act will impact our financial position, results of operations and cash flows. Additional similar legislation may be passed by the U.S. Congress or various states.</w:t>
      </w:r>
    </w:p>
    <w:p>
      <w:pPr>
        <w:spacing w:after="0" w:line="21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For example, if we choose to pursue a collaboration for Zimura,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0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Less than</w:t>
            </w:r>
          </w:p>
        </w:tc>
        <w:tc>
          <w:tcPr>
            <w:tcW w:w="1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1 - 3 years</w:t>
            </w:r>
          </w:p>
        </w:tc>
        <w:tc>
          <w:tcPr>
            <w:tcW w:w="14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Purchase Obligations (2)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item includes our contracted obligations under our sponsored research agreements.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item includes our contracted commitments under certain of our manufacturing and supply agreements.</w:t>
      </w:r>
    </w:p>
    <w:p>
      <w:pPr>
        <w:spacing w:after="0" w:line="157" w:lineRule="exact"/>
        <w:rPr>
          <w:rFonts w:ascii="Arial" w:cs="Arial" w:eastAsia="Arial" w:hAnsi="Arial"/>
          <w:sz w:val="18"/>
          <w:szCs w:val="18"/>
          <w:color w:val="auto"/>
        </w:rPr>
      </w:pPr>
    </w:p>
    <w:p>
      <w:pPr>
        <w:ind w:left="660" w:right="6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item includes our continuing rent obligations, including for office space in New York, New York, the term for which is scheduled to expire at the end of December 2020.</w:t>
      </w:r>
    </w:p>
    <w:p>
      <w:pPr>
        <w:spacing w:after="0" w:line="89"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57" w:lineRule="exact"/>
        <w:rPr>
          <w:rFonts w:ascii="Arial" w:cs="Arial" w:eastAsia="Arial" w:hAnsi="Arial"/>
          <w:sz w:val="18"/>
          <w:szCs w:val="18"/>
          <w:color w:val="auto"/>
        </w:rPr>
      </w:pPr>
    </w:p>
    <w:p>
      <w:pPr>
        <w:ind w:left="980" w:right="240" w:hanging="324"/>
        <w:spacing w:after="0" w:line="277" w:lineRule="auto"/>
        <w:tabs>
          <w:tab w:leader="none" w:pos="9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69" w:lineRule="exact"/>
        <w:rPr>
          <w:sz w:val="20"/>
          <w:szCs w:val="20"/>
          <w:color w:val="auto"/>
        </w:rPr>
      </w:pPr>
    </w:p>
    <w:p>
      <w:pPr>
        <w:jc w:val="both"/>
        <w:ind w:right="420" w:firstLine="648"/>
        <w:spacing w:after="0" w:line="311" w:lineRule="auto"/>
        <w:rPr>
          <w:sz w:val="20"/>
          <w:szCs w:val="20"/>
          <w:color w:val="auto"/>
        </w:rPr>
      </w:pPr>
      <w:r>
        <w:rPr>
          <w:rFonts w:ascii="Arial" w:cs="Arial" w:eastAsia="Arial" w:hAnsi="Arial"/>
          <w:sz w:val="16"/>
          <w:szCs w:val="16"/>
          <w:color w:val="auto"/>
        </w:rPr>
        <w:t>In addition to the amounts set forth in the table above, we may be required, under the agreements under which we acquired rights to Zimura, IC-100, IC-200, IC-500 and our miniCEP290 program, to make milestone payments and/or pay royalties. These payments are described in "Note 9— Commitments and Contingencies" in our unaudited consolidated financial statements appearing elsewhere in this Quarterly Report.</w:t>
      </w:r>
    </w:p>
    <w:p>
      <w:pPr>
        <w:spacing w:after="0" w:line="6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2020 annual meeting of stockholders, as filed with the SEC on April 28, 2020.</w:t>
      </w:r>
    </w:p>
    <w:p>
      <w:pPr>
        <w:spacing w:after="0" w:line="119"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00" w:lineRule="exact"/>
        <w:rPr>
          <w:sz w:val="20"/>
          <w:szCs w:val="20"/>
          <w:color w:val="auto"/>
        </w:rPr>
      </w:pPr>
    </w:p>
    <w:p>
      <w:pPr>
        <w:spacing w:after="0" w:line="2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available for sale securities of $231.1 million as of September 30, 2020,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September 30, 2020, substantially all of our total liabilities were denominated in the U.S. dollar.</w:t>
      </w:r>
    </w:p>
    <w:p>
      <w:pPr>
        <w:spacing w:after="0" w:line="200" w:lineRule="exact"/>
        <w:rPr>
          <w:sz w:val="20"/>
          <w:szCs w:val="20"/>
          <w:color w:val="auto"/>
        </w:rPr>
      </w:pPr>
    </w:p>
    <w:p>
      <w:pPr>
        <w:spacing w:after="0" w:line="2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Effective April 1, 2020, we implemented a new enterprise resource planning system (“ERP”) that materially affected our internal control over financial reporting. In connection with implementation of the ERP system, we are updating our internal control over financial reporting, as necessary, to accommodate modifications to our business processes and accounting procedures. Although our internal control over financial reporting has been materially affected by the implementation of the ERP system, we do not believe that the implementation of the ERP system will have an adverse effect on our internal control over financial reporting.</w:t>
      </w:r>
    </w:p>
    <w:p>
      <w:pPr>
        <w:spacing w:after="0" w:line="12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Except as described in the preceding paragraph, we determined that there were no other changes in our internal control over financial reporting (as defined in Rules 13a-15(d) and 15d-15(d) under the Exchange Act) that occurred during the quarter ended September 30, 2020 that have materially affected, or are reasonably likely to materially affect, our internal control over financial reporting. Further, we have not experienced any material impact to our internal controls over financial reporting despite the fact that our employees are working remotely due to the COVID-19 pandemic. We are continually monitoring and assessing the impact the COVID-19 pandemic has on the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On September 18, 2019, the court issued an order dismissing some, but not all, of the allegations in the CAC. On November 18, 2019, we and the individual defendants filed an answer to the complaint. On June 12, 2020, the lead plaintiff filed a motion for class certification. On August 11, 2020, the defendants filed a notice of non-opposition to lead plaintiff's motion for class certification. This case is currently in the discovery phase.</w:t>
      </w:r>
    </w:p>
    <w:p>
      <w:pPr>
        <w:spacing w:after="0" w:line="10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On September 19, 2019, the court denied our motion to dismiss this complaint. This matter was subsequently referred to a special litigation committee of our board of directors. On February 18, 2020, we filed an answer to the complaint. We and the plaintiff agreed to stay this litigation while the special litigation committee conducts its investigation. On May 5, 2020, the court approved the stipulation and stayed the litigation through November 1, 2020. On October 30, 2020, the parties submitted a joint stipulation requesting that the court extend the stay through January 30, 2021.</w:t>
      </w:r>
    </w:p>
    <w:p>
      <w:pPr>
        <w:spacing w:after="0" w:line="11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 These shareholder demands have been referred to a demand review committee of our board of directors. We have entered into tolling agreements with the directors named in the demands.</w:t>
      </w:r>
    </w:p>
    <w:p>
      <w:pPr>
        <w:spacing w:after="0" w:line="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IC-100, IC-200 and IC-500, and our collaborative gene therapy sponsored research programs. Drug development is a highly uncertain undertaking and carries significant scientific and other risks.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18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the preclinical stage, even if we are successful in advancing the research and development of those product candidates, the value of our common stock may not rise in a meaningful way, which could affect our ability to raise additional finances.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and June 2020. As of September 30, 2020, we had an accumulated deficit of $539.6 million. Our net loss was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$25.5 million for the three months ended September 30, 2020 and we expect to continue to incur significant operating losses for the foreseeable future.</w:t>
      </w:r>
    </w:p>
    <w:p>
      <w:pPr>
        <w:spacing w:after="0" w:line="248"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We could incur additional research and development expenses if we modify or further expand the scope of our clinical trials, including developing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 for example, we are required by the FDA, the EMA, or regulatory authorities in other jurisdictions to perform clinical trials and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52"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252" w:lineRule="exact"/>
        <w:rPr>
          <w:rFonts w:ascii="Arial" w:cs="Arial" w:eastAsia="Arial" w:hAnsi="Arial"/>
          <w:sz w:val="18"/>
          <w:szCs w:val="18"/>
          <w:color w:val="auto"/>
        </w:rPr>
      </w:pPr>
    </w:p>
    <w:p>
      <w:pPr>
        <w:ind w:left="1300" w:right="40" w:hanging="320"/>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52"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and</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September 30, 2020, we had cash, cash equivalents and available for sale securities of $231.1 million. We estimate that our year-end 2020 cash, cash equivalents and available for sale securities will range between $210 million and $215 million, which reflects the impact of a $6.0 million milestone payment to Archemix. We also estimate that our cash, cash equivalents and available for sale securities will be sufficient to fund our currently planned capital expenditure requirements and operating expenses, excluding any potential approval or sales milestones payable to Archemix or any commercialization expenses for Zimura, through at least mid-2024.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19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980" w:right="1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costs, progress, and results of process development, manufacturing scale-up and validation activities, analytical development and stability studies associated with Zimura and our other product candidates;</w:t>
      </w:r>
    </w:p>
    <w:p>
      <w:pPr>
        <w:spacing w:after="0" w:line="197" w:lineRule="exact"/>
        <w:rPr>
          <w:rFonts w:ascii="Arial" w:cs="Arial" w:eastAsia="Arial" w:hAnsi="Arial"/>
          <w:sz w:val="18"/>
          <w:szCs w:val="18"/>
          <w:color w:val="auto"/>
        </w:rPr>
      </w:pPr>
    </w:p>
    <w:p>
      <w:pPr>
        <w:ind w:left="980" w:right="380" w:hanging="324"/>
        <w:spacing w:after="0" w:line="308"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73" w:lineRule="exact"/>
        <w:rPr>
          <w:rFonts w:ascii="Arial" w:cs="Arial" w:eastAsia="Arial" w:hAnsi="Arial"/>
          <w:sz w:val="17"/>
          <w:szCs w:val="17"/>
          <w:color w:val="auto"/>
        </w:rPr>
      </w:pPr>
    </w:p>
    <w:p>
      <w:pPr>
        <w:ind w:left="980" w:right="420" w:hanging="324"/>
        <w:spacing w:after="0" w:line="308" w:lineRule="auto"/>
        <w:tabs>
          <w:tab w:leader="none" w:pos="9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73" w:lineRule="exact"/>
        <w:rPr>
          <w:rFonts w:ascii="Arial" w:cs="Arial" w:eastAsia="Arial" w:hAnsi="Arial"/>
          <w:sz w:val="17"/>
          <w:szCs w:val="17"/>
          <w:color w:val="auto"/>
        </w:rPr>
      </w:pPr>
    </w:p>
    <w:p>
      <w:pPr>
        <w:ind w:left="980" w:right="8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Zimura;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52" w:lineRule="exact"/>
        <w:rPr>
          <w:rFonts w:ascii="Arial" w:cs="Arial" w:eastAsia="Arial" w:hAnsi="Arial"/>
          <w:sz w:val="18"/>
          <w:szCs w:val="18"/>
          <w:color w:val="auto"/>
        </w:rPr>
      </w:pPr>
    </w:p>
    <w:p>
      <w:pPr>
        <w:ind w:left="980" w:right="9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580" w:hanging="324"/>
        <w:spacing w:after="0" w:line="27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significant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6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 approximately 25 additional patients in our ongoing OPH2005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seek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In addition, the COVID-19 pandemic may result in disruptions to the progress of the GATHER2 trial or the OPH2005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OPH2005 trial, a small number of patients missed consecutive visits during the COVID-19 pandemic and we do not know yet whether the number of missed visits will increase or decrease in the OPH2005 trial or how many missed visits will occur in the GATHER2 trial, and whether and to what extent missed visits may impact the results of the trial. As a result of any of the above, we may need or may seek to obtain additional funding for our continuing operations sooner or in greater amounts than expected.</w:t>
      </w:r>
    </w:p>
    <w:p>
      <w:pPr>
        <w:spacing w:after="0" w:line="17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7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For example, if we choose to pursue a collaboration for Zimura,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 in the financial markets and economies, which could adversely affect our business and operations.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December 2019, an outbreak of respiratory illness caused by a novel coronavirus began in Wuhan, China. As of November 2020, that outbreak has led to at least forty million confirmed cases and at least one million deaths worldwide, with most countries throughout the world confirming cases. The World Health Organization has declared the outbreak a global pandemic and the U.S. government and all 50 states have declared it to be a national or state emergency. In addition,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outbreak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20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COVID-19 pandemic and measures taken to contain it have affected our business and operations in a number of ways. These include, but are not limited to, the following:</w:t>
      </w:r>
    </w:p>
    <w:p>
      <w:pPr>
        <w:spacing w:after="0" w:line="197" w:lineRule="exact"/>
        <w:rPr>
          <w:sz w:val="20"/>
          <w:szCs w:val="20"/>
          <w:color w:val="auto"/>
        </w:rPr>
      </w:pPr>
    </w:p>
    <w:p>
      <w:pPr>
        <w:ind w:left="660" w:right="2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March 2020, we decided to delay the initiation of patient enrollment in our GATHER2 trial. Although we initiated patient enrollment in June 2020 and our clinical trial sites are continuing to enroll patients, we and our clinical trial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are continuing with activating additional sites and, because of the ongoing and variable nature of the pandemic and its potential impact on patient recruitment and retention, we are adding more countries and sites to this trial.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Although many clinical trial sites have reopened, many are doing so with reduced staff and operations and focusing on more urgent matters rather than clinical trials. We may face difficulties in recruiting or retaining patients to the extent patients are affected by the virus or are fearful of visiting or traveling to our clinical trial sites because of the pandemic. At this time, we do not know whether there will be further impacts on the timing and progress of patient enrollment or on patient retention in the GATHER2 trial as a result of the COVID-19 pandemic. We may face similar issues with patient recruitment and patient retention for the expansion of the OPH2005 trial.</w:t>
      </w:r>
    </w:p>
    <w:p>
      <w:pPr>
        <w:spacing w:after="0" w:line="199" w:lineRule="exact"/>
        <w:rPr>
          <w:sz w:val="20"/>
          <w:szCs w:val="20"/>
          <w:color w:val="auto"/>
        </w:rPr>
      </w:pPr>
    </w:p>
    <w:p>
      <w:pPr>
        <w:ind w:left="660" w:hanging="328"/>
        <w:spacing w:after="0" w:line="27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Most of our clinical trial sites, even though they are operating with fewer staff and other restrictions, have continued to conduct patient visits for our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personal protective equipment to support our sites. We are aware that a small number of patients enrolled in the OPH2005 trial missed consecutive visits during the pandemic. We do not yet know whether the number of missed visits will increase or decrease in the OPH2005 trial or how many missed visits will occur in the GATHER2 trial, or what the impact of missed visits may be on trial results, especially because we are masked to the treatment of patients during the conduct of the trials. We have been and will continue to monitor the situation closely.</w:t>
      </w:r>
    </w:p>
    <w:p>
      <w:pPr>
        <w:spacing w:after="0" w:line="205"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the middle of March 2020 and expect to continue working remotely for the foreseeable future. Investor and scientific meetings and conferences have been canceled or are occurring virtually. We have been relying on remote means of working and communication both internally and externally. We are continuing to monitor and support the health and well-being of our employees and their productivity as remote working continues.</w:t>
      </w:r>
    </w:p>
    <w:p>
      <w:pPr>
        <w:spacing w:after="0" w:line="213"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UMMS caused delays to the progress of, and to our timelines for receipt of data from, our collaborative gene therapy sponsored research programs.</w:t>
      </w:r>
    </w:p>
    <w:p>
      <w:pPr>
        <w:spacing w:after="0" w:line="198" w:lineRule="exact"/>
        <w:rPr>
          <w:rFonts w:ascii="Arial" w:cs="Arial" w:eastAsia="Arial" w:hAnsi="Arial"/>
          <w:sz w:val="17"/>
          <w:szCs w:val="17"/>
          <w:color w:val="auto"/>
        </w:rPr>
      </w:pPr>
    </w:p>
    <w:p>
      <w:pPr>
        <w:ind w:left="660" w:right="100" w:hanging="328"/>
        <w:spacing w:after="0" w:line="272"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Shortages and governmental restrictions arising from the COVID-19 pandemic have disrupted and may continue to disrupt the ability of our contract manufacturers to procure items, such as raw materials, that are essential for the manufacture of our product candidates. For example,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Additionally, there is increased demand for the vials we are considering using for the fill/finish of Zimura drug product, which governments and other companies intend to use for COVID-19 vaccines and medicines. This increased demand may limit our ability to obtain these vials for our own needs.</w:t>
      </w:r>
    </w:p>
    <w:p>
      <w:pPr>
        <w:spacing w:after="0" w:line="204"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pandemic has caused significant disruption to the financial markets, and has caused increased volatility in the price of our stock and that of other companies in the biotechnology industry.</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212529"/>
        </w:rPr>
        <w:t xml:space="preserve">We do not believe that the COVID-19 pandemic, and our actions in response and the costs of those actions, have had a material impact on our financial position, results of operations, or cash flows for the three or nine months ended September 30, 2020. The progression of the COVID-19 pandemic remains fluid and its impact on our business and operations remains uncertain. </w:t>
      </w:r>
      <w:r>
        <w:rPr>
          <w:rFonts w:ascii="Arial" w:cs="Arial" w:eastAsia="Arial" w:hAnsi="Arial"/>
          <w:sz w:val="17"/>
          <w:szCs w:val="17"/>
          <w:color w:val="000000"/>
        </w:rPr>
        <w:t>Even though the pandemic may be under control in several countries, many</w:t>
      </w:r>
      <w:r>
        <w:rPr>
          <w:rFonts w:ascii="Arial" w:cs="Arial" w:eastAsia="Arial" w:hAnsi="Arial"/>
          <w:sz w:val="17"/>
          <w:szCs w:val="17"/>
          <w:color w:val="212529"/>
        </w:rPr>
        <w:t xml:space="preserve"> </w:t>
      </w:r>
      <w:r>
        <w:rPr>
          <w:rFonts w:ascii="Arial" w:cs="Arial" w:eastAsia="Arial" w:hAnsi="Arial"/>
          <w:sz w:val="17"/>
          <w:szCs w:val="17"/>
          <w:color w:val="000000"/>
        </w:rPr>
        <w:t>countries and regions have been experiencing second or subsequent waves as stay-at-home and social distancing orders are lifted. For example, in many countries in the European Union, which were initially among the hardest hit by the pandemic in the spring of 2020 and which appeared to have the pandemic under control by the summer of 2020, there has been over the past three months a significant increase in the number of cases, which has caused public health authorities in those countries to reimpose restrictive measures.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prospects for finding an effective vaccine or treatment for this disease are uncertain, which may cause the measures to contain the pandemic to be in place for a prolonged period of time. </w:t>
      </w:r>
      <w:r>
        <w:rPr>
          <w:rFonts w:ascii="Arial" w:cs="Arial" w:eastAsia="Arial" w:hAnsi="Arial"/>
          <w:sz w:val="18"/>
          <w:szCs w:val="18"/>
          <w:color w:val="212529"/>
        </w:rPr>
        <w:t>The full extent to which the COVID-19 pandemic will directly or indirectly impact our business, results of operations</w:t>
      </w:r>
      <w:r>
        <w:rPr>
          <w:rFonts w:ascii="Arial" w:cs="Arial" w:eastAsia="Arial" w:hAnsi="Arial"/>
          <w:sz w:val="18"/>
          <w:szCs w:val="18"/>
          <w:color w:val="auto"/>
        </w:rPr>
        <w:t xml:space="preserve"> </w:t>
      </w:r>
      <w:r>
        <w:rPr>
          <w:rFonts w:ascii="Arial" w:cs="Arial" w:eastAsia="Arial" w:hAnsi="Arial"/>
          <w:sz w:val="18"/>
          <w:szCs w:val="18"/>
          <w:color w:val="212529"/>
        </w:rPr>
        <w:t>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cannot foresee if and when the outbreak of COVID-19 will be effectively contained, nor can we predict the severity and duration of the impact of the pandemic on our financial condition or operations. Currently, most of the new cases are located in the United States, Europe and Latin America, whereas most countries in Asia have continued to see reduced numbers of new cases. Even if the pandemic is contained and the economy is largely reopened, the pandemic may recur and the existing measures may be re-imposed. If the COVID-19 pandemic is not effectively and timely controlled, we may experience prolonged disruptions to our clinical trials or supply chains, extended closures of facilities, such as clinical trial sites, academic research centers and suppliers, including single source suppliers, and delays in interactions with regulatory agencies or obtaining approvals for our product candidates. Many economists are predicting that the pandemic may have significant or long-lasting effects on economies worldwide. If the effects of COVID-19 on the financial markets and the global economy persist, they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products, product candidates or technologies for the treatment of retinal diseases may not be successful.</w:t>
      </w:r>
    </w:p>
    <w:p>
      <w:pPr>
        <w:spacing w:after="0" w:line="16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An element of our strategy has been to expand our pipeline through in-licensing or acquiring the rights to products, product candidates or technologies that would complement our strategic goals as well as other compelling ophthalmology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including technologies that may complement our existing product candidates and other strategic lifecycle initiatives. We may also continue to consider other alternatives, including mergers or other transactions involving our company as a whole or other collaboration transactions, including collaboration or out-license opportunities for further development and potential commercialization of Zimura. Our business development efforts may fail to result in our acquiring rights to additional products, product candidates or technologies, or may result in our consummating transactions with which you do not agree.</w:t>
      </w:r>
    </w:p>
    <w:p>
      <w:pPr>
        <w:spacing w:after="0" w:line="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There are currently a limited number of available product candidates or technologies for the treatment of diseases affecting the retina and the competition for those assets is intense.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w:t>
      </w:r>
    </w:p>
    <w:p>
      <w:pPr>
        <w:spacing w:after="0" w:line="3"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particularly active in pursuing opportunities to in-license or acquire gene therapy opportunities.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7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52" w:lineRule="exact"/>
        <w:rPr>
          <w:sz w:val="20"/>
          <w:szCs w:val="20"/>
          <w:color w:val="auto"/>
        </w:rPr>
      </w:pPr>
    </w:p>
    <w:p>
      <w:pPr>
        <w:ind w:left="980" w:right="6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63" w:lineRule="exact"/>
        <w:rPr>
          <w:rFonts w:ascii="Arial" w:cs="Arial" w:eastAsia="Arial" w:hAnsi="Arial"/>
          <w:sz w:val="17"/>
          <w:szCs w:val="17"/>
          <w:color w:val="auto"/>
        </w:rPr>
      </w:pPr>
    </w:p>
    <w:p>
      <w:pPr>
        <w:ind w:left="980" w:right="52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197"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3"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The shareholder derivative action has been stayed while a special litigation committee of our board of directors investigates the allegations contained in the complaint.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97" w:lineRule="exact"/>
        <w:rPr>
          <w:sz w:val="20"/>
          <w:szCs w:val="20"/>
          <w:color w:val="auto"/>
        </w:rPr>
      </w:pPr>
    </w:p>
    <w:p>
      <w:pPr>
        <w:ind w:left="980" w:right="24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we may evaluate as part of our collaborative gene therapy sponsored research programs;</w:t>
      </w:r>
    </w:p>
    <w:p>
      <w:pPr>
        <w:spacing w:after="0" w:line="210" w:lineRule="exact"/>
        <w:rPr>
          <w:rFonts w:ascii="Arial" w:cs="Arial" w:eastAsia="Arial" w:hAnsi="Arial"/>
          <w:sz w:val="18"/>
          <w:szCs w:val="18"/>
          <w:color w:val="auto"/>
        </w:rPr>
      </w:pPr>
    </w:p>
    <w:p>
      <w:pPr>
        <w:ind w:left="980" w:right="400" w:hanging="324"/>
        <w:spacing w:after="0" w:line="286"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275" w:lineRule="exact"/>
        <w:rPr>
          <w:rFonts w:ascii="Arial" w:cs="Arial" w:eastAsia="Arial" w:hAnsi="Arial"/>
          <w:sz w:val="16"/>
          <w:szCs w:val="16"/>
          <w:color w:val="auto"/>
        </w:rPr>
      </w:pPr>
    </w:p>
    <w:p>
      <w:pPr>
        <w:ind w:left="980" w:right="320" w:hanging="324"/>
        <w:spacing w:after="0" w:line="286"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92" w:lineRule="exact"/>
        <w:rPr>
          <w:rFonts w:ascii="Arial" w:cs="Arial" w:eastAsia="Arial" w:hAnsi="Arial"/>
          <w:sz w:val="17"/>
          <w:szCs w:val="17"/>
          <w:color w:val="auto"/>
        </w:rPr>
      </w:pPr>
    </w:p>
    <w:p>
      <w:pPr>
        <w:ind w:left="980" w:right="3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63" w:lineRule="exact"/>
        <w:rPr>
          <w:rFonts w:ascii="Arial" w:cs="Arial" w:eastAsia="Arial" w:hAnsi="Arial"/>
          <w:sz w:val="17"/>
          <w:szCs w:val="17"/>
          <w:color w:val="auto"/>
        </w:rPr>
      </w:pPr>
    </w:p>
    <w:p>
      <w:pPr>
        <w:ind w:left="980" w:right="300" w:hanging="324"/>
        <w:spacing w:after="0" w:line="308"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52"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52" w:lineRule="exact"/>
        <w:rPr>
          <w:rFonts w:ascii="Arial" w:cs="Arial" w:eastAsia="Arial" w:hAnsi="Arial"/>
          <w:sz w:val="18"/>
          <w:szCs w:val="18"/>
          <w:color w:val="auto"/>
        </w:rPr>
      </w:pPr>
    </w:p>
    <w:p>
      <w:pPr>
        <w:ind w:left="980" w:right="160" w:hanging="324"/>
        <w:spacing w:after="0" w:line="342" w:lineRule="auto"/>
        <w:tabs>
          <w:tab w:leader="none" w:pos="9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IND-enabling toxicology studies we are completing for IC-100 and are planning to conduct for IC-200 and IC-500, may fail at any point or produce unacceptable results for any number of reasons, and even if completed, may be time-consuming and expensive. As a result of these risks, a potentially promising product candidate may never be tested in humans.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97" w:lineRule="exact"/>
        <w:rPr>
          <w:sz w:val="20"/>
          <w:szCs w:val="20"/>
          <w:color w:val="auto"/>
        </w:rPr>
      </w:pPr>
    </w:p>
    <w:p>
      <w:pPr>
        <w:ind w:left="980" w:right="2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75"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polyethylene glycol, or PEG, used for the manufacture of Zimura, and issues with the packaging, distribution, storage and import/export of materials and products;</w:t>
      </w:r>
    </w:p>
    <w:p>
      <w:pPr>
        <w:spacing w:after="0" w:line="203" w:lineRule="exact"/>
        <w:rPr>
          <w:rFonts w:ascii="Arial" w:cs="Arial" w:eastAsia="Arial" w:hAnsi="Arial"/>
          <w:sz w:val="17"/>
          <w:szCs w:val="17"/>
          <w:color w:val="auto"/>
        </w:rPr>
      </w:pPr>
    </w:p>
    <w:p>
      <w:pPr>
        <w:ind w:left="980" w:right="70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197" w:lineRule="exact"/>
        <w:rPr>
          <w:rFonts w:ascii="Arial" w:cs="Arial" w:eastAsia="Arial" w:hAnsi="Arial"/>
          <w:sz w:val="18"/>
          <w:szCs w:val="18"/>
          <w:color w:val="auto"/>
        </w:rPr>
      </w:pPr>
    </w:p>
    <w:p>
      <w:pPr>
        <w:ind w:left="980" w:right="200" w:hanging="324"/>
        <w:spacing w:after="0" w:line="342"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not be able to successfully scale up or validate a manufacturing process for one or more of our product candidates, and may need to rely on second source suppliers for adequate supply of drug substance and/or drug product in line with our needs and expectations;</w:t>
      </w:r>
    </w:p>
    <w:p>
      <w:pPr>
        <w:spacing w:after="0" w:line="150" w:lineRule="exact"/>
        <w:rPr>
          <w:rFonts w:ascii="Arial" w:cs="Arial" w:eastAsia="Arial" w:hAnsi="Arial"/>
          <w:sz w:val="16"/>
          <w:szCs w:val="16"/>
          <w:color w:val="auto"/>
        </w:rPr>
      </w:pPr>
    </w:p>
    <w:p>
      <w:pPr>
        <w:ind w:left="980" w:right="640" w:hanging="324"/>
        <w:spacing w:after="0" w:line="308"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73" w:lineRule="exact"/>
        <w:rPr>
          <w:rFonts w:ascii="Arial" w:cs="Arial" w:eastAsia="Arial" w:hAnsi="Arial"/>
          <w:sz w:val="17"/>
          <w:szCs w:val="17"/>
          <w:color w:val="auto"/>
        </w:rPr>
      </w:pPr>
    </w:p>
    <w:p>
      <w:pPr>
        <w:ind w:left="980" w:right="72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0" w:lineRule="exact"/>
        <w:rPr>
          <w:rFonts w:ascii="Arial" w:cs="Arial" w:eastAsia="Arial" w:hAnsi="Arial"/>
          <w:sz w:val="18"/>
          <w:szCs w:val="18"/>
          <w:color w:val="auto"/>
        </w:rPr>
      </w:pPr>
    </w:p>
    <w:p>
      <w:pPr>
        <w:ind w:left="980" w:right="280" w:hanging="324"/>
        <w:spacing w:after="0" w:line="286"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2" w:lineRule="exact"/>
        <w:rPr>
          <w:rFonts w:ascii="Arial" w:cs="Arial" w:eastAsia="Arial" w:hAnsi="Arial"/>
          <w:sz w:val="17"/>
          <w:szCs w:val="17"/>
          <w:color w:val="auto"/>
        </w:rPr>
      </w:pPr>
    </w:p>
    <w:p>
      <w:pPr>
        <w:ind w:left="980" w:right="16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there are no therapies approved for GA, Stargardt disease, RHO-adRP or any BEST1-related IRDs, in either the United States or the European Union, the regulatory pathway for product candidates in those indications, including the selection of the primary efficacy endpoint for a pivotal clinical trial, is highly uncertain;</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8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1"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although we are continuing to enroll patients in the GATHER2 trial, we may later decide to or be required to slow down or pause patient recruitment due to the continued persistence of the pandemic or if a second or subsequent wave of cases occurs. Furthermore, our development plans may change based on feedback we may receive from regulatory authorities throughout the development process. For example, our expectations regarding the remaining clinical requirements to demonstrate the safety and efficacy of Zimura for the treatment of GA secondary to AMD in a manner sufficient to support an application for marketing approval to the FDA and EMA are based on our review of the 12-month and 18-month data from the GATHER1 trial as well as informal discussions with the FDA. Our expectations regarding the minimum clinical requirements to demonstrate the safety and efficacy of Zimura for GA could be incorrect or may change as we continue to have interactions with the FDA, as we continue to review and analyze data from our GATHER1 trial, as we conduct our GATHER2 trial, and as new regulatory or third party information, including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80"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 or in any other indication we may choose to pursue.</w:t>
      </w:r>
    </w:p>
    <w:p>
      <w:pPr>
        <w:spacing w:after="0" w:line="10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are currently targeting GA, an advanced form of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selective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molecular targets, including complement C5, as potential pharmaceutical treatments for GA secondary to AMD, and that the results from our GATHER1 trial of Zimura in GA support our view, this approach may not prove successful for treating GA secondary to AMD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GATHER1 trial of Zimura in GA met its prespecified primary endpoint at month 12 and continued to show positive treatment effect at month 18, this mechanism of action may not prove safe and effective for the treatment of GA, STGD1 or any other indication for which we may develop Zimura.</w:t>
      </w:r>
    </w:p>
    <w:p>
      <w:pPr>
        <w:spacing w:after="0" w:line="2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may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continuing to review and analyze the results and individual patient level data from the GATHER1 trial, which may affect the soundness of the conclusions we have drawn based on the results from this trial. The GATHER2 trial may yield results that are different from the results observed in the GATHER1 trial. An unfavorable result from the GATHER2 trial likely would materially adversely affect our ability to obtain approval for Zimura in GA.</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the 18-month data from the GATHER1 trial supported the results we observed at 12 months, these data are subject to several limitations. In accordance with the prespecified statistical analysis plan for the trial, we only performed descriptive analysis of the 18-month efficacy data. Although the favorable safety profile for Zimura was maintained at month 18, individual, unmasked patient data may indicate that our conclusions were not well founded due to inconsistencies, data entry errors or because of unknown variables or patient sub-groups that could potentially be driving the results in one or more treatment groups. Although not reported as related to Zimura by investigators, we observed an increase in the number of investigator-reported cases of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As we continue to evaluate the individual, unmasked patient data from the GATHER1 trial, we may learn of additional cases of non-investigator reported safety issues, which may affect the safety profile of Zimura.</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Unlike the GATHER1 trial, the GATHER2 trial will include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both our GATHER1 trial and our GATHER2 trial, the mean rate of change in GA growth,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Additionally, for our GATHER2 trial,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reliably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8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may be able to rely on the results from our GATHER1 and GATHER2 trials as two well-controlled, Phase 3 trials typically required by the FDA. The FDA, EMA and other regulatory authorities may not accept the results of the GATHER1 trial as a Phase 3 clinical trial, or may not agree with our selection of the primary endpoint for the GATHER1 and GATHER2 trials or the statistical analysis we performed. We may decide to or may be required to enroll additional patients, collect additional safety data or conduct additional clinical trials or non-clinical studies to seek or obtain approval for Zimura in GA.</w:t>
      </w:r>
    </w:p>
    <w:p>
      <w:pPr>
        <w:spacing w:after="0" w:line="16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Based on the results of our GATHER1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over 12 months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our primary endpoint as clinically relevant without correlation to an outcome more directly associated with visual function, in order to seek marketing approval we may need to conduct, in addition to the GATHER2 trial, one or more additional, well-controlled clinical trials that meets the applicable regulatory requirements in order to obtain sufficiently robust data for an acceptable endpoint to support marketing approval.</w:t>
      </w:r>
    </w:p>
    <w:p>
      <w:pPr>
        <w:spacing w:after="0" w:line="5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FDA, EMA or other regulatory authorities may not agree with the methodologies we used to perform the statistical analysis of the GATHER1 trial results. In particular, they may not agree with how we performed the comparisons of patients receiving Zimura 2 mg with patients in the sham groups, as the comparisons draw upon patients who were enrolled into two different parts of the trial, using different randomization ratios and different vision criteria. In addition, they may not agree with the validity of our MRM analysis, which imputes the values of missing data based on observed data. We plan to use the same MRM analysis in the GATHER2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7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Although we believe that our GATHER1 trial was well-controlled, with appropriate eligibility criteria and appropriate stratification for baseline characteristics, the FDA, EMA or other regulatory authorities may not agree with the methodologies we used to determine patient eligibility and to randomize patients to the various treatment groups and therefore may not agree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that the comparisons we have made for mean rate of GA growth are statistically valid. The FDA, EMA or other regulatory authorities may take issue with the number of modifications we introduced to the GATHER1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safety or efficacy results from the trial.</w:t>
      </w:r>
    </w:p>
    <w:p>
      <w:pPr>
        <w:spacing w:after="0" w:line="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Based on informal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GATHER1 and GATHER2 trials in GA, as well as our OPH2005 trial evaluating Zimura for STGD1. We also believe that, if the data from the GATHER2 trial are positive, we would be able to submit our application following the primary efficacy analysis for the GATHER2 study at the 12-month time point, without waiting for the full 24-month data package, which we would collect after submitting for marketing approval and use to supplement our applications for marketing approval while they are pending. We have designed our GATHER2 trial to meet these requirements, which, as we understand them, and if data from the GATHER2 trial are positive, will permit us to seek marketing approval for Zimura in GA in the United States and potentially the European Union. Since receiving the 12-month results from the GATHER1 trial, we have not had an end of phase 2 or other formal meeting with either the FDA or the EMA and we may not do so before receiving results from the GATHER2 trial and submitting our applications for marketing approval. In addition, we have been engaging with various regulatory authorities, including competent national authorities in Europe, during the GATHER2 trial, and expect to continue engaging with regulatory authorities, including with the FDA as part of the fast track program. We may receive feedback that is not consistent with our expectations, including potential disagreements by the EMA and other regulatory authorities with what we are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endpoint is met and the results from the GATHER2 trial are otherwise positive.</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we may become aware of safety concerns as we analyze individual patient level data in our GATHER1 trial, and they may manifest in our OPH2005 trial, in our GATHER2 trial or in any other subsequent clinical trials we or a potential licensee or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6"/>
          <w:szCs w:val="16"/>
          <w:i w:val="1"/>
          <w:iCs w:val="1"/>
          <w:color w:val="auto"/>
        </w:rPr>
        <w:t>If serious adverse or unacceptable side effects are identified during the development of</w:t>
      </w:r>
      <w:r>
        <w:rPr>
          <w:rFonts w:ascii="Arial" w:cs="Arial" w:eastAsia="Arial" w:hAnsi="Arial"/>
          <w:sz w:val="16"/>
          <w:szCs w:val="16"/>
          <w:color w:val="auto"/>
        </w:rPr>
        <w:t xml:space="preserve"> </w:t>
      </w:r>
      <w:r>
        <w:rPr>
          <w:rFonts w:ascii="Arial" w:cs="Arial" w:eastAsia="Arial" w:hAnsi="Arial"/>
          <w:sz w:val="16"/>
          <w:szCs w:val="16"/>
          <w:i w:val="1"/>
          <w:iCs w:val="1"/>
          <w:color w:val="auto"/>
        </w:rPr>
        <w:t>our product candidates, we may need to abandon or limit our development of such product candidates.</w:t>
      </w:r>
      <w:r>
        <w:rPr>
          <w:rFonts w:ascii="Arial" w:cs="Arial" w:eastAsia="Arial" w:hAnsi="Arial"/>
          <w:sz w:val="16"/>
          <w:szCs w:val="16"/>
          <w:color w:val="auto"/>
        </w:rPr>
        <w:t>"</w:t>
      </w:r>
    </w:p>
    <w:p>
      <w:pPr>
        <w:spacing w:after="0" w:line="16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Because the primary efficacy endpoint and the statistical analysis plan we would expect to use to analyze efficacy data for our GATHER2 trial are similar to those of the GATHER1 trial, any disagreements by the FDA, EMA or other regulatory authorities with GATHER1 will likely affect GATHER2 as well. Our ongoing clinical trials and any future clinical trials for Zimura that we or a potential future licensee or collaborator may undertake may fail to demonstrate sufficient safety or efficacy to justify further development or to ultimately seek or obtain marketing approval. Any negative results from our ongoing or any other future clinical trials for Zimura could adversely affect our business and the value of your investment in our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our OPH2005 trial. We may not be able to recruit additional patients for this trial in line with our expectations.</w:t>
      </w:r>
    </w:p>
    <w:p>
      <w:pPr>
        <w:spacing w:after="0" w:line="18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OPH2005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OPH2005 trial could be underpowered to demonstrate a potential clinical benefit for Zimura in STGD1 with statistical significance.</w:t>
      </w:r>
    </w:p>
    <w:p>
      <w:pPr>
        <w:spacing w:after="0" w:line="172"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We have decided to enroll approximately 25 additional patients in this trial, with the goal of enrolling a total of approximately 120 patients. This change to the trial will increase the costs associated with this trial and delay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Patient recruitment may take longer or cost more than we would expect.</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COVID-19 pandemic has affected and may continue to affect the initiation and conduct of our clinical trials, including the recruitment and retention of patients for our GATHER2 and OPH2005 clinical trials. It may have long-lasting effects on the conduct of clinical trials, which can make our ongoing and any future trials more difficult, costly or time consuming.</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GATHER1, OPH2005 and GATHER2 trials involve sites located across the United States and in many countries outside the United States. We have made a number of changes to the clinical operations of our clinical trials as a result of the COVID-19 pandemic, its effects on current and prospective participating patients, and various governmental and other measures to control the outbreak. Our plans for our clinical trials may change further as the COVID-19 situation evolves.</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For our GATHER1 trial, the outbreak proliferated around the world as we were finishing the final visits for patients in this trial. In addition to the disruptions to the operations of many clinical trial sites, the COVID-19 pandemic affected our monitoring operations, for example, by requiring remote monitoring and remote source document verification in many instances. Although we do not believe the COVID-19 pandemic has materially affected the robustness of our data verification process for the GATHER1 trial, we may find data verification discrepancies as we continue to evaluate the individual, unmasked patient level data from the GATHER1 trial. This risk may also affect our data verification processes for the OPH2005 and GATHER2 trials.</w:t>
      </w:r>
    </w:p>
    <w:p>
      <w:pPr>
        <w:spacing w:after="0" w:line="16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For our OPH2005 trial, we have focused our efforts on maintaining scheduled visits and treatments and overall patient retention. As compared to the patients in the GATHER1 and GATHER2 trials, the patients in the OPH2005 trial are generally younger and have work and family commitments, which may cause them to miss more visits or drop out in greater numbers as a result of the COVID-19 pandemic. In addition to the risks posed by increased patient dropouts, if patients miss scheduled visits in greater numbers as a result of the pandemic, it may affect our ability to draw meaningful conclusions from the clinical data. Where possible, we have provided additional flexibility for patients to modify the scheduling of their visits. For example, we are aware that a small number of patients in the OPH2005 trial missed consecutive visits during the COVID-19 pandemic. We do not know yet whether the number of missed visits will increase or decrease in the OPH2005 trial, and whether and to what extent missed visits may impact the results of the trial. Especially if the COVID-19 pandemic persists, even if we successfully enroll additional patients for the OPH2005 trial, patient visits may be missed or rescheduled, which may affect the interpretability of the data that we collect and the conclusions we are able to draw from these data. This risk may also apply to the GATHER2 trial.</w:t>
      </w:r>
    </w:p>
    <w:p>
      <w:pPr>
        <w:spacing w:after="0" w:line="18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For our GATHER2 trial, in addition to the initial delay of patient enrollment from March 2020 to June 2020, competent health authorities and ethics committees in certain countries and many clinical trial sites have reduced their staff and operations due to COVID-19. The reduction in operations has resulted in delays to the approval of our trial and the site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activation process in certain geographies. We continue to activate additional clinical sites and are adding more countries and sites to the trial, and the progress of site activation will depend on the local situation in each specific geography.</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believe the COVID-19 pandemic and its effects will continue to affect patient recruitment, maintenance of scheduled visits and treatments and overall retention of patients in clinical trials, especially GA trials. As a result of the pandemic, many clinical trial sites may have limited capability to recruit patients, especially in a short period of time. Patients, in turn, may be reluctant to enroll in clinical trials or to maintain their scheduled visits and treatments once enrolled due to their fears of visiting clinical trial sites or ongoing restrictive measures requiring social distancing or limiting travel. These concerns may particularly apply to GA patients, many of whom are elderly and therefore at a higher risk for COVID-19 and other diseases than the general population. In addition, many of the tests involved in GA trials, such as the retina imaging tests, are time consuming and may be onerous for patients. Shortages of personal protective equipment and other supplies for the prevention of COVID-19 may cause our clinical trial sites to further scale back the number of staff on site and other operations, and may cause prospective or enrolled patients to avoid clinical trial visits. These factors may make patient recruitment and maintenance of scheduled visits for clinical trials, especially GA trials, more difficult. Even if a site successfully enrolls patients in line with expectations, there may be additional patient dropouts or missed visits due to the COVID-19 pandemic or similar events, and if those events occur during the course of the GATHER2 trial or the expanded OPH2005 trial, they will likely affect our ability to complete these trials and obtain data in accordance with our expectations. Furthermore, because we expect the GATHER2 trial to be ongoing for at least 24 months, which is the length of the trial, plus any additional time for patient recruitment, it is likely to be affected to the extent a second wave or subsequent outbreaks of the COVID-19 pandemic cause disruptions. Many clinical trial sites have changed their practices in preparation for a possible second wave or future outbreaks, and these changes may affect how we conduct the GATHER2 trial, the expanded OPH2005 trial and any future clinical trials we may conduct.</w:t>
      </w:r>
    </w:p>
    <w:p>
      <w:pPr>
        <w:spacing w:after="0" w:line="16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77" w:lineRule="exact"/>
        <w:rPr>
          <w:sz w:val="20"/>
          <w:szCs w:val="20"/>
          <w:color w:val="auto"/>
        </w:rPr>
      </w:pPr>
    </w:p>
    <w:p>
      <w:pPr>
        <w:ind w:right="80" w:firstLine="180"/>
        <w:spacing w:after="0" w:line="290" w:lineRule="auto"/>
        <w:rPr>
          <w:sz w:val="20"/>
          <w:szCs w:val="20"/>
          <w:color w:val="auto"/>
        </w:rPr>
      </w:pPr>
      <w:r>
        <w:rPr>
          <w:rFonts w:ascii="Arial" w:cs="Arial" w:eastAsia="Arial" w:hAnsi="Arial"/>
          <w:sz w:val="16"/>
          <w:szCs w:val="16"/>
          <w:color w:val="auto"/>
        </w:rPr>
        <w:t>For example, our IC-100 product candidate, which we are developing for RHO-adRP, has a mechanism of action that suppresses the expression of endogenous rhodopsin and seeks to replace it with a healthy version of rhodopsin. Patients with autosomal dominant conditions, such as RHO-adRP, have one healthy allele and one mutant disease-causing allele. For patients with RHO-adRP, although the rhodopsin produced by the mutant allele is generally toxic, leading to retinal degeneration, the rhodopsin produced by the healthy allele supports, and may be necessary for, the patient's existing vision. IC-100 may suppress the expression of all endogenous rhodopsin, whether expressed from the healthy or the mutant allele. Treatment with IC-100 may fail to suppress a sufficient amount of the toxic mutant allele or may fail to replace the rhodopsin expressed by the healthy allele to a sufficient degree. Although we believe, based on preclinical experiments in a canine model of RHO-adRP, that IC-100 will restore rhodopsin production to a level sufficient to maintain vision, we will not know this to be the case until we obtain human clinical data regarding IC-100's effect in this patient population.</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Moreover, while there are more than 200 known mutations to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the different types of mutations and their association with various </w:t>
      </w:r>
      <w:r>
        <w:rPr>
          <w:rFonts w:ascii="Arial" w:cs="Arial" w:eastAsia="Arial" w:hAnsi="Arial"/>
          <w:sz w:val="18"/>
          <w:szCs w:val="18"/>
          <w:i w:val="1"/>
          <w:iCs w:val="1"/>
          <w:color w:val="auto"/>
        </w:rPr>
        <w:t>BEST1-</w:t>
      </w:r>
      <w:r>
        <w:rPr>
          <w:rFonts w:ascii="Arial" w:cs="Arial" w:eastAsia="Arial" w:hAnsi="Arial"/>
          <w:sz w:val="18"/>
          <w:szCs w:val="18"/>
          <w:color w:val="auto"/>
        </w:rPr>
        <w:t>related IRDs are still not well-understood. Our product candidate for these diseases, IC-200, may only be effective in treating retinal diseases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certain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and not other mutations, especially if the mutation is associated with the production of a toxic protein. Additionally, we decided to in-license and pursue the development of IC-200 based on results observed in an autosomal recessive canine disease model. A majority of humans with </w:t>
      </w:r>
      <w:r>
        <w:rPr>
          <w:rFonts w:ascii="Arial" w:cs="Arial" w:eastAsia="Arial" w:hAnsi="Arial"/>
          <w:sz w:val="18"/>
          <w:szCs w:val="18"/>
          <w:i w:val="1"/>
          <w:iCs w:val="1"/>
          <w:color w:val="auto"/>
        </w:rPr>
        <w:t>BEST1-</w:t>
      </w:r>
      <w:r>
        <w:rPr>
          <w:rFonts w:ascii="Arial" w:cs="Arial" w:eastAsia="Arial" w:hAnsi="Arial"/>
          <w:sz w:val="18"/>
          <w:szCs w:val="18"/>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19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our miniCEP290 program and other minigene programs, we are sponsoring research using a novel approach that is largely untested and presents various scientific and regulatory risks. To date, all the data generated for our miniCEP290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16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Although we believe gene therapy is a promising area for retinal drug development, our gene therapy research and development experience is limited to only a limited number of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In particular,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18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Our development of IC-500 is also based on a novel mechanism of action that is unproven and poses a number of scientific and other risks. Even though we have identified a lead product candidate from our HtrA1 inhibitor program, we may not be able to successfully develop a viable manufacturing process for or formulate this product candidate.</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may also be associated with the risk for AMD. The risk for AMD associated with </w:t>
      </w:r>
      <w:r>
        <w:rPr>
          <w:rFonts w:ascii="Arial" w:cs="Arial" w:eastAsia="Arial" w:hAnsi="Arial"/>
          <w:sz w:val="17"/>
          <w:szCs w:val="17"/>
          <w:i w:val="1"/>
          <w:iCs w:val="1"/>
          <w:color w:val="auto"/>
        </w:rPr>
        <w:t>ARMS2</w:t>
      </w:r>
      <w:r>
        <w:rPr>
          <w:rFonts w:ascii="Arial" w:cs="Arial" w:eastAsia="Arial" w:hAnsi="Arial"/>
          <w:sz w:val="17"/>
          <w:szCs w:val="17"/>
          <w:color w:val="auto"/>
        </w:rPr>
        <w:t xml:space="preserve"> may ultimately prove to be greater than the risk 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affected by HtrA1. Our assumption that targeting inhibition of HtrA1 as a method of treating AMD may be incorrect, which would likely adversely affect the value of IC-500 and its continued development.</w:t>
      </w:r>
    </w:p>
    <w:p>
      <w:pPr>
        <w:spacing w:after="0" w:line="19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To our knowledge, there are no suitable animal models for GA or dry AMD. This absence of a suitable animal model makes designing a proof of concept study to assess the preclinical efficacy of IC-500 difficult. In addition, we have not had any formal or informal interactions with the FDA or other regulatory authorities regarding our preclinical development plans for IC-500. We do not know whether the FDA or other regulatory authorities will accept any preclinical proof of concept study we may propose, or other aspects of our preclinical development plans for IC-500. The FDA may require us to change our plans or conduct additional studies, which would increase our costs and delay our timelines.</w:t>
      </w:r>
    </w:p>
    <w:p>
      <w:pPr>
        <w:spacing w:after="0" w:line="17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Before we can commence IND-enabling studies for IC-500, we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need to determine which inactive formulation components should be used in the preparation of IC-500, and derive a preparation that includes an adequate amount of drug substance with the necessary inactive ingredients to achieve the desired safety profile for intravitreal injection into the eye while providing for sufficient pharmacological activity. Process development and formulation development are inherently uncertain, and although our contract manufacturer is developing a manufacturing process for IC-500, we do not know whether this manufacturing process will be viable or whether we can successfully formulate the produced drug substance into a drug product that is safe to advance into preclinical studies or clinical trials in the eye or that provides sufficient pharmacological activity when tested in animals, which would hinder our ability to pursue development of IC-500. Manufacturing, including process development and formulation development, can be costly and time-consuming and our anticipated timelines for the development of IC-500 may be delayed. If we are unable to successfully manufacture and formulate IC-500, we may switch to a backup HtrA1 inhibitor or cease developing our HtrA1 inhibitor program altogether.</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7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w:t>
      </w:r>
    </w:p>
    <w:p>
      <w:pPr>
        <w:spacing w:after="0" w:line="7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CNV in the Zimura treatment groups in the GATHER1 trial as compared to the sham control groups. For the GATHER2 trial, because we are asking investigators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We have no human data regarding IC-100, IC-200 or IC-500.</w:t>
      </w:r>
    </w:p>
    <w:p>
      <w:pPr>
        <w:spacing w:after="0" w:line="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Although the safety profile of Zimura remained favorable at month 18 in our GATHER1 trial, we may encounter unknown safety issues as we analyze the unmasked individual patient level data.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STGD1 or any other indication for which we may seek to develop Zimura.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toxicology studies we are planning. In addition, if we are successful in formulating IC-500, we intend to administer IC-500 by intravitreal injection, which poses the same safety risks outlined above with respect to intravitreal injections of Zimura.</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addition, in order to avoid accelerating damage to a patient's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18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commercialization, if any.</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have internal manufacturing facilities and use or plan to use outside contract manufacturers to manufacture Zimura, IC-100, IC-200, IC-500 and any other product candidates that we may acquire or in-license. We have a limited number of personnel hired to supervise these outside vendors.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materials that meet FDA, EMA or other applicable standards or specifications with consistent and acceptable production yields and costs.</w:t>
      </w:r>
    </w:p>
    <w:p>
      <w:pPr>
        <w:spacing w:after="0" w:line="16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experience significant delays or other obstacles in producing any approved product at commercial scale, our ability to market and sell any approved products may be adversely affected and our business could suffer.</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96"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and academic research institutions. Problems in our manufacturing process or facilities also could restrict our ability to meet market demand for our products.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8"/>
          <w:szCs w:val="18"/>
          <w:i w:val="1"/>
          <w:iCs w:val="1"/>
          <w:color w:val="auto"/>
        </w:rPr>
        <w:t>We contract with third parties for the manufacture of and for providing starting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88"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Our experience manufacturing Zimura is limited. As we conduct our GATHER2 trial and our expanded OPH2005 trial and plan for potential commercialization of Zimura, we and our third-party manufacturers will need to complete several activities to ensure the continued supply of drug product for these trials and adequate preparations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6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early 2017, we completed the small scale manufacture of multiple batches of Zimura drug substance that we plan to use to support clinical drug supply for the GATHER2 trial and the expanded OPH2005 trial. Although we believe we have adequate Zimura drug substance for the GATHER2 trial and the expanded OPH2005 trial, this supply may not be sufficient for our needs over the duration of the trials or for any additional trials we or a potential collaborator may conduct. We have been in discussions with Agilent, our historical contract manufacturer for Zimura drug substance, about scaling up and validating the manufacturing process and other activities to support the potential commercialization of Zimura. At this time, we are not certain whether Agilent has the capacity to support our expected needs. We have also engaged a different contract manufacturer for the manufacture of Zimura drug substance. There are risks with transferring the existing manufacturing process to the new manufacturer and this second manufacturer may not be able to scale up the manufacturing process and produce Zimura drug substance in line with our expectations. Depending on the success of these activities, we may need to use any one or both of these manufacturers for future supply of Zimura drug substance, which may increase our costs and delay our timelines. Regardless of which manufacturer we use, we will need to demonstrate that the Zimura drug substance produced through the scaled-up process, which is intended for commercial use, is analytically comparable to the Zimura drug substance we are currently using in our clinical trials. If we are unable to demonstrate that the Zimura drug substance produced through the scaled-up process is analytically comparable to the Zimura drug substance we are currently using in our clinical trials, our timelines to complete the development of and seek regulatory approval for Zimura would be impacted.</w:t>
      </w:r>
    </w:p>
    <w:p>
      <w:pPr>
        <w:spacing w:after="0" w:line="20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also engaged a second source supplier to support us with additional clinical supply of Zimura drug product using the existing vial configuration. This second manufacturer is in the process of making additional Zimura drug product to support our needs for the GATHER2 trial and the expanded OPH2005 trial. However, this supply may not be sufficient for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needs over the duration of these trials or for any additional trials we or a potential collaborator may conduct. In addition, we are exploring a potential change to the vial used for Zimura drug product to support a more robust fill/finish operation at commercial scale. We are in discussions with Ajinomoto, our historical contract manufacturer for Zimura drug product, about its capacity for producing Zimura drug product using the changed vial at a commercial scale. If Ajinomoto is unable to provide us and/or a potential collaborator with Zimura drug product for potential commercial use, we will need to find alternative suppliers, which may increase our costs and delay our timelines.</w:t>
      </w:r>
    </w:p>
    <w:p>
      <w:pPr>
        <w:spacing w:after="0" w:line="21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also securing additional quantities of the PEG starting material used to manufacture Zimura from our sole source supplier. We are in discussions with this supplier for a long-term supply agreement for the PEG starting material, and we may not be able to agree to terms or may need to agree to unfavorable terms in order to secure adequate supply. This supplier may need to scale up its purification process in order to support supply of PEG for Zimura at a commercial scale. We believe there are a limited number of alternative suppliers for this critical raw material, and if we need to use those suppliers, it could increase our costs and delay our manufacturing plans for Zimura.</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of these activities is costly, time-consuming and uncertain in outcome. We may not be able to successfully scale up or validate our manufacturing process for Zimura, demonstrate analytical comparability of the Zimura drug substance manufactured through the scaled up process with the previously manufactured Zimura drug substance, or establish the long-term stability of the Zimura drug product stored in the new vial container. The new manufacturers we have engaged or may engage in the future have not had previous experience with Zimura and there may be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As previously disclosed, we identified an issue with one of the starting materials used to manufacture IC-100, which delayed our timelines for that program. We have limited experience with gene therapy manufacturing and are dependent on our third-party contract manufacturers and sole source suppliers.</w:t>
      </w:r>
    </w:p>
    <w:p>
      <w:pPr>
        <w:spacing w:after="0" w:line="15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previously disclosed, we identified an issue with one of the starting materials used for our manufacturing process for IC-100. That issue caused us to delay our cGMP manufacturing run at our CDMO, and we had to reschedule the run for a later date based on the CDMO's availability. The supplier has since provided new starting materials for our rescheduled cGMP manufacturing run. Although we believe the new starting materials met our expectations and the manufacturing of the cGMP batch has been successful, we may find unexpected issues as we complete testing and release of the batch. If there are issues with the new starting materials or the manufacturing campaign, our timelines and the future development of IC-100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or quality issues for gene therapies, including raw material or starting material variability in terms of quality, cell line viability, productivity or stability issues, product and process impurities,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IC-100 and IC-200 we and our contract manufacturers have developed our own manufacturing processes, which differ from those originally used by our university collaborators, for example, by using different starting materials and analytical methods. Our manufactured materials may not match the safety and efficacy profile of those used by the universities.</w:t>
      </w:r>
    </w:p>
    <w:p>
      <w:pPr>
        <w:spacing w:after="0" w:line="18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Because manufacturing for early stage research is often done under different conditions, using different starting materials and manufacturing systems and done on a smaller scale than what is required for manufacturing for clinical supplies, we may face challenges producing the same product as that produced by the manufacturing processes used by our licensors and other academic collaborators and scaling up the new manufacturing processes as necessary to support supply for clinical trials. In order to progress the development of IC-100, IC-200 or any other gene therapy product candidate we may in-license or acquire, we have devoted and will need to continue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and our business may be materially harmed. In particular, we are completing cGMP manufacturing activities for IC-100 and conducting cGMP manufacturing activities for IC-200. If we encounter issues during cGMP manufacturing activities, it may hamper us from filing an IND and initiating a human clinical trial for that product candidate.</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and our contract manufacturers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early stages of establishing manufacturing capabilities for IC-500.</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engaged a CDMO to conduct process development, scale-up and cGMP manufacture of the drug substance for IC-500 for preclinical toxicology studies and for clinical trials. Although our CDMO has developed a manufacturing process for the drug substance, we are continuing to test and refine this manufacturing process. We are also continuing formulation development activities, which is uncertain in cost and outcome. The time and efforts required for us to fully establish manufacturing capabilities for IC-500, including developing a viable manufacturing process and a viable formulation, if any, may delay or impair our ability to develop IC-500 in accordance with our expected timelines.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business strategy includes a focus on developing transformative therapies for retinal diseases, including GA secondary to age-related macular degeneration and a number of orphan inherited retinal diseases. There are multiple companies pursuing the development of therapeutics targeting the complement pathway and gene therapy approaches for orphan and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7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7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 such as may be the case for the GATHER2 trial, for which a number of other companies have active clinical trials.</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52" w:lineRule="exact"/>
        <w:rPr>
          <w:sz w:val="20"/>
          <w:szCs w:val="20"/>
          <w:color w:val="auto"/>
        </w:rPr>
      </w:pPr>
    </w:p>
    <w:p>
      <w:pPr>
        <w:ind w:left="660" w:right="20" w:hanging="328"/>
        <w:spacing w:after="0" w:line="267"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Hemera Biosciences, Inc., MorphoSys AG, NGM Biopharmaceuticals Inc., Novartis AG, and Roche AG each have complement inhibitors in development for GA or dry AMD, including, in the cases of Gyroscope Therapeutics and Hemera Biosciences, complement inhibitor gene therapies and AGTC has a research program on complement factor H gene therapy. We believe that the most advanced of these programs is Apellis's pegylated, synthetic peptide targeting complement protein C3. In July 2020, Apellis announced that it had completed patient enrollment in its Phase 3 program with a total of 1,259 patients, and it expected to announce top-line data from the trials in the third quarter of 2021. If Apellis's Phase 3 program for its C3 complement inhibitor product candidate is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Boehringer Ingelheim, EyePoint Pharmaceuticals, Inc., Lineage Cell Therapeutics, Inc., Roche AG and Stealth BioTherapeutics Corp. (working in collaboration with Alexion Pharmaceuticals, Inc.), are pursuing development programs for the treatment GA or dry AMD using different mechanisms of action outside of the complement system, including Gemini Therapeutics and Roche AG (through Genentech Inc.), which are pursuing HtrA1 inhibition as a mechanism of action.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20" w:hanging="328"/>
        <w:spacing w:after="0" w:line="271"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40" w:hanging="328"/>
        <w:spacing w:after="0" w:line="25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aware that ProQR is developing an RNA-based therapeutic for RHO-adRP, for which it is currently conducting a Phase 1/2 clinical trial. Ocugen, Inc. is developing a gene therapy for RHO-adRP, for which the FDA granted orphan drug designation on July 27,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We are aware that, prior to its acquisition by Biogen, Nightstar had a preclinical AAV gene therapy program for one or more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240" w:hanging="328"/>
        <w:spacing w:after="0" w:line="279"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200" w:hanging="328"/>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87"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We are developing Zimura and IC-500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ophthalmology practitioners, specialists, such as retinal specialists, or sub-specialists, such as retinal specialists with particular expertise in IRDs.</w:t>
      </w:r>
    </w:p>
    <w:p>
      <w:pPr>
        <w:spacing w:after="0" w:line="14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52"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200" w:lineRule="exact"/>
        <w:rPr>
          <w:sz w:val="20"/>
          <w:szCs w:val="20"/>
          <w:color w:val="auto"/>
        </w:rPr>
      </w:pPr>
    </w:p>
    <w:p>
      <w:pPr>
        <w:spacing w:after="0" w:line="22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right="60" w:hanging="324"/>
        <w:spacing w:after="0" w:line="259"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to patients with specific GA lesion characteristics, such as non-foveal GA, or for our gene therapy product candidates, if approved, restrictions on use of our product if a patient previously received another gene therapy product;</w:t>
      </w:r>
    </w:p>
    <w:p>
      <w:pPr>
        <w:spacing w:after="0" w:line="213"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52"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240" w:hanging="324"/>
        <w:spacing w:after="0" w:line="263"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treatments such as gene therapy; and</w:t>
      </w:r>
    </w:p>
    <w:p>
      <w:pPr>
        <w:spacing w:after="0" w:line="275" w:lineRule="exact"/>
        <w:rPr>
          <w:rFonts w:ascii="Arial" w:cs="Arial" w:eastAsia="Arial" w:hAnsi="Arial"/>
          <w:sz w:val="16"/>
          <w:szCs w:val="16"/>
          <w:color w:val="auto"/>
        </w:rPr>
      </w:pPr>
    </w:p>
    <w:p>
      <w:pPr>
        <w:ind w:left="980" w:right="20" w:hanging="324"/>
        <w:spacing w:after="0" w:line="273" w:lineRule="auto"/>
        <w:tabs>
          <w:tab w:leader="none" w:pos="9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whether competing products or other alternatives are more convenient or easier to administer, including alternatives that offer a less frequent dosing regimen than monthly intravitreal injections, in the case of Zimura, or 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while we expect that any label we may obtain for Zimura in GA will require monthly administrations. If so, physicians and patients may find Apellis's dosing regimen more acceptable than ours.</w:t>
      </w:r>
    </w:p>
    <w:p>
      <w:pPr>
        <w:spacing w:after="0" w:line="178"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Our development program for Zimura in GA uses an anatomical primary endpoint, the mean rate of change in GA growth over 12 months.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which may not ultimately demonstrate a functional benefit to vision.</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each of our Zimura trials where patients receive multiple intravitreal injections on the same day, including the OPH2005 trial,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9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and to Spark Therapeutics's Luxturna® and Novartis AG's Zolgensma®,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and certain IRDs,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Certain patients’ immune systems and prior exposure to the virus used to deliver a gene therapy might inhibit the successful delivery of certain gene therapy products to the target tissue, thereby limiting eligibility for treatment 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limiting treatment outcomes. If the number of patients that may benefit from the treatments we are seeking to develop is lower than we expect, our business, financial condition, results of operations and prospects may be adversely affected.</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7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three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the U.S. Congress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these drugs will be adjusted in relation to an international pricing index that includes prevailing prices from other countries with strict price controls. The reference pricing model has found support from some members of the U.S. Congress. In September 2020, the Trump Administration issued an executive order directing the Secretary of the Department of Health and Human Services, or HHS, to propose rulemaking that would limit the prices paid by Medicare for certain drugs and biologics to the "most favored nation" price. If this kind of rule were to be adopted,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8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92"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President Trump and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82"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For a further discussion of health care reform and other political factors affecting drug prices, see the risk factor herein entitled "</w:t>
      </w:r>
      <w:r>
        <w:rPr>
          <w:rFonts w:ascii="Arial" w:cs="Arial" w:eastAsia="Arial" w:hAnsi="Arial"/>
          <w:sz w:val="17"/>
          <w:szCs w:val="17"/>
          <w:i w:val="1"/>
          <w:iCs w:val="1"/>
          <w:color w:val="auto"/>
        </w:rPr>
        <w:t>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future legislation and regulations may increase 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7"/>
          <w:szCs w:val="17"/>
          <w:color w:val="auto"/>
        </w:rPr>
        <w: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98"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historically relied on, and purchased on a purchase order basis from, a single third-party manufacturer, Agilent, to provide Zimura drug substance. We do not currently have any contractual commitments with Agilent for the long-term clinical or commercial supply of Zimura drug substance and we may not be able to come to agreement with Agilent for scale-up and validation activities and long-term clinical or commercial supply. We have engaged a different manufacturer for additional supply of Zimura drug substance. We may ultimately need to rely on one or multiple manufacturers for long-term supply of Zimura drug substance. We have also historically relied on a single third-party manufacturer, Ajinomoto, for Zimura drug product. We have engaged a second fill/finish service provider for additional supply of Zimura drug product. We may ultimately need to rely on one or multiple manufacturers for long-term supply of Zimura drug product using our selected vial.</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purchase the PEG starting material used to modify the chemically synthesized aptamer in Zimura on a purchase order basis from a single third-party supplier. We are in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8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IC-500, we have engaged a CDMO to conduct process development, scale-up and cGMP manufacture of the drug substance and drug product for preclinical toxicology studies and clinical trials.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long-time third-party manufacturer for Zimura drug substance and our CDMO for IC-100 and IC-200 are currently undergoing rapid expansion, including ramping up for production for existing clients, bringing on additional clients, opening new facilities, installing and validating new equipment, and hiring and training new personnel. Our third-party manufacturer for Zimura drug substance informed us that as a result of competing demands from other customers, its ability to support our scale up and future manufacturing activities for Zimura is limited. As a result, we have engaged a different supplier that may become our primary or new sole supplier for Zimura drug substance, and the timing, costs, progress, quality and outcome of our planned manufacturing activities for Zimura may be negatively affected.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7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For example, we were unable to perform person-in-plant (PIP) observations on a number of critical manufacturing activities at our CDMO for IC-100 and IC-200, which caused minor delays to our manufacturing timelines for both programs and which may affect the quality of the materials produced during those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the COVID-19 pandemic and governmental measures in response caused a delay to the process development activities at our drug substance manufacturer for IC-500 as a result of difficulty in procuring one of the critical starting materials used in the manufacture of IC-500 from China. The COVID-19 pandemic may cause additional disruptions to the supply of starting materials for our product candidates.</w:t>
      </w:r>
    </w:p>
    <w:p>
      <w:pPr>
        <w:spacing w:after="0" w:line="21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6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termination or non renewal of the agreement by the third party at a time that is costly or inconvenient for us.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delayed some of our sponsored research activities.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also rely upon our university collaborators to conduct some of our preclinical studies. In particular, Penn has the canine disease models for two of the diseases we are aiming to treat: RHO-adRP and </w:t>
      </w:r>
      <w:r>
        <w:rPr>
          <w:rFonts w:ascii="Arial" w:cs="Arial" w:eastAsia="Arial" w:hAnsi="Arial"/>
          <w:sz w:val="18"/>
          <w:szCs w:val="18"/>
          <w:i w:val="1"/>
          <w:iCs w:val="1"/>
          <w:color w:val="auto"/>
        </w:rPr>
        <w:t>BEST1</w:t>
      </w:r>
      <w:r>
        <w:rPr>
          <w:rFonts w:ascii="Arial" w:cs="Arial" w:eastAsia="Arial" w:hAnsi="Arial"/>
          <w:sz w:val="18"/>
          <w:szCs w:val="18"/>
          <w:color w:val="auto"/>
        </w:rPr>
        <w:t>-related retinal diseases. Our preclinical development plans for both IC-100 and IC-200 include conducting certain preclinical studies using the associated canine disease models. We have experienced some delays in the breeding of the canines for our IND-enabling study for IC-200. If the canines that we are intending to use are not available to us for any reason, our development of IC-200 could potentially be delayed or otherwise adversely affected.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COVID-19 pandemic has caused our university collaborators to limit the number of staff on site and the types of activities that may be conducted in their laboratories. Penn restricted their researchers from being on site in their laboratories and closed a number of research centers that our researchers use for data analysis, which has limited their ability to analyze some of the data generated during our preclinical studies. As a result, our receipt of data and reports from some of those studies have been delayed. In addition, we curtailed some of the analysis we had originally planned for one of the preclinical studies for our IC-200 program. The University of Florida, or UF, also limited staff on site in their laboratories and vector production facilities, which has delayed our obtaining certain reagents and other materials used for our gene therapy programs. In addition, UMMS suspended researcher access to their laboratories and the conduct of certain animal studies, which has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There is no guarantee that the COVID-19 pandemic will not further impact our supply chain, which could have a material impact on our research and development programs.</w:t>
      </w:r>
    </w:p>
    <w:p>
      <w:pPr>
        <w:spacing w:after="0" w:line="17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The COVID-19 pandemic has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79"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6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84"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to advance our development programs, we may have to alter our development and commercialization plans.</w:t>
      </w:r>
    </w:p>
    <w:p>
      <w:pPr>
        <w:spacing w:after="0" w:line="170"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continue to explore potential collaboration opportunities for the further development and potential commercialization of Zimura.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7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w:t>
      </w:r>
    </w:p>
    <w:p>
      <w:pPr>
        <w:spacing w:after="0" w:line="17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4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60" w:hanging="324"/>
        <w:spacing w:after="0" w:line="259"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3" w:lineRule="exact"/>
        <w:rPr>
          <w:rFonts w:ascii="Arial" w:cs="Arial" w:eastAsia="Arial" w:hAnsi="Arial"/>
          <w:sz w:val="18"/>
          <w:szCs w:val="18"/>
          <w:color w:val="auto"/>
        </w:rPr>
      </w:pPr>
    </w:p>
    <w:p>
      <w:pPr>
        <w:ind w:left="980" w:right="500" w:hanging="324"/>
        <w:spacing w:after="0" w:line="308"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4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likely to be successfully developed or can be commercialized under terms that are more economically attractive than ours;</w:t>
      </w:r>
    </w:p>
    <w:p>
      <w:pPr>
        <w:spacing w:after="0" w:line="25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197" w:lineRule="exact"/>
        <w:rPr>
          <w:rFonts w:ascii="Arial" w:cs="Arial" w:eastAsia="Arial" w:hAnsi="Arial"/>
          <w:sz w:val="18"/>
          <w:szCs w:val="18"/>
          <w:color w:val="auto"/>
        </w:rPr>
      </w:pPr>
    </w:p>
    <w:p>
      <w:pPr>
        <w:ind w:left="980" w:right="100" w:hanging="324"/>
        <w:spacing w:after="0" w:line="25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214"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Moreover, the license agreements for IC-100, IC-200 and our miniCEP290 program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IC-200, IC-500 and our miniCEP290 program are not expected to expire until 2037 or after, we face the same risk with those product candidates and programs and any future product candidates that we may develop.</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European patent law generally makes the issuance and enforcement of patents that cover methods of treatment of the human body difficult.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7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be declared unpatentable or invalidated. If the patent applications protecting IC-200 are declared unpatentable or invalidated, it may diminish the value of IC-200 and our competitive position.</w:t>
      </w:r>
    </w:p>
    <w:p>
      <w:pPr>
        <w:spacing w:after="0" w:line="184"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United States or other countries may diminish the value of our or a collaboration or commercialization partner’s patents or narrow the scope of our or their patent protection.</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8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have a material adverse effect on our ability to compete in the marketplace.</w:t>
      </w:r>
    </w:p>
    <w:p>
      <w:pPr>
        <w:spacing w:after="0" w:line="17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Our proprietary information may also be obtained by third parties by other means, such as breaches of our physical or computer security systems.</w:t>
      </w:r>
    </w:p>
    <w:p>
      <w:pPr>
        <w:spacing w:after="0" w:line="1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those of our service providers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color w:val="auto"/>
        </w:rPr>
        <w:t>In the ordinary course of business, we and our third-party contractors maintain personal and other sensitive data on our and their respective networks, including our intellectual property and proprietary or confidential information relating to our business and relating to our clinical trial participants, clinical investigators and other study staff, other business collaborators and employees. In particular, we rely on clinical data management organizations, CROs and other third parties to store and manage data generated from our preclinical research and development activities and from our clinical trials. The secure maintenance of this sensitive information is critical to our business and reputation.</w:t>
      </w:r>
    </w:p>
    <w:p>
      <w:pPr>
        <w:spacing w:after="0" w:line="17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have implemented a number of measures to protect our information technology systems. These measures include, among others, creation of a cyber-security governance team and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71"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 In particular, there have been increasing number of cyber threats and attempts by foreign hackers targeted towards U.S. pharmaceutical and biotechnology companies.</w:t>
      </w:r>
    </w:p>
    <w:p>
      <w:pPr>
        <w:spacing w:after="0" w:line="17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 a result of the COVID-19 pandemic, we have switched to remote working since mid-March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information stored with our third-party contractors, we rely upon, and the integrity and confidentiality of such information is dependent upon, the risk mitigation efforts such third-party contractors have in place.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or our third-party contractors might not anticipate or immediately detect such incidents and the damage caused by such incidents. System failures, data breaches and any unauthorized access or disclosure of our information or data could compromise our intellectual property and expose sensitive business or personal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could be damaged.</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One of our vendors for the GATHER2 trial recently suffered a ransomware attack on several of its servers. This incident caused us to deploy a backup process for the work this vendor was performing for us, while the vendor investigated and worked to mitigate the effects of the incident. Although we do not believe this incident had a material impact on the GATHER2 trial or otherwise on our business or operations, similar kinds of incidents may occur in the future with this or our other vendors.</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 data security breach could also lead to unauthorized exposure of personal information of our clinical trial participants, our clinical investigators or other study staff,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collaborators from participating in our clinical trials or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or the CCPA, which went into effect on January 1, 2020, is creating similar risks and obligations as those created by the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7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6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June 2016, the electorate in the United Kingdom, or UK, voted in favor of leaving the European Union, commonly referred to as “Brexit”. Following protracted negotiations, the UK left the European Union on January 31, 2020. There is a transitional period until December 31, 2020, and the UK government and the European Union are attempting to agree to long-term trade and other agreements. Since the existing regulatory framework for pharmaceutical products in the UK is derived from European Union directives and regulations, Brexit could materially impact the future regulatory regime for pharmaceutical products in the UK, which remains uncertain.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STGD1, or that the FDA will grant fast track designation for any of our other product candidates, if we choose to apply for fast track designation.</w:t>
      </w:r>
    </w:p>
    <w:p>
      <w:pPr>
        <w:spacing w:after="0" w:line="1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9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9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7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93" w:lineRule="exact"/>
        <w:rPr>
          <w:sz w:val="20"/>
          <w:szCs w:val="20"/>
          <w:color w:val="auto"/>
        </w:rPr>
      </w:pPr>
    </w:p>
    <w:p>
      <w:pPr>
        <w:ind w:left="980" w:right="52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88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6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3" w:lineRule="exact"/>
        <w:rPr>
          <w:sz w:val="20"/>
          <w:szCs w:val="20"/>
          <w:color w:val="auto"/>
        </w:rPr>
      </w:pPr>
    </w:p>
    <w:p>
      <w:pPr>
        <w:ind w:left="980" w:hanging="324"/>
        <w:spacing w:after="0" w:line="259"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$11,665 and a maximum of $23,331 per false claim;</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0"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13" w:lineRule="exact"/>
        <w:rPr>
          <w:rFonts w:ascii="Arial" w:cs="Arial" w:eastAsia="Arial" w:hAnsi="Arial"/>
          <w:sz w:val="18"/>
          <w:szCs w:val="18"/>
          <w:color w:val="auto"/>
        </w:rPr>
      </w:pPr>
    </w:p>
    <w:p>
      <w:pPr>
        <w:ind w:left="980" w:right="320" w:hanging="324"/>
        <w:spacing w:after="0" w:line="342" w:lineRule="auto"/>
        <w:tabs>
          <w:tab w:leader="none" w:pos="97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50" w:lineRule="exact"/>
        <w:rPr>
          <w:rFonts w:ascii="Arial" w:cs="Arial" w:eastAsia="Arial" w:hAnsi="Arial"/>
          <w:sz w:val="16"/>
          <w:szCs w:val="16"/>
          <w:color w:val="auto"/>
        </w:rPr>
      </w:pPr>
    </w:p>
    <w:p>
      <w:pPr>
        <w:ind w:left="980" w:right="100" w:hanging="324"/>
        <w:spacing w:after="0" w:line="263"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HIPAA and each other in significant ways,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Zimura advances in clinical development and toward potential commercialization,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2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commercialization partners,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commercialization partners, may charge for any approved products.</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211"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97"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2029 unless additional congressional action is taken. The Coronavirus Aid, Relief and Economic Security Act, or the CARES Act, suspended the 2% Medicare sequester from May 1, 2020 through December 31, 2020, and extended the sequester by one year, through 2030. The American Taxpayer Relief Act of 2012,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U.S. congressional inquiries and proposed state and federal legislation designed to, among other things, bring more transparency to drug pricing, review the relationship between pricing and manufacturer rebate programs, reduce the costs of drugs under Medicare and reform government program reimbursement methodologies for drug products.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Congress repealed the “individual mandate,” which had required most Americans to carry a minimal level of health insurance. According to the Congressional Budget Office, the repeal of the individual mandate, which took effect in 2019, will cause 13 million fewer Americans to 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future congressional sessions.</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Trump Administration has also taken executive actions to undermine or delay implementation of the ACA, which has led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led some states attorneys general and some insurers to sue the Trump Administration for such payments and a number of those lawsuits remain pending.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 Additional executive actions or regulations may be forthcoming.</w:t>
      </w:r>
    </w:p>
    <w:p>
      <w:pPr>
        <w:spacing w:after="0" w:line="16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in December 2018, a U.S. District Court in the Northern District of Texas ruled that the individual mandate portion of the ACA is an essential and inseverable feature of the ACA, and therefore because the mandate was repealed as part of the TCJA, the remaining provisions of the ACA are invalid as well. In December 2019, the U.S. Circuit Court of Appeals for the Fifth Circuit affirmed the lower court's ruling that the individual mandate portion of the ACA is unconstitutional and remanded the case to the district court for reconsideration of the severability question and additional analysis of the provisions of the ACA. In March 2020, the U.S. Supreme Court agreed to review this decision. On June 25, 2020, the Trump Administration and a coalition of 18 states asked the court to strike down the entirety of the ACA. Oral argument in this case is scheduled for November 10, 2020. Litigation and legislation over the ACA are likely to continue, and there is additional uncertainty posed by the federal elections in November 2020 and other factors, with unpredictable and uncertain results.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will continue to evaluate the effect that the ACA, its possible amendment or repeal and the actions of the Trump Administration in relation to the ACA could have on our business. It is possible that amendment or repeal initiatives, if enacted into law or through court order,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In September 2019, members of both houses of Congress unveiled separate bills aimed at controlling drug pricing and in December 2019, the House of Representatives passed its bill. At the state level, individual states are increasingly passing legislation and implementing regulations designed to control pharmaceutical and biological product pricing and to increase the transparency of drug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 For example, in September 2020, the Trump Administration published final rules that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Earlier, the FDA had issued draft guidance that would allow manufacturers to import their own FDA-approved drugs that are authorized for sale in other countries (multi-market approved products). Further, on July 24, 2020, the Trump Administration announced that it had signed four executive orders on various policies to reduce drug prices. Subsequently, the President issued a fifth executive order which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Finally,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Drug pricing has continued to be a political issue in the 2020 federal elections and we expect it will continue to be an issue, with varying degrees of bipartisan support, for years to come.</w:t>
      </w:r>
    </w:p>
    <w:p>
      <w:pPr>
        <w:spacing w:after="0" w:line="18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European Union and other foreign jurisdictions, there are similar political, economic and regulatory developments as those in the United States, which may affect our ability to profitably commercialize our products, if approved in those jurisdictions.</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rely is subject to the political process, which is fluid and unpredictable. For example, over the past decade,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We may face impediments to scheduling or conducting regulatory meetings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9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35"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and in retaining key employees and consultants.</w:t>
      </w:r>
    </w:p>
    <w:p>
      <w:pPr>
        <w:spacing w:after="0" w:line="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a development-stage company with a total of 55 full-time employees as of November 1, 2020. These employees support key areas of our business and operations, including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7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the expanded OPH2005 trial, prepare for the future development and potential commercialization of Zimura, and continue the development of IC-500 and our gene therapy programs, we have been and expect we will need to continue hiring additional clinical operations, quality assurance, manufacturing, analytical, medical, regulatory and other personnel from this limited pool. We also experience competition for the hiring of scientific, technical and clinical personnel from universities and research institutions. The COVID-19 pandemic has made interviewing and hiring qualified candidates more difficult.</w:t>
      </w:r>
    </w:p>
    <w:p>
      <w:pPr>
        <w:spacing w:after="0" w:line="86"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As a result of the COVID-19 pandemic, our entire company has been working remotely since March 2020 and we expect to continue working remotely for the foreseeable future. Our ability to continue to work remotely and when the conditions are appropriate, transition effectively to working in our offices, may affect our operations and the success of our company going forward.</w:t>
      </w:r>
    </w:p>
    <w:p>
      <w:pPr>
        <w:spacing w:after="0" w:line="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middle of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expect to work from home for the foreseeable future and will closely follow the guidance from federal and state authorities, including the Centers for Disease Control and Prevention, the New York State Department of Health and the New Jersey Department of Health, in deciding if and when to transition back to working in our offices. We are also exploring new office space that may be more cost effective and suitable for working in a safe and socially distanced manner. We expect the transition to working in our offices, if any, to occur in stages. If and when we transition back to working at company sites, there may be an increased risk to our employees and contractors, including as a result of a second or subsequent wave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52"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15" w:lineRule="exact"/>
        <w:rPr>
          <w:sz w:val="20"/>
          <w:szCs w:val="20"/>
          <w:color w:val="auto"/>
        </w:rPr>
      </w:pPr>
    </w:p>
    <w:p>
      <w:pPr>
        <w:ind w:left="980" w:right="56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 Plan, Financial Position and Need for Additional Capital—We and certain of our current and former executive officers have been named as defendants in lawsuits that could result in substantial costs and divert management’s attention</w:t>
      </w:r>
      <w:r>
        <w:rPr>
          <w:rFonts w:ascii="Arial" w:cs="Arial" w:eastAsia="Arial" w:hAnsi="Arial"/>
          <w:sz w:val="17"/>
          <w:szCs w:val="17"/>
          <w:color w:val="auto"/>
        </w:rPr>
        <w:t>.” These proceedings and other similar litigation, if</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instituted against us, could cause us to incur substantial costs to defend such claims and divert management’s attention and resources, which could seriously harm our business, and cause additional volatility in the price of our common stock.</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of our common stock. For example, we issued 8,649,453 shares of our common stock to funds affiliated with Vivo Capital, LLC and Samsara BioCapital, LP in a private placement in June 2020. In accordance with our obligations under a stock purchase agreement executed in connection with the private placement, we have filed a registration statement on Form S-3 with the Securities and Exchange Commission for the purposes of registering for resale these shares, which has been declared effective by the SEC, pursuant to which such shares can be freely sold and traded. If the holders of these shares sell, or the market perceives that these holders will sell, the shares currently held by them, the price of our common stock may decline.</w:t>
      </w:r>
    </w:p>
    <w:p>
      <w:pPr>
        <w:spacing w:after="0" w:line="15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1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w:t>
      </w:r>
    </w:p>
    <w:p>
      <w:pPr>
        <w:spacing w:after="0" w:line="11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about the dilutive effects of financing or business development transactions we may undertake, see the risk factor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0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0" w:type="dxa"/>
            <w:vAlign w:val="bottom"/>
            <w:gridSpan w:val="9"/>
            <w:vMerge w:val="restart"/>
          </w:tcPr>
          <w:p>
            <w:pPr>
              <w:ind w:left="2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60" w:type="dxa"/>
            <w:vAlign w:val="bottom"/>
            <w:tcBorders>
              <w:top w:val="single" w:sz="8" w:color="auto"/>
            </w:tcBorders>
          </w:tcPr>
          <w:p>
            <w:pPr>
              <w:jc w:val="right"/>
              <w:spacing w:after="0" w:line="184" w:lineRule="exact"/>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3.1</w:t>
              </w:r>
            </w:hyperlink>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14"/>
          </w:tcPr>
          <w:p>
            <w:pPr>
              <w:spacing w:after="0" w:line="184"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Restated Certificate of Incorporation of the Registrant (incorporated by reference to Exhibit 3.3 to Amendment No. 2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7"/>
          </w:tcPr>
          <w:p>
            <w:pPr>
              <w:spacing w:after="0" w:line="15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Registrant's Registration Statement on Form S-1 (File No. 333-190643) filed with the Securities and Exchange Commission</w:t>
              </w:r>
            </w:hyperlink>
          </w:p>
        </w:tc>
        <w:tc>
          <w:tcPr>
            <w:tcW w:w="800" w:type="dxa"/>
            <w:vAlign w:val="bottom"/>
            <w:gridSpan w:val="7"/>
          </w:tcPr>
          <w:p>
            <w:pPr>
              <w:ind w:left="80"/>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107">
              <w:r>
                <w:rPr>
                  <w:rFonts w:ascii="Arial" w:cs="Arial" w:eastAsia="Arial" w:hAnsi="Arial"/>
                  <w:sz w:val="18"/>
                  <w:szCs w:val="18"/>
                  <w:color w:val="0000FF"/>
                  <w:w w:val="87"/>
                </w:rPr>
                <w:t>September 9, 2013)</w:t>
              </w:r>
            </w:hyperlink>
          </w:p>
        </w:tc>
        <w:tc>
          <w:tcPr>
            <w:tcW w:w="774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Pr>
          <w:p>
            <w:pPr>
              <w:jc w:val="right"/>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3.2</w:t>
              </w:r>
            </w:hyperlink>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4"/>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Certificate of Amendment to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4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Registrant's Current Report on Form 8-K filed with the Securities and Exchange Commission on April 16, 2019)</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jc w:val="right"/>
              <w:spacing w:after="0" w:line="190" w:lineRule="exact"/>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3.3</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4"/>
          </w:tcPr>
          <w:p>
            <w:pPr>
              <w:spacing w:after="0" w:line="190"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Registration Statement on Form S-1 (File No. 333-190643) filed with the Securities and Exchange Commission on September 9,</w:t>
              </w:r>
            </w:hyperlink>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09">
              <w:r>
                <w:rPr>
                  <w:rFonts w:ascii="Arial" w:cs="Arial" w:eastAsia="Arial" w:hAnsi="Arial"/>
                  <w:sz w:val="18"/>
                  <w:szCs w:val="18"/>
                  <w:color w:val="0000FF"/>
                  <w:w w:val="86"/>
                </w:rPr>
                <w:t>2013)</w:t>
              </w:r>
            </w:hyperlink>
          </w:p>
        </w:tc>
        <w:tc>
          <w:tcPr>
            <w:tcW w:w="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5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Pr>
          <w:p>
            <w:pPr>
              <w:jc w:val="right"/>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10.1</w:t>
              </w:r>
            </w:hyperlink>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4"/>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 xml:space="preserve">Amendment No. 1 to the </w:t>
              </w:r>
              <w:r>
                <w:rPr>
                  <w:rFonts w:ascii="Arial" w:cs="Arial" w:eastAsia="Arial" w:hAnsi="Arial"/>
                  <w:sz w:val="18"/>
                  <w:szCs w:val="18"/>
                  <w:u w:val="single" w:color="auto"/>
                  <w:color w:val="0000FF"/>
                  <w:w w:val="91"/>
                </w:rPr>
                <w:t>Non-Employee Director Compensation Policy of the Registrant</w:t>
              </w:r>
              <w:r>
                <w:rPr>
                  <w:rFonts w:ascii="Arial" w:cs="Arial" w:eastAsia="Arial" w:hAnsi="Arial"/>
                  <w:sz w:val="18"/>
                  <w:szCs w:val="18"/>
                  <w:color w:val="0000FF"/>
                  <w:w w:val="91"/>
                </w:rPr>
                <w:t xml:space="preserve"> (incorporated by reference to Exhibit 99.1 of</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96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tcPr>
          <w:p>
            <w:pPr>
              <w:spacing w:after="0" w:line="195" w:lineRule="exact"/>
              <w:rPr>
                <w:rFonts w:ascii="Arial" w:cs="Arial" w:eastAsia="Arial" w:hAnsi="Arial"/>
                <w:sz w:val="18"/>
                <w:szCs w:val="18"/>
                <w:u w:val="single" w:color="auto"/>
                <w:color w:val="0000FF"/>
                <w:w w:val="94"/>
              </w:rPr>
            </w:pPr>
            <w:hyperlink r:id="rId111">
              <w:r>
                <w:rPr>
                  <w:rFonts w:ascii="Arial" w:cs="Arial" w:eastAsia="Arial" w:hAnsi="Arial"/>
                  <w:sz w:val="18"/>
                  <w:szCs w:val="18"/>
                  <w:u w:val="single" w:color="auto"/>
                  <w:color w:val="0000FF"/>
                  <w:w w:val="94"/>
                </w:rPr>
                <w:t>the Registrant's Current</w:t>
              </w:r>
            </w:hyperlink>
          </w:p>
        </w:tc>
        <w:tc>
          <w:tcPr>
            <w:tcW w:w="7860" w:type="dxa"/>
            <w:vAlign w:val="bottom"/>
            <w:gridSpan w:val="9"/>
          </w:tcPr>
          <w:p>
            <w:pPr>
              <w:spacing w:after="0" w:line="195" w:lineRule="exact"/>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Report on Form 8-K filed with the Securities and Exchange Commission on July 17, 2020)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60" w:type="dxa"/>
            <w:vAlign w:val="bottom"/>
          </w:tcPr>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31.1</w:t>
              </w:r>
            </w:hyperlink>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4"/>
          </w:tcPr>
          <w:p>
            <w:pPr>
              <w:spacing w:after="0"/>
              <w:rPr>
                <w:rFonts w:ascii="Arial" w:cs="Arial" w:eastAsia="Arial" w:hAnsi="Arial"/>
                <w:sz w:val="18"/>
                <w:szCs w:val="18"/>
                <w:u w:val="single" w:color="auto"/>
                <w:color w:val="0000FF"/>
                <w:w w:val="92"/>
              </w:rPr>
            </w:pPr>
            <w:hyperlink w:anchor="page99">
              <w:r>
                <w:rPr>
                  <w:rFonts w:ascii="Arial" w:cs="Arial" w:eastAsia="Arial" w:hAnsi="Arial"/>
                  <w:sz w:val="18"/>
                  <w:szCs w:val="18"/>
                  <w:u w:val="single" w:color="auto"/>
                  <w:color w:val="0000FF"/>
                  <w:w w:val="92"/>
                </w:rPr>
                <w:t>Certification of principal executive officer pursuant to Rule 13a-14(a)/15d-14(a) of the Securities Exchange Act of 1934, as amended</w:t>
              </w:r>
            </w:hyperlink>
          </w:p>
        </w:tc>
        <w:tc>
          <w:tcPr>
            <w:tcW w:w="0" w:type="dxa"/>
            <w:vAlign w:val="bottom"/>
          </w:tcPr>
          <w:p>
            <w:pPr>
              <w:spacing w:after="0"/>
              <w:rPr>
                <w:sz w:val="1"/>
                <w:szCs w:val="1"/>
                <w:color w:val="auto"/>
              </w:rPr>
            </w:pPr>
          </w:p>
        </w:tc>
      </w:tr>
      <w:tr>
        <w:trPr>
          <w:trHeight w:val="176"/>
        </w:trPr>
        <w:tc>
          <w:tcPr>
            <w:tcW w:w="1260" w:type="dxa"/>
            <w:vAlign w:val="bottom"/>
          </w:tcPr>
          <w:p>
            <w:pPr>
              <w:jc w:val="right"/>
              <w:spacing w:after="0" w:line="176" w:lineRule="exact"/>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31.2</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4"/>
          </w:tcPr>
          <w:p>
            <w:pPr>
              <w:spacing w:after="0" w:line="176" w:lineRule="exact"/>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Certification of principal financial officer pursuant to Rule 13a-14(a)/15d-14(a) of the Securities Exchange Act of 1934, as</w:t>
              </w:r>
            </w:hyperlink>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4"/>
          </w:tcPr>
          <w:p>
            <w:pPr>
              <w:spacing w:after="0"/>
              <w:rPr>
                <w:rFonts w:ascii="Arial" w:cs="Arial" w:eastAsia="Arial" w:hAnsi="Arial"/>
                <w:sz w:val="18"/>
                <w:szCs w:val="18"/>
                <w:u w:val="single" w:color="auto"/>
                <w:color w:val="0000FF"/>
                <w:w w:val="93"/>
              </w:rPr>
            </w:pPr>
            <w:hyperlink w:anchor="page100">
              <w:r>
                <w:rPr>
                  <w:rFonts w:ascii="Arial" w:cs="Arial" w:eastAsia="Arial" w:hAnsi="Arial"/>
                  <w:sz w:val="18"/>
                  <w:szCs w:val="18"/>
                  <w:u w:val="single" w:color="auto"/>
                  <w:color w:val="0000FF"/>
                  <w:w w:val="93"/>
                </w:rPr>
                <w:t>Certification of principal financial officer pursuant to Rule 13a-14(a)/15d-14(a) of the Securities Exchange Act of 1934, as amended</w:t>
              </w:r>
            </w:hyperlink>
          </w:p>
        </w:tc>
        <w:tc>
          <w:tcPr>
            <w:tcW w:w="0" w:type="dxa"/>
            <w:vAlign w:val="bottom"/>
          </w:tcPr>
          <w:p>
            <w:pPr>
              <w:spacing w:after="0"/>
              <w:rPr>
                <w:sz w:val="1"/>
                <w:szCs w:val="1"/>
                <w:color w:val="auto"/>
              </w:rPr>
            </w:pPr>
          </w:p>
        </w:tc>
      </w:tr>
      <w:tr>
        <w:trPr>
          <w:trHeight w:val="190"/>
        </w:trPr>
        <w:tc>
          <w:tcPr>
            <w:tcW w:w="1260" w:type="dxa"/>
            <w:vAlign w:val="bottom"/>
          </w:tcPr>
          <w:p>
            <w:pPr>
              <w:jc w:val="right"/>
              <w:spacing w:after="0" w:line="190" w:lineRule="exact"/>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32.1</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4"/>
          </w:tcPr>
          <w:p>
            <w:pPr>
              <w:spacing w:after="0" w:line="190" w:lineRule="exact"/>
              <w:rPr>
                <w:rFonts w:ascii="Arial" w:cs="Arial" w:eastAsia="Arial" w:hAnsi="Arial"/>
                <w:sz w:val="18"/>
                <w:szCs w:val="18"/>
                <w:color w:val="0000FF"/>
                <w:w w:val="93"/>
              </w:rPr>
            </w:pPr>
            <w:hyperlink w:anchor="page101">
              <w:r>
                <w:rPr>
                  <w:rFonts w:ascii="Arial" w:cs="Arial" w:eastAsia="Arial" w:hAnsi="Arial"/>
                  <w:sz w:val="18"/>
                  <w:szCs w:val="18"/>
                  <w:color w:val="0000FF"/>
                  <w:w w:val="93"/>
                </w:rPr>
                <w:t>Certification of principal executive officer pursuant to 18 U.S.C. §1350, as adopted pursuant to Section 906 of the Sarbanes-Oxley</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101">
              <w:r>
                <w:rPr>
                  <w:rFonts w:ascii="Arial" w:cs="Arial" w:eastAsia="Arial" w:hAnsi="Arial"/>
                  <w:sz w:val="18"/>
                  <w:szCs w:val="18"/>
                  <w:color w:val="0000FF"/>
                  <w:w w:val="92"/>
                </w:rPr>
                <w:t>Act of 2002</w:t>
              </w:r>
            </w:hyperlink>
          </w:p>
        </w:tc>
        <w:tc>
          <w:tcPr>
            <w:tcW w:w="8540" w:type="dxa"/>
            <w:vAlign w:val="bottom"/>
            <w:tcBorders>
              <w:top w:val="single" w:sz="8" w:color="0000FF"/>
            </w:tcBorders>
            <w:gridSpan w:val="9"/>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32.2</w:t>
              </w:r>
            </w:hyperlink>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4"/>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principal financial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w:anchor="page102">
              <w:r>
                <w:rPr>
                  <w:rFonts w:ascii="Arial" w:cs="Arial" w:eastAsia="Arial" w:hAnsi="Arial"/>
                  <w:sz w:val="18"/>
                  <w:szCs w:val="18"/>
                  <w:color w:val="0000FF"/>
                  <w:w w:val="92"/>
                </w:rPr>
                <w:t>of 2002Oxley Act of 2002</w:t>
              </w:r>
            </w:hyperlink>
          </w:p>
        </w:tc>
        <w:tc>
          <w:tcPr>
            <w:tcW w:w="7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Submitted electronically herewith.</w:t>
      </w:r>
    </w:p>
    <w:p>
      <w:pPr>
        <w:spacing w:after="0" w:line="32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Consolidated Balance Sheets at September 30, 2020 (unaudited) and December 31, 2019, (ii) Consolidated Statements of Operations and Comprehensive Loss (unaudited) for the three and nine month periods ended September 30, 2020 and 2019, (iii) Consolidated Statements of Stockholders' Equity (unaudited) for the three and nine month periods ended September 30, 2020 and 2019, (iv) Consolidated Statements of Cash Flows (unaudited) for the nine month periods ended September 30, 2020 and 2019 and (v) Notes to Financial Statements (unaudited).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IVERIC bio, Inc.</w:t>
            </w:r>
          </w:p>
        </w:tc>
      </w:tr>
      <w:tr>
        <w:trPr>
          <w:trHeight w:val="688"/>
        </w:trPr>
        <w:tc>
          <w:tcPr>
            <w:tcW w:w="3660" w:type="dxa"/>
            <w:vAlign w:val="bottom"/>
          </w:tcPr>
          <w:p>
            <w:pPr>
              <w:spacing w:after="0"/>
              <w:rPr>
                <w:sz w:val="20"/>
                <w:szCs w:val="20"/>
                <w:color w:val="auto"/>
              </w:rPr>
            </w:pPr>
            <w:r>
              <w:rPr>
                <w:rFonts w:ascii="Arial" w:cs="Arial" w:eastAsia="Arial" w:hAnsi="Arial"/>
                <w:sz w:val="18"/>
                <w:szCs w:val="18"/>
                <w:color w:val="auto"/>
              </w:rPr>
              <w:t>Date: November 3, 2020</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 Carroll</w:t>
            </w:r>
          </w:p>
        </w:tc>
      </w:tr>
      <w:tr>
        <w:trPr>
          <w:trHeight w:val="222"/>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David F. Carroll</w:t>
            </w:r>
          </w:p>
        </w:tc>
      </w:tr>
      <w:tr>
        <w:trPr>
          <w:trHeight w:val="229"/>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25" w:right="359" w:bottom="1440" w:gutter="0" w:footer="0" w:header="0"/>
        </w:sectPr>
      </w:pPr>
    </w:p>
    <w:bookmarkStart w:id="98" w:name="page99"/>
    <w:bookmarkEnd w:id="98"/>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3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2020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November 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Glenn P. Sblendorio</w:t>
      </w:r>
    </w:p>
    <w:p>
      <w:pPr>
        <w:ind w:left="7740"/>
        <w:spacing w:after="0" w:line="211" w:lineRule="auto"/>
        <w:rPr>
          <w:sz w:val="20"/>
          <w:szCs w:val="20"/>
          <w:color w:val="auto"/>
        </w:rPr>
      </w:pPr>
      <w:r>
        <w:rPr>
          <w:rFonts w:ascii="Arial" w:cs="Arial" w:eastAsia="Arial" w:hAnsi="Arial"/>
          <w:sz w:val="16"/>
          <w:szCs w:val="16"/>
          <w:color w:val="auto"/>
        </w:rPr>
        <w:t>Chief Executive Officer</w:t>
      </w:r>
    </w:p>
    <w:p>
      <w:pPr>
        <w:ind w:left="77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8890</wp:posOffset>
            </wp:positionV>
            <wp:extent cx="2202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2020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November 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David F. Carroll</w:t>
      </w:r>
    </w:p>
    <w:p>
      <w:pPr>
        <w:ind w:left="7740"/>
        <w:spacing w:after="0" w:line="211" w:lineRule="auto"/>
        <w:rPr>
          <w:sz w:val="20"/>
          <w:szCs w:val="20"/>
          <w:color w:val="auto"/>
        </w:rPr>
      </w:pPr>
      <w:r>
        <w:rPr>
          <w:rFonts w:ascii="Arial" w:cs="Arial" w:eastAsia="Arial" w:hAnsi="Arial"/>
          <w:sz w:val="16"/>
          <w:szCs w:val="16"/>
          <w:color w:val="auto"/>
        </w:rPr>
        <w:t>Chief Financial Officer</w:t>
      </w:r>
    </w:p>
    <w:p>
      <w:pPr>
        <w:ind w:left="774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2020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6"/>
          <w:szCs w:val="16"/>
          <w:color w:val="auto"/>
        </w:rPr>
        <w:t>Date: November 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17780</wp:posOffset>
            </wp:positionV>
            <wp:extent cx="30003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Glenn P. Sblendorio</w:t>
      </w:r>
    </w:p>
    <w:p>
      <w:pPr>
        <w:ind w:left="6460"/>
        <w:spacing w:after="0" w:line="211" w:lineRule="auto"/>
        <w:rPr>
          <w:sz w:val="20"/>
          <w:szCs w:val="20"/>
          <w:color w:val="auto"/>
        </w:rPr>
      </w:pPr>
      <w:r>
        <w:rPr>
          <w:rFonts w:ascii="Arial" w:cs="Arial" w:eastAsia="Arial" w:hAnsi="Arial"/>
          <w:sz w:val="16"/>
          <w:szCs w:val="16"/>
          <w:color w:val="auto"/>
        </w:rPr>
        <w:t>Chief Executive Officer</w:t>
      </w: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September 30, 2020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November 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17780</wp:posOffset>
            </wp:positionV>
            <wp:extent cx="3000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David F. Carroll</w:t>
      </w:r>
    </w:p>
    <w:p>
      <w:pPr>
        <w:ind w:left="6500"/>
        <w:spacing w:after="0" w:line="211" w:lineRule="auto"/>
        <w:rPr>
          <w:sz w:val="20"/>
          <w:szCs w:val="20"/>
          <w:color w:val="auto"/>
        </w:rPr>
      </w:pPr>
      <w:r>
        <w:rPr>
          <w:rFonts w:ascii="Arial" w:cs="Arial" w:eastAsia="Arial" w:hAnsi="Arial"/>
          <w:sz w:val="16"/>
          <w:szCs w:val="16"/>
          <w:color w:val="auto"/>
        </w:rPr>
        <w:t>Chief Financial Officer</w:t>
      </w:r>
    </w:p>
    <w:p>
      <w:pPr>
        <w:ind w:left="65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07" Type="http://schemas.openxmlformats.org/officeDocument/2006/relationships/hyperlink" Target="http://www.sec.gov/Archives/edgar/data/1410939/000119312513360785/d560505dex33.htm" TargetMode="External"/><Relationship Id="rId108" Type="http://schemas.openxmlformats.org/officeDocument/2006/relationships/hyperlink" Target="http://www.sec.gov/Archives/edgar/data/1410939/000141093919000021/opht-charteramendmentnamec.htm" TargetMode="External"/><Relationship Id="rId109" Type="http://schemas.openxmlformats.org/officeDocument/2006/relationships/hyperlink" Target="http://www.sec.gov/Archives/edgar/data/1410939/000119312513360785/d560505dex34.htm" TargetMode="External"/><Relationship Id="rId110" Type="http://schemas.openxmlformats.org/officeDocument/2006/relationships/hyperlink" Target="https://www.sec.gov/Archives/edgar/data/1410939/000141093920000032/amendmentno1tonedcp.htm" TargetMode="External"/><Relationship Id="rId111" Type="http://schemas.openxmlformats.org/officeDocument/2006/relationships/hyperlink" Target="http://www.sec.gov/Archives/edgar/data/1410939/000141093920000032/amendmentno1tonedc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2020-11-03T15:43:17Z</dcterms:created>
  <dcterms:modified xsi:type="dcterms:W3CDTF">2020-11-03T15:43:17Z</dcterms:modified>
</cp:coreProperties>
</file>