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11, 2023</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IVERIC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39370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001-36080</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20-8185347</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Sylvan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Parsippany, NJ 07054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5715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474-6755</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ISEE</w:t>
            </w:r>
          </w:p>
        </w:tc>
        <w:tc>
          <w:tcPr>
            <w:tcW w:w="4480" w:type="dxa"/>
            <w:vAlign w:val="bottom"/>
            <w:tcBorders>
              <w:bottom w:val="single" w:sz="8" w:color="auto"/>
              <w:right w:val="single" w:sz="8" w:color="auto"/>
            </w:tcBorders>
          </w:tcPr>
          <w:p>
            <w:pPr>
              <w:jc w:val="center"/>
              <w:ind w:left="110"/>
              <w:spacing w:after="0"/>
              <w:rPr>
                <w:sz w:val="20"/>
                <w:szCs w:val="20"/>
                <w:color w:val="auto"/>
              </w:rPr>
            </w:pPr>
            <w:r>
              <w:rPr>
                <w:rFonts w:ascii="Arial" w:cs="Arial" w:eastAsia="Arial" w:hAnsi="Arial"/>
                <w:sz w:val="18"/>
                <w:szCs w:val="18"/>
                <w:color w:val="auto"/>
                <w:w w:val="90"/>
              </w:rPr>
              <w:t>The Nasdaq Global Select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July 11, 2023, Berry Merger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a wholly owned subsidiary of Astellas US Holding,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completed its merger (the “</w:t>
      </w:r>
      <w:r>
        <w:rPr>
          <w:rFonts w:ascii="Arial" w:cs="Arial" w:eastAsia="Arial" w:hAnsi="Arial"/>
          <w:sz w:val="17"/>
          <w:szCs w:val="17"/>
          <w:u w:val="single" w:color="auto"/>
          <w:color w:val="auto"/>
        </w:rPr>
        <w:t>Merger</w:t>
      </w:r>
      <w:r>
        <w:rPr>
          <w:rFonts w:ascii="Arial" w:cs="Arial" w:eastAsia="Arial" w:hAnsi="Arial"/>
          <w:sz w:val="17"/>
          <w:szCs w:val="17"/>
          <w:color w:val="auto"/>
        </w:rPr>
        <w:t>”) with and into IVERIC bio, Inc., a Delaware corporation (“</w:t>
      </w:r>
      <w:r>
        <w:rPr>
          <w:rFonts w:ascii="Arial" w:cs="Arial" w:eastAsia="Arial" w:hAnsi="Arial"/>
          <w:sz w:val="17"/>
          <w:szCs w:val="17"/>
          <w:u w:val="single" w:color="auto"/>
          <w:color w:val="auto"/>
        </w:rPr>
        <w:t>IVERIC</w:t>
      </w:r>
      <w:r>
        <w:rPr>
          <w:rFonts w:ascii="Arial" w:cs="Arial" w:eastAsia="Arial" w:hAnsi="Arial"/>
          <w:sz w:val="17"/>
          <w:szCs w:val="17"/>
          <w:color w:val="auto"/>
        </w:rPr>
        <w:t>”), pursuant to the terms of the Agreement and Plan of Merger, dated April 28, 2023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Parent, Merger Sub, IVERIC, and solely as provided by Section 8‎.10(b) of the Merger Agreement, Astellas Pharma Inc., a company organized under the laws of Japan (“</w:t>
      </w:r>
      <w:r>
        <w:rPr>
          <w:rFonts w:ascii="Arial" w:cs="Arial" w:eastAsia="Arial" w:hAnsi="Arial"/>
          <w:sz w:val="17"/>
          <w:szCs w:val="17"/>
          <w:u w:val="single" w:color="auto"/>
          <w:color w:val="auto"/>
        </w:rPr>
        <w:t>Astellas</w:t>
      </w:r>
      <w:r>
        <w:rPr>
          <w:rFonts w:ascii="Arial" w:cs="Arial" w:eastAsia="Arial" w:hAnsi="Arial"/>
          <w:sz w:val="17"/>
          <w:szCs w:val="17"/>
          <w:color w:val="auto"/>
        </w:rPr>
        <w:t>”). IVERIC was the surviving corporation in the Merger and, as a result, is now a wholly owned subsidiary of Parent.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July 11, 2023, in connection with the Merger, IVERIC repaid in full all outstanding indebtedness and all other amounts due and payable and terminated all commitments under that certain Loan and Security Agreement, dated as of July 26, 2022 (as amended, restated, amended and restated, supplemented and otherwise modified from time to time prior to the Closing Date, the “</w:t>
      </w:r>
      <w:r>
        <w:rPr>
          <w:rFonts w:ascii="Arial" w:cs="Arial" w:eastAsia="Arial" w:hAnsi="Arial"/>
          <w:sz w:val="17"/>
          <w:szCs w:val="17"/>
          <w:u w:val="single" w:color="auto"/>
          <w:color w:val="auto"/>
        </w:rPr>
        <w:t>IVERIC Credit Agreement</w:t>
      </w:r>
      <w:r>
        <w:rPr>
          <w:rFonts w:ascii="Arial" w:cs="Arial" w:eastAsia="Arial" w:hAnsi="Arial"/>
          <w:sz w:val="17"/>
          <w:szCs w:val="17"/>
          <w:color w:val="auto"/>
        </w:rPr>
        <w:t>”), by and among IVERIC and each of its subsidiaries party thereto, as borrowers, the lenders party thereto and Hercules Capital, Inc., as administrative agent and collateral agent. Additionally, the guarantees and liens securing the indebtedness under the IVERIC Credit Agreement were discharged and released.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in the Introduction to this Current Report on Form 8-K (the “</w:t>
      </w:r>
      <w:r>
        <w:rPr>
          <w:rFonts w:ascii="Arial" w:cs="Arial" w:eastAsia="Arial" w:hAnsi="Arial"/>
          <w:sz w:val="17"/>
          <w:szCs w:val="17"/>
          <w:u w:val="single" w:color="auto"/>
          <w:color w:val="auto"/>
        </w:rPr>
        <w:t>Introduction</w:t>
      </w:r>
      <w:r>
        <w:rPr>
          <w:rFonts w:ascii="Arial" w:cs="Arial" w:eastAsia="Arial" w:hAnsi="Arial"/>
          <w:sz w:val="17"/>
          <w:szCs w:val="17"/>
          <w:color w:val="auto"/>
        </w:rPr>
        <w:t>”) is incorporated into this Item 2.01 by reference.</w:t>
      </w:r>
    </w:p>
    <w:p>
      <w:pPr>
        <w:spacing w:after="0" w:line="23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each share of common stock, par value $0.001 per share, of IVERIC (a “</w:t>
      </w:r>
      <w:r>
        <w:rPr>
          <w:rFonts w:ascii="Arial" w:cs="Arial" w:eastAsia="Arial" w:hAnsi="Arial"/>
          <w:sz w:val="16"/>
          <w:szCs w:val="16"/>
          <w:u w:val="single" w:color="auto"/>
          <w:color w:val="auto"/>
        </w:rPr>
        <w:t>Share</w:t>
      </w:r>
      <w:r>
        <w:rPr>
          <w:rFonts w:ascii="Arial" w:cs="Arial" w:eastAsia="Arial" w:hAnsi="Arial"/>
          <w:sz w:val="16"/>
          <w:szCs w:val="16"/>
          <w:color w:val="auto"/>
        </w:rPr>
        <w:t>”) outstanding immediately prior to the effective time of the Merger was converted into the right to receive $40.00 per Share in cash, without interest (the “</w:t>
      </w:r>
      <w:r>
        <w:rPr>
          <w:rFonts w:ascii="Arial" w:cs="Arial" w:eastAsia="Arial" w:hAnsi="Arial"/>
          <w:sz w:val="16"/>
          <w:szCs w:val="16"/>
          <w:u w:val="single" w:color="auto"/>
          <w:color w:val="auto"/>
        </w:rPr>
        <w:t>Per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less any applicable withholding taxes (except for any Shares owned by (1) IVERIC, (2) Parent or Merger Sub or any other direct or indirect wholly owned subsidiary of Parent or Merger Sub, (3) any direct or indirect wholly owned subsidiary of IVERIC or (4) stockholders who are entitled to and who properly exercise (and do not subsequently withdraw) appraisal rights pursuant to Section 262 of the DGCL).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addition, pursuant to the Merger Agreement, as of the Effective Time:</w:t>
      </w:r>
    </w:p>
    <w:p>
      <w:pPr>
        <w:spacing w:after="0" w:line="225" w:lineRule="exact"/>
        <w:rPr>
          <w:sz w:val="20"/>
          <w:szCs w:val="20"/>
          <w:color w:val="auto"/>
        </w:rPr>
      </w:pPr>
    </w:p>
    <w:p>
      <w:pPr>
        <w:ind w:left="660" w:right="2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option to acquire Shares (each of which, a “</w:t>
      </w:r>
      <w:r>
        <w:rPr>
          <w:rFonts w:ascii="Arial" w:cs="Arial" w:eastAsia="Arial" w:hAnsi="Arial"/>
          <w:sz w:val="17"/>
          <w:szCs w:val="17"/>
          <w:u w:val="single" w:color="auto"/>
          <w:color w:val="auto"/>
        </w:rPr>
        <w:t>Company Option</w:t>
      </w:r>
      <w:r>
        <w:rPr>
          <w:rFonts w:ascii="Arial" w:cs="Arial" w:eastAsia="Arial" w:hAnsi="Arial"/>
          <w:sz w:val="17"/>
          <w:szCs w:val="17"/>
          <w:color w:val="auto"/>
        </w:rPr>
        <w:t>”) that was then outstanding and unexercised (whether or not vested) and which had a per Share exercise price that was less than the Per Share Merger Consideration was canceled and converted into the right to receive a cash payment equal to (1) the excess of (i) the Per Share Merger Consideration over (ii) the exercise price payable per Share under such Company Option, multiplied by (2) the total number of Shares subject to the Company Option.</w:t>
      </w:r>
    </w:p>
    <w:p>
      <w:pPr>
        <w:spacing w:after="0" w:line="171"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then-outstanding Company Option with a per Share exercise price that was equal to or greater than the Per Share Merger Consideration was canceled at the Effective Time without consideration.</w:t>
      </w:r>
    </w:p>
    <w:p>
      <w:pPr>
        <w:spacing w:after="0" w:line="170" w:lineRule="exact"/>
        <w:rPr>
          <w:rFonts w:ascii="Arial" w:cs="Arial" w:eastAsia="Arial" w:hAnsi="Arial"/>
          <w:sz w:val="18"/>
          <w:szCs w:val="18"/>
          <w:color w:val="auto"/>
        </w:rPr>
      </w:pPr>
    </w:p>
    <w:p>
      <w:pPr>
        <w:jc w:val="both"/>
        <w:ind w:left="660" w:right="2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then-outstanding time-based vesting restricted stock unit with respect to Shares (each of which, a “</w:t>
      </w:r>
      <w:r>
        <w:rPr>
          <w:rFonts w:ascii="Arial" w:cs="Arial" w:eastAsia="Arial" w:hAnsi="Arial"/>
          <w:sz w:val="18"/>
          <w:szCs w:val="18"/>
          <w:u w:val="single" w:color="auto"/>
          <w:color w:val="auto"/>
        </w:rPr>
        <w:t>Company RSU</w:t>
      </w:r>
      <w:r>
        <w:rPr>
          <w:rFonts w:ascii="Arial" w:cs="Arial" w:eastAsia="Arial" w:hAnsi="Arial"/>
          <w:sz w:val="18"/>
          <w:szCs w:val="18"/>
          <w:color w:val="auto"/>
        </w:rPr>
        <w:t>”) was canceled and the holder thereof became entitled to receive a cash payment equal to the product of (1) the Per Share Merger Consideration and (2) the number of Shares subject to such Company RSU.</w:t>
      </w:r>
    </w:p>
    <w:p>
      <w:pPr>
        <w:spacing w:after="0" w:line="183" w:lineRule="exact"/>
        <w:rPr>
          <w:rFonts w:ascii="Arial" w:cs="Arial" w:eastAsia="Arial" w:hAnsi="Arial"/>
          <w:sz w:val="18"/>
          <w:szCs w:val="18"/>
          <w:color w:val="auto"/>
        </w:rPr>
      </w:pPr>
    </w:p>
    <w:p>
      <w:pPr>
        <w:ind w:left="660" w:right="20" w:hanging="328"/>
        <w:spacing w:after="0" w:line="30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then-outstanding performance vesting restricted stock unit with respect to Shares (each of which, a “</w:t>
      </w:r>
      <w:r>
        <w:rPr>
          <w:rFonts w:ascii="Arial" w:cs="Arial" w:eastAsia="Arial" w:hAnsi="Arial"/>
          <w:sz w:val="16"/>
          <w:szCs w:val="16"/>
          <w:u w:val="single" w:color="auto"/>
          <w:color w:val="auto"/>
        </w:rPr>
        <w:t>Company PSU</w:t>
      </w:r>
      <w:r>
        <w:rPr>
          <w:rFonts w:ascii="Arial" w:cs="Arial" w:eastAsia="Arial" w:hAnsi="Arial"/>
          <w:sz w:val="16"/>
          <w:szCs w:val="16"/>
          <w:color w:val="auto"/>
        </w:rPr>
        <w:t>”) was canceled and converted into a cash-based award which entitled the holder thereof to receive a cash payment equal to the product of (1) the Per Share Merger Consideration, and (2) the number of Shares subject to such Company PSU, subject to the same terms and conditions (including vesting, forfeiture and acceleration provisions) that were applicable to the corresponding Company PSU immediately prior to the Effective Time.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311" w:lineRule="auto"/>
        <w:rPr>
          <w:sz w:val="20"/>
          <w:szCs w:val="20"/>
          <w:color w:val="auto"/>
        </w:rPr>
      </w:pPr>
      <w:r>
        <w:rPr>
          <w:rFonts w:ascii="Arial" w:cs="Arial" w:eastAsia="Arial" w:hAnsi="Arial"/>
          <w:sz w:val="16"/>
          <w:szCs w:val="16"/>
          <w:color w:val="auto"/>
        </w:rPr>
        <w:t>The foregoing description of the Merger Agreement and related transactions (including, without limitation, the Merger) does not purport to be complete and is subject, and qualified in its entirety by reference, to the full text of the Merger Agreement, which is attached as Exhibit 2.1 to IVERIC’s Current Report on Form 8-K filed with the U.S.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on May 1, 2023 and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the closing of the Merger, IVERIC notified The Nasdaq Stock Market LLC (“</w:t>
      </w:r>
      <w:r>
        <w:rPr>
          <w:rFonts w:ascii="Arial" w:cs="Arial" w:eastAsia="Arial" w:hAnsi="Arial"/>
          <w:sz w:val="17"/>
          <w:szCs w:val="17"/>
          <w:u w:val="single" w:color="auto"/>
          <w:color w:val="auto"/>
        </w:rPr>
        <w:t>Nasdaq</w:t>
      </w:r>
      <w:r>
        <w:rPr>
          <w:rFonts w:ascii="Arial" w:cs="Arial" w:eastAsia="Arial" w:hAnsi="Arial"/>
          <w:sz w:val="17"/>
          <w:szCs w:val="17"/>
          <w:color w:val="auto"/>
        </w:rPr>
        <w:t>”) of its intent to remove the Shares from listing on The Nasdaq Global Select Market and requested that Nasdaq (i) suspend trading of the Shares on The Nasdaq Global Select Market following the close of trading on July 11, 2023 and (ii) file a Notification of Removal from Listing and/or Registration on Form 25 with the SEC to delist and deregister the Shares under Section 12(b)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IVERIC expects that trading of the Shares on The Nasdaq Global Select Market will be suspended following the close of trading on July 11, 2023.</w:t>
      </w:r>
    </w:p>
    <w:p>
      <w:pPr>
        <w:spacing w:after="0" w:line="1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IVERIC intends to file with the SEC a Form 15 under the Exchange Act requesting the deregistration of the Shares and the suspension of IVERIC’s reporting obligations under Sections 13 and 15(d)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set forth in the Introduction and Items 2.01, 3.01 and 5.03 of this Current Report on Form 8-K is incorporated by reference into this Item 3.03.</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result of the Merger, each Share that was issued and outstanding immediately prior to the Effective Time (except as described in Item 2.01 of this Current Report on Form 8-K) was converted, at the Effective Time, into the right to receive the Per Share Merger Consideration in accordance with the terms of the Merger Agreement. Accordingly, at the Effective Time, the holders of such Shares ceased to have any rights as shareholders of IVERIC, other than the right to receive the Per Share Merger Consideration.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information set forth in the Introduction and Items 2.01, 3.03 and 5.02 of this Current Report on Form 8-K is incorporated into this Item 5.01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Merger, a change in control of IVERIC occurred, and IVERIC became a wholly owned subsidiary of Parent.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connection with the Merger, the aggregate purchase price paid for all equity securities of IVERIC was approximately $5.9 billion, which was fully funded by Astellas through a combination of cash in hand and available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Arrangement.</w:t>
      </w:r>
    </w:p>
    <w:p>
      <w:pPr>
        <w:spacing w:after="0" w:line="24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consummation of the Merger and as contemplated by the Merger Agreement (and not because of any disagreement with IVERIC), each of the directors of IVERIC (Glenn P. Sblendorio, Pravin U. Dugel, Mark S. Blumenkranz, Axel Bolte, Adrienne L. Graves, Jane P. Henderson, Christine A. Miller and Calvin W. Roberts) resigned as a member of the board of directors of IVERIC as of the Effective Time.</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Immediately prior to the Effective Time, Merger Sub’s board of directors consisted of Mark Reisenauer. In accordance with the terms of the Merger Agreement, at the Effective Time, the sole director of Merger Sub became the sole director of IVERIC.</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Immediately prior to the Effective Time, the executive officer of Merger Sub was Mark Reisenauer. In accordance with the terms of the Merger Agreement, at the Effective Time, the sole officer of Merger Sub became the sole officer of IVERIC.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At the Effective Time, the Restated Certificate of Incorporation of IVERIC, as in effect immediately prior to the Effective Time, was amended and restated to be in the form of the amended and restated certificate of incorporation set forth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the Merger Agreement (the “</w:t>
      </w:r>
      <w:r>
        <w:rPr>
          <w:rFonts w:ascii="Arial" w:cs="Arial" w:eastAsia="Arial" w:hAnsi="Arial"/>
          <w:sz w:val="18"/>
          <w:szCs w:val="18"/>
          <w:u w:val="single" w:color="auto"/>
          <w:color w:val="auto"/>
        </w:rPr>
        <w:t>Amended and Restated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in accordance with the terms of the Merger Agreement. In addition, at the Effective Time, IVERIC’s bylaws, as in effect immediately prior to the Effective Time, were amended and restated to conform to the bylaws of Merger Sub as of immediately prior to the Effective Time, except that references to the name of Merger Sub were replaced by the name of IVERIC (the “</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Copies of the Amended and Restated Certificate of Incorporation and the Amended and Restated Bylaws are filed as Exhibits 3.1 and 3.2 to this Current Report on Form 8-K, respectively, and are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8">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Agreement and Plan of Merger, dated as of April 28, 2023, by and among Astellas US Holding, Inc., Berry Merger Sub, Inc., IVERIC</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60" w:type="dxa"/>
            <w:vAlign w:val="bottom"/>
            <w:gridSpan w:val="6"/>
          </w:tcPr>
          <w:p>
            <w:pPr>
              <w:spacing w:after="0" w:line="196" w:lineRule="exact"/>
              <w:rPr>
                <w:rFonts w:ascii="Arial" w:cs="Arial" w:eastAsia="Arial" w:hAnsi="Arial"/>
                <w:sz w:val="18"/>
                <w:szCs w:val="18"/>
                <w:color w:val="0000EE"/>
                <w:w w:val="98"/>
              </w:rPr>
            </w:pPr>
            <w:hyperlink r:id="rId18">
              <w:r>
                <w:rPr>
                  <w:rFonts w:ascii="Arial" w:cs="Arial" w:eastAsia="Arial" w:hAnsi="Arial"/>
                  <w:sz w:val="18"/>
                  <w:szCs w:val="18"/>
                  <w:color w:val="0000EE"/>
                  <w:w w:val="98"/>
                </w:rPr>
                <w:t>bio, Inc. and, solely as provided by Section ‎8.10(b) therein, Astellas Pharma Inc. (incorporated by reference to Exhibit 2.1 to</w:t>
              </w:r>
            </w:hyperlink>
          </w:p>
        </w:tc>
      </w:tr>
      <w:tr>
        <w:trPr>
          <w:trHeight w:val="196"/>
        </w:trPr>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8">
              <w:r>
                <w:rPr>
                  <w:rFonts w:ascii="Arial" w:cs="Arial" w:eastAsia="Arial" w:hAnsi="Arial"/>
                  <w:sz w:val="18"/>
                  <w:szCs w:val="18"/>
                  <w:color w:val="0000EE"/>
                  <w:w w:val="93"/>
                </w:rPr>
                <w:t>IVERIC’s Current Report on Form 8-K filed with the SEC on May 1, 2023).*</w:t>
              </w:r>
            </w:hyperlink>
          </w:p>
        </w:tc>
        <w:tc>
          <w:tcPr>
            <w:tcW w:w="3360" w:type="dxa"/>
            <w:vAlign w:val="bottom"/>
            <w:tcBorders>
              <w:top w:val="single" w:sz="8" w:color="0000EE"/>
            </w:tcBorders>
          </w:tcPr>
          <w:p>
            <w:pPr>
              <w:spacing w:after="0"/>
              <w:rPr>
                <w:sz w:val="17"/>
                <w:szCs w:val="17"/>
                <w:color w:val="auto"/>
              </w:rPr>
            </w:pPr>
          </w:p>
        </w:tc>
        <w:tc>
          <w:tcPr>
            <w:tcW w:w="700" w:type="dxa"/>
            <w:vAlign w:val="bottom"/>
            <w:gridSpan w:val="2"/>
          </w:tcPr>
          <w:p>
            <w:pPr>
              <w:spacing w:after="0"/>
              <w:rPr>
                <w:sz w:val="17"/>
                <w:szCs w:val="17"/>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Amended and Restated Certificate of Incorporation of IVERIC bio, Inc.</w:t>
            </w:r>
          </w:p>
        </w:tc>
        <w:tc>
          <w:tcPr>
            <w:tcW w:w="4480" w:type="dxa"/>
            <w:vAlign w:val="bottom"/>
            <w:gridSpan w:val="4"/>
          </w:tcPr>
          <w:p>
            <w:pPr>
              <w:spacing w:after="0"/>
              <w:rPr>
                <w:sz w:val="24"/>
                <w:szCs w:val="24"/>
                <w:color w:val="auto"/>
              </w:rPr>
            </w:pPr>
          </w:p>
        </w:tc>
      </w:tr>
      <w:tr>
        <w:trPr>
          <w:trHeight w:val="412"/>
        </w:trPr>
        <w:tc>
          <w:tcPr>
            <w:tcW w:w="2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Amended and Restated Bylaws of IVERIC bio, Inc.</w:t>
            </w:r>
          </w:p>
        </w:tc>
        <w:tc>
          <w:tcPr>
            <w:tcW w:w="5920" w:type="dxa"/>
            <w:vAlign w:val="bottom"/>
            <w:gridSpan w:val="5"/>
          </w:tcPr>
          <w:p>
            <w:pPr>
              <w:spacing w:after="0"/>
              <w:rPr>
                <w:sz w:val="24"/>
                <w:szCs w:val="24"/>
                <w:color w:val="auto"/>
              </w:rPr>
            </w:pPr>
          </w:p>
        </w:tc>
      </w:tr>
      <w:tr>
        <w:trPr>
          <w:trHeight w:val="453"/>
        </w:trPr>
        <w:tc>
          <w:tcPr>
            <w:tcW w:w="1120" w:type="dxa"/>
            <w:vAlign w:val="bottom"/>
            <w:gridSpan w:val="2"/>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right="140" w:firstLine="8"/>
        <w:spacing w:after="0" w:line="263"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IVERIC hereby undertakes to furnish supplemental copies of any of the omitted schedules upon request by the SEC; provided, that IVERIC may request confidential treatment pursuant to Rule 24b-2 of the Securities Exchange Act of 1934, as amended, for any schedules so furnished.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2023</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IVERIC bio, Inc.</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Reisenauer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Mark Reisenauer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President, Secretary and Treasurer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ind w:left="10360"/>
        <w:spacing w:after="0"/>
        <w:rPr>
          <w:sz w:val="20"/>
          <w:szCs w:val="20"/>
          <w:color w:val="auto"/>
        </w:rPr>
      </w:pPr>
      <w:r>
        <w:rPr>
          <w:rFonts w:ascii="Arial" w:cs="Arial" w:eastAsia="Arial" w:hAnsi="Arial"/>
          <w:sz w:val="17"/>
          <w:szCs w:val="17"/>
          <w:b w:val="1"/>
          <w:bCs w:val="1"/>
          <w:color w:val="auto"/>
        </w:rPr>
        <w:t>Exhibit 3.1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SURVIVING CORPORATION</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FIRST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the corporation is IVERIC bio,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Company’s registered office in the State of Delaware is located at 251 Little Falls Drive, in the City of Wilmington, County of New Castle, 19808. Its registered agent at such address is Corporation Service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General Corporation Law of the State of Delaware, as the same exists or may hereafter be amended (“</w:t>
      </w:r>
      <w:r>
        <w:rPr>
          <w:rFonts w:ascii="Arial" w:cs="Arial" w:eastAsia="Arial" w:hAnsi="Arial"/>
          <w:sz w:val="18"/>
          <w:szCs w:val="18"/>
          <w:u w:val="single" w:color="auto"/>
          <w:color w:val="auto"/>
        </w:rPr>
        <w:t>DGCL</w:t>
      </w:r>
      <w:r>
        <w:rPr>
          <w:rFonts w:ascii="Arial" w:cs="Arial" w:eastAsia="Arial" w:hAnsi="Arial"/>
          <w:sz w:val="18"/>
          <w:szCs w:val="18"/>
          <w:color w:val="auto"/>
        </w:rPr>
        <w:t>”) or any successor statute.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FOURTH</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total number of shares of stock that the Company shall have authority to issue is 100 shares of capital stock, all of which shall be designated Common Stock, having a par value of $0.001.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FIFTH</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The following provisions are inserted for the management of the business and the conduct of the affairs of the Company, and for further creation, definition, limitation and regulation of the powers of the Company and its directors, officers and stockholders:</w:t>
      </w:r>
    </w:p>
    <w:p>
      <w:pPr>
        <w:spacing w:after="0" w:line="170" w:lineRule="exact"/>
        <w:rPr>
          <w:sz w:val="20"/>
          <w:szCs w:val="20"/>
          <w:color w:val="auto"/>
        </w:rPr>
      </w:pPr>
    </w:p>
    <w:p>
      <w:pPr>
        <w:ind w:left="980"/>
        <w:spacing w:after="0" w:line="277" w:lineRule="auto"/>
        <w:tabs>
          <w:tab w:leader="none" w:pos="1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business and affairs of the Company shall be managed by or under the direction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301" w:lineRule="auto"/>
        <w:tabs>
          <w:tab w:leader="none" w:pos="27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of Directors is expressly authorized to make, adopt, alter, amend, change, add to or repeal the bylaws of the Company (the “</w:t>
      </w:r>
      <w:r>
        <w:rPr>
          <w:rFonts w:ascii="Arial" w:cs="Arial" w:eastAsia="Arial" w:hAnsi="Arial"/>
          <w:sz w:val="16"/>
          <w:szCs w:val="16"/>
          <w:u w:val="single" w:color="auto"/>
          <w:color w:val="auto"/>
        </w:rPr>
        <w:t>Bylaws</w:t>
      </w:r>
      <w:r>
        <w:rPr>
          <w:rFonts w:ascii="Arial" w:cs="Arial" w:eastAsia="Arial" w:hAnsi="Arial"/>
          <w:sz w:val="16"/>
          <w:szCs w:val="16"/>
          <w:color w:val="auto"/>
        </w:rPr>
        <w:t>”), without any action on the part of the stockholders, but the stockholders may make additional bylaws and may alter, amend or repeal any bylaw whether adopted by them or otherwise. The Company may in its bylaws confer powers upon the Board of Directors in addition to the foregoing and in addition to the powers and authorities expressly conferred upon the Board of Directors by applicable law.</w:t>
      </w:r>
    </w:p>
    <w:p>
      <w:pPr>
        <w:spacing w:after="0" w:line="157" w:lineRule="exact"/>
        <w:rPr>
          <w:rFonts w:ascii="Arial" w:cs="Arial" w:eastAsia="Arial" w:hAnsi="Arial"/>
          <w:sz w:val="16"/>
          <w:szCs w:val="16"/>
          <w:color w:val="auto"/>
        </w:rPr>
      </w:pPr>
    </w:p>
    <w:p>
      <w:pPr>
        <w:spacing w:after="0" w:line="277"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directors of the Company shall be as from time to time fixed by, or in the manner provided in, the Bylaws. Election of directors need not be by written ballot unless the Bylaws shall so provide.</w:t>
      </w:r>
    </w:p>
    <w:p>
      <w:pPr>
        <w:spacing w:after="0" w:line="170" w:lineRule="exact"/>
        <w:rPr>
          <w:rFonts w:ascii="Arial" w:cs="Arial" w:eastAsia="Arial" w:hAnsi="Arial"/>
          <w:sz w:val="18"/>
          <w:szCs w:val="18"/>
          <w:color w:val="auto"/>
        </w:rPr>
      </w:pPr>
    </w:p>
    <w:p>
      <w:pPr>
        <w:jc w:val="both"/>
        <w:spacing w:after="0" w:line="271" w:lineRule="auto"/>
        <w:tabs>
          <w:tab w:leader="none" w:pos="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director or officer of the Company shall be personally liable to the Company or any of its stockholders for monetary damages for breach of fiduciary duty as a director or officer, except for liability (i) for any breach of the director or officer’s duty of loyalty to the Company or its stockholders, (ii) for a director’s or officer’s acts or omissions not in good faith or which involve intentional misconduct or a knowing violation of law, (iii) of a director pursuant to Section 174 of the DGCL, (iv) for any transaction from which the director or officer derived an improper personal benefit, (v) of an officer in any action by or in the right of the corporation or (vi) for any act or omission occurring before the effective date of this Article FIFTH. Any amendment, repeal or modification of this Article FIFTH shall not adversely affect any right or protection of such director or officer of the Company existing at the time of such amendment, repeal or modification with respect to acts or omissions occurring prior to such amendment, repeal or modification.</w:t>
      </w:r>
    </w:p>
    <w:p>
      <w:pPr>
        <w:spacing w:after="0" w:line="178" w:lineRule="exact"/>
        <w:rPr>
          <w:rFonts w:ascii="Arial" w:cs="Arial" w:eastAsia="Arial" w:hAnsi="Arial"/>
          <w:sz w:val="17"/>
          <w:szCs w:val="17"/>
          <w:color w:val="auto"/>
        </w:rPr>
      </w:pPr>
    </w:p>
    <w:p>
      <w:pPr>
        <w:jc w:val="both"/>
        <w:spacing w:after="0" w:line="301" w:lineRule="auto"/>
        <w:tabs>
          <w:tab w:leader="none" w:pos="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addition to the powers and authority hereinbefore or by statute expressly conferred upon them, the directors are hereby empowered to exercise all such powers and do all such acts and things as may be exercised or done by the Company, subject, nevertheless, to the provisions of the DGCL, this Certificate of Incorporation, and any bylaws adopted by the stockholders; provided, however, that no bylaws hereafter adopted by the stockholders shall invalidate any prior act of the directors which would have been valid if such bylaws had not been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382905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u w:val="single" w:color="auto"/>
          <w:color w:val="auto"/>
        </w:rPr>
        <w:t>SIXTH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provide indemnification as follows: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Company</w:t>
      </w:r>
      <w:r>
        <w:rPr>
          <w:rFonts w:ascii="Arial" w:cs="Arial" w:eastAsia="Arial" w:hAnsi="Arial"/>
          <w:sz w:val="16"/>
          <w:szCs w:val="16"/>
          <w:color w:val="auto"/>
        </w:rPr>
        <w:t>. The Company shall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a director or officer of the Company, or is or was serving, or has agreed to serve, at the request of the Company, as a director, officer, partner, employee or trustee of, or in a similar capacity with, another corporation, partnership, joint venture, trust or other enterprise (including any employee benefit plan) (all such persons being referred to hereafter as an “</w:t>
      </w:r>
      <w:r>
        <w:rPr>
          <w:rFonts w:ascii="Arial" w:cs="Arial" w:eastAsia="Arial" w:hAnsi="Arial"/>
          <w:sz w:val="16"/>
          <w:szCs w:val="16"/>
          <w:u w:val="single" w:color="auto"/>
          <w:color w:val="auto"/>
        </w:rPr>
        <w:t>Indemnitee</w:t>
      </w:r>
      <w:r>
        <w:rPr>
          <w:rFonts w:ascii="Arial" w:cs="Arial" w:eastAsia="Arial" w:hAnsi="Arial"/>
          <w:sz w:val="16"/>
          <w:szCs w:val="16"/>
          <w:color w:val="auto"/>
        </w:rPr>
        <w:t>”),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Company,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Company, and, with respect to any criminal action or proceeding, had reasonable cause to believe that his or her conduct was unlawful.</w:t>
      </w:r>
    </w:p>
    <w:p>
      <w:pPr>
        <w:spacing w:after="0" w:line="170" w:lineRule="exact"/>
        <w:rPr>
          <w:rFonts w:ascii="Arial" w:cs="Arial" w:eastAsia="Arial" w:hAnsi="Arial"/>
          <w:sz w:val="16"/>
          <w:szCs w:val="16"/>
          <w:color w:val="auto"/>
        </w:rPr>
      </w:pPr>
    </w:p>
    <w:p>
      <w:pPr>
        <w:jc w:val="both"/>
        <w:ind w:left="660" w:hanging="328"/>
        <w:spacing w:after="0" w:line="26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Actions or Suits by or in the Right of the Company</w:t>
      </w:r>
      <w:r>
        <w:rPr>
          <w:rFonts w:ascii="Arial" w:cs="Arial" w:eastAsia="Arial" w:hAnsi="Arial"/>
          <w:sz w:val="17"/>
          <w:szCs w:val="17"/>
          <w:color w:val="auto"/>
        </w:rPr>
        <w:t>. The Company shall indemnify any Indemnitee who was or is a party to or threatened to be made a party to any threatened, pending or completed action or suit by or in the right of the Company to procure a judgment in its favor by reason of the fact that Indemnitee is or was, or has agreed to become, a director or officer of the Company, or is or was serving, or has agreed to serve, at the request of the Company,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Company, except that no indemnification shall be made under this Section 2 in respect of any claim, issue or matter as to which Indemnitee shall have been adjudged to be liable to the Company,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186"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Successful Party</w:t>
      </w:r>
      <w:r>
        <w:rPr>
          <w:rFonts w:ascii="Arial" w:cs="Arial" w:eastAsia="Arial" w:hAnsi="Arial"/>
          <w:sz w:val="16"/>
          <w:szCs w:val="16"/>
          <w:color w:val="auto"/>
        </w:rPr>
        <w:t>. Notwithstanding any other provisions of this Article SIXTH, to the extent that an Indemnitee has been successful, on the merits or otherwise, in defense of any action, suit or proceeding referred to in Sections 1 and 2 of this Article SIXTH,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Company, (iii) a plea of guilty or nolo contendere by Indemnitee, (iv) an adjudication that Indemnitee did not act in good faith and in a manner he or she reasonably believed to be in or not opposed to the best interests of the Company,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328" w:hanging="328"/>
        <w:spacing w:after="0" w:line="267" w:lineRule="auto"/>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Notification and Defense of Claim</w:t>
      </w:r>
      <w:r>
        <w:rPr>
          <w:rFonts w:ascii="Arial" w:cs="Arial" w:eastAsia="Arial" w:hAnsi="Arial"/>
          <w:sz w:val="17"/>
          <w:szCs w:val="17"/>
          <w:color w:val="auto"/>
        </w:rPr>
        <w:t>. As a condition precedent to an Indemnitee’s right to be indemnified, such Indemnitee must notify the Company in writing as soon as practicable of any action, suit, proceeding or investigation involving such Indemnitee for which indemnity will or could be sought. With respect to any action, suit, proceeding or investigation of which the Company is so notified, the Company will be entitled to participate therein at its own expense and/or to assume the defense thereof at its own expense, with legal counsel reasonably acceptable to Indemnitee. After notice from the Company to Indemnitee of its election so to assume such defense, the Company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Company of its assumption of the defense thereof shall be at the expense of Indemnitee unless (i) the employment of counsel by Indemnitee has been authorized by the Company, (ii) counsel to Indemnitee shall have reasonably concluded that there may be a conflict of interest or position on any significant issue between the Company and Indemnitee in the conduct of the defense of such action, suit, proceeding or investigation or (iii) the Company shall not in fact have employed counsel to assume the defense of such action, suit, proceeding or investigation, in each of which cases the fees and expenses of counsel for Indemnitee shall be at the expense of the Company, except as otherwise expressly provided by this Article SIXTH. The Company shall not be entitled, without the consent of Indemnitee, to assume the defense of any claim brought by or in the right of the Company or as to which counsel for Indemnitee shall have reasonably made the conclusion provided for in clause (ii) above. The Company shall not be required to indemnify Indemnitee under this Article SIXTH for any amounts paid in settlement of any action, suit, proceeding or investigation effected without its written consent. The Company shall not settle any action, suit, proceeding or investigation in any manner which would impose any penalty or limitation on Indemnitee without Indemnitee’s written consent. Neither the Company nor Indemnitee will unreasonably withhold or delay its consent to any proposed settlement.</w:t>
      </w:r>
    </w:p>
    <w:p>
      <w:pPr>
        <w:spacing w:after="0" w:line="188" w:lineRule="exact"/>
        <w:rPr>
          <w:rFonts w:ascii="Arial" w:cs="Arial" w:eastAsia="Arial" w:hAnsi="Arial"/>
          <w:sz w:val="17"/>
          <w:szCs w:val="17"/>
          <w:color w:val="auto"/>
        </w:rPr>
      </w:pPr>
    </w:p>
    <w:p>
      <w:pPr>
        <w:jc w:val="both"/>
        <w:ind w:left="328" w:hanging="328"/>
        <w:spacing w:after="0" w:line="269" w:lineRule="auto"/>
        <w:tabs>
          <w:tab w:leader="none" w:pos="32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Subject to the provisions of Section 6 of this Article SIXTH, in the event of any threatened or pending action, suit, proceeding or investigation of which the Company receives notice under this Article SIXTH, any expenses (including attorneys’ fees) incurred by or on behalf of Indemnitee in defending an action, suit, proceeding or investigation or any appeal therefrom shall be paid by the Company in advance of the final disposition of such matter; provided, however,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Company as authorized in this Article SIXTH; and provided further that no such advancement of expenses shall be made under this Article SIXTH if it is determined (in the manner described in Section 6) that (i) Indemnitee did not act in good faith and in a manner he or she reasonably believed to be in, or not opposed to, the best interests of the Company, or (ii) with respect to any criminal action or proceeding, Indemnitee had reasonable cause to believe his or her conduct was unlawful. Such undertaking shall be accepted without reference to the financial ability of Indemnitee to make such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398780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9" w:name="page10"/>
    <w:bookmarkEnd w:id="9"/>
    <w:p>
      <w:pPr>
        <w:jc w:val="both"/>
        <w:ind w:left="328" w:hanging="328"/>
        <w:spacing w:after="0" w:line="268"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Procedure for Indemnification and Advancement of Expenses</w:t>
      </w:r>
      <w:r>
        <w:rPr>
          <w:rFonts w:ascii="Arial" w:cs="Arial" w:eastAsia="Arial" w:hAnsi="Arial"/>
          <w:sz w:val="17"/>
          <w:szCs w:val="17"/>
          <w:color w:val="auto"/>
        </w:rPr>
        <w:t>. In order to obtain indemnification or advancement of expenses pursuant to Section 1, 2, 3 or 5 of this Article SIXTH, an Indemnitee shall submit to the Company a written request. Any such advancement of expenses shall be made promptly, and in any event within 60 days after receipt by the Company of the written request of Indemnitee, unless (i) the Company has assumed the defense pursuant to Section 4 of this Article SIXTH (and none of the circumstances described in Section 4 of this Article SIXTH that would nonetheless entitle the Indemnitee to indemnification for the fees and expenses of separate counsel have occurred) or (ii) the Company determines within such 60-day period that Indemnitee did not meet the applicable standard of conduct set forth in Section 1, 2 or 5 of this Article SIXTH, as the case may be. Any such indemnification, unless ordered by a court, shall be made with respect to requests under Section 1 or 2 only as authorized in the specific case upon a determination by the Company that the indemnification of Indemnitee is proper because Indemnitee has met the applicable standard of conduct set forth in Section 1 or 2, as the case may be. Such determination shall be made in each instance (a) by a majority vote of the directors of the Company consisting of persons who are not at that time parties to the action, suit or proceeding in question (“</w:t>
      </w:r>
      <w:r>
        <w:rPr>
          <w:rFonts w:ascii="Arial" w:cs="Arial" w:eastAsia="Arial" w:hAnsi="Arial"/>
          <w:sz w:val="17"/>
          <w:szCs w:val="17"/>
          <w:u w:val="single" w:color="auto"/>
          <w:color w:val="auto"/>
        </w:rPr>
        <w:t>disinterested directors</w:t>
      </w:r>
      <w:r>
        <w:rPr>
          <w:rFonts w:ascii="Arial" w:cs="Arial" w:eastAsia="Arial" w:hAnsi="Arial"/>
          <w:sz w:val="17"/>
          <w:szCs w:val="17"/>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Company) in a written opinion, or (d) by the stockholders of the Company.</w:t>
      </w:r>
    </w:p>
    <w:p>
      <w:pPr>
        <w:spacing w:after="0" w:line="184" w:lineRule="exact"/>
        <w:rPr>
          <w:rFonts w:ascii="Arial" w:cs="Arial" w:eastAsia="Arial" w:hAnsi="Arial"/>
          <w:sz w:val="17"/>
          <w:szCs w:val="17"/>
          <w:color w:val="auto"/>
        </w:rPr>
      </w:pPr>
    </w:p>
    <w:p>
      <w:pPr>
        <w:jc w:val="both"/>
        <w:ind w:left="328" w:hanging="328"/>
        <w:spacing w:after="0" w:line="269"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right to indemnification or advancement of expenses as granted by this Article SIXTH shall be enforceable by Indemnitee in any court of competent jurisdiction. Neither the failure of the Company to have made a determination prior to the commencement of such action that indemnification is proper in the circumstances because Indemnitee has met the applicable standard of conduct, nor an actual determination by the Company pursuant to Section 6 of this Article SIXTH that Indemnitee has not met such applicable standard of conduct, shall be a defense to the action or create a presumption that Indemnitee has not met the applicable standard of conduct. In any suit brought by Indemnitee to enforce a right to indemnification, or brought by the Company to recover an advancement of expenses pursuant to the terms of an undertaking, the Company shall have the burden of proving that Indemnitee is not entitled to be indemnified, or to such advancement of expenses, under this Article SIXTH. Indemnitee’s expenses (including attorneys’ fees) reasonably incurred in connection with successfully establishing Indemnitee’s right to indemnification, in whole or in part, in any such proceeding shall also be indemnified by the Company. Notwithstanding the foregoing, in any suit brought by Indemnitee to enforce a right to indemnification hereunder it shall be a defense that the Indemnitee has not met any applicable standard for indemnification set forth in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398780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0" w:name="page11"/>
    <w:bookmarkEnd w:id="10"/>
    <w:p>
      <w:pPr>
        <w:jc w:val="both"/>
        <w:ind w:left="328" w:hanging="328"/>
        <w:spacing w:after="0" w:line="254"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anything to the contrary in this Article SIXTH, except as set forth in Section 7 of this Article SIXTH, the Company shall not indemnify an Indemnitee pursuant to this Article SIXTH in connection with a proceeding (or part thereof) initiated by such Indemnitee unless the initiation thereof was approved by the Board of Directors of the Company. Notwithstanding anything to the contrary in this Article SIXTH, the Company shall not indemnify an Indemnitee to the extent such Indemnitee is reimbursed from the proceeds of insurance, and in the event the Company makes any indemnification payments to an Indemnitee and such Indemnitee is subsequently reimbursed from the proceeds of insurance, such Indemnitee shall promptly refund indemnification payments to the Company to the extent of such insurance reimbursement.</w:t>
      </w:r>
    </w:p>
    <w:p>
      <w:pPr>
        <w:spacing w:after="0" w:line="194"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Subsequent Amendment</w:t>
      </w:r>
      <w:r>
        <w:rPr>
          <w:rFonts w:ascii="Arial" w:cs="Arial" w:eastAsia="Arial" w:hAnsi="Arial"/>
          <w:sz w:val="18"/>
          <w:szCs w:val="18"/>
          <w:color w:val="auto"/>
        </w:rPr>
        <w:t>. No amendment, termination or repeal of this Article SIXTH or of the relevant provisions of the DGCL or any other applicable laws shall adversely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186"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Other Rights</w:t>
      </w:r>
      <w:r>
        <w:rPr>
          <w:rFonts w:ascii="Arial" w:cs="Arial" w:eastAsia="Arial" w:hAnsi="Arial"/>
          <w:sz w:val="17"/>
          <w:szCs w:val="17"/>
          <w:color w:val="auto"/>
        </w:rPr>
        <w:t>. The indemnification and advancement of expenses provided by this Article SIXTH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Company, and shall continue as to an Indemnitee who has ceased to be a director or officer, and shall inure to the benefit of the estate, heirs, executors and administrators of Indemnitee. Nothing contained in this Article SIXTH shall be deemed to prohibit, and the Company is specifically authorized to enter into, agreements with officers and directors providing indemnification rights and procedures different from those set forth in this Article SIXTH. In addition, the Company may, to the extent authorized from time to time by its Board of Directors, grant indemnification rights to other employees or agents of the Company or other persons serving the Company and such rights may be equivalent to, or greater or less than, those set forth in this Article SIXTH.</w:t>
      </w:r>
    </w:p>
    <w:p>
      <w:pPr>
        <w:spacing w:after="0" w:line="180" w:lineRule="exact"/>
        <w:rPr>
          <w:rFonts w:ascii="Arial" w:cs="Arial" w:eastAsia="Arial" w:hAnsi="Arial"/>
          <w:sz w:val="17"/>
          <w:szCs w:val="17"/>
          <w:color w:val="auto"/>
        </w:rPr>
      </w:pPr>
    </w:p>
    <w:p>
      <w:pPr>
        <w:jc w:val="both"/>
        <w:ind w:left="328" w:hanging="328"/>
        <w:spacing w:after="0" w:line="254"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an Indemnitee is entitled under any provision of this Article SIXTH to indemnification by the Company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Company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407035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1" w:name="page12"/>
    <w:bookmarkEnd w:id="11"/>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may purchase and maintain insurance, at its expense, to protect itself and any director, officer, employee or agent of the Company or another corporation, partnership, joint venture, trust or other enterprise (including any employee benefit plan) against any expense, liability or loss incurred by him or her in any such capacity, or arising out of his or her status as such, whether or not the Company would have the power to indemnify such person against such expense, liability or loss under the DGCL.</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Savings Clause</w:t>
      </w:r>
      <w:r>
        <w:rPr>
          <w:rFonts w:ascii="Arial" w:cs="Arial" w:eastAsia="Arial" w:hAnsi="Arial"/>
          <w:sz w:val="18"/>
          <w:szCs w:val="18"/>
          <w:color w:val="auto"/>
        </w:rPr>
        <w:t>. If this Article SIXTH or any portion hereof shall be invalidated on any ground by any court of competent jurisdiction, then the Company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Company, to the fullest extent permitted by any applicable portion of this Article SIXTH that shall not have been invalidated and to the fullest extent permitted by applicable law.</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Terms used herein and defined in Section 145(h) and Section 145(i) of the DGCL shall have the respective meanings assigned to such terms in such Section 145(h) and Section 145(i).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SEVENTH</w:t>
      </w:r>
    </w:p>
    <w:p>
      <w:pPr>
        <w:spacing w:after="0" w:line="22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Meetings of the stockholders may be held within or outside the State of Delaware, as the Bylaws may provide. The books of the Company may be kept (subject to any provision contained in the DGCL) outside the State of Delaware at such place or places as may be designated from time to time by the Board of Directors or imposed by other provisions of this Certificate of Incorporation, the Bylaws, the DGCL, or other applicable law, or by any contract or agreement to which the Company is or may become a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EIGHTH</w:t>
      </w:r>
    </w:p>
    <w:p>
      <w:pPr>
        <w:spacing w:after="0" w:line="225"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The Company reserves the right to amend, alter, change or repeal any provision contained in this Certificate of Incorporation, in the manner now or hereafter prescribed by statute, and all rights conferred upon stockholders herein are granted subject to this express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IVERIC 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shall be in the City of Wilmington, County of New Castle,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for the election of directors or for any other purpose shall be held at such time and place, either within and without the State of Delaware as shall be designated from time to time by the Board of Directors.</w:t>
      </w:r>
    </w:p>
    <w:p>
      <w:pPr>
        <w:spacing w:after="0" w:line="17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Meetings of Stockholders shall be held for the election of directors and for the transaction of any other proper business each year on any day subject to board designation. In the absence of designation of a place by the Board of Directors, each such meeting shall be held at the principal office of the Corporation.</w:t>
      </w:r>
    </w:p>
    <w:p>
      <w:pPr>
        <w:spacing w:after="0" w:line="184" w:lineRule="exact"/>
        <w:rPr>
          <w:sz w:val="20"/>
          <w:szCs w:val="20"/>
          <w:color w:val="auto"/>
        </w:rPr>
      </w:pPr>
    </w:p>
    <w:p>
      <w:pPr>
        <w:ind w:right="100" w:firstLine="1296"/>
        <w:spacing w:after="0" w:line="293"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Special Meetings</w:t>
      </w:r>
      <w:r>
        <w:rPr>
          <w:rFonts w:ascii="Arial" w:cs="Arial" w:eastAsia="Arial" w:hAnsi="Arial"/>
          <w:sz w:val="16"/>
          <w:szCs w:val="16"/>
          <w:color w:val="auto"/>
        </w:rPr>
        <w:t>. Unless otherwise required by law or by the certificate of incorporation of the Corporation, as amended or amended and restated from time to time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Special Meetings of Stockholders, for any purpose or purposes, may be called by either (i) the Chairman, if there be one, or (ii) the President, (iii) any Vice President, if there be one, (iv) the Secretary or (v) any Assistant Secretary, if there be one, and shall be called by any such officer at the request in writing of (i) the Board of Directors or (ii) stockholders owning a majority of the capital stock of the Corporation issued and outstanding and entitled to vote. Such request shall state the purpose or purposes of the proposed meeting. At a Special Meeting of Stockholders, only such business shall be conducted as shall be specified in the notice of meeting (or any supplement thereto).</w:t>
      </w:r>
    </w:p>
    <w:p>
      <w:pPr>
        <w:spacing w:after="0" w:line="164"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Whenever stockholders are required or permitted to take any action at a meeting, a written notice of the meeting shall be given which shall state the place, date and hour of the meeting, and, in the case of a special meeting, the purpose or purposes for which the meeting is called. Unless otherwise required by law, the written notice of any meeting shall be given not less than ten nor more than sixty days before the date of the meeting to each stockholder entitled to vote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firstLine="1296"/>
        <w:spacing w:after="0" w:line="25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the stockholders may be adjourned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notice of the adjourned meeting shall be given to each stockholder of record entitled to vote at the meeting.</w:t>
      </w:r>
    </w:p>
    <w:p>
      <w:pPr>
        <w:spacing w:after="0" w:line="188"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Unless otherwise required by law or the Certificate of Incorporation, the holders of a majority of the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of this Article II, until a quorum shall be present or represented.</w:t>
      </w:r>
    </w:p>
    <w:p>
      <w:pPr>
        <w:spacing w:after="0" w:line="192"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Voting</w:t>
      </w:r>
      <w:r>
        <w:rPr>
          <w:rFonts w:ascii="Arial" w:cs="Arial" w:eastAsia="Arial" w:hAnsi="Arial"/>
          <w:sz w:val="16"/>
          <w:szCs w:val="16"/>
          <w:color w:val="auto"/>
        </w:rPr>
        <w:t>. Unless otherwise required by law, the Certificate of Incorporation or these Bylaws, any question brought before any meeting of stockholders, other than the election of directors, shall be decided by the vote of the holders of a majority of the total number of votes of the capital stock represented and entitled to vote thereat, voting as a single class. Unless otherwise provided in the Certificate of Incorporation, and subject to Section 5 of Article V hereof, each stockholder represented at a meeting of stockholders shall be entitled to cast one vote for each share of the capital stock entitled to vote thereat held by such stockholder. Such votes may be cast in person or by proxy but no proxy shall be voted on or after three years from its date, unless such proxy provides for a longer period. The Board of Directors, in its discretion, or the officer of the Corporation presiding at a meeting of stockholders, in such officer’s discretion, may require that any votes cast at such meeting shall be cast by written ballot.</w:t>
      </w:r>
    </w:p>
    <w:p>
      <w:pPr>
        <w:spacing w:after="0" w:line="166"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Unless otherwise provided in the Certificate of Incorporation,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sixty days of the earliest dated consent delivered in the manner required by this Section 8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provided above in this section.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right="120" w:firstLine="1296"/>
        <w:spacing w:after="0" w:line="272" w:lineRule="auto"/>
        <w:rPr>
          <w:sz w:val="20"/>
          <w:szCs w:val="20"/>
          <w:color w:val="auto"/>
        </w:rPr>
      </w:pP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77"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Ledger</w:t>
      </w:r>
      <w:r>
        <w:rPr>
          <w:rFonts w:ascii="Arial" w:cs="Arial" w:eastAsia="Arial" w:hAnsi="Arial"/>
          <w:sz w:val="18"/>
          <w:szCs w:val="18"/>
          <w:color w:val="auto"/>
        </w:rPr>
        <w:t>. The stock ledger of the Corporation shall be the only evidence as to who are the stockholders entitled to examine the stock ledger, the list required by Section 9 of this Article II or the books of the Corporation, or to vote in person or by proxy at any meeting of stockholders.</w:t>
      </w:r>
    </w:p>
    <w:p>
      <w:pPr>
        <w:spacing w:after="0" w:line="18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Conduct of Meetings</w:t>
      </w:r>
      <w:r>
        <w:rPr>
          <w:rFonts w:ascii="Arial" w:cs="Arial" w:eastAsia="Arial" w:hAnsi="Arial"/>
          <w:sz w:val="17"/>
          <w:szCs w:val="17"/>
          <w:color w:val="auto"/>
        </w:rPr>
        <w:t>. The Board of Directors of the Corporation may adopt by resolution such rules and regulations for the conduct of the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60" w:firstLine="1296"/>
        <w:spacing w:after="0" w:line="296"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and Election of Directors</w:t>
      </w:r>
      <w:r>
        <w:rPr>
          <w:rFonts w:ascii="Arial" w:cs="Arial" w:eastAsia="Arial" w:hAnsi="Arial"/>
          <w:sz w:val="16"/>
          <w:szCs w:val="16"/>
          <w:color w:val="auto"/>
        </w:rPr>
        <w:t>. The Board of Directors shall consist of one member. The number of members on the Board of Directors may be changed from time to time by action of the stockholders or by action of the Board of Directors. Except as provided in Section 2 of this Article III, directors shall be elected by a plurality of the votes cast at the Annual Meetings of Stockholders and each director so elected shall hold office until the next Annual Meeting of Stockholders and until such director’s successor is duly elected and qualified, or until such director’s earlier death, resignation or removal. Any director may resign at any time upon written notice to the Corporation. Directors need not be stockholders.</w:t>
      </w:r>
    </w:p>
    <w:p>
      <w:pPr>
        <w:spacing w:after="0" w:line="161" w:lineRule="exact"/>
        <w:rPr>
          <w:sz w:val="20"/>
          <w:szCs w:val="20"/>
          <w:color w:val="auto"/>
        </w:rPr>
      </w:pPr>
    </w:p>
    <w:p>
      <w:pPr>
        <w:ind w:right="160" w:firstLine="1296"/>
        <w:spacing w:after="0" w:line="279"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Vacancies</w:t>
      </w:r>
      <w:r>
        <w:rPr>
          <w:rFonts w:ascii="Arial" w:cs="Arial" w:eastAsia="Arial" w:hAnsi="Arial"/>
          <w:sz w:val="17"/>
          <w:szCs w:val="17"/>
          <w:color w:val="auto"/>
        </w:rPr>
        <w:t>. Unless otherwise required by law or the Certificate of Incorporation, vacancies arising through death, resignation, removal, an increase in the number of directors or otherwise may be filled by a majority of the directors then in office, though less than a quorum, or by a sole remaining director, or by a majority of the stockholders if no directors remain in office, and the directors so chosen shall hold office until the next annual election and until their successors are duly elected and qualified, or until their earlier death, resignation or removal.</w:t>
      </w:r>
    </w:p>
    <w:p>
      <w:pPr>
        <w:spacing w:after="0" w:line="17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things as are not by statute or by the Certificate of Incorporation or by these Bylaws required to be exercised or done by the stockholders.</w:t>
      </w:r>
    </w:p>
    <w:p>
      <w:pPr>
        <w:spacing w:after="0" w:line="18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Meetings</w:t>
      </w:r>
      <w:r>
        <w:rPr>
          <w:rFonts w:ascii="Arial" w:cs="Arial" w:eastAsia="Arial" w:hAnsi="Arial"/>
          <w:sz w:val="18"/>
          <w:szCs w:val="18"/>
          <w:color w:val="auto"/>
        </w:rPr>
        <w:t>. The Board of Directors may hold meetings, both regular and special, either within or outside the State of Delaware. Regular meetings of the Board of Directors may be held without notice at such time and at such place as may from time to time be determined by the Board of Directors. Special meetings of the Board of Directors may be called by the Chairman, if there be one, the President, or by any director.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192"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required by law or the Certificate of Incorporation,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of the time and place of the adjourned meeting, until a quorum shall be present.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right="60" w:firstLine="1296"/>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Actions by Written Consent</w:t>
      </w:r>
      <w:r>
        <w:rPr>
          <w:rFonts w:ascii="Arial" w:cs="Arial" w:eastAsia="Arial" w:hAnsi="Arial"/>
          <w:sz w:val="18"/>
          <w:szCs w:val="18"/>
          <w:color w:val="auto"/>
        </w:rPr>
        <w:t>. Unless otherwise provided in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187" w:lineRule="exact"/>
        <w:rPr>
          <w:sz w:val="20"/>
          <w:szCs w:val="20"/>
          <w:color w:val="auto"/>
        </w:rPr>
      </w:pPr>
    </w:p>
    <w:p>
      <w:pPr>
        <w:ind w:right="180" w:firstLine="1296"/>
        <w:spacing w:after="0" w:line="279"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Unless otherwise provided in the Certificate of Incorporation, members of the Board of Directors of the Corporation, or any committee thereof,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7 shall constitute presence in person at such meeting.</w:t>
      </w:r>
    </w:p>
    <w:p>
      <w:pPr>
        <w:spacing w:after="0" w:line="171"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member of the Board of Directors to act at the meeting in the place of any absent or disqualified member.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181" w:lineRule="exact"/>
        <w:rPr>
          <w:sz w:val="20"/>
          <w:szCs w:val="20"/>
          <w:color w:val="auto"/>
        </w:rPr>
      </w:pPr>
    </w:p>
    <w:p>
      <w:pPr>
        <w:ind w:right="220" w:firstLine="1296"/>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their expenses, if any, of attendance at each meeting of the Board of Directors and may be paid a fixed sum for attendance at each meeting of the Board of Directors or a stated salary as director, payable in cash or securities.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7"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Interested Directors</w:t>
      </w:r>
      <w:r>
        <w:rPr>
          <w:rFonts w:ascii="Arial" w:cs="Arial" w:eastAsia="Arial" w:hAnsi="Arial"/>
          <w:sz w:val="17"/>
          <w:szCs w:val="17"/>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the director or officer’s vote is counted for such purpose if (i) the material facts as to the director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00" w:firstLine="1296"/>
        <w:spacing w:after="0" w:line="296"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chosen by the Board of Directors and shall be a President and a Secretary. The Board of Directors, in its discretion, also may choose a Chairman of the Board of Directors (who must be a director) and a Chief Executive Officer, one or more Vice Presidents, a Treasurer, Assistant Secretaries, Assistant Treasurers and other officers. Any number of offices may be held by the same person, unless otherwise prohibited by law or the Certificate of Incorporation. The officers of the Corporation need not be stockholders of the Corporation nor, except in the case of the Chairman of the Board of Directors, need such officers be directors of the Corporation.</w:t>
      </w:r>
    </w:p>
    <w:p>
      <w:pPr>
        <w:spacing w:after="0" w:line="161" w:lineRule="exact"/>
        <w:rPr>
          <w:sz w:val="20"/>
          <w:szCs w:val="20"/>
          <w:color w:val="auto"/>
        </w:rPr>
      </w:pPr>
    </w:p>
    <w:p>
      <w:pPr>
        <w:ind w:right="140" w:firstLine="1296"/>
        <w:spacing w:after="0" w:line="293"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w:t>
      </w:r>
      <w:r>
        <w:rPr>
          <w:rFonts w:ascii="Arial" w:cs="Arial" w:eastAsia="Arial" w:hAnsi="Arial"/>
          <w:sz w:val="16"/>
          <w:szCs w:val="16"/>
          <w:color w:val="auto"/>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death, resignation or removal. Any officer elected by the Board of Directors may be removed at any time by the affirmative vote of the Board of Directors. Any vacancy occurring in any office of the Corporation shall be filled by the Board of Directors. The salaries of all officers of the Corporation shall be fixed by the Board of Directors.</w:t>
      </w:r>
    </w:p>
    <w:p>
      <w:pPr>
        <w:spacing w:after="0" w:line="164"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Voting Securities Owned by the Corporation</w:t>
      </w:r>
      <w:r>
        <w:rPr>
          <w:rFonts w:ascii="Arial" w:cs="Arial" w:eastAsia="Arial" w:hAnsi="Arial"/>
          <w:sz w:val="17"/>
          <w:szCs w:val="17"/>
          <w:color w:val="auto"/>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77"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Chairman of the Board of Directors</w:t>
      </w:r>
      <w:r>
        <w:rPr>
          <w:rFonts w:ascii="Arial" w:cs="Arial" w:eastAsia="Arial" w:hAnsi="Arial"/>
          <w:sz w:val="17"/>
          <w:szCs w:val="17"/>
          <w:color w:val="auto"/>
        </w:rPr>
        <w:t>. The Chairman of the Board of Directors, if there be one, shall preside at all meetings of the stockholders and of the Board of Directors. The Chairman of the Board of Directors shall be the Chief Executive Officer of the Corporation, unless the Board of Directors designates the President as the Chief Executive Officer, and,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may from time to time be assigned by these Bylaws or by the Board of Directors.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 w:name="page19"/>
    <w:bookmarkEnd w:id="18"/>
    <w:p>
      <w:pPr>
        <w:ind w:firstLine="1296"/>
        <w:spacing w:after="0" w:line="270"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The President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If there be no Chairman of the Board of Directors, or if the Board of Directors shall otherwise designate, the President shall be the Chief Executive Officer of the Corporation. The President shall also perform such other duties and may exercise such other powers as may from time to time be assigned to such officer by these Bylaws or by the Board of Directors.</w:t>
      </w:r>
    </w:p>
    <w:p>
      <w:pPr>
        <w:spacing w:after="0" w:line="181"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Vice Presidents</w:t>
      </w:r>
      <w:r>
        <w:rPr>
          <w:rFonts w:ascii="Arial" w:cs="Arial" w:eastAsia="Arial" w:hAnsi="Arial"/>
          <w:sz w:val="17"/>
          <w:szCs w:val="17"/>
          <w:color w:val="auto"/>
        </w:rPr>
        <w:t>. At the request of the President or in the President’s absence or in the event of the President’s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77"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of Directors and all meetings of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ind w:firstLine="129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66" w:lineRule="exact"/>
        <w:rPr>
          <w:sz w:val="20"/>
          <w:szCs w:val="20"/>
          <w:color w:val="auto"/>
        </w:rPr>
      </w:pPr>
    </w:p>
    <w:p>
      <w:pPr>
        <w:ind w:right="300" w:firstLine="1296"/>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187"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 Assistant Treasurer’s possession or under the Assistant Treasurer’s control belonging to the Corporation.</w:t>
      </w:r>
    </w:p>
    <w:p>
      <w:pPr>
        <w:spacing w:after="0" w:line="192"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w:t>
      </w:r>
    </w:p>
    <w:p>
      <w:pPr>
        <w:spacing w:after="0" w:line="225"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 Certificates; Uncertificated Shares</w:t>
      </w:r>
      <w:r>
        <w:rPr>
          <w:rFonts w:ascii="Arial" w:cs="Arial" w:eastAsia="Arial" w:hAnsi="Arial"/>
          <w:sz w:val="18"/>
          <w:szCs w:val="18"/>
          <w:color w:val="auto"/>
        </w:rPr>
        <w:t>. The shares of capital stock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Shares of the Corporation’s stock may also be evidenced by registration in the holder’s name in uncertificated, book-entry form on the books of the Corporation.</w:t>
      </w:r>
    </w:p>
    <w:p>
      <w:pPr>
        <w:spacing w:after="0" w:line="188"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 of Certificates</w:t>
      </w:r>
      <w:r>
        <w:rPr>
          <w:rFonts w:ascii="Arial" w:cs="Arial" w:eastAsia="Arial" w:hAnsi="Arial"/>
          <w:sz w:val="18"/>
          <w:szCs w:val="18"/>
          <w:color w:val="auto"/>
        </w:rPr>
        <w:t>. Every holder of stock in the Corporation represented by a certificate shall be entitled to have a certificate signed, in the name of the Corporation (i) by the Chairman of the Board of Directors, the President or a Vice President and (ii) by the Treasurer or an Assistant Treasurer, or the Secretary or an Assistant Secretary of the Corporation, certifying the number of shares owned by such stockholder in the Corporation.</w:t>
      </w:r>
    </w:p>
    <w:p>
      <w:pPr>
        <w:spacing w:after="0" w:line="187"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Signatures</w:t>
      </w:r>
      <w:r>
        <w:rPr>
          <w:rFonts w:ascii="Arial" w:cs="Arial" w:eastAsia="Arial" w:hAnsi="Arial"/>
          <w:sz w:val="18"/>
          <w:szCs w:val="18"/>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7"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the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 or the issuance of such new certificate.</w:t>
      </w:r>
    </w:p>
    <w:p>
      <w:pPr>
        <w:spacing w:after="0" w:line="164"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Transfers</w:t>
      </w:r>
      <w:r>
        <w:rPr>
          <w:rFonts w:ascii="Arial" w:cs="Arial" w:eastAsia="Arial" w:hAnsi="Arial"/>
          <w:sz w:val="18"/>
          <w:szCs w:val="18"/>
          <w:color w:val="auto"/>
        </w:rPr>
        <w:t>. Stock of the Corporation shall be transferable in the manner prescribed by law and in these Bylaws. Transfers of stock represented by certificates shall be made on the books of the Corporation only by the person named in the certificate or by such person’s attorney lawfully constituted in writing and upon the surrender of the certificate therefor, which shall be cancelled before a new certificate shall be issued. Transfers of uncertificated shares shall be made on the books of the Corporation only by the record holder thereof, or by an attorney-in-fact, upon presentation of proper evidence of authority to transfer in accordance with customary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130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91" w:lineRule="auto"/>
        <w:tabs>
          <w:tab w:leader="none" w:pos="20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providing, however, that the Board of Directors may fix a new record date for the adjourned meeting.</w:t>
      </w:r>
    </w:p>
    <w:p>
      <w:pPr>
        <w:spacing w:after="0" w:line="166" w:lineRule="exact"/>
        <w:rPr>
          <w:rFonts w:ascii="Arial" w:cs="Arial" w:eastAsia="Arial" w:hAnsi="Arial"/>
          <w:sz w:val="16"/>
          <w:szCs w:val="16"/>
          <w:color w:val="auto"/>
        </w:rPr>
      </w:pPr>
    </w:p>
    <w:p>
      <w:pPr>
        <w:ind w:firstLine="1304"/>
        <w:spacing w:after="0" w:line="269" w:lineRule="auto"/>
        <w:tabs>
          <w:tab w:leader="none" w:pos="204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this State,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resolutions taking such prior action.</w:t>
      </w:r>
    </w:p>
    <w:p>
      <w:pPr>
        <w:spacing w:after="0" w:line="181" w:lineRule="exact"/>
        <w:rPr>
          <w:rFonts w:ascii="Arial" w:cs="Arial" w:eastAsia="Arial" w:hAnsi="Arial"/>
          <w:sz w:val="17"/>
          <w:szCs w:val="17"/>
          <w:color w:val="auto"/>
        </w:rPr>
      </w:pPr>
    </w:p>
    <w:p>
      <w:pPr>
        <w:ind w:firstLine="1304"/>
        <w:spacing w:after="0" w:line="255" w:lineRule="auto"/>
        <w:tabs>
          <w:tab w:leader="none" w:pos="20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192"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right="40" w:firstLine="1296"/>
        <w:spacing w:after="0" w:line="301"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Notices</w:t>
      </w:r>
      <w:r>
        <w:rPr>
          <w:rFonts w:ascii="Arial" w:cs="Arial" w:eastAsia="Arial" w:hAnsi="Arial"/>
          <w:sz w:val="16"/>
          <w:szCs w:val="16"/>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157"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Waivers of Notice</w:t>
      </w:r>
      <w:r>
        <w:rPr>
          <w:rFonts w:ascii="Arial" w:cs="Arial" w:eastAsia="Arial" w:hAnsi="Arial"/>
          <w:sz w:val="17"/>
          <w:szCs w:val="17"/>
          <w:color w:val="auto"/>
        </w:rPr>
        <w:t>.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requirements of the General Corporation Law of Delaware and the provisions of the Certificate of Incorporation, if any, may be declared by the Board of Directors at any regular or special meeting of the Board of Directors (or any action by written consent in lieu thereof in accordance with Section 6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95"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right="460" w:firstLine="1296"/>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begin on the first day of April in each year and end on the last day of March in each year.</w:t>
      </w:r>
    </w:p>
    <w:p>
      <w:pPr>
        <w:spacing w:after="0" w:line="170" w:lineRule="exact"/>
        <w:rPr>
          <w:sz w:val="20"/>
          <w:szCs w:val="20"/>
          <w:color w:val="auto"/>
        </w:rPr>
      </w:pPr>
    </w:p>
    <w:p>
      <w:pPr>
        <w:ind w:right="200" w:firstLine="1296"/>
        <w:spacing w:after="0" w:line="342"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Indemnification Of Directors And Officers</w:t>
      </w:r>
      <w:r>
        <w:rPr>
          <w:rFonts w:ascii="Arial" w:cs="Arial" w:eastAsia="Arial" w:hAnsi="Arial"/>
          <w:sz w:val="17"/>
          <w:szCs w:val="17"/>
          <w:color w:val="auto"/>
        </w:rPr>
        <w:t>. 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1 of this Article VIII,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77" w:lineRule="exact"/>
        <w:rPr>
          <w:sz w:val="20"/>
          <w:szCs w:val="20"/>
          <w:color w:val="auto"/>
        </w:rPr>
      </w:pPr>
    </w:p>
    <w:p>
      <w:pPr>
        <w:ind w:right="120" w:firstLine="1296"/>
        <w:spacing w:after="0" w:line="25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Indemnification Of Others</w:t>
      </w:r>
      <w:r>
        <w:rPr>
          <w:rFonts w:ascii="Arial" w:cs="Arial" w:eastAsia="Arial" w:hAnsi="Arial"/>
          <w:sz w:val="18"/>
          <w:szCs w:val="18"/>
          <w:color w:val="auto"/>
        </w:rPr>
        <w:t>. 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2 of this Article VIII,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192"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 Of Expenses In Advance</w:t>
      </w:r>
      <w:r>
        <w:rPr>
          <w:rFonts w:ascii="Arial" w:cs="Arial" w:eastAsia="Arial" w:hAnsi="Arial"/>
          <w:sz w:val="17"/>
          <w:szCs w:val="17"/>
          <w:color w:val="auto"/>
        </w:rPr>
        <w:t>. Expenses incurred in defending any action or proceeding for which indemnification is required pursuant to Section 6.1 or for which indemnification is permitted pursuant to Section 2 of this Article VIII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VIII.</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ind w:right="40" w:firstLine="1296"/>
        <w:spacing w:after="0" w:line="259"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Indemnity Not Exclusive</w:t>
      </w:r>
      <w:r>
        <w:rPr>
          <w:rFonts w:ascii="Arial" w:cs="Arial" w:eastAsia="Arial" w:hAnsi="Arial"/>
          <w:sz w:val="18"/>
          <w:szCs w:val="18"/>
          <w:color w:val="auto"/>
        </w:rPr>
        <w:t>. The indemnification provided by this Article VIII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87"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88" w:lineRule="exact"/>
        <w:rPr>
          <w:sz w:val="20"/>
          <w:szCs w:val="20"/>
          <w:color w:val="auto"/>
        </w:rPr>
      </w:pPr>
    </w:p>
    <w:p>
      <w:pPr>
        <w:jc w:val="both"/>
        <w:ind w:right="500" w:firstLine="1296"/>
        <w:spacing w:after="0" w:line="263"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 No indemnification or advance shall be made under this Article VIII, except where such indemnification or advance is mandated by law or the order, judgment or decree of any court of competent jurisdiction, in any circumstance where it appears:</w:t>
      </w:r>
    </w:p>
    <w:p>
      <w:pPr>
        <w:spacing w:after="0" w:line="184" w:lineRule="exact"/>
        <w:rPr>
          <w:sz w:val="20"/>
          <w:szCs w:val="20"/>
          <w:color w:val="auto"/>
        </w:rPr>
      </w:pPr>
    </w:p>
    <w:p>
      <w:pPr>
        <w:ind w:right="60" w:firstLine="1304"/>
        <w:spacing w:after="0" w:line="263" w:lineRule="auto"/>
        <w:tabs>
          <w:tab w:leader="none" w:pos="15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560" w:hanging="256"/>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it would be inconsistent with any condition expressly imposed by a court in approving a settlement.</w:t>
      </w:r>
    </w:p>
    <w:p>
      <w:pPr>
        <w:spacing w:after="0" w:line="225"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Amendments</w:t>
      </w:r>
      <w:r>
        <w:rPr>
          <w:rFonts w:ascii="Arial" w:cs="Arial" w:eastAsia="Arial" w:hAnsi="Arial"/>
          <w:sz w:val="17"/>
          <w:szCs w:val="17"/>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All such amendments must be approved by either the holders of a majority of the outstanding capital stock entitled to vote thereon or by a majority of the entire Board of Directors then in office.</w:t>
      </w:r>
    </w:p>
    <w:p>
      <w:pPr>
        <w:spacing w:after="0" w:line="17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Entire Board of Directors</w:t>
      </w:r>
      <w:r>
        <w:rPr>
          <w:rFonts w:ascii="Arial" w:cs="Arial" w:eastAsia="Arial" w:hAnsi="Arial"/>
          <w:sz w:val="18"/>
          <w:szCs w:val="18"/>
          <w:color w:val="auto"/>
        </w:rPr>
        <w:t>. As used in this Article IX and in these Bylaws generally, the term “entire Board of Directors” means the total number of directors which the Corporation would have if there were no vacancies.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4"/>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4"/>
    </w:lvl>
  </w:abstractNum>
  <w:abstractNum w:abstractNumId="9">
    <w:nsid w:val="140E0F76"/>
    <w:multiLevelType w:val="hybridMultilevel"/>
    <w:lvl w:ilvl="0">
      <w:lvlJc w:val="left"/>
      <w:lvlText w:val="%1."/>
      <w:numFmt w:val="decimal"/>
      <w:start w:val="6"/>
    </w:lvl>
  </w:abstractNum>
  <w:abstractNum w:abstractNumId="10">
    <w:nsid w:val="3352255A"/>
    <w:multiLevelType w:val="hybridMultilevel"/>
    <w:lvl w:ilvl="0">
      <w:lvlJc w:val="left"/>
      <w:lvlText w:val="%1."/>
      <w:numFmt w:val="decimal"/>
      <w:start w:val="8"/>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8" Type="http://schemas.openxmlformats.org/officeDocument/2006/relationships/hyperlink" Target="https://www.sec.gov/Archives/edgar/data/1410939/000110465923053477/tm2314189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2023-07-11T08:29:15Z</dcterms:created>
  <dcterms:modified xsi:type="dcterms:W3CDTF">2023-07-11T08:29:15Z</dcterms:modified>
</cp:coreProperties>
</file>