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 w:lineRule="exact"/>
        <w:rPr>
          <w:sz w:val="24"/>
          <w:szCs w:val="24"/>
          <w:color w:val="auto"/>
        </w:rPr>
      </w:pPr>
    </w:p>
    <w:p>
      <w:pPr>
        <w:spacing w:after="0"/>
        <w:rPr>
          <w:rFonts w:ascii="Arial" w:cs="Arial" w:eastAsia="Arial" w:hAnsi="Arial"/>
          <w:sz w:val="14"/>
          <w:szCs w:val="14"/>
          <w:u w:val="single" w:color="auto"/>
          <w:color w:val="0000FF"/>
        </w:rPr>
      </w:pPr>
      <w:hyperlink w:anchor="page157">
        <w:r>
          <w:rPr>
            <w:rFonts w:ascii="Arial" w:cs="Arial" w:eastAsia="Arial" w:hAnsi="Arial"/>
            <w:sz w:val="14"/>
            <w:szCs w:val="14"/>
            <w:u w:val="single" w:color="auto"/>
            <w:color w:val="0000FF"/>
          </w:rPr>
          <w:t>PART IV</w:t>
        </w:r>
      </w:hyperlink>
    </w:p>
    <w:p>
      <w:pPr>
        <w:spacing w:after="0" w:line="1" w:lineRule="exact"/>
        <w:rPr>
          <w:sz w:val="24"/>
          <w:szCs w:val="24"/>
          <w:color w:val="auto"/>
        </w:rPr>
      </w:pPr>
    </w:p>
    <w:p>
      <w:pPr>
        <w:spacing w:after="0"/>
        <w:rPr>
          <w:rFonts w:ascii="Arial" w:cs="Arial" w:eastAsia="Arial" w:hAnsi="Arial"/>
          <w:sz w:val="14"/>
          <w:szCs w:val="14"/>
          <w:u w:val="single" w:color="auto"/>
          <w:color w:val="0000FF"/>
        </w:rPr>
      </w:pPr>
      <w:hyperlink w:anchor="page161">
        <w:r>
          <w:rPr>
            <w:rFonts w:ascii="Arial" w:cs="Arial" w:eastAsia="Arial" w:hAnsi="Arial"/>
            <w:sz w:val="14"/>
            <w:szCs w:val="14"/>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73660</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ectPr>
          <w:pgSz w:w="11900" w:h="16838" w:orient="portrait"/>
          <w:cols w:equalWidth="0" w:num="1">
            <w:col w:w="11200"/>
          </w:cols>
          <w:pgMar w:left="320" w:top="229" w:right="379" w:bottom="1440" w:gutter="0" w:footer="0" w:header="0"/>
        </w:sectPr>
      </w:pPr>
    </w:p>
    <w:p>
      <w:pPr>
        <w:spacing w:after="0" w:line="145"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0"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8"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8"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 w:lineRule="exact"/>
        <w:rPr>
          <w:sz w:val="24"/>
          <w:szCs w:val="24"/>
          <w:color w:val="auto"/>
        </w:rPr>
      </w:pPr>
    </w:p>
    <w:p>
      <w:pPr>
        <w:ind w:left="2400"/>
        <w:spacing w:after="0"/>
        <w:tabs>
          <w:tab w:leader="none" w:pos="4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6"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ind w:left="2700"/>
        <w:spacing w:after="0"/>
        <w:rPr>
          <w:sz w:val="20"/>
          <w:szCs w:val="20"/>
          <w:color w:val="auto"/>
        </w:rPr>
      </w:pPr>
      <w:r>
        <w:rPr>
          <w:rFonts w:ascii="Arial" w:cs="Arial" w:eastAsia="Arial" w:hAnsi="Arial"/>
          <w:sz w:val="29"/>
          <w:szCs w:val="29"/>
          <w:b w:val="1"/>
          <w:bCs w:val="1"/>
          <w:color w:val="auto"/>
        </w:rPr>
        <w:t>IVERIC bio, Inc.</w:t>
      </w:r>
    </w:p>
    <w:p>
      <w:pPr>
        <w:spacing w:after="0" w:line="29" w:lineRule="exact"/>
        <w:rPr>
          <w:sz w:val="24"/>
          <w:szCs w:val="24"/>
          <w:color w:val="auto"/>
        </w:rPr>
      </w:pPr>
    </w:p>
    <w:p>
      <w:pPr>
        <w:sectPr>
          <w:pgSz w:w="11900" w:h="16838" w:orient="portrait"/>
          <w:cols w:equalWidth="0" w:num="2">
            <w:col w:w="1340" w:space="520"/>
            <w:col w:w="9340"/>
          </w:cols>
          <w:pgMar w:left="320" w:top="229"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1380" w:type="dxa"/>
            <w:vAlign w:val="bottom"/>
          </w:tcPr>
          <w:p>
            <w:pPr>
              <w:spacing w:after="0"/>
              <w:rPr>
                <w:sz w:val="16"/>
                <w:szCs w:val="16"/>
                <w:color w:val="auto"/>
              </w:rPr>
            </w:pPr>
          </w:p>
        </w:tc>
        <w:tc>
          <w:tcPr>
            <w:tcW w:w="3220" w:type="dxa"/>
            <w:vAlign w:val="bottom"/>
          </w:tcPr>
          <w:p>
            <w:pPr>
              <w:jc w:val="right"/>
              <w:ind w:right="1528"/>
              <w:spacing w:after="0"/>
              <w:rPr>
                <w:sz w:val="20"/>
                <w:szCs w:val="20"/>
                <w:color w:val="auto"/>
              </w:rPr>
            </w:pPr>
            <w:r>
              <w:rPr>
                <w:rFonts w:ascii="Arial" w:cs="Arial" w:eastAsia="Arial" w:hAnsi="Arial"/>
                <w:sz w:val="14"/>
                <w:szCs w:val="14"/>
                <w:b w:val="1"/>
                <w:bCs w:val="1"/>
                <w:color w:val="auto"/>
              </w:rPr>
              <w:t>20-8185347</w:t>
            </w:r>
          </w:p>
        </w:tc>
      </w:tr>
      <w:tr>
        <w:trPr>
          <w:trHeight w:val="216"/>
        </w:trPr>
        <w:tc>
          <w:tcPr>
            <w:tcW w:w="3460" w:type="dxa"/>
            <w:vAlign w:val="bottom"/>
            <w:gridSpan w:val="2"/>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(I.R.S. Employer Identification No.)</w:t>
            </w:r>
          </w:p>
        </w:tc>
      </w:tr>
      <w:tr>
        <w:trPr>
          <w:trHeight w:val="324"/>
        </w:trPr>
        <w:tc>
          <w:tcPr>
            <w:tcW w:w="80" w:type="dxa"/>
            <w:vAlign w:val="bottom"/>
          </w:tcPr>
          <w:p>
            <w:pPr>
              <w:spacing w:after="0"/>
              <w:rPr>
                <w:sz w:val="24"/>
                <w:szCs w:val="24"/>
                <w:color w:val="auto"/>
              </w:rPr>
            </w:pPr>
          </w:p>
        </w:tc>
        <w:tc>
          <w:tcPr>
            <w:tcW w:w="33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8 Sylvan Way</w:t>
            </w:r>
          </w:p>
        </w:tc>
        <w:tc>
          <w:tcPr>
            <w:tcW w:w="1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3380" w:type="dxa"/>
            <w:vAlign w:val="bottom"/>
          </w:tcPr>
          <w:p>
            <w:pPr>
              <w:ind w:left="920"/>
              <w:spacing w:after="0"/>
              <w:rPr>
                <w:sz w:val="20"/>
                <w:szCs w:val="20"/>
                <w:color w:val="auto"/>
              </w:rPr>
            </w:pPr>
            <w:r>
              <w:rPr>
                <w:rFonts w:ascii="Arial" w:cs="Arial" w:eastAsia="Arial" w:hAnsi="Arial"/>
                <w:sz w:val="14"/>
                <w:szCs w:val="14"/>
                <w:b w:val="1"/>
                <w:bCs w:val="1"/>
                <w:color w:val="auto"/>
              </w:rPr>
              <w:t>Parsippany NJ</w:t>
            </w:r>
          </w:p>
        </w:tc>
        <w:tc>
          <w:tcPr>
            <w:tcW w:w="1380" w:type="dxa"/>
            <w:vAlign w:val="bottom"/>
          </w:tcPr>
          <w:p>
            <w:pPr>
              <w:spacing w:after="0"/>
              <w:rPr>
                <w:sz w:val="18"/>
                <w:szCs w:val="18"/>
                <w:color w:val="auto"/>
              </w:rPr>
            </w:pPr>
          </w:p>
        </w:tc>
        <w:tc>
          <w:tcPr>
            <w:tcW w:w="3220" w:type="dxa"/>
            <w:vAlign w:val="bottom"/>
          </w:tcPr>
          <w:p>
            <w:pPr>
              <w:jc w:val="right"/>
              <w:ind w:right="1688"/>
              <w:spacing w:after="0"/>
              <w:rPr>
                <w:sz w:val="20"/>
                <w:szCs w:val="20"/>
                <w:color w:val="auto"/>
              </w:rPr>
            </w:pPr>
            <w:r>
              <w:rPr>
                <w:rFonts w:ascii="Arial" w:cs="Arial" w:eastAsia="Arial" w:hAnsi="Arial"/>
                <w:sz w:val="14"/>
                <w:szCs w:val="14"/>
                <w:b w:val="1"/>
                <w:bCs w:val="1"/>
                <w:color w:val="auto"/>
              </w:rPr>
              <w:t>07054</w:t>
            </w:r>
          </w:p>
        </w:tc>
      </w:tr>
      <w:tr>
        <w:trPr>
          <w:trHeight w:val="216"/>
        </w:trPr>
        <w:tc>
          <w:tcPr>
            <w:tcW w:w="80" w:type="dxa"/>
            <w:vAlign w:val="bottom"/>
          </w:tcPr>
          <w:p>
            <w:pPr>
              <w:spacing w:after="0"/>
              <w:rPr>
                <w:sz w:val="18"/>
                <w:szCs w:val="18"/>
                <w:color w:val="auto"/>
              </w:rPr>
            </w:pP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(Zip Code)</w:t>
            </w:r>
          </w:p>
        </w:tc>
      </w:tr>
      <w:tr>
        <w:trPr>
          <w:trHeight w:val="358"/>
        </w:trPr>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(609) 474-6455</w:t>
            </w:r>
          </w:p>
        </w:tc>
        <w:tc>
          <w:tcPr>
            <w:tcW w:w="3220" w:type="dxa"/>
            <w:vAlign w:val="bottom"/>
          </w:tcPr>
          <w:p>
            <w:pPr>
              <w:spacing w:after="0"/>
              <w:rPr>
                <w:sz w:val="24"/>
                <w:szCs w:val="24"/>
                <w:color w:val="auto"/>
              </w:rPr>
            </w:pPr>
          </w:p>
        </w:tc>
      </w:tr>
      <w:tr>
        <w:trPr>
          <w:trHeight w:val="182"/>
        </w:trPr>
        <w:tc>
          <w:tcPr>
            <w:tcW w:w="80" w:type="dxa"/>
            <w:vAlign w:val="bottom"/>
          </w:tcPr>
          <w:p>
            <w:pPr>
              <w:spacing w:after="0"/>
              <w:rPr>
                <w:sz w:val="15"/>
                <w:szCs w:val="15"/>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405"/>
        </w:trPr>
        <w:tc>
          <w:tcPr>
            <w:tcW w:w="80" w:type="dxa"/>
            <w:vAlign w:val="bottom"/>
          </w:tcPr>
          <w:p>
            <w:pPr>
              <w:spacing w:after="0"/>
              <w:rPr>
                <w:sz w:val="24"/>
                <w:szCs w:val="24"/>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16"/>
        </w:trPr>
        <w:tc>
          <w:tcPr>
            <w:tcW w:w="80" w:type="dxa"/>
            <w:vAlign w:val="bottom"/>
          </w:tcPr>
          <w:p>
            <w:pPr>
              <w:spacing w:after="0"/>
              <w:rPr>
                <w:sz w:val="24"/>
                <w:szCs w:val="24"/>
                <w:color w:val="auto"/>
              </w:rPr>
            </w:pPr>
          </w:p>
        </w:tc>
        <w:tc>
          <w:tcPr>
            <w:tcW w:w="3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Title of each class</w:t>
            </w:r>
          </w:p>
        </w:tc>
        <w:tc>
          <w:tcPr>
            <w:tcW w:w="13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Trading Symbol(s)</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80" w:type="dxa"/>
            <w:vAlign w:val="bottom"/>
          </w:tcPr>
          <w:p>
            <w:pPr>
              <w:spacing w:after="0"/>
              <w:rPr>
                <w:sz w:val="16"/>
                <w:szCs w:val="16"/>
                <w:color w:val="auto"/>
              </w:rPr>
            </w:pPr>
          </w:p>
        </w:tc>
        <w:tc>
          <w:tcPr>
            <w:tcW w:w="3380" w:type="dxa"/>
            <w:vAlign w:val="bottom"/>
          </w:tcPr>
          <w:p>
            <w:pPr>
              <w:jc w:val="center"/>
              <w:ind w:right="208"/>
              <w:spacing w:after="0"/>
              <w:rPr>
                <w:sz w:val="20"/>
                <w:szCs w:val="20"/>
                <w:color w:val="auto"/>
              </w:rPr>
            </w:pPr>
            <w:r>
              <w:rPr>
                <w:rFonts w:ascii="Arial" w:cs="Arial" w:eastAsia="Arial" w:hAnsi="Arial"/>
                <w:sz w:val="14"/>
                <w:szCs w:val="14"/>
                <w:color w:val="auto"/>
                <w:w w:val="93"/>
              </w:rPr>
              <w:t>Common Stock, $0.001 par value</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w w:val="93"/>
              </w:rPr>
              <w:t>ISEE</w:t>
            </w:r>
          </w:p>
        </w:tc>
        <w:tc>
          <w:tcPr>
            <w:tcW w:w="322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100965</wp:posOffset>
            </wp:positionV>
            <wp:extent cx="26657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34290"/>
                    </a:xfrm>
                    <a:prstGeom prst="rect">
                      <a:avLst/>
                    </a:prstGeom>
                    <a:noFill/>
                  </pic:spPr>
                </pic:pic>
              </a:graphicData>
            </a:graphic>
          </wp:anchor>
        </w:drawing>
      </w:r>
    </w:p>
    <w:p>
      <w:pPr>
        <w:spacing w:after="0" w:line="309" w:lineRule="exact"/>
        <w:rPr>
          <w:sz w:val="24"/>
          <w:szCs w:val="24"/>
          <w:color w:val="auto"/>
        </w:rPr>
      </w:pPr>
    </w:p>
    <w:p>
      <w:pPr>
        <w:ind w:right="3400"/>
        <w:spacing w:after="0" w:line="26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13"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99"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320"/>
        <w:spacing w:after="0" w:line="184" w:lineRule="exact"/>
        <w:tabs>
          <w:tab w:leader="none" w:pos="2740" w:val="left"/>
          <w:tab w:leader="none" w:pos="4560" w:val="left"/>
          <w:tab w:leader="none" w:pos="6420" w:val="left"/>
          <w:tab w:leader="none" w:pos="8480" w:val="left"/>
          <w:tab w:leader="none" w:pos="8880" w:val="left"/>
          <w:tab w:leader="none" w:pos="10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8" w:lineRule="exact"/>
        <w:rPr>
          <w:sz w:val="24"/>
          <w:szCs w:val="24"/>
          <w:color w:val="auto"/>
        </w:rPr>
      </w:pPr>
    </w:p>
    <w:p>
      <w:pPr>
        <w:ind w:left="20" w:right="52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86"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7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2021, the aggregate market value of the voting and non-voting common equity held by non-affiliates of the registrant was approximately $546.1 million, based on the closing price of the registrant's common stock on June 30, 2021.</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21, 2022: 115,680,118</w:t>
      </w:r>
    </w:p>
    <w:p>
      <w:pPr>
        <w:spacing w:after="0" w:line="146"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0"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2022 Annual Meeting of Shareholders, which is expected to be filed with the Securities and Exchange Commission not later than 120 days after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17"/>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3"/>
          </w:tcPr>
          <w:p>
            <w:pPr>
              <w:jc w:val="center"/>
              <w:ind w:right="4980"/>
              <w:spacing w:after="0"/>
              <w:rPr>
                <w:rFonts w:ascii="Arial" w:cs="Arial" w:eastAsia="Arial" w:hAnsi="Arial"/>
                <w:sz w:val="18"/>
                <w:szCs w:val="18"/>
                <w:b w:val="1"/>
                <w:bCs w:val="1"/>
                <w:color w:val="0000FF"/>
                <w:w w:val="98"/>
              </w:rPr>
            </w:pPr>
            <w:hyperlink w:anchor="page6">
              <w:r>
                <w:rPr>
                  <w:rFonts w:ascii="Arial" w:cs="Arial" w:eastAsia="Arial" w:hAnsi="Arial"/>
                  <w:sz w:val="18"/>
                  <w:szCs w:val="18"/>
                  <w:b w:val="1"/>
                  <w:bCs w:val="1"/>
                  <w:color w:val="0000FF"/>
                  <w:w w:val="98"/>
                </w:rPr>
                <w:t>PART I</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00" w:type="dxa"/>
            <w:vAlign w:val="bottom"/>
            <w:gridSpan w:val="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Item 1.</w:t>
              </w:r>
            </w:hyperlink>
          </w:p>
        </w:tc>
        <w:tc>
          <w:tcPr>
            <w:tcW w:w="4300" w:type="dxa"/>
            <w:vAlign w:val="bottom"/>
            <w:gridSpan w:val="17"/>
          </w:tcPr>
          <w:p>
            <w:pPr>
              <w:ind w:left="340"/>
              <w:spacing w:after="0"/>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580" w:type="dxa"/>
            <w:vAlign w:val="bottom"/>
            <w:tcBorders>
              <w:top w:val="single" w:sz="8" w:color="0000FF"/>
            </w:tcBorders>
            <w:gridSpan w:val="3"/>
          </w:tcPr>
          <w:p>
            <w:pPr>
              <w:spacing w:after="0"/>
              <w:rPr>
                <w:sz w:val="18"/>
                <w:szCs w:val="18"/>
                <w:color w:val="auto"/>
              </w:rPr>
            </w:pPr>
          </w:p>
        </w:tc>
        <w:tc>
          <w:tcPr>
            <w:tcW w:w="5020" w:type="dxa"/>
            <w:vAlign w:val="bottom"/>
            <w:gridSpan w:val="9"/>
          </w:tcPr>
          <w:p>
            <w:pPr>
              <w:spacing w:after="0"/>
              <w:rPr>
                <w:sz w:val="18"/>
                <w:szCs w:val="18"/>
                <w:color w:val="auto"/>
              </w:rPr>
            </w:pPr>
          </w:p>
        </w:tc>
        <w:tc>
          <w:tcPr>
            <w:tcW w:w="2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Item 1A.</w:t>
              </w:r>
            </w:hyperlink>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Risk Factors</w:t>
              </w:r>
            </w:hyperlink>
          </w:p>
        </w:tc>
        <w:tc>
          <w:tcPr>
            <w:tcW w:w="8640" w:type="dxa"/>
            <w:vAlign w:val="bottom"/>
            <w:gridSpan w:val="25"/>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r>
      <w:tr>
        <w:trPr>
          <w:trHeight w:val="209"/>
        </w:trPr>
        <w:tc>
          <w:tcPr>
            <w:tcW w:w="1000" w:type="dxa"/>
            <w:vAlign w:val="bottom"/>
            <w:gridSpan w:val="5"/>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Item 1B.</w:t>
              </w:r>
            </w:hyperlink>
          </w:p>
        </w:tc>
        <w:tc>
          <w:tcPr>
            <w:tcW w:w="9900" w:type="dxa"/>
            <w:vAlign w:val="bottom"/>
            <w:gridSpan w:val="29"/>
          </w:tcPr>
          <w:p>
            <w:pPr>
              <w:ind w:left="340"/>
              <w:spacing w:after="0"/>
              <w:rPr>
                <w:rFonts w:ascii="Arial" w:cs="Arial" w:eastAsia="Arial" w:hAnsi="Arial"/>
                <w:sz w:val="18"/>
                <w:szCs w:val="18"/>
                <w:color w:val="0000FF"/>
              </w:rPr>
            </w:pPr>
            <w:hyperlink w:anchor="page129">
              <w:r>
                <w:rPr>
                  <w:rFonts w:ascii="Arial" w:cs="Arial" w:eastAsia="Arial" w:hAnsi="Arial"/>
                  <w:sz w:val="18"/>
                  <w:szCs w:val="18"/>
                  <w:color w:val="0000FF"/>
                </w:rPr>
                <w:t>Unresolved Staff Comments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29">
              <w:r>
                <w:rPr>
                  <w:rFonts w:ascii="Arial" w:cs="Arial" w:eastAsia="Arial" w:hAnsi="Arial"/>
                  <w:sz w:val="18"/>
                  <w:szCs w:val="18"/>
                  <w:color w:val="0000FF"/>
                  <w:w w:val="79"/>
                </w:rPr>
                <w:t>127</w:t>
              </w:r>
            </w:hyperlink>
          </w:p>
        </w:tc>
      </w:tr>
      <w:tr>
        <w:trPr>
          <w:trHeight w:val="210"/>
        </w:trPr>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Item 2.</w:t>
              </w:r>
            </w:hyperlink>
          </w:p>
        </w:tc>
        <w:tc>
          <w:tcPr>
            <w:tcW w:w="20" w:type="dxa"/>
            <w:vAlign w:val="bottom"/>
            <w:tcBorders>
              <w:top w:val="single" w:sz="8" w:color="0000FF"/>
            </w:tcBorders>
          </w:tcPr>
          <w:p>
            <w:pPr>
              <w:spacing w:after="0"/>
              <w:rPr>
                <w:sz w:val="18"/>
                <w:szCs w:val="18"/>
                <w:color w:val="auto"/>
              </w:rPr>
            </w:pPr>
          </w:p>
        </w:tc>
        <w:tc>
          <w:tcPr>
            <w:tcW w:w="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129">
              <w:r>
                <w:rPr>
                  <w:rFonts w:ascii="Arial" w:cs="Arial" w:eastAsia="Arial" w:hAnsi="Arial"/>
                  <w:sz w:val="18"/>
                  <w:szCs w:val="18"/>
                  <w:color w:val="0000FF"/>
                  <w:w w:val="87"/>
                </w:rPr>
                <w:t>Properties</w:t>
              </w:r>
            </w:hyperlink>
          </w:p>
        </w:tc>
        <w:tc>
          <w:tcPr>
            <w:tcW w:w="1320" w:type="dxa"/>
            <w:vAlign w:val="bottom"/>
            <w:tcBorders>
              <w:top w:val="single" w:sz="8" w:color="0000FF"/>
            </w:tcBorders>
            <w:gridSpan w:val="7"/>
          </w:tcPr>
          <w:p>
            <w:pPr>
              <w:spacing w:after="0"/>
              <w:rPr>
                <w:sz w:val="18"/>
                <w:szCs w:val="18"/>
                <w:color w:val="auto"/>
              </w:rPr>
            </w:pPr>
          </w:p>
        </w:tc>
        <w:tc>
          <w:tcPr>
            <w:tcW w:w="7500" w:type="dxa"/>
            <w:vAlign w:val="bottom"/>
            <w:gridSpan w:val="19"/>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29">
              <w:r>
                <w:rPr>
                  <w:rFonts w:ascii="Arial" w:cs="Arial" w:eastAsia="Arial" w:hAnsi="Arial"/>
                  <w:sz w:val="18"/>
                  <w:szCs w:val="18"/>
                  <w:color w:val="0000FF"/>
                  <w:w w:val="79"/>
                </w:rPr>
                <w:t>128</w:t>
              </w:r>
            </w:hyperlink>
          </w:p>
        </w:tc>
      </w:tr>
      <w:tr>
        <w:trPr>
          <w:trHeight w:val="209"/>
        </w:trPr>
        <w:tc>
          <w:tcPr>
            <w:tcW w:w="600" w:type="dxa"/>
            <w:vAlign w:val="bottom"/>
            <w:gridSpan w:val="2"/>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3.</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Legal Proceedings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30">
              <w:r>
                <w:rPr>
                  <w:rFonts w:ascii="Arial" w:cs="Arial" w:eastAsia="Arial" w:hAnsi="Arial"/>
                  <w:sz w:val="18"/>
                  <w:szCs w:val="18"/>
                  <w:color w:val="0000FF"/>
                  <w:w w:val="79"/>
                </w:rPr>
                <w:t>128</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Item 4.</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Mine Safety Disclosures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30">
              <w:r>
                <w:rPr>
                  <w:rFonts w:ascii="Arial" w:cs="Arial" w:eastAsia="Arial" w:hAnsi="Arial"/>
                  <w:sz w:val="18"/>
                  <w:szCs w:val="18"/>
                  <w:color w:val="0000FF"/>
                  <w:w w:val="79"/>
                </w:rPr>
                <w:t>128</w:t>
              </w:r>
            </w:hyperlink>
          </w:p>
        </w:tc>
      </w:tr>
      <w:tr>
        <w:trPr>
          <w:trHeight w:val="210"/>
        </w:trPr>
        <w:tc>
          <w:tcPr>
            <w:tcW w:w="5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130">
              <w:r>
                <w:rPr>
                  <w:rFonts w:ascii="Arial" w:cs="Arial" w:eastAsia="Arial" w:hAnsi="Arial"/>
                  <w:sz w:val="18"/>
                  <w:szCs w:val="18"/>
                  <w:b w:val="1"/>
                  <w:bCs w:val="1"/>
                  <w:color w:val="0000FF"/>
                </w:rPr>
                <w:t>PART II</w:t>
              </w:r>
            </w:hyperlink>
          </w:p>
        </w:tc>
        <w:tc>
          <w:tcPr>
            <w:tcW w:w="4980" w:type="dxa"/>
            <w:vAlign w:val="bottom"/>
            <w:gridSpan w:val="8"/>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00" w:type="dxa"/>
            <w:vAlign w:val="bottom"/>
            <w:gridSpan w:val="5"/>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Item 5.</w:t>
              </w:r>
            </w:hyperlink>
          </w:p>
        </w:tc>
        <w:tc>
          <w:tcPr>
            <w:tcW w:w="9900" w:type="dxa"/>
            <w:vAlign w:val="bottom"/>
            <w:gridSpan w:val="29"/>
          </w:tcPr>
          <w:p>
            <w:pPr>
              <w:ind w:left="340"/>
              <w:spacing w:after="0"/>
              <w:rPr>
                <w:rFonts w:ascii="Arial" w:cs="Arial" w:eastAsia="Arial" w:hAnsi="Arial"/>
                <w:sz w:val="18"/>
                <w:szCs w:val="18"/>
                <w:color w:val="0000FF"/>
              </w:rPr>
            </w:pPr>
            <w:hyperlink w:anchor="page131">
              <w:r>
                <w:rPr>
                  <w:rFonts w:ascii="Arial" w:cs="Arial" w:eastAsia="Arial" w:hAnsi="Arial"/>
                  <w:sz w:val="18"/>
                  <w:szCs w:val="18"/>
                  <w:color w:val="0000FF"/>
                </w:rPr>
                <w:t>Market for Registrant's Common Equity, Related Stockholder Matters and Issuer Purchases of Equity Securities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31">
              <w:r>
                <w:rPr>
                  <w:rFonts w:ascii="Arial" w:cs="Arial" w:eastAsia="Arial" w:hAnsi="Arial"/>
                  <w:sz w:val="18"/>
                  <w:szCs w:val="18"/>
                  <w:color w:val="0000FF"/>
                  <w:w w:val="79"/>
                </w:rPr>
                <w:t>129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00" w:type="dxa"/>
            <w:vAlign w:val="bottom"/>
            <w:gridSpan w:val="5"/>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Item 6.</w:t>
              </w:r>
            </w:hyperlink>
          </w:p>
        </w:tc>
        <w:tc>
          <w:tcPr>
            <w:tcW w:w="9900" w:type="dxa"/>
            <w:vAlign w:val="bottom"/>
            <w:gridSpan w:val="29"/>
          </w:tcPr>
          <w:p>
            <w:pPr>
              <w:ind w:left="340"/>
              <w:spacing w:after="0"/>
              <w:rPr>
                <w:rFonts w:ascii="Arial" w:cs="Arial" w:eastAsia="Arial" w:hAnsi="Arial"/>
                <w:sz w:val="18"/>
                <w:szCs w:val="18"/>
                <w:color w:val="0000FF"/>
              </w:rPr>
            </w:pPr>
            <w:hyperlink w:anchor="page132">
              <w:r>
                <w:rPr>
                  <w:rFonts w:ascii="Arial" w:cs="Arial" w:eastAsia="Arial" w:hAnsi="Arial"/>
                  <w:sz w:val="18"/>
                  <w:szCs w:val="18"/>
                  <w:color w:val="0000FF"/>
                </w:rPr>
                <w:t>Selected Financial Data</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32">
              <w:r>
                <w:rPr>
                  <w:rFonts w:ascii="Arial" w:cs="Arial" w:eastAsia="Arial" w:hAnsi="Arial"/>
                  <w:sz w:val="18"/>
                  <w:szCs w:val="18"/>
                  <w:color w:val="0000FF"/>
                  <w:w w:val="79"/>
                </w:rPr>
                <w:t>130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00" w:type="dxa"/>
            <w:vAlign w:val="bottom"/>
            <w:gridSpan w:val="2"/>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Item 7.</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Management's Discussion and Analysis of Financial Condition and Results of Operations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32">
              <w:r>
                <w:rPr>
                  <w:rFonts w:ascii="Arial" w:cs="Arial" w:eastAsia="Arial" w:hAnsi="Arial"/>
                  <w:sz w:val="18"/>
                  <w:szCs w:val="18"/>
                  <w:color w:val="0000FF"/>
                  <w:w w:val="79"/>
                </w:rPr>
                <w:t>131</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00" w:type="dxa"/>
            <w:vAlign w:val="bottom"/>
            <w:gridSpan w:val="5"/>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Item 7A.</w:t>
              </w:r>
            </w:hyperlink>
          </w:p>
        </w:tc>
        <w:tc>
          <w:tcPr>
            <w:tcW w:w="340" w:type="dxa"/>
            <w:vAlign w:val="bottom"/>
          </w:tcPr>
          <w:p>
            <w:pPr>
              <w:spacing w:after="0"/>
              <w:rPr>
                <w:sz w:val="18"/>
                <w:szCs w:val="18"/>
                <w:color w:val="auto"/>
              </w:rPr>
            </w:pPr>
          </w:p>
        </w:tc>
        <w:tc>
          <w:tcPr>
            <w:tcW w:w="9560" w:type="dxa"/>
            <w:vAlign w:val="bottom"/>
            <w:gridSpan w:val="28"/>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Quantitative and Qualitative Disclosures About Market Risk</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52">
              <w:r>
                <w:rPr>
                  <w:rFonts w:ascii="Arial" w:cs="Arial" w:eastAsia="Arial" w:hAnsi="Arial"/>
                  <w:sz w:val="18"/>
                  <w:szCs w:val="18"/>
                  <w:color w:val="0000FF"/>
                  <w:w w:val="79"/>
                </w:rPr>
                <w:t>151</w:t>
              </w:r>
            </w:hyperlink>
          </w:p>
        </w:tc>
      </w:tr>
      <w:tr>
        <w:trPr>
          <w:trHeight w:val="209"/>
        </w:trPr>
        <w:tc>
          <w:tcPr>
            <w:tcW w:w="1000" w:type="dxa"/>
            <w:vAlign w:val="bottom"/>
            <w:tcBorders>
              <w:top w:val="single" w:sz="8" w:color="0000FF"/>
            </w:tcBorders>
            <w:gridSpan w:val="5"/>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Item 8.</w:t>
              </w:r>
            </w:hyperlink>
          </w:p>
        </w:tc>
        <w:tc>
          <w:tcPr>
            <w:tcW w:w="340" w:type="dxa"/>
            <w:vAlign w:val="bottom"/>
          </w:tcPr>
          <w:p>
            <w:pPr>
              <w:spacing w:after="0"/>
              <w:rPr>
                <w:sz w:val="18"/>
                <w:szCs w:val="18"/>
                <w:color w:val="auto"/>
              </w:rPr>
            </w:pPr>
          </w:p>
        </w:tc>
        <w:tc>
          <w:tcPr>
            <w:tcW w:w="4360" w:type="dxa"/>
            <w:vAlign w:val="bottom"/>
            <w:tcBorders>
              <w:top w:val="single" w:sz="8" w:color="0000FF"/>
            </w:tcBorders>
            <w:gridSpan w:val="18"/>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Financial Statements and Supplementary Data</w:t>
              </w:r>
            </w:hyperlink>
          </w:p>
        </w:tc>
        <w:tc>
          <w:tcPr>
            <w:tcW w:w="5200" w:type="dxa"/>
            <w:vAlign w:val="bottom"/>
            <w:gridSpan w:val="10"/>
          </w:tcPr>
          <w:p>
            <w:pPr>
              <w:spacing w:after="0"/>
              <w:rPr>
                <w:sz w:val="18"/>
                <w:szCs w:val="18"/>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53">
              <w:r>
                <w:rPr>
                  <w:rFonts w:ascii="Arial" w:cs="Arial" w:eastAsia="Arial" w:hAnsi="Arial"/>
                  <w:sz w:val="18"/>
                  <w:szCs w:val="18"/>
                  <w:color w:val="0000FF"/>
                  <w:w w:val="79"/>
                </w:rPr>
                <w:t>151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00" w:type="dxa"/>
            <w:vAlign w:val="bottom"/>
            <w:gridSpan w:val="5"/>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Item 9.</w:t>
              </w:r>
            </w:hyperlink>
          </w:p>
        </w:tc>
        <w:tc>
          <w:tcPr>
            <w:tcW w:w="9900" w:type="dxa"/>
            <w:vAlign w:val="bottom"/>
            <w:gridSpan w:val="29"/>
          </w:tcPr>
          <w:p>
            <w:pPr>
              <w:ind w:left="340"/>
              <w:spacing w:after="0"/>
              <w:rPr>
                <w:rFonts w:ascii="Arial" w:cs="Arial" w:eastAsia="Arial" w:hAnsi="Arial"/>
                <w:sz w:val="18"/>
                <w:szCs w:val="18"/>
                <w:color w:val="0000FF"/>
              </w:rPr>
            </w:pPr>
            <w:hyperlink w:anchor="page153">
              <w:r>
                <w:rPr>
                  <w:rFonts w:ascii="Arial" w:cs="Arial" w:eastAsia="Arial" w:hAnsi="Arial"/>
                  <w:sz w:val="18"/>
                  <w:szCs w:val="18"/>
                  <w:color w:val="0000FF"/>
                </w:rPr>
                <w:t>Changes in and Disagreements With Accountants on Accounting and Financial Disclosure</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53">
              <w:r>
                <w:rPr>
                  <w:rFonts w:ascii="Arial" w:cs="Arial" w:eastAsia="Arial" w:hAnsi="Arial"/>
                  <w:sz w:val="18"/>
                  <w:szCs w:val="18"/>
                  <w:color w:val="0000FF"/>
                  <w:w w:val="79"/>
                </w:rPr>
                <w:t>151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53">
              <w:r>
                <w:rPr>
                  <w:rFonts w:ascii="Arial" w:cs="Arial" w:eastAsia="Arial" w:hAnsi="Arial"/>
                  <w:sz w:val="18"/>
                  <w:szCs w:val="18"/>
                  <w:color w:val="0000FF"/>
                  <w:w w:val="92"/>
                </w:rPr>
                <w:t>Item 9A.</w:t>
              </w:r>
            </w:hyperlink>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53">
              <w:r>
                <w:rPr>
                  <w:rFonts w:ascii="Arial" w:cs="Arial" w:eastAsia="Arial" w:hAnsi="Arial"/>
                  <w:sz w:val="18"/>
                  <w:szCs w:val="18"/>
                  <w:color w:val="0000FF"/>
                  <w:w w:val="88"/>
                </w:rPr>
                <w:t>Controls and Procedures</w:t>
              </w:r>
            </w:hyperlink>
          </w:p>
        </w:tc>
        <w:tc>
          <w:tcPr>
            <w:tcW w:w="7780" w:type="dxa"/>
            <w:vAlign w:val="bottom"/>
            <w:gridSpan w:val="21"/>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53">
              <w:r>
                <w:rPr>
                  <w:rFonts w:ascii="Arial" w:cs="Arial" w:eastAsia="Arial" w:hAnsi="Arial"/>
                  <w:sz w:val="18"/>
                  <w:szCs w:val="18"/>
                  <w:color w:val="0000FF"/>
                  <w:w w:val="79"/>
                </w:rPr>
                <w:t>151</w:t>
              </w:r>
            </w:hyperlink>
          </w:p>
        </w:tc>
      </w:tr>
      <w:tr>
        <w:trPr>
          <w:trHeight w:val="210"/>
        </w:trPr>
        <w:tc>
          <w:tcPr>
            <w:tcW w:w="1000" w:type="dxa"/>
            <w:vAlign w:val="bottom"/>
            <w:gridSpan w:val="5"/>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Item 9B.</w:t>
              </w:r>
            </w:hyperlink>
          </w:p>
        </w:tc>
        <w:tc>
          <w:tcPr>
            <w:tcW w:w="9900" w:type="dxa"/>
            <w:vAlign w:val="bottom"/>
            <w:gridSpan w:val="29"/>
          </w:tcPr>
          <w:p>
            <w:pPr>
              <w:ind w:left="340"/>
              <w:spacing w:after="0"/>
              <w:rPr>
                <w:rFonts w:ascii="Arial" w:cs="Arial" w:eastAsia="Arial" w:hAnsi="Arial"/>
                <w:sz w:val="18"/>
                <w:szCs w:val="18"/>
                <w:color w:val="0000FF"/>
              </w:rPr>
            </w:pPr>
            <w:hyperlink w:anchor="page155">
              <w:r>
                <w:rPr>
                  <w:rFonts w:ascii="Arial" w:cs="Arial" w:eastAsia="Arial" w:hAnsi="Arial"/>
                  <w:sz w:val="18"/>
                  <w:szCs w:val="18"/>
                  <w:color w:val="0000FF"/>
                </w:rPr>
                <w:t>Other Information</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55">
              <w:r>
                <w:rPr>
                  <w:rFonts w:ascii="Arial" w:cs="Arial" w:eastAsia="Arial" w:hAnsi="Arial"/>
                  <w:sz w:val="18"/>
                  <w:szCs w:val="18"/>
                  <w:color w:val="0000FF"/>
                  <w:w w:val="79"/>
                </w:rPr>
                <w:t>154</w:t>
              </w:r>
            </w:hyperlink>
          </w:p>
        </w:tc>
      </w:tr>
      <w:tr>
        <w:trPr>
          <w:trHeight w:val="209"/>
        </w:trPr>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156">
              <w:r>
                <w:rPr>
                  <w:rFonts w:ascii="Arial" w:cs="Arial" w:eastAsia="Arial" w:hAnsi="Arial"/>
                  <w:sz w:val="18"/>
                  <w:szCs w:val="18"/>
                  <w:b w:val="1"/>
                  <w:bCs w:val="1"/>
                  <w:color w:val="0000FF"/>
                </w:rPr>
                <w:t>PART III</w:t>
              </w:r>
            </w:hyperlink>
          </w:p>
        </w:tc>
        <w:tc>
          <w:tcPr>
            <w:tcW w:w="4940" w:type="dxa"/>
            <w:vAlign w:val="bottom"/>
            <w:gridSpan w:val="6"/>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600" w:type="dxa"/>
            <w:vAlign w:val="bottom"/>
            <w:gridSpan w:val="2"/>
          </w:tcPr>
          <w:p>
            <w:pPr>
              <w:spacing w:after="0"/>
              <w:rPr>
                <w:rFonts w:ascii="Arial" w:cs="Arial" w:eastAsia="Arial" w:hAnsi="Arial"/>
                <w:sz w:val="18"/>
                <w:szCs w:val="18"/>
                <w:color w:val="0000FF"/>
                <w:w w:val="89"/>
              </w:rPr>
            </w:pPr>
            <w:hyperlink w:anchor="page156">
              <w:r>
                <w:rPr>
                  <w:rFonts w:ascii="Arial" w:cs="Arial" w:eastAsia="Arial" w:hAnsi="Arial"/>
                  <w:sz w:val="18"/>
                  <w:szCs w:val="18"/>
                  <w:color w:val="0000FF"/>
                  <w:w w:val="89"/>
                </w:rPr>
                <w:t>Item 10.</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Directors, Executive Officers and Corporate Governance</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56">
              <w:r>
                <w:rPr>
                  <w:rFonts w:ascii="Arial" w:cs="Arial" w:eastAsia="Arial" w:hAnsi="Arial"/>
                  <w:sz w:val="18"/>
                  <w:szCs w:val="18"/>
                  <w:color w:val="0000FF"/>
                  <w:w w:val="79"/>
                </w:rPr>
                <w:t>154</w:t>
              </w:r>
            </w:hyperlink>
          </w:p>
        </w:tc>
      </w:tr>
      <w:tr>
        <w:trPr>
          <w:trHeight w:val="209"/>
        </w:trPr>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Item 11.</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157">
              <w:r>
                <w:rPr>
                  <w:rFonts w:ascii="Arial" w:cs="Arial" w:eastAsia="Arial" w:hAnsi="Arial"/>
                  <w:sz w:val="18"/>
                  <w:szCs w:val="18"/>
                  <w:color w:val="0000FF"/>
                  <w:w w:val="90"/>
                </w:rPr>
                <w:t>Executive Compensation</w:t>
              </w:r>
            </w:hyperlink>
          </w:p>
        </w:tc>
        <w:tc>
          <w:tcPr>
            <w:tcW w:w="2280" w:type="dxa"/>
            <w:vAlign w:val="bottom"/>
            <w:tcBorders>
              <w:top w:val="single" w:sz="8" w:color="0000FF"/>
            </w:tcBorders>
            <w:gridSpan w:val="9"/>
          </w:tcPr>
          <w:p>
            <w:pPr>
              <w:spacing w:after="0"/>
              <w:rPr>
                <w:sz w:val="18"/>
                <w:szCs w:val="18"/>
                <w:color w:val="auto"/>
              </w:rPr>
            </w:pPr>
          </w:p>
        </w:tc>
        <w:tc>
          <w:tcPr>
            <w:tcW w:w="5460" w:type="dxa"/>
            <w:vAlign w:val="bottom"/>
            <w:gridSpan w:val="11"/>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57">
              <w:r>
                <w:rPr>
                  <w:rFonts w:ascii="Arial" w:cs="Arial" w:eastAsia="Arial" w:hAnsi="Arial"/>
                  <w:sz w:val="18"/>
                  <w:szCs w:val="18"/>
                  <w:color w:val="0000FF"/>
                  <w:w w:val="79"/>
                </w:rPr>
                <w:t>155</w:t>
              </w:r>
            </w:hyperlink>
          </w:p>
        </w:tc>
      </w:tr>
      <w:tr>
        <w:trPr>
          <w:trHeight w:val="209"/>
        </w:trPr>
        <w:tc>
          <w:tcPr>
            <w:tcW w:w="6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Item 12.</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57">
              <w:r>
                <w:rPr>
                  <w:rFonts w:ascii="Arial" w:cs="Arial" w:eastAsia="Arial" w:hAnsi="Arial"/>
                  <w:sz w:val="18"/>
                  <w:szCs w:val="18"/>
                  <w:color w:val="0000FF"/>
                  <w:w w:val="90"/>
                </w:rPr>
                <w:t>Security Ownership of Certain Beneficial Owners and Management and Related Stockholder Matters</w:t>
              </w:r>
            </w:hyperlink>
          </w:p>
        </w:tc>
        <w:tc>
          <w:tcPr>
            <w:tcW w:w="2260" w:type="dxa"/>
            <w:vAlign w:val="bottom"/>
            <w:gridSpan w:val="2"/>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57">
              <w:r>
                <w:rPr>
                  <w:rFonts w:ascii="Arial" w:cs="Arial" w:eastAsia="Arial" w:hAnsi="Arial"/>
                  <w:sz w:val="18"/>
                  <w:szCs w:val="18"/>
                  <w:color w:val="0000FF"/>
                  <w:w w:val="79"/>
                </w:rPr>
                <w:t>155</w:t>
              </w:r>
            </w:hyperlink>
          </w:p>
        </w:tc>
      </w:tr>
      <w:tr>
        <w:trPr>
          <w:trHeight w:val="210"/>
        </w:trPr>
        <w:tc>
          <w:tcPr>
            <w:tcW w:w="6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Item 13.</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Certain Relationships and Related Transactions, and Director Independence</w:t>
              </w:r>
            </w:hyperlink>
          </w:p>
        </w:tc>
        <w:tc>
          <w:tcPr>
            <w:tcW w:w="4100" w:type="dxa"/>
            <w:vAlign w:val="bottom"/>
            <w:gridSpan w:val="5"/>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57">
              <w:r>
                <w:rPr>
                  <w:rFonts w:ascii="Arial" w:cs="Arial" w:eastAsia="Arial" w:hAnsi="Arial"/>
                  <w:sz w:val="18"/>
                  <w:szCs w:val="18"/>
                  <w:color w:val="0000FF"/>
                  <w:w w:val="79"/>
                </w:rPr>
                <w:t>155</w:t>
              </w:r>
            </w:hyperlink>
          </w:p>
        </w:tc>
      </w:tr>
      <w:tr>
        <w:trPr>
          <w:trHeight w:val="210"/>
        </w:trPr>
        <w:tc>
          <w:tcPr>
            <w:tcW w:w="1000" w:type="dxa"/>
            <w:vAlign w:val="bottom"/>
            <w:gridSpan w:val="5"/>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Item 14.</w:t>
              </w:r>
            </w:hyperlink>
          </w:p>
        </w:tc>
        <w:tc>
          <w:tcPr>
            <w:tcW w:w="9900" w:type="dxa"/>
            <w:vAlign w:val="bottom"/>
            <w:gridSpan w:val="29"/>
          </w:tcPr>
          <w:p>
            <w:pPr>
              <w:ind w:left="340"/>
              <w:spacing w:after="0"/>
              <w:rPr>
                <w:rFonts w:ascii="Arial" w:cs="Arial" w:eastAsia="Arial" w:hAnsi="Arial"/>
                <w:sz w:val="18"/>
                <w:szCs w:val="18"/>
                <w:color w:val="0000FF"/>
              </w:rPr>
            </w:pPr>
            <w:hyperlink w:anchor="page157">
              <w:r>
                <w:rPr>
                  <w:rFonts w:ascii="Arial" w:cs="Arial" w:eastAsia="Arial" w:hAnsi="Arial"/>
                  <w:sz w:val="18"/>
                  <w:szCs w:val="18"/>
                  <w:color w:val="0000FF"/>
                </w:rPr>
                <w:t>Principal Accountant Fees and Services</w:t>
              </w:r>
            </w:hyperlink>
          </w:p>
        </w:tc>
        <w:tc>
          <w:tcPr>
            <w:tcW w:w="260" w:type="dxa"/>
            <w:vAlign w:val="bottom"/>
            <w:gridSpan w:val="3"/>
          </w:tcPr>
          <w:p>
            <w:pPr>
              <w:jc w:val="right"/>
              <w:spacing w:after="0"/>
              <w:rPr>
                <w:rFonts w:ascii="Arial" w:cs="Arial" w:eastAsia="Arial" w:hAnsi="Arial"/>
                <w:sz w:val="18"/>
                <w:szCs w:val="18"/>
                <w:color w:val="0000FF"/>
                <w:w w:val="79"/>
              </w:rPr>
            </w:pPr>
            <w:hyperlink w:anchor="page157">
              <w:r>
                <w:rPr>
                  <w:rFonts w:ascii="Arial" w:cs="Arial" w:eastAsia="Arial" w:hAnsi="Arial"/>
                  <w:sz w:val="18"/>
                  <w:szCs w:val="18"/>
                  <w:color w:val="0000FF"/>
                  <w:w w:val="79"/>
                </w:rPr>
                <w:t>155</w:t>
              </w:r>
            </w:hyperlink>
          </w:p>
        </w:tc>
      </w:tr>
      <w:tr>
        <w:trPr>
          <w:trHeight w:val="210"/>
        </w:trPr>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gridSpan w:val="15"/>
          </w:tcPr>
          <w:p>
            <w:pPr>
              <w:jc w:val="center"/>
              <w:ind w:right="4960"/>
              <w:spacing w:after="0"/>
              <w:rPr>
                <w:rFonts w:ascii="Arial" w:cs="Arial" w:eastAsia="Arial" w:hAnsi="Arial"/>
                <w:sz w:val="18"/>
                <w:szCs w:val="18"/>
                <w:b w:val="1"/>
                <w:bCs w:val="1"/>
                <w:color w:val="0000FF"/>
              </w:rPr>
            </w:pPr>
            <w:hyperlink w:anchor="page157">
              <w:r>
                <w:rPr>
                  <w:rFonts w:ascii="Arial" w:cs="Arial" w:eastAsia="Arial" w:hAnsi="Arial"/>
                  <w:sz w:val="18"/>
                  <w:szCs w:val="18"/>
                  <w:b w:val="1"/>
                  <w:bCs w:val="1"/>
                  <w:color w:val="0000FF"/>
                </w:rPr>
                <w:t>PART IV</w:t>
              </w:r>
            </w:hyperlink>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600" w:type="dxa"/>
            <w:vAlign w:val="bottom"/>
            <w:gridSpan w:val="2"/>
          </w:tcPr>
          <w:p>
            <w:pPr>
              <w:spacing w:after="0"/>
              <w:rPr>
                <w:rFonts w:ascii="Arial" w:cs="Arial" w:eastAsia="Arial" w:hAnsi="Arial"/>
                <w:sz w:val="18"/>
                <w:szCs w:val="18"/>
                <w:color w:val="0000FF"/>
                <w:w w:val="89"/>
              </w:rPr>
            </w:pPr>
            <w:hyperlink w:anchor="page158">
              <w:r>
                <w:rPr>
                  <w:rFonts w:ascii="Arial" w:cs="Arial" w:eastAsia="Arial" w:hAnsi="Arial"/>
                  <w:sz w:val="18"/>
                  <w:szCs w:val="18"/>
                  <w:color w:val="0000FF"/>
                  <w:w w:val="89"/>
                </w:rPr>
                <w:t>Item 15.</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900" w:type="dxa"/>
            <w:vAlign w:val="bottom"/>
            <w:gridSpan w:val="14"/>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Exhibits and Financial Statement Schedules</w:t>
              </w:r>
            </w:hyperlink>
          </w:p>
        </w:tc>
        <w:tc>
          <w:tcPr>
            <w:tcW w:w="700" w:type="dxa"/>
            <w:vAlign w:val="bottom"/>
            <w:tcBorders>
              <w:top w:val="single" w:sz="8" w:color="0000FF"/>
            </w:tcBorders>
            <w:gridSpan w:val="7"/>
          </w:tcPr>
          <w:p>
            <w:pPr>
              <w:spacing w:after="0"/>
              <w:rPr>
                <w:sz w:val="18"/>
                <w:szCs w:val="18"/>
                <w:color w:val="auto"/>
              </w:rPr>
            </w:pPr>
          </w:p>
        </w:tc>
        <w:tc>
          <w:tcPr>
            <w:tcW w:w="4960" w:type="dxa"/>
            <w:vAlign w:val="bottom"/>
            <w:gridSpan w:val="7"/>
          </w:tcPr>
          <w:p>
            <w:pPr>
              <w:spacing w:after="0"/>
              <w:rPr>
                <w:sz w:val="18"/>
                <w:szCs w:val="18"/>
                <w:color w:val="auto"/>
              </w:rPr>
            </w:pPr>
          </w:p>
        </w:tc>
        <w:tc>
          <w:tcPr>
            <w:tcW w:w="260" w:type="dxa"/>
            <w:vAlign w:val="bottom"/>
            <w:gridSpan w:val="3"/>
          </w:tcPr>
          <w:p>
            <w:pPr>
              <w:jc w:val="right"/>
              <w:spacing w:after="0"/>
              <w:rPr>
                <w:rFonts w:ascii="Arial" w:cs="Arial" w:eastAsia="Arial" w:hAnsi="Arial"/>
                <w:sz w:val="18"/>
                <w:szCs w:val="18"/>
                <w:color w:val="0000FF"/>
                <w:w w:val="79"/>
              </w:rPr>
            </w:pPr>
            <w:hyperlink w:anchor="page158">
              <w:r>
                <w:rPr>
                  <w:rFonts w:ascii="Arial" w:cs="Arial" w:eastAsia="Arial" w:hAnsi="Arial"/>
                  <w:sz w:val="18"/>
                  <w:szCs w:val="18"/>
                  <w:color w:val="0000FF"/>
                  <w:w w:val="79"/>
                </w:rPr>
                <w:t>156</w:t>
              </w:r>
            </w:hyperlink>
          </w:p>
        </w:tc>
      </w:tr>
      <w:tr>
        <w:trPr>
          <w:trHeight w:val="210"/>
        </w:trPr>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60">
              <w:r>
                <w:rPr>
                  <w:rFonts w:ascii="Arial" w:cs="Arial" w:eastAsia="Arial" w:hAnsi="Arial"/>
                  <w:sz w:val="18"/>
                  <w:szCs w:val="18"/>
                  <w:color w:val="0000FF"/>
                  <w:w w:val="89"/>
                </w:rPr>
                <w:t>Item 16.</w:t>
              </w:r>
            </w:hyperlink>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60">
              <w:r>
                <w:rPr>
                  <w:rFonts w:ascii="Arial" w:cs="Arial" w:eastAsia="Arial" w:hAnsi="Arial"/>
                  <w:sz w:val="18"/>
                  <w:szCs w:val="18"/>
                  <w:color w:val="0000FF"/>
                  <w:w w:val="92"/>
                </w:rPr>
                <w:t>Form 10-K Summary</w:t>
              </w:r>
            </w:hyperlink>
          </w:p>
        </w:tc>
        <w:tc>
          <w:tcPr>
            <w:tcW w:w="1600" w:type="dxa"/>
            <w:vAlign w:val="bottom"/>
            <w:tcBorders>
              <w:top w:val="single" w:sz="8" w:color="0000FF"/>
            </w:tcBorders>
            <w:gridSpan w:val="6"/>
          </w:tcPr>
          <w:p>
            <w:pPr>
              <w:spacing w:after="0"/>
              <w:rPr>
                <w:sz w:val="18"/>
                <w:szCs w:val="18"/>
                <w:color w:val="auto"/>
              </w:rPr>
            </w:pPr>
          </w:p>
        </w:tc>
        <w:tc>
          <w:tcPr>
            <w:tcW w:w="6400" w:type="dxa"/>
            <w:vAlign w:val="bottom"/>
            <w:gridSpan w:val="17"/>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60">
              <w:r>
                <w:rPr>
                  <w:rFonts w:ascii="Arial" w:cs="Arial" w:eastAsia="Arial" w:hAnsi="Arial"/>
                  <w:sz w:val="18"/>
                  <w:szCs w:val="18"/>
                  <w:color w:val="0000FF"/>
                  <w:w w:val="79"/>
                </w:rPr>
                <w:t>158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9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98" w:lineRule="exact"/>
        <w:rPr>
          <w:sz w:val="20"/>
          <w:szCs w:val="20"/>
          <w:color w:val="auto"/>
        </w:rPr>
      </w:pPr>
    </w:p>
    <w:p>
      <w:pPr>
        <w:ind w:left="660" w:right="6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including our goal to deliver treatment options for all stages of age-related macular degeneration (AMD);</w:t>
      </w:r>
    </w:p>
    <w:p>
      <w:pPr>
        <w:spacing w:after="0" w:line="89"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w:t>
      </w:r>
    </w:p>
    <w:p>
      <w:pPr>
        <w:spacing w:after="0" w:line="183" w:lineRule="exact"/>
        <w:rPr>
          <w:rFonts w:ascii="Arial" w:cs="Arial" w:eastAsia="Arial" w:hAnsi="Arial"/>
          <w:sz w:val="18"/>
          <w:szCs w:val="18"/>
          <w:color w:val="auto"/>
        </w:rPr>
      </w:pPr>
    </w:p>
    <w:p>
      <w:pPr>
        <w:ind w:left="660" w:right="180" w:hanging="328"/>
        <w:spacing w:after="0" w:line="279"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based on the clinical trial results we have received to date and the future results from the GATHER2 clinical trial and any other trials we or a potential collaborator may conduct;</w:t>
      </w:r>
    </w:p>
    <w:p>
      <w:pPr>
        <w:spacing w:after="0" w:line="171"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expectations for initiating a clinical trial evaluating Zimura for the treatment of intermediate AMD, and for evaluating, obtaining rights to and developing sustained release delivery technologies for Zimura;</w:t>
      </w:r>
    </w:p>
    <w:p>
      <w:pPr>
        <w:spacing w:after="0" w:line="170"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8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Zimura and our other product candidates, including scale up and validation of the manufacturing process for Zimura drug substance and drug product, and securing the supply of Zimura drug product and the polyethylene glycol (PEG) starting material for our expected needs;</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ability to consummate business development transactions, including potential collaboration opportunities for further development and potential commercialization of Zimura outside the United States and potential collaboration opportunities for further development of IC-100 and IC-200; and in-licenses or other opportunities to acquire rights to additional product candidates or technologies to treat retinal diseases, including sustained release delivery technologies for Zimura;</w:t>
      </w:r>
    </w:p>
    <w:p>
      <w:pPr>
        <w:spacing w:after="0" w:line="186" w:lineRule="exact"/>
        <w:rPr>
          <w:rFonts w:ascii="Arial" w:cs="Arial" w:eastAsia="Arial" w:hAnsi="Arial"/>
          <w:sz w:val="18"/>
          <w:szCs w:val="18"/>
          <w:color w:val="auto"/>
        </w:rPr>
      </w:pPr>
    </w:p>
    <w:p>
      <w:pPr>
        <w:jc w:val="both"/>
        <w:ind w:left="660" w:right="20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actual and expected effects of the COVID-19 pandemic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3"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 including our ability to obtain coverage and reimbursement for those product candidates, if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section "Summary of Principal Risk Factors" below and the risk factors detailed further in Item 1A, "Risk Factors" of Part I of this report and in our Securities and Exchange Commission reports filed after this report,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1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04" w:lineRule="exact"/>
        <w:rPr>
          <w:sz w:val="20"/>
          <w:szCs w:val="20"/>
          <w:color w:val="auto"/>
        </w:rPr>
      </w:pPr>
    </w:p>
    <w:p>
      <w:pPr>
        <w:jc w:val="both"/>
        <w:ind w:right="120" w:firstLine="445"/>
        <w:spacing w:after="0" w:line="311"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Item 1A. Risk Factors section of this Annual Report on</w:t>
      </w:r>
    </w:p>
    <w:p>
      <w:pPr>
        <w:spacing w:after="0" w:line="2" w:lineRule="exact"/>
        <w:rPr>
          <w:sz w:val="20"/>
          <w:szCs w:val="20"/>
          <w:color w:val="auto"/>
        </w:rPr>
      </w:pPr>
    </w:p>
    <w:p>
      <w:pPr>
        <w:ind w:right="2080"/>
        <w:spacing w:after="0" w:line="295" w:lineRule="auto"/>
        <w:rPr>
          <w:sz w:val="20"/>
          <w:szCs w:val="20"/>
          <w:color w:val="auto"/>
        </w:rPr>
      </w:pPr>
      <w:r>
        <w:rPr>
          <w:rFonts w:ascii="Arial" w:cs="Arial" w:eastAsia="Arial" w:hAnsi="Arial"/>
          <w:sz w:val="16"/>
          <w:szCs w:val="16"/>
          <w:i w:val="1"/>
          <w:iCs w:val="1"/>
          <w:color w:val="auto"/>
        </w:rPr>
        <w:t>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development-stage company without any approved products. The value of your investment is highly dependent on the success of Zimura and our other research and development programs, which carry numerous risks. We are working to transition to being a company capable of commercializing a pharmaceutical product, if approved, and may not be successful in this transition.</w:t>
      </w:r>
    </w:p>
    <w:p>
      <w:pPr>
        <w:spacing w:after="0" w:line="21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197"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contract manufacturing organizations, contract research organizations and other vendors, and aspects of our supply chain. Because of the ongoing and fluid nature of the pandemic, it will continue to affect our business.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obtaining rights to and developing a sustained release delivery technology for Zimura.</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197"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213" w:lineRule="exact"/>
        <w:rPr>
          <w:rFonts w:ascii="Arial" w:cs="Arial" w:eastAsia="Arial" w:hAnsi="Arial"/>
          <w:sz w:val="18"/>
          <w:szCs w:val="18"/>
          <w:color w:val="auto"/>
        </w:rPr>
      </w:pPr>
    </w:p>
    <w:p>
      <w:pPr>
        <w:ind w:left="660" w:right="80" w:hanging="328"/>
        <w:spacing w:after="0" w:line="29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authorities, including the U.S. Food and Drug Administration, or FDA, and the European Medicines Agency, or EMA, may disagree with the design of or our analyses or conclusions from our clinical trials of Zimura in GA or our planned development pathway for Zimura in intermediate AMD. Since receipt of the 12-month results from GATHER1, we have not had any formal interactions with the EMA regarding our planned regulatory pathway for Zimura in GA and the EMA and other regulatory authorities may disagree with the requirements of the FDA. We may need to conduct additional clinical trials or nonclinical studies for Zimura in order to obtain marketing approval or reimbursement approval.</w:t>
      </w:r>
    </w:p>
    <w:p>
      <w:pPr>
        <w:spacing w:after="0" w:line="188"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the GATHER2 trial may not replicate the results of the GATHER1 trial. We may discover safety issues with our product candidates due to known and currently unknown factors, which could hamper their further development.</w:t>
      </w:r>
    </w:p>
    <w:p>
      <w:pPr>
        <w:spacing w:after="0" w:line="197"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our product candidates is technically complex, expensive and time consuming. We may face issues with scaling up and validating the manufacturing process for Zimura. We may not be able to secure adequate manufacturing capacity of Zimura drug product or adequate supply of the PEG starting material for our future needs, including potential commercial launch. Issues with manufacturing can derail the further development or commercialization of our product candidates.</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52"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commercialize any of our product candidates, if approved, we will need to set up a sales and marketing infrastructure. We have only recently hired commercialization personnel and will need to continue building our commercial infrastructure. The success of our commercialization efforts will depend in part on the degree of acceptance of our product candidates by regulatory authorities, patients, the medical community and payors.</w:t>
      </w:r>
    </w:p>
    <w:p>
      <w:pPr>
        <w:spacing w:after="0" w:line="175"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requirements. We may need to engage alternative manufacturers or suppliers sooner than we currently expect.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8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heavily on our third-party contract research organizations as well as our clinical trial sites. They may have different priorities than we do and may fail to follow regulatory requirements, including good laboratory practice, good clinical practice and other data integrity requirements.</w:t>
      </w:r>
    </w:p>
    <w:p>
      <w:pPr>
        <w:spacing w:after="0" w:line="150" w:lineRule="exact"/>
        <w:rPr>
          <w:rFonts w:ascii="Arial" w:cs="Arial" w:eastAsia="Arial" w:hAnsi="Arial"/>
          <w:sz w:val="16"/>
          <w:szCs w:val="16"/>
          <w:color w:val="auto"/>
        </w:rPr>
      </w:pPr>
    </w:p>
    <w:p>
      <w:pPr>
        <w:ind w:left="6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pursue a collaboration for the further development and potential commercialization of Zimura in one or more territories outside the United States, and plan to pursue a collaboration for the further development and potential commercialization of IC-100 and IC-200. We may also pursue a collaboration for the further development of any promising sustained release delivery technologies for Zimura. For any of these, we may not be able to enter into a collaboration agreement on favorable terms, or at all. Even if we are able to do so, the collaboration may not be successful.</w:t>
      </w:r>
    </w:p>
    <w:p>
      <w:pPr>
        <w:spacing w:after="0" w:line="214"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97" w:lineRule="exact"/>
        <w:rPr>
          <w:rFonts w:ascii="Arial" w:cs="Arial" w:eastAsia="Arial" w:hAnsi="Arial"/>
          <w:sz w:val="18"/>
          <w:szCs w:val="18"/>
          <w:color w:val="auto"/>
        </w:rPr>
      </w:pPr>
    </w:p>
    <w:p>
      <w:pPr>
        <w:jc w:val="both"/>
        <w:ind w:left="660" w:right="5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0"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plan to hire additional qualified personnel, including commercialization and medical affairs personnel, to support the growth of our business. Hiring these personnel and retaining existing employees may be challenging.</w:t>
      </w:r>
    </w:p>
    <w:p>
      <w:pPr>
        <w:spacing w:after="0" w:line="213"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0"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 including as we prepare for potential commercialization of Zimura.</w:t>
      </w:r>
    </w:p>
    <w:p>
      <w:pPr>
        <w:spacing w:after="0" w:line="210" w:lineRule="exact"/>
        <w:rPr>
          <w:rFonts w:ascii="Arial" w:cs="Arial" w:eastAsia="Arial" w:hAnsi="Arial"/>
          <w:sz w:val="18"/>
          <w:szCs w:val="18"/>
          <w:color w:val="auto"/>
        </w:rPr>
      </w:pPr>
    </w:p>
    <w:p>
      <w:pPr>
        <w:ind w:left="660" w:right="5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200" w:firstLine="177"/>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Annual Report on Form 10-K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Annual Report on Form 10-K after their first reference in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Our Strategy</w:t>
      </w:r>
    </w:p>
    <w:p>
      <w:pPr>
        <w:spacing w:after="0" w:line="229" w:lineRule="exact"/>
        <w:rPr>
          <w:sz w:val="20"/>
          <w:szCs w:val="20"/>
          <w:color w:val="auto"/>
        </w:rPr>
      </w:pPr>
    </w:p>
    <w:p>
      <w:pPr>
        <w:jc w:val="both"/>
        <w:ind w:right="100" w:firstLine="177"/>
        <w:spacing w:after="0" w:line="263"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10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lead asset is our clinical stage product candidate Zimura® (avacincaptad pegol), a complement C5 inhibitor. We are currently targeting the following diseases with Zimura:</w:t>
      </w:r>
    </w:p>
    <w:p>
      <w:pPr>
        <w:spacing w:after="0" w:line="103" w:lineRule="exact"/>
        <w:rPr>
          <w:sz w:val="20"/>
          <w:szCs w:val="20"/>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144"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03"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July 2021, we completed patient enrollment for GATHER2, our Phase 3 clinical trial evaluating the safety and efficacy of Zimura for the treatment of GA secondary to AMD. We also received a written agreement from the U.S. Food and Drug Administration, or the FDA, under a Special Protocol Assessment, or SPA, for the overall design of GATHER2. We expect topline data from the GATHER2 trial to become available during the second half of 2022, approximately one year after the enrollment of the last patient plus the time needed for database lock and analysis. We also plan to initiate a Phase 3 clinical trial evaluating Zimura for patients with intermediate AMD during the second half of 2022.</w:t>
      </w:r>
    </w:p>
    <w:p>
      <w:pPr>
        <w:spacing w:after="0" w:line="10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Zimura, we are developing our preclinical product candidate IC-500, a High temperature requirement A serine peptidase 1 protein, or HtrA1, inhibitor, for GA and potentially other age-related retinal diseases. Based on current timelines, we expect to submit an investigational new drug application, or IND, to the FDA for IC-500 in mid-2023.</w:t>
      </w:r>
    </w:p>
    <w:p>
      <w:pPr>
        <w:spacing w:after="0" w:line="103"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116" w:lineRule="exact"/>
        <w:rPr>
          <w:sz w:val="20"/>
          <w:szCs w:val="20"/>
          <w:color w:val="auto"/>
        </w:rPr>
      </w:pPr>
    </w:p>
    <w:p>
      <w:pPr>
        <w:ind w:left="660" w:right="3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or Best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103"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As we focus our efforts on and prioritize the development and potential commercialization of Zimura, we have been considering our development options for IC-100 and IC-200, which we have been developing for RHO-adRP and BEST1-related IRDs, respectively. We currently plan to seek a collaborator for the future development and potential commercialization of these product candidates.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486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these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Highlights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2021, we achieved a number of significant company milestones, including the following:</w:t>
      </w:r>
    </w:p>
    <w:p>
      <w:pPr>
        <w:spacing w:after="0" w:line="225" w:lineRule="exact"/>
        <w:rPr>
          <w:sz w:val="20"/>
          <w:szCs w:val="20"/>
          <w:color w:val="auto"/>
        </w:rPr>
      </w:pPr>
    </w:p>
    <w:p>
      <w:pPr>
        <w:ind w:left="660" w:right="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2021, we completed patient enrollment in GATHER2, four months ahead of our original schedule. We expect 12-month top-line data from this trial to become available during the second half of 2022, approximately one year after the enrollment of the last patient plus the time needed for database lock and analysis.</w:t>
      </w:r>
    </w:p>
    <w:p>
      <w:pPr>
        <w:spacing w:after="0" w:line="183"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July 2021, we received a written agreement from the FDA under a SPA for the overall design of GATHER2. We also had a number of other interactions with the FDA throughout 2021, which we believe clarified our regulatory pathway and plans for submitting a new drug application, or NDA, to the FDA for marketing approval of Zimura for the treatment of GA, if the GATHER2 data are positive.</w:t>
      </w:r>
    </w:p>
    <w:p>
      <w:pPr>
        <w:spacing w:after="0" w:line="165" w:lineRule="exact"/>
        <w:rPr>
          <w:rFonts w:ascii="Arial" w:cs="Arial" w:eastAsia="Arial" w:hAnsi="Arial"/>
          <w:sz w:val="17"/>
          <w:szCs w:val="17"/>
          <w:color w:val="auto"/>
        </w:rPr>
      </w:pPr>
    </w:p>
    <w:p>
      <w:pPr>
        <w:ind w:left="660" w:right="80" w:hanging="328"/>
        <w:spacing w:after="0" w:line="27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June 2021, we announced data from post-hoc analyses on the GATHER1 data, in which we evaluated the progression of incomplete Retinal Pigment Epithelial and Outer Retinal Atrophy, or iRORA, to complete Retinal Pigment Epithelial and Outer Retinal Atrophy, or cRORA, and the progression of drusen to iRORA or cRORA, in patients receiving Zimura 2 mg as compared to patients in the corresponding sham group. The post-hoc analysis data show a 19.6% absolute reduction in the rate of progression from drusen to iRORA or cRORA, for the Zimura 2 mg group as compared to sham at 18 months, representing a relative reduction of 72%. The data also show a 21.8% absolute reduction in the rate of progression from iRORA to cRORA for the Zimura 2 mg group as compared to sham at 18 months, representing a relative reduction of 52%. We have been encouraged by the post-hoc analyses data and are planning a Phase 3 clinical trial studying Zimura in patients with intermediate AMD, which we plan to initiate during the second half of 2022.</w:t>
      </w:r>
    </w:p>
    <w:p>
      <w:pPr>
        <w:spacing w:after="0" w:line="178" w:lineRule="exact"/>
        <w:rPr>
          <w:rFonts w:ascii="Arial" w:cs="Arial" w:eastAsia="Arial" w:hAnsi="Arial"/>
          <w:sz w:val="17"/>
          <w:szCs w:val="17"/>
          <w:color w:val="auto"/>
        </w:rPr>
      </w:pPr>
    </w:p>
    <w:p>
      <w:pPr>
        <w:ind w:left="660" w:right="400" w:hanging="328"/>
        <w:spacing w:after="0" w:line="31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July 2021 and October 2021, we closed two underwritten public offerings in which we sold 13,397,500 shares of our common stock and 10,350,000 shares of our common stock, respectively. The net proceeds from the public offerings, after deducting underwriting discounts and commissions and other offering expenses payable by us, were approximately $107.8 million and $162.6 million, respectively.</w:t>
      </w:r>
    </w:p>
    <w:p>
      <w:pPr>
        <w:spacing w:after="0" w:line="148"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continued to hire strategically to support key areas of our business, such as commercial planning, medical affairs and clinical development, manufacturing, preclinical research, and regulatory affairs and pharmacovigilance, with a total of 37 full-time employees joining our team over the course of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Beginning in 2017, we pursued a business development strategy focused on evaluating various available technologies to treat ophthalmic diseases, particularly those in the back of the eye, and exploring opportunities to obtain rights to additional products and product candidates employing these technologies. Our efforts resulted in the expansion of our research and development pipeline, including the addition of IC-500, IC-100, IC-200 and a number of collaborative gene therapy sponsored research programs.</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212529"/>
        </w:rPr>
        <w:t>As we continue the development of our product candidates and programs, prepare for the potential commercialization of Zimura and evaluate our overall strategic priorities, we will continue to pursue selective business development and financing opportunities that advance us toward our strategic goals. We plan to continue to evaluate, on a selective and targeted basis, opportunities to potentially obtain rights to additional product candidates and technologies for retinal diseases, with a focus on sustained release delivery technologies for Zimura.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Zimura in one or more territories outside the United States and collaboration opportunities for the future development and potential commercialization of IC-100 and IC-200.</w:t>
      </w:r>
    </w:p>
    <w:p>
      <w:pPr>
        <w:spacing w:after="0" w:line="9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For information about our follow-on public offerings that we completed in July 2021 and October 2021, please see the Liquidity and Capital Resources section of Management' s Discussion and Analysis of Financial Condition and Results of Operations set forth in Part I, Item 7 </w:t>
      </w:r>
      <w:r>
        <w:rPr>
          <w:rFonts w:ascii="Arial" w:cs="Arial" w:eastAsia="Arial" w:hAnsi="Arial"/>
          <w:sz w:val="18"/>
          <w:szCs w:val="18"/>
          <w:color w:val="212529"/>
        </w:rPr>
        <w:t>of this Annual</w:t>
      </w:r>
      <w:r>
        <w:rPr>
          <w:rFonts w:ascii="Arial" w:cs="Arial" w:eastAsia="Arial" w:hAnsi="Arial"/>
          <w:sz w:val="18"/>
          <w:szCs w:val="18"/>
          <w:color w:val="auto"/>
        </w:rPr>
        <w:t xml:space="preserve"> </w:t>
      </w:r>
      <w:r>
        <w:rPr>
          <w:rFonts w:ascii="Arial" w:cs="Arial" w:eastAsia="Arial" w:hAnsi="Arial"/>
          <w:sz w:val="18"/>
          <w:szCs w:val="18"/>
          <w:color w:val="212529"/>
        </w:rPr>
        <w:t>Report on Form 10-K</w:t>
      </w:r>
      <w:r>
        <w:rPr>
          <w:rFonts w:ascii="Arial" w:cs="Arial" w:eastAsia="Arial" w:hAnsi="Arial"/>
          <w:sz w:val="18"/>
          <w:szCs w:val="18"/>
          <w:color w:val="000000"/>
        </w:rPr>
        <w:t>. We expect to continue to pursue capital raising transactions when they are available on terms favorable to us and if the opportunity</w:t>
      </w:r>
      <w:r>
        <w:rPr>
          <w:rFonts w:ascii="Arial" w:cs="Arial" w:eastAsia="Arial" w:hAnsi="Arial"/>
          <w:sz w:val="18"/>
          <w:szCs w:val="18"/>
          <w:color w:val="212529"/>
        </w:rPr>
        <w:t xml:space="preserve"> </w:t>
      </w:r>
      <w:r>
        <w:rPr>
          <w:rFonts w:ascii="Arial" w:cs="Arial" w:eastAsia="Arial" w:hAnsi="Arial"/>
          <w:sz w:val="18"/>
          <w:szCs w:val="18"/>
          <w:color w:val="000000"/>
        </w:rPr>
        <w:t>advances our strategic goals.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March 2020, the COVID-19 pandemic and measures taken to contain it have affected various aspects of our business and operations, including our clinical trials, our supply chain, our workforce and the work of our third-party contract manufacturers, contract research organizations, or CROs, and other vendors. For example, in March 2020, we decided to delay the initiation of patient enrollment in our GATHER2 trial. We completed patient enrollment for GATHER2 in July 2021, and we and our clinical trial sites have implemented a number of changes to our clinical trial operations to protect the health and safety of our clinical trial participants and site staff. Additionally, many of our third-party contract manufacturers and CROs limited their operations and staff and have recently been facing increased demand from clients due to the ongoing uncertainties associated with the COVID-19 pandemic, which resulted in delays to some of our manufacturing and research and development activities. For example, we anticipate that the start of the IND-enabling toxicology studies we are planning for IC-500 will be later than what we originally planned, primarily due to the limited availability of study slots at CROs attributable to rising demand for their services as well as increased absenteeism of staff at those CROs in wake of the COVID-19 pandemic and the recent Omicron variant. In addition, shortages, delays and governmental restrictions arising from the COVID-19 pandemic, including the ongoing issues with the global supply chain, have disrupted and may continue to disrupt the ability of our contract manufacturers and CROs to source needed materials.</w:t>
      </w:r>
    </w:p>
    <w:p>
      <w:pPr>
        <w:spacing w:after="0" w:line="1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March 2020, as a result of the COVID-19 pandemic, we instituted company-wide remote working and we expect to continue working in a hybrid (partially remote and partially in office) working model for the foreseeable near future. We are continuing to monitor and support the health and well-being of our employees and their productivity as remote working continues. Starting in the middle of 2021, we began permitting employees to return to the office on a voluntary basis subject to compliance with our newly implemented health and safety policies.</w:t>
      </w:r>
    </w:p>
    <w:p>
      <w:pPr>
        <w:spacing w:after="0" w:line="90"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212529"/>
        </w:rPr>
        <w:t>For a more detailed discussion of the actual and potential impacts to us as a result of the COVID-19 pandemic, see the other sections of this Annual Report on Form 10-K, including Management's Discussion and Analysis of Results of Operations and Financial Position set forth in Part I, Item 7 and the Risk Factors set forth in Part I, Item 1A.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Diseases</w:t>
      </w:r>
    </w:p>
    <w:p>
      <w:pPr>
        <w:spacing w:after="0" w:line="229" w:lineRule="exact"/>
        <w:rPr>
          <w:sz w:val="20"/>
          <w:szCs w:val="20"/>
          <w:color w:val="auto"/>
        </w:rPr>
      </w:pPr>
    </w:p>
    <w:p>
      <w:pPr>
        <w:ind w:right="60" w:firstLine="180"/>
        <w:spacing w:after="0" w:line="272" w:lineRule="auto"/>
        <w:rPr>
          <w:sz w:val="20"/>
          <w:szCs w:val="20"/>
          <w:color w:val="auto"/>
        </w:rPr>
      </w:pPr>
      <w:r>
        <w:rPr>
          <w:rFonts w:ascii="Arial" w:cs="Arial" w:eastAsia="Arial" w:hAnsi="Arial"/>
          <w:sz w:val="17"/>
          <w:szCs w:val="17"/>
          <w:color w:val="auto"/>
        </w:rPr>
        <w:t>Eye diseases can be caused by many factors and can affect both the front or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 Related Macular Degeneration, including Geographic Atrophy and intermediate AMD</w:t>
      </w:r>
    </w:p>
    <w:p>
      <w:pPr>
        <w:spacing w:after="0" w:line="252" w:lineRule="exact"/>
        <w:rPr>
          <w:sz w:val="20"/>
          <w:szCs w:val="20"/>
          <w:color w:val="auto"/>
        </w:rPr>
      </w:pPr>
    </w:p>
    <w:p>
      <w:pPr>
        <w:ind w:right="20" w:firstLine="170"/>
        <w:spacing w:after="0" w:line="271" w:lineRule="auto"/>
        <w:rPr>
          <w:sz w:val="20"/>
          <w:szCs w:val="20"/>
          <w:color w:val="auto"/>
        </w:rPr>
      </w:pPr>
      <w:r>
        <w:rPr>
          <w:rFonts w:ascii="Arial" w:cs="Arial" w:eastAsia="Arial" w:hAnsi="Arial"/>
          <w:sz w:val="17"/>
          <w:szCs w:val="17"/>
          <w:color w:val="auto"/>
        </w:rPr>
        <w:t xml:space="preserve">AMD is an age-related disease characterized by progressive degenerative abnormalities in the macula, a small area in the central portion of the retina responsible for central vision. AMD is characteristically a disease of the elderly and is the leading cause of visual loss in individuals over 50 years of age in developed countries. Based on a 2016 epidemiology paper published in </w:t>
      </w:r>
      <w:r>
        <w:rPr>
          <w:rFonts w:ascii="Arial" w:cs="Arial" w:eastAsia="Arial" w:hAnsi="Arial"/>
          <w:sz w:val="17"/>
          <w:szCs w:val="17"/>
          <w:i w:val="1"/>
          <w:iCs w:val="1"/>
          <w:color w:val="auto"/>
        </w:rPr>
        <w:t>Eye and Vision</w:t>
      </w:r>
      <w:r>
        <w:rPr>
          <w:rFonts w:ascii="Arial" w:cs="Arial" w:eastAsia="Arial" w:hAnsi="Arial"/>
          <w:sz w:val="17"/>
          <w:szCs w:val="17"/>
          <w:color w:val="auto"/>
        </w:rPr>
        <w:t>, we estimate that currently approximately 11 million individuals in the United States and 170 million individuals worldwide have a form of AMD. Because of increasing life expectancy in developed and developing countries, the elderly population is expected to grow significantly in coming decades. Projections based on U.S. Census Bureau data suggest that the number of Americans over the age of 65 will more than double to approximately 80 million by the middle of this century. In the absence of adequate prevention or treatment measures, the number of cases of AMD with visual loss is expected to grow in parallel with the aging population, leading to a major public health challenge with significant socioeconomic implications.</w:t>
      </w:r>
    </w:p>
    <w:p>
      <w:pPr>
        <w:spacing w:after="0" w:line="205" w:lineRule="exact"/>
        <w:rPr>
          <w:sz w:val="20"/>
          <w:szCs w:val="20"/>
          <w:color w:val="auto"/>
        </w:rPr>
      </w:pPr>
    </w:p>
    <w:p>
      <w:pPr>
        <w:ind w:firstLine="170"/>
        <w:spacing w:after="0" w:line="288" w:lineRule="auto"/>
        <w:rPr>
          <w:sz w:val="20"/>
          <w:szCs w:val="20"/>
          <w:color w:val="auto"/>
        </w:rPr>
      </w:pPr>
      <w:r>
        <w:rPr>
          <w:rFonts w:ascii="Arial" w:cs="Arial" w:eastAsia="Arial" w:hAnsi="Arial"/>
          <w:sz w:val="16"/>
          <w:szCs w:val="16"/>
          <w:color w:val="auto"/>
        </w:rPr>
        <w:t>AMD, at its early stages, presents with abnormalities in the retinal pigment epithelium, or the RPE, and yellow-white deposits under the RPE known as drusen, which generally become larger and more numerous as AMD progresses. The RPE is a layer of cells within the retina on which photoreceptors, the cells in the retina that are responsible for capturing light and converting it to electrochemical signals to the brain, are dependent for nutrients, waste disposal and other needs. As the disease progresses with age to the advanced stage, it generally progresses as either the non-neovascular or dry form of AMD or the neovascular or wet form of the disease. In the dry form of AMD, the eventual loss of photoreceptors, RPE cells and associated capillary blood vessels in the macula results in marked thinning and/or atrophy of retinal tissue. This advanced stage of dry AMD is called GA. In the wet form of AMD, abnormal new blood vessels originate beneath the retina, in a layer called the choroid, and invade into the overlying retinal layers, through a process called choroidal neovascularization, or CNV. The macula of patients diagnosed with the wet form of AMD, who are usually treated with currently approved standard of care anti-vascular endothelial growth factor, or anti-VEGF, therapies, can continue to atrophy resulting in GA, which suggests that in many AMD patients, regardless of whether they have the dry or the wet form, the final anatomic outcome leading to loss of vision is GA.</w:t>
      </w:r>
    </w:p>
    <w:p>
      <w:pPr>
        <w:spacing w:after="0" w:line="195"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 xml:space="preserve">GA is a significant cause of bilateral, irreversible and severe loss of functional vision. Many individuals with GA experience dark spots in their field of vision, referred to as scotoma, even if their central vision remains normal. As a result, GA has a major impact on the functional vision, quality of life, and independence of affected individuals. The median time for development of central GA from the time of diagnosis is two and a half years with the condition expected to develop in the fellow eye within approximately seven years. Based on a comprehensive epidemiology study published in 2004 in </w:t>
      </w:r>
      <w:r>
        <w:rPr>
          <w:rFonts w:ascii="Arial" w:cs="Arial" w:eastAsia="Arial" w:hAnsi="Arial"/>
          <w:sz w:val="18"/>
          <w:szCs w:val="18"/>
          <w:i w:val="1"/>
          <w:iCs w:val="1"/>
          <w:color w:val="auto"/>
        </w:rPr>
        <w:t>Archives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Ophthalmology, </w:t>
      </w:r>
      <w:r>
        <w:rPr>
          <w:rFonts w:ascii="Arial" w:cs="Arial" w:eastAsia="Arial" w:hAnsi="Arial"/>
          <w:sz w:val="18"/>
          <w:szCs w:val="18"/>
          <w:color w:val="auto"/>
        </w:rPr>
        <w:t>we estimate that there are currently approximately 1.5 million people in the United States with GA. Furthermore, based on a study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published in 2015 in the </w:t>
      </w:r>
      <w:r>
        <w:rPr>
          <w:rFonts w:ascii="Arial" w:cs="Arial" w:eastAsia="Arial" w:hAnsi="Arial"/>
          <w:sz w:val="18"/>
          <w:szCs w:val="18"/>
          <w:i w:val="1"/>
          <w:iCs w:val="1"/>
          <w:color w:val="auto"/>
        </w:rPr>
        <w:t>American Journal of Ophthalmology,</w:t>
      </w:r>
      <w:r>
        <w:rPr>
          <w:rFonts w:ascii="Arial" w:cs="Arial" w:eastAsia="Arial" w:hAnsi="Arial"/>
          <w:sz w:val="18"/>
          <w:szCs w:val="18"/>
          <w:color w:val="auto"/>
        </w:rPr>
        <w:t xml:space="preserve"> we estimate that approximately 159,000 people in the United States develop GA each year. Although anti-VEGF therapy is available for treatment of wet AMD, no FDA or European Medicines Agency, or EMA, approved treatment is currently available for GA.</w:t>
      </w:r>
    </w:p>
    <w:p>
      <w:pPr>
        <w:spacing w:after="0" w:line="205" w:lineRule="exact"/>
        <w:rPr>
          <w:sz w:val="20"/>
          <w:szCs w:val="20"/>
          <w:color w:val="auto"/>
        </w:rPr>
      </w:pPr>
    </w:p>
    <w:p>
      <w:pPr>
        <w:ind w:right="40" w:firstLine="648"/>
        <w:spacing w:after="0" w:line="258" w:lineRule="auto"/>
        <w:rPr>
          <w:sz w:val="20"/>
          <w:szCs w:val="20"/>
          <w:color w:val="auto"/>
        </w:rPr>
      </w:pPr>
      <w:r>
        <w:rPr>
          <w:rFonts w:ascii="Arial" w:cs="Arial" w:eastAsia="Arial" w:hAnsi="Arial"/>
          <w:sz w:val="16"/>
          <w:szCs w:val="16"/>
          <w:color w:val="auto"/>
        </w:rPr>
        <w:t>Before the development of central GA or wet AMD, many AMD patients experience a less advanced form of the disease, commonly referred to as intermediate AMD. Intermediate AMD is typically characterized by the presence of extensive medium-size drusen (&gt;63 µm and &lt;125 µm in height) and/or one or more large drusen (&gt;125 µm in height). While most of these patients have well preserved best corrected visual acuity, or BCVA, and are otherwise asymptomatic, many experience other visual disturbances such as blurred vision while reading or difficulty with adapting to seeing in low light. We estimate that by 2039, there will be approximately six million individuals with drusen in the United States and eight million individuals with drusen in France, Germany, Italy, Spain and United Kingdom, which we refer to as the EU5 countries, on a combined basis. Intermediate AMD is a subset of drusen.</w:t>
      </w:r>
    </w:p>
    <w:p>
      <w:pPr>
        <w:spacing w:after="0" w:line="204"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The absence of treatment options for GA and many other stages of AMD, including intermediate AMD, represents an area of urgent unmet medical need and a major public health concern for the expanding elderly population.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Inherited Retinal Diseases</w:t>
      </w:r>
    </w:p>
    <w:p>
      <w:pPr>
        <w:spacing w:after="0" w:line="131"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120"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124" w:lineRule="exact"/>
        <w:rPr>
          <w:sz w:val="20"/>
          <w:szCs w:val="20"/>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subject may express only the mutant allele and not the wildtype allele, resulting in production of only protein with limited or no function and not the wildtype protein;</w:t>
      </w:r>
    </w:p>
    <w:p>
      <w:pPr>
        <w:spacing w:after="0" w:line="8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subject may be expressing both alleles, but because of the mutation on one of the alleles, the amount of functional protein may not be sufficient;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protein expressed by the mutant allele may be toxic to the cells in which it is produced.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44" w:lineRule="exact"/>
        <w:rPr>
          <w:sz w:val="20"/>
          <w:szCs w:val="20"/>
          <w:color w:val="auto"/>
        </w:rPr>
      </w:pPr>
    </w:p>
    <w:p>
      <w:pPr>
        <w:ind w:right="220" w:firstLine="180"/>
        <w:spacing w:after="0" w:line="286" w:lineRule="auto"/>
        <w:rPr>
          <w:sz w:val="20"/>
          <w:szCs w:val="20"/>
          <w:color w:val="auto"/>
        </w:rPr>
      </w:pPr>
      <w:r>
        <w:rPr>
          <w:rFonts w:ascii="Arial" w:cs="Arial" w:eastAsia="Arial" w:hAnsi="Arial"/>
          <w:sz w:val="17"/>
          <w:szCs w:val="17"/>
          <w:color w:val="auto"/>
        </w:rPr>
        <w:t xml:space="preserve">Stargardt disease is an IRD that causes progressive damage to the macula and retina, leading to loss of vision in children and adolescents. The most common form of Stargardt disease is STGD1, the autosomal recessive form. STGD1 is caused by mutations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which is responsible for making a protein that helps to clear byproducts resulting from the visual cycle from inside photoreceptor cells in the eye.</w:t>
      </w:r>
    </w:p>
    <w:p>
      <w:pPr>
        <w:spacing w:after="0" w:line="192"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the EU5 on a combined basis there are currently a total of 62,000 to 77,000 affected persons. There are currently no therapies approved by the FDA or EMA to treat Stargardt disease. The FDA has recognized Stargardt disease as an orphan disease, with several treatments in development having received orphan drug designation from the FDA.</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Rhodopsin-Mediated Autosomal Dominant Retinitis Pigmentosa</w:t>
      </w:r>
    </w:p>
    <w:p>
      <w:pPr>
        <w:spacing w:after="0" w:line="252"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RHO-adRP is a form of retinitis pigmentosa, or RP. RP is the most prevalent IRD and is typically characterized by the initial degeneration of the rod photoreceptors, which are responsible for low light vision and peripheral vision. The degeneration of the rod photoreceptors over time leads to the degeneration of the cone photoreceptors, which are the photoreceptors in the central part of the retina that are responsible for color and sharp vision. This degeneration causes night blindness and severe and progressive visual impairment. Although often diagnosed during adolescence or young adulthood, most RP patients become legally blind by age 40.</w:t>
      </w:r>
    </w:p>
    <w:p>
      <w:pPr>
        <w:spacing w:after="0" w:line="215"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 xml:space="preserve">Rhodopsin is a biological pigment found in the rod photoreceptors that is extremely sensitive to light and thus is crucial for low light vision. There are more than 150 identified mutations in </w:t>
      </w:r>
      <w:r>
        <w:rPr>
          <w:rFonts w:ascii="Arial" w:cs="Arial" w:eastAsia="Arial" w:hAnsi="Arial"/>
          <w:sz w:val="18"/>
          <w:szCs w:val="18"/>
          <w:i w:val="1"/>
          <w:iCs w:val="1"/>
          <w:color w:val="auto"/>
        </w:rPr>
        <w:t>RHO</w:t>
      </w:r>
      <w:r>
        <w:rPr>
          <w:rFonts w:ascii="Arial" w:cs="Arial" w:eastAsia="Arial" w:hAnsi="Arial"/>
          <w:sz w:val="18"/>
          <w:szCs w:val="18"/>
          <w:color w:val="auto"/>
        </w:rPr>
        <w:t xml:space="preserve">, the gene that encodes for rhodopsin. The presence of a mutated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is linked to the occurrence of RHO-adRP.</w:t>
      </w:r>
    </w:p>
    <w:p>
      <w:pPr>
        <w:spacing w:after="0" w:line="211"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Archives of Ophthalmology</w:t>
      </w:r>
      <w:r>
        <w:rPr>
          <w:rFonts w:ascii="Arial" w:cs="Arial" w:eastAsia="Arial" w:hAnsi="Arial"/>
          <w:sz w:val="18"/>
          <w:szCs w:val="18"/>
          <w:color w:val="auto"/>
        </w:rPr>
        <w:t xml:space="preserve"> in 2007, we estimate that in the United States and EU5 on a combined basis, there are a total of approximately 11,000 affected persons with RHO-adRP. There is currently no FDA or EMA approved therapy to treat RHO-adRP.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BEST1-Related IRDs</w:t>
      </w:r>
    </w:p>
    <w:p>
      <w:pPr>
        <w:spacing w:after="0" w:line="252" w:lineRule="exact"/>
        <w:rPr>
          <w:sz w:val="20"/>
          <w:szCs w:val="20"/>
          <w:color w:val="auto"/>
        </w:rPr>
      </w:pPr>
    </w:p>
    <w:p>
      <w:pPr>
        <w:ind w:right="40" w:firstLine="18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encodes for a multifunctional protein known as bestrophin-1, or BEST1, which regulates chemical transport and signaling in RPE cells and helps maintain homeostasis in the subretinal space, the space between the photoreceptors and the RPE. The most common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 is Best disease, which is generally autosomal dominant and generally affects individuals in both eyes. In Best disease, the lack of functional BEST1 protein results in the formation of egg yolk-like lesions in the macula that, over time, progress to macular atrophy and permanent loss of vision. In addition, because there are over 200 known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there are other </w:t>
      </w:r>
      <w:r>
        <w:rPr>
          <w:rFonts w:ascii="Arial" w:cs="Arial" w:eastAsia="Arial" w:hAnsi="Arial"/>
          <w:sz w:val="18"/>
          <w:szCs w:val="18"/>
          <w:i w:val="1"/>
          <w:iCs w:val="1"/>
          <w:color w:val="auto"/>
        </w:rPr>
        <w:t>BEST1</w:t>
      </w:r>
      <w:r>
        <w:rPr>
          <w:rFonts w:ascii="Arial" w:cs="Arial" w:eastAsia="Arial" w:hAnsi="Arial"/>
          <w:sz w:val="18"/>
          <w:szCs w:val="18"/>
          <w:color w:val="auto"/>
        </w:rPr>
        <w:t>-related IRDs being studied, including autosomal dominant and autosomal recessive forms.</w:t>
      </w:r>
    </w:p>
    <w:p>
      <w:pPr>
        <w:spacing w:after="0" w:line="219" w:lineRule="exact"/>
        <w:rPr>
          <w:sz w:val="20"/>
          <w:szCs w:val="20"/>
          <w:color w:val="auto"/>
        </w:rPr>
      </w:pPr>
    </w:p>
    <w:p>
      <w:pPr>
        <w:ind w:right="260" w:firstLine="180"/>
        <w:spacing w:after="0" w:line="311" w:lineRule="auto"/>
        <w:rPr>
          <w:sz w:val="20"/>
          <w:szCs w:val="20"/>
          <w:color w:val="auto"/>
        </w:rPr>
      </w:pPr>
      <w:r>
        <w:rPr>
          <w:rFonts w:ascii="Arial" w:cs="Arial" w:eastAsia="Arial" w:hAnsi="Arial"/>
          <w:sz w:val="16"/>
          <w:szCs w:val="16"/>
          <w:color w:val="auto"/>
        </w:rPr>
        <w:t xml:space="preserve">Based on disease prevalence rates contained in a study published in </w:t>
      </w:r>
      <w:r>
        <w:rPr>
          <w:rFonts w:ascii="Arial" w:cs="Arial" w:eastAsia="Arial" w:hAnsi="Arial"/>
          <w:sz w:val="16"/>
          <w:szCs w:val="16"/>
          <w:i w:val="1"/>
          <w:iCs w:val="1"/>
          <w:color w:val="auto"/>
        </w:rPr>
        <w:t>Ophthalmic Genetics</w:t>
      </w:r>
      <w:r>
        <w:rPr>
          <w:rFonts w:ascii="Arial" w:cs="Arial" w:eastAsia="Arial" w:hAnsi="Arial"/>
          <w:sz w:val="16"/>
          <w:szCs w:val="16"/>
          <w:color w:val="auto"/>
        </w:rPr>
        <w:t xml:space="preserve"> in 2017, we estimate that in the United States and EU5 on a combined basis, there are a total of approximately 10,000 to 40,000 affected persons with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the substantial majority of whom we believe have the autosomal dominant form of Best disease. There are currently no FDA or EMA approved therapies to treat any </w:t>
      </w:r>
      <w:r>
        <w:rPr>
          <w:rFonts w:ascii="Arial" w:cs="Arial" w:eastAsia="Arial" w:hAnsi="Arial"/>
          <w:sz w:val="16"/>
          <w:szCs w:val="16"/>
          <w:i w:val="1"/>
          <w:iCs w:val="1"/>
          <w:color w:val="auto"/>
        </w:rPr>
        <w:t>BEST1</w:t>
      </w:r>
      <w:r>
        <w:rPr>
          <w:rFonts w:ascii="Arial" w:cs="Arial" w:eastAsia="Arial" w:hAnsi="Arial"/>
          <w:sz w:val="16"/>
          <w:szCs w:val="16"/>
          <w:color w:val="auto"/>
        </w:rPr>
        <w:t>-related IRD.</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Leber Congenital Amaurosis Type 10</w:t>
      </w:r>
    </w:p>
    <w:p>
      <w:pPr>
        <w:spacing w:after="0" w:line="252" w:lineRule="exact"/>
        <w:rPr>
          <w:sz w:val="20"/>
          <w:szCs w:val="20"/>
          <w:color w:val="auto"/>
        </w:rPr>
      </w:pPr>
    </w:p>
    <w:p>
      <w:pPr>
        <w:ind w:right="120" w:firstLine="180"/>
        <w:spacing w:after="0" w:line="301" w:lineRule="auto"/>
        <w:rPr>
          <w:sz w:val="20"/>
          <w:szCs w:val="20"/>
          <w:color w:val="auto"/>
        </w:rPr>
      </w:pPr>
      <w:r>
        <w:rPr>
          <w:rFonts w:ascii="Arial" w:cs="Arial" w:eastAsia="Arial" w:hAnsi="Arial"/>
          <w:sz w:val="16"/>
          <w:szCs w:val="16"/>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Arial" w:cs="Arial" w:eastAsia="Arial" w:hAnsi="Arial"/>
          <w:sz w:val="16"/>
          <w:szCs w:val="16"/>
          <w:i w:val="1"/>
          <w:iCs w:val="1"/>
          <w:color w:val="auto"/>
        </w:rPr>
        <w:t xml:space="preserve">CEP290 </w:t>
      </w:r>
      <w:r>
        <w:rPr>
          <w:rFonts w:ascii="Arial" w:cs="Arial" w:eastAsia="Arial" w:hAnsi="Arial"/>
          <w:sz w:val="16"/>
          <w:szCs w:val="16"/>
          <w:color w:val="auto"/>
        </w:rPr>
        <w:t>gene. Mutations in the</w:t>
      </w:r>
      <w:r>
        <w:rPr>
          <w:rFonts w:ascii="Arial" w:cs="Arial" w:eastAsia="Arial" w:hAnsi="Arial"/>
          <w:sz w:val="16"/>
          <w:szCs w:val="16"/>
          <w:i w:val="1"/>
          <w:iCs w:val="1"/>
          <w:color w:val="auto"/>
        </w:rPr>
        <w:t xml:space="preserve"> CEP290 </w:t>
      </w:r>
      <w:r>
        <w:rPr>
          <w:rFonts w:ascii="Arial" w:cs="Arial" w:eastAsia="Arial" w:hAnsi="Arial"/>
          <w:sz w:val="16"/>
          <w:szCs w:val="16"/>
          <w:color w:val="auto"/>
        </w:rPr>
        <w:t>gene are believed to lead to the abnormal function and potentially loss of photoreceptor cells.</w:t>
      </w:r>
    </w:p>
    <w:p>
      <w:pPr>
        <w:spacing w:after="0" w:line="184" w:lineRule="exact"/>
        <w:rPr>
          <w:sz w:val="20"/>
          <w:szCs w:val="20"/>
          <w:color w:val="auto"/>
        </w:rPr>
      </w:pPr>
    </w:p>
    <w:p>
      <w:pPr>
        <w:jc w:val="both"/>
        <w:ind w:right="220" w:firstLine="180"/>
        <w:spacing w:after="0" w:line="263"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American Journal of Human Genetics</w:t>
      </w:r>
      <w:r>
        <w:rPr>
          <w:rFonts w:ascii="Arial" w:cs="Arial" w:eastAsia="Arial" w:hAnsi="Arial"/>
          <w:sz w:val="18"/>
          <w:szCs w:val="18"/>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USH2A-Related IRDs</w:t>
      </w:r>
    </w:p>
    <w:p>
      <w:pPr>
        <w:spacing w:after="0" w:line="252" w:lineRule="exact"/>
        <w:rPr>
          <w:sz w:val="20"/>
          <w:szCs w:val="20"/>
          <w:color w:val="auto"/>
        </w:rPr>
      </w:pPr>
    </w:p>
    <w:p>
      <w:pPr>
        <w:ind w:right="80" w:firstLine="1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encodes for a protein called usherin. Usherin is believed to be important in the development and maintenance of cells in the retina and the inner ear. There are two principal 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Usher 2A and </w:t>
      </w:r>
      <w:r>
        <w:rPr>
          <w:rFonts w:ascii="Arial" w:cs="Arial" w:eastAsia="Arial" w:hAnsi="Arial"/>
          <w:sz w:val="18"/>
          <w:szCs w:val="18"/>
          <w:i w:val="1"/>
          <w:iCs w:val="1"/>
          <w:color w:val="auto"/>
        </w:rPr>
        <w:t>USH2A</w:t>
      </w:r>
      <w:r>
        <w:rPr>
          <w:rFonts w:ascii="Arial" w:cs="Arial" w:eastAsia="Arial" w:hAnsi="Arial"/>
          <w:sz w:val="18"/>
          <w:szCs w:val="18"/>
          <w:color w:val="auto"/>
        </w:rPr>
        <w:t xml:space="preserve">-associated nonsyndromatic autosomal recessive retinitis pigmentosa. Usher 2A is an autosomal recessive syndrome characterized by hearing loss from birth and progressive vision loss, due to RP, that begins in adolescence or adulthood.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 is a genetic condition that manifests as vision loss without associated hearing loss.</w:t>
      </w:r>
    </w:p>
    <w:p>
      <w:pPr>
        <w:spacing w:after="0" w:line="215" w:lineRule="exact"/>
        <w:rPr>
          <w:sz w:val="20"/>
          <w:szCs w:val="20"/>
          <w:color w:val="auto"/>
        </w:rPr>
      </w:pPr>
    </w:p>
    <w:p>
      <w:pPr>
        <w:jc w:val="both"/>
        <w:ind w:right="120" w:firstLine="180"/>
        <w:spacing w:after="0" w:line="263" w:lineRule="auto"/>
        <w:rPr>
          <w:sz w:val="20"/>
          <w:szCs w:val="20"/>
          <w:color w:val="auto"/>
        </w:rPr>
      </w:pPr>
      <w:r>
        <w:rPr>
          <w:rFonts w:ascii="Arial" w:cs="Arial" w:eastAsia="Arial" w:hAnsi="Arial"/>
          <w:sz w:val="18"/>
          <w:szCs w:val="18"/>
          <w:color w:val="auto"/>
        </w:rPr>
        <w:t xml:space="preserve">Based on a study published in </w:t>
      </w:r>
      <w:r>
        <w:rPr>
          <w:rFonts w:ascii="Arial" w:cs="Arial" w:eastAsia="Arial" w:hAnsi="Arial"/>
          <w:sz w:val="18"/>
          <w:szCs w:val="18"/>
          <w:i w:val="1"/>
          <w:iCs w:val="1"/>
          <w:color w:val="auto"/>
        </w:rPr>
        <w:t>Experimental Eye Research</w:t>
      </w:r>
      <w:r>
        <w:rPr>
          <w:rFonts w:ascii="Arial" w:cs="Arial" w:eastAsia="Arial" w:hAnsi="Arial"/>
          <w:sz w:val="18"/>
          <w:szCs w:val="18"/>
          <w:color w:val="auto"/>
        </w:rPr>
        <w:t xml:space="preserve"> in 2004, we estimate that in the United States and EU5 on a combined basis, there are a total of approximately 20,000 to 62,000 affected persons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There are currently no FDA or EMA approved therapies to treat Usher 2A or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Zimura</w:t>
      </w:r>
    </w:p>
    <w:p>
      <w:pPr>
        <w:spacing w:after="0" w:line="229" w:lineRule="exact"/>
        <w:rPr>
          <w:sz w:val="20"/>
          <w:szCs w:val="20"/>
          <w:color w:val="auto"/>
        </w:rPr>
      </w:pPr>
    </w:p>
    <w:p>
      <w:pPr>
        <w:ind w:firstLine="177"/>
        <w:spacing w:after="0" w:line="255" w:lineRule="auto"/>
        <w:rPr>
          <w:sz w:val="20"/>
          <w:szCs w:val="20"/>
          <w:color w:val="auto"/>
        </w:rPr>
      </w:pPr>
      <w:r>
        <w:rPr>
          <w:rFonts w:ascii="Arial" w:cs="Arial" w:eastAsia="Arial" w:hAnsi="Arial"/>
          <w:sz w:val="18"/>
          <w:szCs w:val="18"/>
          <w:color w:val="auto"/>
        </w:rPr>
        <w:t>We are currently developing our product candidate Zimura, a C5 complement inhibitor, for the treatment of GA and intermediate AMD, both of which are different stages of AMD, and STGD1. Zimura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Zimura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Complement System and Its Potential Role in AMD and STGD1</w:t>
      </w:r>
    </w:p>
    <w:p>
      <w:pPr>
        <w:spacing w:after="0" w:line="252" w:lineRule="exact"/>
        <w:rPr>
          <w:sz w:val="20"/>
          <w:szCs w:val="20"/>
          <w:color w:val="auto"/>
        </w:rPr>
      </w:pPr>
    </w:p>
    <w:p>
      <w:pPr>
        <w:ind w:right="40" w:firstLine="177"/>
        <w:spacing w:after="0" w:line="296" w:lineRule="auto"/>
        <w:rPr>
          <w:sz w:val="20"/>
          <w:szCs w:val="20"/>
          <w:color w:val="auto"/>
        </w:rPr>
      </w:pPr>
      <w:r>
        <w:rPr>
          <w:rFonts w:ascii="Arial" w:cs="Arial" w:eastAsia="Arial" w:hAnsi="Arial"/>
          <w:sz w:val="16"/>
          <w:szCs w:val="16"/>
          <w:color w:val="auto"/>
        </w:rPr>
        <w:t>The complement system consists of a series of proteins that are involved in the defense of the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body by removing the pathogens and foreign proteins, along with other cellular debris. The complement system is generally tightly regulated, achieving the proper balance of activation and inhibition depending on the body’s requirements. Poorly regulated or aberrant activation of the complement system, without a balanced or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 xml:space="preserve">proportional inhibition of complement proteins, may result in a variety of pathological conditions. For example, in a study published in </w:t>
      </w:r>
      <w:r>
        <w:rPr>
          <w:rFonts w:ascii="Arial" w:cs="Arial" w:eastAsia="Arial" w:hAnsi="Arial"/>
          <w:sz w:val="18"/>
          <w:szCs w:val="18"/>
          <w:i w:val="1"/>
          <w:iCs w:val="1"/>
          <w:color w:val="auto"/>
        </w:rPr>
        <w:t>Histology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Histopathology </w:t>
      </w:r>
      <w:r>
        <w:rPr>
          <w:rFonts w:ascii="Arial" w:cs="Arial" w:eastAsia="Arial" w:hAnsi="Arial"/>
          <w:sz w:val="18"/>
          <w:szCs w:val="18"/>
          <w:color w:val="auto"/>
        </w:rPr>
        <w:t>in 2012, researchers found that human retinal drusen deposits, which are the hallmark of AMD, contained components of complement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proteins.</w:t>
      </w:r>
    </w:p>
    <w:p>
      <w:pPr>
        <w:spacing w:after="0" w:line="3"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 xml:space="preserve">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system, as it binds to pathogens and makes them susceptible to destruction by white blood cells. C3b also cleaves complement protein C5. The cleavage of C5 results in the formation of the terminal complement fragments C5a and C5b. A study published in the </w:t>
      </w:r>
      <w:r>
        <w:rPr>
          <w:rFonts w:ascii="Arial" w:cs="Arial" w:eastAsia="Arial" w:hAnsi="Arial"/>
          <w:sz w:val="17"/>
          <w:szCs w:val="17"/>
          <w:i w:val="1"/>
          <w:iCs w:val="1"/>
          <w:color w:val="auto"/>
        </w:rPr>
        <w:t>Journal of Biological Chemistry</w:t>
      </w:r>
      <w:r>
        <w:rPr>
          <w:rFonts w:ascii="Arial" w:cs="Arial" w:eastAsia="Arial" w:hAnsi="Arial"/>
          <w:sz w:val="17"/>
          <w:szCs w:val="17"/>
          <w:color w:val="auto"/>
        </w:rPr>
        <w:t xml:space="preserve"> in 2015 concluded that C5a primes RPE cells for inflammasome activation in the presence of waste products from the visual cycle. Inflammasomes are intracellular protein structures that lead to cell death. Other studies have shown the presence of inflammasomes inside the RPE cells of post-mortem eyes of patients with GA. Formation of C5b, in combination with serum proteins C6, C7, C8 and C9, leads to the generation of C5b-9, referred to as membrane attack complex, or MAC, which has been shown to cause cell death. In particular, various studies have shown that MAC, together with the presence of lipofuscin, a yellow-brown waste byproduct from the visual cycle that is commonly found in the RPE cells of AMD patients, interferes with the proper functioning of RPE cells, leading to their dysfunction and death.</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simplified illustration of the complement system and the relationships between the complement proteins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14605</wp:posOffset>
            </wp:positionV>
            <wp:extent cx="2691765" cy="3745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765"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firstLine="170"/>
        <w:spacing w:after="0" w:line="254" w:lineRule="auto"/>
        <w:rPr>
          <w:sz w:val="20"/>
          <w:szCs w:val="20"/>
          <w:color w:val="auto"/>
        </w:rPr>
      </w:pPr>
      <w:r>
        <w:rPr>
          <w:rFonts w:ascii="Arial" w:cs="Arial" w:eastAsia="Arial" w:hAnsi="Arial"/>
          <w:sz w:val="16"/>
          <w:szCs w:val="16"/>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 —a body of recent scientific literature suggests that complement system activation may also contribute to the pathogenesis of AMD. A study published in the </w:t>
      </w:r>
      <w:r>
        <w:rPr>
          <w:rFonts w:ascii="Arial" w:cs="Arial" w:eastAsia="Arial" w:hAnsi="Arial"/>
          <w:sz w:val="16"/>
          <w:szCs w:val="16"/>
          <w:i w:val="1"/>
          <w:iCs w:val="1"/>
          <w:color w:val="auto"/>
        </w:rPr>
        <w:t>Journal of Immunology</w:t>
      </w:r>
      <w:r>
        <w:rPr>
          <w:rFonts w:ascii="Arial" w:cs="Arial" w:eastAsia="Arial" w:hAnsi="Arial"/>
          <w:sz w:val="16"/>
          <w:szCs w:val="16"/>
          <w:color w:val="auto"/>
        </w:rPr>
        <w:t xml:space="preserve"> in 2015 concluded that MAC accumulation in RPE cells leads to mitochondrial damage and cellular dysfunction, which we believe eventually leads to RPE cell death. Additionally, a study published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in 2002 described the presence of MAC in post-mortem human donor eyes with dry AMD and GA. A study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in 2021 used patient-derived induced pluripotent stem cells to show that local activation of the complement system could induce drusen formation in RPE cells and that the inhibition of C5a could mitigate AMD-like pathology in the RPE cells. We believe these findings suggest that inhibition of the complement system, especially an inhibitor that prevents the cleavage of C5 into C5a and C5b, could prevent RPE cell death and potentially other pathological causes of AMD.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177"/>
        <w:spacing w:after="0" w:line="272" w:lineRule="auto"/>
        <w:rPr>
          <w:sz w:val="20"/>
          <w:szCs w:val="20"/>
          <w:color w:val="auto"/>
        </w:rPr>
      </w:pPr>
      <w:r>
        <w:rPr>
          <w:rFonts w:ascii="Arial" w:cs="Arial" w:eastAsia="Arial" w:hAnsi="Arial"/>
          <w:sz w:val="17"/>
          <w:szCs w:val="17"/>
          <w:color w:val="auto"/>
        </w:rPr>
        <w:t xml:space="preserve">The pathogenesis of STGD1, which is caused by a mutation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 MAC accumulation may lead to RPE cell deterioration and contribute to the subsequent loss of photoreceptor cells, leading to a decrease in vision over time.</w:t>
      </w:r>
    </w:p>
    <w:p>
      <w:pPr>
        <w:spacing w:after="0" w:line="177"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 xml:space="preserve">In April 2017, </w:t>
      </w:r>
      <w:r>
        <w:rPr>
          <w:rFonts w:ascii="Arial" w:cs="Arial" w:eastAsia="Arial" w:hAnsi="Arial"/>
          <w:sz w:val="16"/>
          <w:szCs w:val="16"/>
          <w:i w:val="1"/>
          <w:iCs w:val="1"/>
          <w:color w:val="auto"/>
        </w:rPr>
        <w:t>Proceedings of the National Academy of Sciences</w:t>
      </w:r>
      <w:r>
        <w:rPr>
          <w:rFonts w:ascii="Arial" w:cs="Arial" w:eastAsia="Arial" w:hAnsi="Arial"/>
          <w:sz w:val="16"/>
          <w:szCs w:val="16"/>
          <w:color w:val="auto"/>
        </w:rPr>
        <w:t xml:space="preserve">,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leads to healthier RPE cells as compared to RPE cells of untreated mice. Researchers at Duke University published a 2013 paper in </w:t>
      </w:r>
      <w:r>
        <w:rPr>
          <w:rFonts w:ascii="Arial" w:cs="Arial" w:eastAsia="Arial" w:hAnsi="Arial"/>
          <w:sz w:val="16"/>
          <w:szCs w:val="16"/>
          <w:i w:val="1"/>
          <w:iCs w:val="1"/>
          <w:color w:val="auto"/>
        </w:rPr>
        <w:t xml:space="preserve">Investigative Ophthalmology &amp; Visual Science, </w:t>
      </w:r>
      <w:r>
        <w:rPr>
          <w:rFonts w:ascii="Arial" w:cs="Arial" w:eastAsia="Arial" w:hAnsi="Arial"/>
          <w:sz w:val="16"/>
          <w:szCs w:val="16"/>
          <w:color w:val="auto"/>
        </w:rPr>
        <w:t>in which they found in an</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experiment that RPE cell damage resulting from the combination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 system activation and visual cycle waste was more damaging than either component individually. When complement factor C5 was blocked, there was a significant improvement in RPE cell viability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Based on the data from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we believe molecules involved in the inhibition or regulation of the complement system and MAC activation are prime targets for therapeutic intervention in STGD1.</w:t>
      </w:r>
    </w:p>
    <w:p>
      <w:pPr>
        <w:spacing w:after="0" w:line="193" w:lineRule="exact"/>
        <w:rPr>
          <w:sz w:val="20"/>
          <w:szCs w:val="20"/>
          <w:color w:val="auto"/>
        </w:rPr>
      </w:pPr>
    </w:p>
    <w:p>
      <w:pPr>
        <w:ind w:right="60" w:firstLine="180"/>
        <w:spacing w:after="0" w:line="259" w:lineRule="auto"/>
        <w:rPr>
          <w:sz w:val="20"/>
          <w:szCs w:val="20"/>
          <w:color w:val="auto"/>
        </w:rPr>
      </w:pPr>
      <w:r>
        <w:rPr>
          <w:rFonts w:ascii="Arial" w:cs="Arial" w:eastAsia="Arial" w:hAnsi="Arial"/>
          <w:sz w:val="18"/>
          <w:szCs w:val="18"/>
          <w:color w:val="auto"/>
        </w:rPr>
        <w:t>Zimura is designed to target and inhibit the cleavage of complement protein C5 and the formation of the terminal fragments, C5a and C5b. By inhibiting the formation of complement system terminal fragments, Zimura may decrease the activation of inflammasomes and decrease the formation of MAC, thereby potentially avoiding or slowing the degeneration of RPE cells and providing the rationale as a potential therapy for various stages of AMD and STGD1.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Zimura Clinical Programs</w:t>
      </w:r>
    </w:p>
    <w:p>
      <w:pPr>
        <w:spacing w:after="0" w:line="225" w:lineRule="exact"/>
        <w:rPr>
          <w:sz w:val="20"/>
          <w:szCs w:val="20"/>
          <w:color w:val="auto"/>
        </w:rPr>
      </w:pPr>
    </w:p>
    <w:p>
      <w:pPr>
        <w:ind w:right="100" w:firstLine="177"/>
        <w:spacing w:after="0" w:line="277" w:lineRule="auto"/>
        <w:rPr>
          <w:sz w:val="20"/>
          <w:szCs w:val="20"/>
          <w:color w:val="auto"/>
        </w:rPr>
      </w:pPr>
      <w:r>
        <w:rPr>
          <w:rFonts w:ascii="Arial" w:cs="Arial" w:eastAsia="Arial" w:hAnsi="Arial"/>
          <w:sz w:val="18"/>
          <w:szCs w:val="18"/>
          <w:color w:val="auto"/>
        </w:rPr>
        <w:t>The following is a brief description of the completed GATHER1 trial, the ongoing GATHER2 and STAR trials and the planned intermediate AMD trial, and their current status:</w:t>
      </w:r>
    </w:p>
    <w:p>
      <w:pPr>
        <w:spacing w:after="0" w:line="193" w:lineRule="exact"/>
        <w:rPr>
          <w:sz w:val="20"/>
          <w:szCs w:val="20"/>
          <w:color w:val="auto"/>
        </w:rPr>
      </w:pPr>
    </w:p>
    <w:p>
      <w:pPr>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GATHER1 </w:t>
      </w:r>
      <w:r>
        <w:rPr>
          <w:rFonts w:ascii="Arial" w:cs="Arial" w:eastAsia="Arial" w:hAnsi="Arial"/>
          <w:sz w:val="17"/>
          <w:szCs w:val="17"/>
          <w:color w:val="auto"/>
        </w:rPr>
        <w:t>(GA secondary to AMD - completed): an international, randomized, double-masked, sham controlled, multi-center Phase 2/3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trial evaluating the safety and efficacy of Zimura for the treatment of GA secondary to AMD. We enrolled 286 patients in this trial across multiple treatment groups, including various Zimura doses and sham control groups, and patients were treated and followed for 18 months. In October 2019, we announced positive 12-month data from this trial and in June 2020, we completed this trial and announced 18-month data from this trial, which supported the 12-month data. In this trial, the treatment effect was observed as early as 6 months, with an increase in the absolute difference of the mean change in GA growth for treatment with either Zimura 2 mg or Zimura 4 mg, as compared to sham, at each subsequent time point, suggesting the progressive benefit of continuous treatment with Zimura.</w:t>
      </w:r>
    </w:p>
    <w:p>
      <w:pPr>
        <w:spacing w:after="0" w:line="198" w:lineRule="exact"/>
        <w:rPr>
          <w:rFonts w:ascii="Arial" w:cs="Arial" w:eastAsia="Arial" w:hAnsi="Arial"/>
          <w:sz w:val="17"/>
          <w:szCs w:val="17"/>
          <w:color w:val="auto"/>
        </w:rPr>
      </w:pPr>
    </w:p>
    <w:p>
      <w:pPr>
        <w:ind w:left="660" w:right="80" w:hanging="328"/>
        <w:spacing w:after="0" w:line="272" w:lineRule="auto"/>
        <w:tabs>
          <w:tab w:leader="none" w:pos="655" w:val="left"/>
        </w:tabs>
        <w:numPr>
          <w:ilvl w:val="0"/>
          <w:numId w:val="9"/>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GATHER2 </w:t>
      </w:r>
      <w:r>
        <w:rPr>
          <w:rFonts w:ascii="Arial" w:cs="Arial" w:eastAsia="Arial" w:hAnsi="Arial"/>
          <w:sz w:val="17"/>
          <w:szCs w:val="17"/>
          <w:color w:val="auto"/>
        </w:rPr>
        <w:t>(also known as ISEE2008; GA secondary to AMD - ongoing): an international, randomized, double-masked, sham controlled, multi-center Phase 3 clinical trial evaluating the safety and efficacy of Zimura for the treatment of GA secondary to AMD. In July 2021, we completed patient enrollment with a total of 448 patients enrolled. Patients were randomized on a 1:1 basis into either a treatment group with monthly intravitreal injections of Zimura 2 mg or a sham control group. As agreed to with the FDA in connection with the SPA, the primary efficacy endpoint will be the mean rate of growth (slope) estimated based on GA area measured by fundus autofluorescence, or FAF, in at least three timepoints: baseline, month 6 and month 12. We plan to analyze the primary efficacy endpoint at 12 months, and treat and follow patients for 24 months. We expect 12-month top-line data to be available during the second half of 2022, approximately one year following the enrollment of the last patient plus the time needed for database lock and analysis.</w:t>
      </w:r>
    </w:p>
    <w:p>
      <w:pPr>
        <w:spacing w:after="0" w:line="198" w:lineRule="exact"/>
        <w:rPr>
          <w:rFonts w:ascii="Arial" w:cs="Arial" w:eastAsia="Arial" w:hAnsi="Arial"/>
          <w:sz w:val="17"/>
          <w:szCs w:val="17"/>
          <w:i w:val="1"/>
          <w:iCs w:val="1"/>
          <w:color w:val="auto"/>
        </w:rPr>
      </w:pPr>
    </w:p>
    <w:p>
      <w:pPr>
        <w:ind w:left="660" w:right="60" w:hanging="328"/>
        <w:spacing w:after="0" w:line="303" w:lineRule="auto"/>
        <w:tabs>
          <w:tab w:leader="none" w:pos="655" w:val="left"/>
        </w:tabs>
        <w:numPr>
          <w:ilvl w:val="0"/>
          <w:numId w:val="9"/>
        </w:numPr>
        <w:rPr>
          <w:rFonts w:ascii="Arial" w:cs="Arial" w:eastAsia="Arial" w:hAnsi="Arial"/>
          <w:sz w:val="16"/>
          <w:szCs w:val="16"/>
          <w:i w:val="1"/>
          <w:iCs w:val="1"/>
          <w:color w:val="auto"/>
        </w:rPr>
      </w:pPr>
      <w:r>
        <w:rPr>
          <w:rFonts w:ascii="Arial" w:cs="Arial" w:eastAsia="Arial" w:hAnsi="Arial"/>
          <w:sz w:val="16"/>
          <w:szCs w:val="16"/>
          <w:b w:val="1"/>
          <w:bCs w:val="1"/>
          <w:color w:val="auto"/>
        </w:rPr>
        <w:t>Planned intermediate AMD trial</w:t>
      </w:r>
      <w:r>
        <w:rPr>
          <w:rFonts w:ascii="Arial" w:cs="Arial" w:eastAsia="Arial" w:hAnsi="Arial"/>
          <w:sz w:val="16"/>
          <w:szCs w:val="16"/>
          <w:color w:val="auto"/>
        </w:rPr>
        <w:t>: We expect this trial to be an international, randomized, double-masked, sham-controlled, multi-center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trial with approximately 200 patients per treatment group. We expect to follow and treat patients for 24 months. We are currently evaluating other aspects of the design of this trial, including patient inclusion criteria and primary efficacy endpoints. We plan to obtain feedback from regulatory authorities on our plans for this trial and our development strategy in this indication, before initiating this trial during the second half of 2022.</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5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STAR (</w:t>
      </w:r>
      <w:r>
        <w:rPr>
          <w:rFonts w:ascii="Arial" w:cs="Arial" w:eastAsia="Arial" w:hAnsi="Arial"/>
          <w:sz w:val="18"/>
          <w:szCs w:val="18"/>
          <w:color w:val="auto"/>
        </w:rPr>
        <w:t>also known as OPH2005; STGD1 - ongoing): an international, randomized, double-masked, sham controlled, multi-center Phase 2b</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evaluating the safety and efficacy of Zimura for the treatment of STGD1. We initially enrolled 95 patients in this trial, none of whom have remaining study visits. In July 2020, we reopened enrollment in this trial in the United States. We continue to enroll patients and plan to enroll approximately 25 additional patients, with the goal of enrolling a total of approximately 120 patients. We have been and will remain masked until results are analyzed for all the patients in this trial. We expect data from this trial to become available after the top-line data from the GATHER2 trial.</w:t>
      </w: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to the GATHER1 trial, we have completed multiple clinical trials evaluating various doses of Zimura in age-related retinal diseases, including:</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OPH2001, a Phase 1/2a clinical trial of various doses of Zimura for the treatment of GA, with a total of 47 patients enrolled;</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OPH2000: a Phase 1/2a clinical trial of various doses of Zimura administered in combination with Lucentis® (ranibizumab), an anti-vascular endothelial growth factor, or anti-VEGF, agent, for the treatment of wet AMD, with a total of 60 patients enrolled;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OPH2007, a Phase 2a clinical trial of various doses of Zimura administered in combination with Lucentis for the treatment of wet AMD, with a total of 64 patients enrolled and treated; and</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OPH2002: a very small Phase 2a clinical trial of Zimura in combination with anti-VEGF agents for the treatment of idiopathic polypoidal choroidal vasculopathy, or IPCV, in patients for whom anti-VEGF monotherapy had failed.</w:t>
      </w:r>
    </w:p>
    <w:p>
      <w:pPr>
        <w:spacing w:after="0" w:line="19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Over 350 patients have been treated with Zimura in these completed clinical trials, with treatment durations extending up to 18 months. All doses of Zimura administered in these trials were well-tolerated, with only a single occurrence of an adverse event, mild subcapsular cataract, assessed to be drug-related by participating investigators.</w:t>
      </w:r>
    </w:p>
    <w:p>
      <w:pPr>
        <w:spacing w:after="0" w:line="211"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Zimura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214" w:lineRule="exact"/>
        <w:rPr>
          <w:sz w:val="20"/>
          <w:szCs w:val="20"/>
          <w:color w:val="auto"/>
        </w:rPr>
      </w:pPr>
    </w:p>
    <w:p>
      <w:pPr>
        <w:ind w:right="60" w:firstLine="170"/>
        <w:spacing w:after="0" w:line="279" w:lineRule="auto"/>
        <w:rPr>
          <w:sz w:val="20"/>
          <w:szCs w:val="20"/>
          <w:color w:val="auto"/>
        </w:rPr>
      </w:pPr>
      <w:r>
        <w:rPr>
          <w:rFonts w:ascii="Arial" w:cs="Arial" w:eastAsia="Arial" w:hAnsi="Arial"/>
          <w:sz w:val="17"/>
          <w:szCs w:val="17"/>
          <w:color w:val="auto"/>
        </w:rPr>
        <w:t>An intravitreal injection results in elevation of intraocular pressure, or IOP, which is usually transient. In our clinical trials, the IOP is monitored after each intravitreal injection. Certain of the dosing regimens we are evaluating in STAR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Zimura clinical experience to date, as well as our ongoing and planned clinical trials for Zimura, are described in greater detail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GA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GATHER1: Completed Clinical Trial Assessing the Safety and Efficacy of Various Doses of Zimura for GA Secondary to AMD</w:t>
      </w:r>
    </w:p>
    <w:p>
      <w:pPr>
        <w:spacing w:after="0" w:line="158" w:lineRule="exact"/>
        <w:rPr>
          <w:sz w:val="20"/>
          <w:szCs w:val="20"/>
          <w:color w:val="auto"/>
        </w:rPr>
      </w:pPr>
    </w:p>
    <w:p>
      <w:pPr>
        <w:ind w:right="100" w:firstLine="180"/>
        <w:spacing w:after="0" w:line="275" w:lineRule="auto"/>
        <w:rPr>
          <w:sz w:val="20"/>
          <w:szCs w:val="20"/>
          <w:color w:val="auto"/>
        </w:rPr>
      </w:pPr>
      <w:r>
        <w:rPr>
          <w:rFonts w:ascii="Arial" w:cs="Arial" w:eastAsia="Arial" w:hAnsi="Arial"/>
          <w:sz w:val="17"/>
          <w:szCs w:val="17"/>
          <w:color w:val="auto"/>
        </w:rPr>
        <w:t>In October 2019, we announced 12-month data from the GATHER1 trial and in June 2020, we completed and announced 18-month data from this trial. The primary efficacy analysis was performed at the 12-month time point. Pursuant to the clinical trial protocol, patients continued to be treated and followed through month 18. We remained masked regarding the treatment group to which each individual patient was randomized throughout the duration of the trial. Following the conclusion of the trial, we have continued to review and analyze the unmasked, individual patient data from this trial. In June 2021, July 2021 and February 2022, we announced data from additional post-hoc analyses that we performed.</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Trial Design and Enrollment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total of 286 patients were enrolled across two parts of the trial.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Part 1</w:t>
      </w:r>
      <w:r>
        <w:rPr>
          <w:rFonts w:ascii="Arial" w:cs="Arial" w:eastAsia="Arial" w:hAnsi="Arial"/>
          <w:sz w:val="18"/>
          <w:szCs w:val="18"/>
          <w:color w:val="auto"/>
        </w:rPr>
        <w:t>. In Part 1 of the trial, 77 patients were randomized into one of three treatment groups in a 1:1:1 ratio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1 mg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2 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26</w:t>
            </w:r>
          </w:p>
        </w:tc>
      </w:tr>
    </w:tbl>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Part 1 of the trial, Zimura was administered by monthly intravitreal injections, while patients in the sham control group received monthly sham injections. In 2017, based on the announcement of positive data from a competitor studying a different complement inhibitor in a Phase 2 clinical trial in GA and following review of additional third-party clinical trial data and further statistical analysis, we modified the trial design to change the total number of patients to be enrolled, to change the primary efficacy endpoint from a vision endpoint to an anatomic endpoint, to shorten the time point for the primary efficacy analysis to month 12 and to include a Zimura 4 mg dose group. The patients who were enrolled in Part 1 remained in the trial following these modifications and we remained masked regarding the treatment group to which each patient was randomized.</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Part 2</w:t>
      </w:r>
      <w:r>
        <w:rPr>
          <w:rFonts w:ascii="Arial" w:cs="Arial" w:eastAsia="Arial" w:hAnsi="Arial"/>
          <w:sz w:val="17"/>
          <w:szCs w:val="17"/>
          <w:color w:val="auto"/>
        </w:rPr>
        <w:t>. In Part 2 of the trial, we enrolled 209 additional patients, who were randomized into one of three treatment groups in a 1:2:2 ratio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2 mg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4 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84</w:t>
            </w:r>
          </w:p>
        </w:tc>
      </w:tr>
    </w:tbl>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Part 2 of the trial, patients in the Zimura 2 mg group received one intravitreal injection of Zimura 2 mg and one sham injection at each monthly visit; patients in the Zimura 4 mg group received two intravitreal injections of Zimura 2 mg at each monthly visit; and patients in the sham control group received two sham injections at each monthly visit. In its current formulation, doses of Zimura above 2 mg would require more than one intravitreal injection.</w:t>
      </w:r>
    </w:p>
    <w:p>
      <w:pPr>
        <w:spacing w:after="0" w:line="119" w:lineRule="exact"/>
        <w:rPr>
          <w:sz w:val="20"/>
          <w:szCs w:val="20"/>
          <w:color w:val="auto"/>
        </w:rPr>
      </w:pPr>
    </w:p>
    <w:p>
      <w:pPr>
        <w:ind w:right="480" w:firstLine="177"/>
        <w:spacing w:after="0" w:line="277" w:lineRule="auto"/>
        <w:rPr>
          <w:sz w:val="20"/>
          <w:szCs w:val="20"/>
          <w:color w:val="auto"/>
        </w:rPr>
      </w:pPr>
      <w:r>
        <w:rPr>
          <w:rFonts w:ascii="Arial" w:cs="Arial" w:eastAsia="Arial" w:hAnsi="Arial"/>
          <w:sz w:val="18"/>
          <w:szCs w:val="18"/>
          <w:color w:val="auto"/>
        </w:rPr>
        <w:t>The primary efficacy endpoint was the mean rate of growth of GA over 12 months, while secondary efficacy endpoints evaluated mean changes in patients' visual acuity in different lighting conditions over the same period.</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Key Inclusion and Exclusion Criteria</w:t>
      </w:r>
    </w:p>
    <w:p>
      <w:pPr>
        <w:spacing w:after="0" w:line="158" w:lineRule="exact"/>
        <w:rPr>
          <w:sz w:val="20"/>
          <w:szCs w:val="20"/>
          <w:color w:val="auto"/>
        </w:rPr>
      </w:pPr>
    </w:p>
    <w:p>
      <w:pPr>
        <w:ind w:right="20" w:firstLine="180"/>
        <w:spacing w:after="0" w:line="279" w:lineRule="auto"/>
        <w:rPr>
          <w:sz w:val="20"/>
          <w:szCs w:val="20"/>
          <w:color w:val="auto"/>
        </w:rPr>
      </w:pPr>
      <w:r>
        <w:rPr>
          <w:rFonts w:ascii="Arial" w:cs="Arial" w:eastAsia="Arial" w:hAnsi="Arial"/>
          <w:sz w:val="17"/>
          <w:szCs w:val="17"/>
          <w:color w:val="auto"/>
        </w:rPr>
        <w:t>In order to determine eligibility to participate in the trial, the location and size of each patient’s GA was assessed using FAF images. FAF is a common imaging technique used by retina specialists for photographing and documenting the size of GA present in the back of the eye, or fundus. Autofluorescence refers to the natural emission of light by biological structures. In FAF images, areas of atrophy are characterized by lower autofluorescence. An independent masked reading center assessed FAF images throughout the trial, including at baseline to determine eligibility.</w:t>
      </w:r>
    </w:p>
    <w:p>
      <w:pPr>
        <w:spacing w:after="0" w:line="104" w:lineRule="exact"/>
        <w:rPr>
          <w:sz w:val="20"/>
          <w:szCs w:val="20"/>
          <w:color w:val="auto"/>
        </w:rPr>
      </w:pPr>
    </w:p>
    <w:p>
      <w:pPr>
        <w:ind w:right="20" w:firstLine="177"/>
        <w:spacing w:after="0" w:line="267" w:lineRule="auto"/>
        <w:rPr>
          <w:sz w:val="20"/>
          <w:szCs w:val="20"/>
          <w:color w:val="auto"/>
        </w:rPr>
      </w:pPr>
      <w:r>
        <w:rPr>
          <w:rFonts w:ascii="Arial" w:cs="Arial" w:eastAsia="Arial" w:hAnsi="Arial"/>
          <w:sz w:val="16"/>
          <w:szCs w:val="16"/>
          <w:color w:val="auto"/>
        </w:rPr>
        <w:t>The fovea is the central portion of the macula where visual acuity is the highest. We sought to enroll patients whose GA was located, in whole or in part, within 1500 microns of the foveal center but that did not enter the foveal center. A disc area is the size of the area of the retina where a standard sized optic nerve emerges, which is generally accepted to be 2.5 mm</w:t>
      </w:r>
      <w:r>
        <w:rPr>
          <w:rFonts w:ascii="Arial" w:cs="Arial" w:eastAsia="Arial" w:hAnsi="Arial"/>
          <w:sz w:val="20"/>
          <w:szCs w:val="20"/>
          <w:color w:val="auto"/>
          <w:vertAlign w:val="superscript"/>
        </w:rPr>
        <w:t>2</w:t>
      </w:r>
      <w:r>
        <w:rPr>
          <w:rFonts w:ascii="Arial" w:cs="Arial" w:eastAsia="Arial" w:hAnsi="Arial"/>
          <w:sz w:val="16"/>
          <w:szCs w:val="16"/>
          <w:color w:val="auto"/>
        </w:rPr>
        <w:t>. We sought to enroll patients with a total GA area of between 1 and 7 disc areas (or 2.5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to 17.5 mm</w:t>
      </w:r>
      <w:r>
        <w:rPr>
          <w:rFonts w:ascii="Arial" w:cs="Arial" w:eastAsia="Arial" w:hAnsi="Arial"/>
          <w:sz w:val="20"/>
          <w:szCs w:val="20"/>
          <w:color w:val="auto"/>
          <w:vertAlign w:val="superscript"/>
        </w:rPr>
        <w:t>2</w:t>
      </w:r>
      <w:r>
        <w:rPr>
          <w:rFonts w:ascii="Arial" w:cs="Arial" w:eastAsia="Arial" w:hAnsi="Arial"/>
          <w:sz w:val="16"/>
          <w:szCs w:val="16"/>
          <w:color w:val="auto"/>
        </w:rPr>
        <w:t>) inclusive. If the GA was multifocal, meaning it was not continuous and had multiple locations, at least one focal lesion needed to measure at least 0.5 disc areas (or 1.25 mm</w:t>
      </w:r>
      <w:r>
        <w:rPr>
          <w:rFonts w:ascii="Arial" w:cs="Arial" w:eastAsia="Arial" w:hAnsi="Arial"/>
          <w:sz w:val="20"/>
          <w:szCs w:val="20"/>
          <w:color w:val="auto"/>
          <w:vertAlign w:val="superscript"/>
        </w:rPr>
        <w:t>2</w:t>
      </w:r>
      <w:r>
        <w:rPr>
          <w:rFonts w:ascii="Arial" w:cs="Arial" w:eastAsia="Arial" w:hAnsi="Arial"/>
          <w:sz w:val="16"/>
          <w:szCs w:val="16"/>
          <w:color w:val="auto"/>
        </w:rPr>
        <w:t>). Each patient's BCVA was also assessed using the Snellen equivalent scale, which equates the detail a patient can see at a distance of 20 feet with the detail an individual with 20/20 vision can see at a greater distance. For example, a patient with 20/50 vision sees at 20 feet what a person with 20/20 vision would see at 50 feet. To be eligible to participate in the trial, patients' BCVA in the study eye was initially required to be between 20/25 and 20/100 inclusive during Part 1 of the trial. As part of the modifications we made for Part 2 of the trial, we expanded the inclusion criteria to include patients whose BCVA in the study eye was between 20/25 and 20/320 inclusive. BCVA on the Snellen equivalent scale can be equated to a number of letters of vision on the Early Treatment of Diabetic Retinopathy Study, or ETDRS, chart. BCVAs of 20/25, 20/100 and 20/320 on the Snellen equivalent scale are equivalent to 80 ETDRS letters, 50 ETDRS letters and 25 ETDRS letters, respectively.</w:t>
      </w:r>
    </w:p>
    <w:p>
      <w:pPr>
        <w:spacing w:after="0" w:line="106"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are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125" w:lineRule="exact"/>
        <w:rPr>
          <w:sz w:val="20"/>
          <w:szCs w:val="20"/>
          <w:color w:val="auto"/>
        </w:rPr>
      </w:pPr>
    </w:p>
    <w:p>
      <w:pPr>
        <w:ind w:right="240" w:firstLine="170"/>
        <w:spacing w:after="0" w:line="286" w:lineRule="auto"/>
        <w:rPr>
          <w:sz w:val="20"/>
          <w:szCs w:val="20"/>
          <w:color w:val="auto"/>
        </w:rPr>
      </w:pPr>
      <w:r>
        <w:rPr>
          <w:rFonts w:ascii="Arial" w:cs="Arial" w:eastAsia="Arial" w:hAnsi="Arial"/>
          <w:sz w:val="17"/>
          <w:szCs w:val="17"/>
          <w:color w:val="auto"/>
        </w:rPr>
        <w:t>As part of the modifications for Part 2 of the trial, we amended the clinical trial protocol to provide that patients in any arm of the trial who developed CNV in the study eye would be removed from the trial and any future study treatments and assessments, since we did not believe, at the time of the modifications, that GA lesions for patients with CNV in the study eye could be reliably measured with FAF images.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170"/>
        <w:spacing w:after="0" w:line="277" w:lineRule="auto"/>
        <w:rPr>
          <w:sz w:val="20"/>
          <w:szCs w:val="20"/>
          <w:color w:val="auto"/>
        </w:rPr>
      </w:pPr>
      <w:r>
        <w:rPr>
          <w:rFonts w:ascii="Arial" w:cs="Arial" w:eastAsia="Arial" w:hAnsi="Arial"/>
          <w:sz w:val="18"/>
          <w:szCs w:val="18"/>
          <w:color w:val="auto"/>
        </w:rPr>
        <w:t>Additionally, patients who had a prior history of intravitreal treatment for any indication in either eye were excluded, as well as patients with any ocular condition in the study eye that could affect central vision or otherwise confound assessments.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Baseline Characteristics</w:t>
      </w:r>
    </w:p>
    <w:p>
      <w:pPr>
        <w:spacing w:after="0" w:line="158" w:lineRule="exact"/>
        <w:rPr>
          <w:sz w:val="20"/>
          <w:szCs w:val="20"/>
          <w:color w:val="auto"/>
        </w:rPr>
      </w:pPr>
    </w:p>
    <w:p>
      <w:pPr>
        <w:ind w:right="20" w:firstLine="177"/>
        <w:spacing w:after="0" w:line="259" w:lineRule="auto"/>
        <w:rPr>
          <w:sz w:val="20"/>
          <w:szCs w:val="20"/>
          <w:color w:val="auto"/>
        </w:rPr>
      </w:pPr>
      <w:r>
        <w:rPr>
          <w:rFonts w:ascii="Arial" w:cs="Arial" w:eastAsia="Arial" w:hAnsi="Arial"/>
          <w:sz w:val="17"/>
          <w:szCs w:val="17"/>
          <w:color w:val="auto"/>
        </w:rPr>
        <w:t>We collected baseline characteristics for all patients participating in the trial. GA area was measured based on the area of GA in square millimeters (mm</w:t>
      </w:r>
      <w:r>
        <w:rPr>
          <w:rFonts w:ascii="Arial" w:cs="Arial" w:eastAsia="Arial" w:hAnsi="Arial"/>
          <w:sz w:val="22"/>
          <w:szCs w:val="22"/>
          <w:color w:val="auto"/>
          <w:vertAlign w:val="superscript"/>
        </w:rPr>
        <w:t>2</w:t>
      </w:r>
      <w:r>
        <w:rPr>
          <w:rFonts w:ascii="Arial" w:cs="Arial" w:eastAsia="Arial" w:hAnsi="Arial"/>
          <w:sz w:val="17"/>
          <w:szCs w:val="17"/>
          <w:color w:val="auto"/>
        </w:rPr>
        <w:t>). Reported scientific literature indicates that the rate of GA growth may be dependent on the baseline lesion size, with larger GA lesions generally growing faster than smaller lesions, subject to an overall plateau effect as the GA grows to consume almost the entire macula. For this reason, patients were stratified in this trial based on their baseline 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GATHER1 trial.</w:t>
      </w:r>
    </w:p>
    <w:p>
      <w:pPr>
        <w:spacing w:after="0" w:line="122" w:lineRule="exact"/>
        <w:rPr>
          <w:sz w:val="20"/>
          <w:szCs w:val="20"/>
          <w:color w:val="auto"/>
        </w:rPr>
      </w:pPr>
    </w:p>
    <w:p>
      <w:pPr>
        <w:ind w:right="20" w:firstLine="170"/>
        <w:spacing w:after="0" w:line="269" w:lineRule="auto"/>
        <w:rPr>
          <w:sz w:val="20"/>
          <w:szCs w:val="20"/>
          <w:color w:val="auto"/>
        </w:rPr>
      </w:pPr>
      <w:r>
        <w:rPr>
          <w:rFonts w:ascii="Arial" w:cs="Arial" w:eastAsia="Arial" w:hAnsi="Arial"/>
          <w:sz w:val="17"/>
          <w:szCs w:val="17"/>
          <w:color w:val="auto"/>
        </w:rPr>
        <w:t>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 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w:t>
      </w:r>
    </w:p>
    <w:p>
      <w:pPr>
        <w:spacing w:after="0" w:line="104"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119" w:lineRule="exact"/>
        <w:rPr>
          <w:sz w:val="20"/>
          <w:szCs w:val="20"/>
          <w:color w:val="auto"/>
        </w:rPr>
      </w:pPr>
    </w:p>
    <w:p>
      <w:pPr>
        <w:ind w:right="160" w:firstLine="180"/>
        <w:spacing w:after="0" w:line="257" w:lineRule="auto"/>
        <w:rPr>
          <w:sz w:val="20"/>
          <w:szCs w:val="20"/>
          <w:color w:val="auto"/>
        </w:rPr>
      </w:pPr>
      <w:r>
        <w:rPr>
          <w:rFonts w:ascii="Arial" w:cs="Arial" w:eastAsia="Arial" w:hAnsi="Arial"/>
          <w:sz w:val="18"/>
          <w:szCs w:val="18"/>
          <w:color w:val="auto"/>
        </w:rPr>
        <w:t>In addition to measuring the area of GA, we followed patients for changes in their vision (BCVA), as measured both at a standard light level, or luminance, and lower light level, or low luminance (LL BCVA), measured in each case by ETDRS letters. Testing for visual acuity serves as an important safety assessment to assure that the decrease in visual acuity in the Zimura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20"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103" w:lineRule="exact"/>
        <w:rPr>
          <w:sz w:val="20"/>
          <w:szCs w:val="20"/>
          <w:color w:val="auto"/>
        </w:rPr>
      </w:pPr>
    </w:p>
    <w:p>
      <w:pPr>
        <w:ind w:right="320" w:firstLine="177"/>
        <w:spacing w:after="0" w:line="311" w:lineRule="auto"/>
        <w:rPr>
          <w:sz w:val="20"/>
          <w:szCs w:val="20"/>
          <w:color w:val="auto"/>
        </w:rPr>
      </w:pPr>
      <w:r>
        <w:rPr>
          <w:rFonts w:ascii="Arial" w:cs="Arial" w:eastAsia="Arial" w:hAnsi="Arial"/>
          <w:sz w:val="16"/>
          <w:szCs w:val="16"/>
          <w:color w:val="auto"/>
        </w:rPr>
        <w:t>The baseline characteristics are presented below for each treatment group in each Part of the trial. These baseline characteristics include the ITT, or intent-to-treat, population, which includes all patients who were randomized in the trial and who received at least one dose of study drug in the relevant treatment group. Based on these data, we believe that the baseline characteristics were generally balanced across the treatment groups.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Part 2</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Zimura 1 mg</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Zimura 2 mg</w:t>
            </w:r>
          </w:p>
        </w:tc>
        <w:tc>
          <w:tcPr>
            <w:tcW w:w="400" w:type="dxa"/>
            <w:vAlign w:val="bottom"/>
          </w:tcPr>
          <w:p>
            <w:pPr>
              <w:spacing w:after="0"/>
              <w:rPr>
                <w:sz w:val="16"/>
                <w:szCs w:val="16"/>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7"/>
              </w:rPr>
              <w:t>Sham</w:t>
            </w:r>
          </w:p>
        </w:tc>
        <w:tc>
          <w:tcPr>
            <w:tcW w:w="1140" w:type="dxa"/>
            <w:vAlign w:val="bottom"/>
            <w:gridSpan w:val="4"/>
          </w:tcPr>
          <w:p>
            <w:pPr>
              <w:ind w:left="60"/>
              <w:spacing w:after="0"/>
              <w:rPr>
                <w:sz w:val="20"/>
                <w:szCs w:val="20"/>
                <w:color w:val="auto"/>
              </w:rPr>
            </w:pPr>
            <w:r>
              <w:rPr>
                <w:rFonts w:ascii="Arial" w:cs="Arial" w:eastAsia="Arial" w:hAnsi="Arial"/>
                <w:sz w:val="16"/>
                <w:szCs w:val="16"/>
                <w:b w:val="1"/>
                <w:bCs w:val="1"/>
                <w:color w:val="auto"/>
              </w:rPr>
              <w:t>Zimura 2 mg</w:t>
            </w: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Zimura 4 mg</w:t>
            </w: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50"/>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Cohort</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1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(N = 26)</w:t>
            </w:r>
          </w:p>
        </w:tc>
        <w:tc>
          <w:tcPr>
            <w:tcW w:w="120" w:type="dxa"/>
            <w:vAlign w:val="bottom"/>
          </w:tcPr>
          <w:p>
            <w:pPr>
              <w:spacing w:after="0"/>
              <w:rPr>
                <w:sz w:val="21"/>
                <w:szCs w:val="21"/>
                <w:color w:val="auto"/>
              </w:rPr>
            </w:pPr>
          </w:p>
        </w:tc>
        <w:tc>
          <w:tcPr>
            <w:tcW w:w="10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(N = 42)</w:t>
            </w: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(N = 83)</w:t>
            </w:r>
          </w:p>
        </w:tc>
        <w:tc>
          <w:tcPr>
            <w:tcW w:w="100" w:type="dxa"/>
            <w:vAlign w:val="bottom"/>
          </w:tcPr>
          <w:p>
            <w:pPr>
              <w:spacing w:after="0"/>
              <w:rPr>
                <w:sz w:val="21"/>
                <w:szCs w:val="2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(N = 84)</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age, years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73.8 (8.0)</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77.7 (9.6)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78.1 (8.4)</w:t>
            </w:r>
          </w:p>
        </w:tc>
        <w:tc>
          <w:tcPr>
            <w:tcW w:w="12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(10.7)</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79.2 (8.3)</w:t>
            </w:r>
          </w:p>
        </w:tc>
        <w:tc>
          <w:tcPr>
            <w:tcW w:w="1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78.2 (9.0)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Female gender,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15 (57.7%)</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18 (72.0%)</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ind w:left="4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27</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(64.3%)</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58</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(69.9%)</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61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(72.6%)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Active smokers,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10 (40.0%)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15</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(35.7%)</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(31.3%)</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29</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(34.5%)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Caucasian race,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Iris color: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Light</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13 (50.0%)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16 (64.0%)</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ind w:left="4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29</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(69.0%)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54</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(65.1%)</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57</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(67.9%)</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Medium</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6 (24.0%)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5"/>
              </w:rPr>
              <w:t>9 (21.4%)</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(26.5%)</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(25.0%)</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Dark</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3 (12.0%)</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740" w:type="dxa"/>
            <w:vAlign w:val="bottom"/>
          </w:tcPr>
          <w:p>
            <w:pPr>
              <w:ind w:lef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w w:val="89"/>
              </w:rPr>
              <w:t>4</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w w:val="97"/>
              </w:rPr>
              <w:t>(9.5%)</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w w:val="97"/>
              </w:rPr>
              <w:t>(8.4%)</w:t>
            </w:r>
          </w:p>
        </w:tc>
        <w:tc>
          <w:tcPr>
            <w:tcW w:w="1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6"/>
                <w:szCs w:val="16"/>
                <w:color w:val="auto"/>
                <w:w w:val="89"/>
              </w:rPr>
              <w:t>6</w:t>
            </w:r>
          </w:p>
        </w:tc>
        <w:tc>
          <w:tcPr>
            <w:tcW w:w="740" w:type="dxa"/>
            <w:vAlign w:val="bottom"/>
            <w:gridSpan w:val="2"/>
          </w:tcPr>
          <w:p>
            <w:pPr>
              <w:jc w:val="right"/>
              <w:ind w:right="199"/>
              <w:spacing w:after="0"/>
              <w:rPr>
                <w:sz w:val="20"/>
                <w:szCs w:val="20"/>
                <w:color w:val="auto"/>
              </w:rPr>
            </w:pPr>
            <w:r>
              <w:rPr>
                <w:rFonts w:ascii="Arial" w:cs="Arial" w:eastAsia="Arial" w:hAnsi="Arial"/>
                <w:sz w:val="16"/>
                <w:szCs w:val="16"/>
                <w:color w:val="auto"/>
                <w:w w:val="93"/>
              </w:rPr>
              <w:t>(7.1%)</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intraocular pressure, mmHg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15.0 (1.9)</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14.6 (2.6)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14.5 (2.8)</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14.1 (2.4)</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15.2 (2.5)</w:t>
            </w:r>
          </w:p>
        </w:tc>
        <w:tc>
          <w:tcPr>
            <w:tcW w:w="1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14.9 (2.5)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Non-subfoveal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23 (88.5%)</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20 (80.0%)</w:t>
            </w: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740" w:type="dxa"/>
            <w:vAlign w:val="bottom"/>
          </w:tcPr>
          <w:p>
            <w:pPr>
              <w:ind w:left="4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81</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9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GA area, mm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7.37 (4.32)</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6.60 (3.35)</w:t>
            </w:r>
          </w:p>
        </w:tc>
        <w:tc>
          <w:tcPr>
            <w:tcW w:w="1140" w:type="dxa"/>
            <w:vAlign w:val="bottom"/>
            <w:gridSpan w:val="2"/>
          </w:tcPr>
          <w:p>
            <w:pPr>
              <w:jc w:val="right"/>
              <w:ind w:right="259"/>
              <w:spacing w:after="0"/>
              <w:rPr>
                <w:sz w:val="20"/>
                <w:szCs w:val="20"/>
                <w:color w:val="auto"/>
              </w:rPr>
            </w:pPr>
            <w:r>
              <w:rPr>
                <w:rFonts w:ascii="Arial" w:cs="Arial" w:eastAsia="Arial" w:hAnsi="Arial"/>
                <w:sz w:val="16"/>
                <w:szCs w:val="16"/>
                <w:color w:val="auto"/>
              </w:rPr>
              <w:t>7.33 (3.73)</w:t>
            </w:r>
          </w:p>
        </w:tc>
        <w:tc>
          <w:tcPr>
            <w:tcW w:w="12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7.77</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(4.01)</w:t>
            </w:r>
          </w:p>
        </w:tc>
        <w:tc>
          <w:tcPr>
            <w:tcW w:w="100" w:type="dxa"/>
            <w:vAlign w:val="bottom"/>
          </w:tcPr>
          <w:p>
            <w:pPr>
              <w:spacing w:after="0"/>
              <w:rPr>
                <w:sz w:val="24"/>
                <w:szCs w:val="24"/>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7.90 (4.18)</w:t>
            </w:r>
          </w:p>
        </w:tc>
        <w:tc>
          <w:tcPr>
            <w:tcW w:w="100" w:type="dxa"/>
            <w:vAlign w:val="bottom"/>
          </w:tcPr>
          <w:p>
            <w:pPr>
              <w:spacing w:after="0"/>
              <w:rPr>
                <w:sz w:val="24"/>
                <w:szCs w:val="24"/>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7.45</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(3.89)</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Sq. Root of GA area, mm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2.471 (0.717)</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2.623 (0.687)</w:t>
            </w:r>
          </w:p>
        </w:tc>
        <w:tc>
          <w:tcPr>
            <w:tcW w:w="12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w w:val="94"/>
              </w:rPr>
              <w:t>2.705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(0.684)</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2.715 (0.732)</w:t>
            </w:r>
          </w:p>
        </w:tc>
        <w:tc>
          <w:tcPr>
            <w:tcW w:w="100" w:type="dxa"/>
            <w:vAlign w:val="bottom"/>
          </w:tcPr>
          <w:p>
            <w:pPr>
              <w:spacing w:after="0"/>
              <w:rPr>
                <w:sz w:val="17"/>
                <w:szCs w:val="17"/>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w w:val="94"/>
              </w:rPr>
              <w:t>2.636</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0"/>
              </w:rPr>
              <w:t>(0.709)</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Bilateral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83 (100%)</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70.5 (8.0)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71.6 (7.5)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71.3 (7.5)</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69.4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(11.3)</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69.5 (9.8)</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68.3</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(11.0)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LL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38.1 (22.7)</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 (19.7)</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36.7 (21.2)</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33.1</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(21.3)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36.8 (20.9)</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33.9</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Patients with Hyperautofluorscence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41</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Height, cm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168.7 (12.0)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165.9 (8.6)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164.9 (12.1)</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164.9 (11.0)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163.7 (10.6)</w:t>
            </w:r>
          </w:p>
        </w:tc>
        <w:tc>
          <w:tcPr>
            <w:tcW w:w="100" w:type="dxa"/>
            <w:vAlign w:val="bottom"/>
          </w:tcPr>
          <w:p>
            <w:pPr>
              <w:spacing w:after="0"/>
              <w:rPr>
                <w:sz w:val="18"/>
                <w:szCs w:val="18"/>
                <w:color w:val="auto"/>
              </w:rPr>
            </w:pPr>
          </w:p>
        </w:tc>
        <w:tc>
          <w:tcPr>
            <w:tcW w:w="1100" w:type="dxa"/>
            <w:vAlign w:val="bottom"/>
            <w:gridSpan w:val="3"/>
          </w:tcPr>
          <w:p>
            <w:pPr>
              <w:jc w:val="right"/>
              <w:ind w:right="119"/>
              <w:spacing w:after="0"/>
              <w:rPr>
                <w:sz w:val="20"/>
                <w:szCs w:val="20"/>
                <w:color w:val="auto"/>
              </w:rPr>
            </w:pPr>
            <w:r>
              <w:rPr>
                <w:rFonts w:ascii="Arial" w:cs="Arial" w:eastAsia="Arial" w:hAnsi="Arial"/>
                <w:sz w:val="16"/>
                <w:szCs w:val="16"/>
                <w:color w:val="auto"/>
              </w:rPr>
              <w:t>163.7 (9.3)</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Weight, kg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81.9 (17.8)</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75.6 (14.9)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74.7 (15.6)</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80.8</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(22.3)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76.2 (18.2)</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78.4</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(17.8)</w:t>
            </w:r>
          </w:p>
        </w:tc>
      </w:tr>
    </w:tbl>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12-Month Data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12-Month Safety Data</w:t>
      </w:r>
    </w:p>
    <w:p>
      <w:pPr>
        <w:spacing w:after="0" w:line="144"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color w:val="auto"/>
        </w:rPr>
        <w:t>Based on our review of the safety data to date, Zimura was generally well tolerated after 12 months of administration. Over this 12-month time period, there were no investigator-reported ocular serious adverse events, no Zimura-related adverse events, no cases of Zimura-related intraocular inflammation, no cases of Zimura-related increased intraocular pressure, no cases of endophthalmitis, and no discontinuations attributed by investigators to Zimura in the trial. The numbers below are based on investigator-reported adverse events occurring up through the month 12 time point for all patients.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The number of patients with one or more serious, systemic, treatment emergent adverse events, or TEAEs, organized by MedDRA system organ class, a standard method of reporting adverse events,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Part 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Zimura 2</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4</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83"/>
              </w:rPr>
              <w:t>mg</w:t>
            </w: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6 (7.2%)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 number of patients with one or more systemic TEAEs, including serious systemic TEAEs, identified by the investigator as related to the study drug (Zimura or sham)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Systemic TEAEs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88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100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0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8 (32.0%)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24 (57.1%)</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50 (60.2%)</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33 (39.3%)</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 (11.5%)</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4 (16.0%)</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14 (33.3%)</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36 (43.4%)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23 (27.4%)</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All of the above TEAEs that were not related to the injection procedure were also not related to the study drug. The number of patients with one or more ocular TEAEs in the study eye, identified by the investigator as related to the study drug (Zimura or sham) is set forth in the table below:</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the Study Eye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i w:val="1"/>
          <w:iCs w:val="1"/>
          <w:color w:val="auto"/>
        </w:rPr>
        <w:t xml:space="preserve">Incidence of CNV. </w:t>
      </w:r>
      <w:r>
        <w:rPr>
          <w:rFonts w:ascii="Arial" w:cs="Arial" w:eastAsia="Arial" w:hAnsi="Arial"/>
          <w:sz w:val="18"/>
          <w:szCs w:val="18"/>
          <w:color w:val="auto"/>
        </w:rPr>
        <w:t>During the first 12 months of this trial, the incidence of investigator reported CNV in the untreated fellow eyes was 10 patients (3.5%)</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study eyes was 3 patients (2.7%) in the sham group, 1 patient (4.0%) in the Zimura 1 mg group, 6 patients (9.0%) in the Zimura 2 mg group, and 8 patients (9.6%) in the Zimura 4 mg group.</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Statistical Analysis for Efficacy Measures</w:t>
      </w:r>
    </w:p>
    <w:p>
      <w:pPr>
        <w:spacing w:after="0" w:line="158"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 xml:space="preserve">GATHER1 was designed as a Phase 2b screening trial based on the criteria described by Drs. Thomas Fleming and Barbara Richardson in their publication regarding clinical trial design in the context of microbicides for the prevention of HIV in the </w:t>
      </w:r>
      <w:r>
        <w:rPr>
          <w:rFonts w:ascii="Arial" w:cs="Arial" w:eastAsia="Arial" w:hAnsi="Arial"/>
          <w:sz w:val="16"/>
          <w:szCs w:val="16"/>
          <w:i w:val="1"/>
          <w:iCs w:val="1"/>
          <w:color w:val="auto"/>
        </w:rPr>
        <w:t>Journal of Infectious Disease</w:t>
      </w:r>
      <w:r>
        <w:rPr>
          <w:rFonts w:ascii="Arial" w:cs="Arial" w:eastAsia="Arial" w:hAnsi="Arial"/>
          <w:sz w:val="16"/>
          <w:szCs w:val="16"/>
          <w:color w:val="auto"/>
        </w:rPr>
        <w:t xml:space="preserve"> in 2004. A screening trial uses the same primary efficacy endpoint as an anticipated Phase 3 clinical trial that would be used to support potential marketing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Phase 2b screening trial has three possible outcomes:</w:t>
      </w:r>
    </w:p>
    <w:p>
      <w:pPr>
        <w:spacing w:after="0" w:line="158" w:lineRule="exact"/>
        <w:rPr>
          <w:sz w:val="20"/>
          <w:szCs w:val="20"/>
          <w:color w:val="auto"/>
        </w:rPr>
      </w:pPr>
    </w:p>
    <w:p>
      <w:pPr>
        <w:ind w:left="660" w:right="2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estimated effect size indicates low levels of benefit, the experimental intervention would be judged as not plausibly more efficacious than the sham control, and should be discarded in its current dosage in the indication evaluated;</w:t>
      </w:r>
    </w:p>
    <w:p>
      <w:pPr>
        <w:spacing w:after="0" w:line="10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 or</w:t>
      </w:r>
    </w:p>
    <w:p>
      <w:pPr>
        <w:spacing w:after="0" w:line="102"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estimated effect size is clinically relevant and reaches the traditional threshold for statistical significance, as was the case in the GATHER1 trial for both the Zimura 2 mg and Zimura 4 mg dose groups as compared to the corresponding sham control groups, the trial could potentially serve as one of the two pivotal trials typically required for marketing approval.</w:t>
      </w:r>
    </w:p>
    <w:p>
      <w:pPr>
        <w:spacing w:after="0" w:line="1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primary and secondary efficacy analyses we evaluated the ITT population in accordance with a prespecified statistical analysis plan.</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statistical evidence from the GATHER1 trial regarding the comparison of Zimura 2 mg to sham control is provided by data from both Part 1, with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randomization ratio of patients receiving Zimura 2 mg (25 patients) and sham (26 patients), as well as data from Part 2, with a 1:2 randomization ratio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patients receiving Zimura 2 mg (42 patients) and sham (84 patients), for a total of 67 patients receiving Zimura 2 mg and 110 patients receiving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sham. While we believe it is appropriate to use the aggregate data from Parts 1 and 2 in the analysis of the relative effects of Zimura 2 mg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sham, it would not be appropriate to simply pool the data from patients in both Parts 1 and 2, in particular, because the randomization fraction differs across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two parts of the trial. However, based on the randomization procedures used in each part of the trial, for purposes of statistical comparisons,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 1 of the trial, the 25 patients receiving Zimura 2 mg should be comparable to the 26 patients receiving sham. Similarly, for purposes of statistical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comparisons, within Part 2 of the trial, the 42 patients receiving Zimura 2 mg should be comparable to the 84 patients receiving sham. The efficacy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Zimura 2 mg was therefore evaluated through an analysis which included a regression factor by trial part. The statistical analysis for the Zimura 4 mg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sham compares data for patients from Part 2 of the trial only. Data from patients receiving Zimura 1 mg in Part 1 of the trial was not part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prespecified statistical analysis for the efficacy endpoints.</w:t>
      </w:r>
    </w:p>
    <w:p>
      <w:pPr>
        <w:spacing w:after="0" w:line="143" w:lineRule="exact"/>
        <w:rPr>
          <w:sz w:val="20"/>
          <w:szCs w:val="20"/>
          <w:color w:val="auto"/>
        </w:rPr>
      </w:pPr>
    </w:p>
    <w:p>
      <w:pPr>
        <w:ind w:right="40" w:firstLine="177"/>
        <w:spacing w:after="0" w:line="268" w:lineRule="auto"/>
        <w:rPr>
          <w:sz w:val="20"/>
          <w:szCs w:val="20"/>
          <w:color w:val="auto"/>
        </w:rPr>
      </w:pPr>
      <w:r>
        <w:rPr>
          <w:rFonts w:ascii="Arial" w:cs="Arial" w:eastAsia="Arial" w:hAnsi="Arial"/>
          <w:sz w:val="17"/>
          <w:szCs w:val="17"/>
          <w:color w:val="auto"/>
        </w:rPr>
        <w:t>The prespecified statistical analysis plan for the primary and secondary endpoints of this trial used the mixed-effects repeated measures model, or MRM, to compare data for the Zimura 2 mg and Zimura 4 mg groups to the corresponding sham groups. Repeated measures models are often used when the same outcome is measured at several time points for each patient. These models make use of all available data points to estimate the measurement of interest, the mean rate of change of GA growth, without making overly restrictive assumptions. In addition, these models are generally robust to missing data under the assumption that data are missing at random.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 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either the month 6 or month 12 time point. Because the MRM model would only need measurements from at least two different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time points for analysis purposes, one of which must be the baseline, we were able to include in the primary analysis all patients who had GA measurements at baseline and within the month prior to either month 6 or month 12, or both.</w:t>
      </w:r>
    </w:p>
    <w:p>
      <w:pPr>
        <w:spacing w:after="0" w:line="89" w:lineRule="exact"/>
        <w:rPr>
          <w:sz w:val="20"/>
          <w:szCs w:val="20"/>
          <w:color w:val="auto"/>
        </w:rPr>
      </w:pPr>
    </w:p>
    <w:p>
      <w:pPr>
        <w:ind w:right="100" w:firstLine="177"/>
        <w:spacing w:after="0" w:line="263" w:lineRule="auto"/>
        <w:rPr>
          <w:sz w:val="20"/>
          <w:szCs w:val="20"/>
          <w:color w:val="auto"/>
        </w:rPr>
      </w:pPr>
      <w:r>
        <w:rPr>
          <w:rFonts w:ascii="Arial" w:cs="Arial" w:eastAsia="Arial" w:hAnsi="Arial"/>
          <w:sz w:val="18"/>
          <w:szCs w:val="18"/>
          <w:color w:val="auto"/>
        </w:rPr>
        <w:t>The following table sets forth for the data in the primary statistical analysis the number of patients for whom GA measurements were missing for purposes of performing this analysis. Patients whose GA measurements were missing at baseline, or at both month 6 and month 12, could not be included in the primary analysis. All other patients were included in the primary analysis.</w:t>
      </w:r>
    </w:p>
    <w:p>
      <w:pPr>
        <w:spacing w:after="0" w:line="13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860" w:type="dxa"/>
            <w:vAlign w:val="bottom"/>
            <w:vMerge w:val="restart"/>
          </w:tcPr>
          <w:p>
            <w:pPr>
              <w:ind w:left="1680"/>
              <w:spacing w:after="0"/>
              <w:rPr>
                <w:sz w:val="20"/>
                <w:szCs w:val="20"/>
                <w:color w:val="auto"/>
              </w:rPr>
            </w:pPr>
            <w:r>
              <w:rPr>
                <w:rFonts w:ascii="Arial" w:cs="Arial" w:eastAsia="Arial" w:hAnsi="Arial"/>
                <w:sz w:val="16"/>
                <w:szCs w:val="16"/>
                <w:b w:val="1"/>
                <w:bCs w:val="1"/>
                <w:color w:val="auto"/>
              </w:rPr>
              <w:t>Cohort</w:t>
            </w:r>
          </w:p>
        </w:tc>
        <w:tc>
          <w:tcPr>
            <w:tcW w:w="120" w:type="dxa"/>
            <w:vAlign w:val="bottom"/>
            <w:vMerge w:val="restart"/>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Zimura 2 mg</w:t>
            </w: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Sham 2 mg</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Zimura 4 mg</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0"/>
              </w:rPr>
              <w:t>Sham 4 mg</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67)</w:t>
            </w: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(N = 83)</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M6 and M12</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and M12 only</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780" w:type="dxa"/>
            <w:vAlign w:val="bottom"/>
            <w:gridSpan w:val="2"/>
          </w:tcPr>
          <w:p>
            <w:pPr>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800" w:type="dxa"/>
            <w:vAlign w:val="bottom"/>
          </w:tcPr>
          <w:p>
            <w:pPr>
              <w:ind w:left="20"/>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only</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excluded from MRM analysis</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720" w:type="dxa"/>
            <w:vAlign w:val="bottom"/>
          </w:tcPr>
          <w:p>
            <w:pP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800" w:type="dxa"/>
            <w:vAlign w:val="bottom"/>
          </w:tcPr>
          <w:p>
            <w:pPr>
              <w:ind w:left="2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only</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ind w:lef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800" w:type="dxa"/>
            <w:vAlign w:val="bottom"/>
          </w:tcPr>
          <w:p>
            <w:pPr>
              <w:ind w:lef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tcPr>
          <w:p>
            <w:pPr>
              <w:ind w:lef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M12 only</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ind w:left="2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800" w:type="dxa"/>
            <w:vAlign w:val="bottom"/>
          </w:tcPr>
          <w:p>
            <w:pPr>
              <w:ind w:lef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tcPr>
          <w:p>
            <w:pPr>
              <w:ind w:lef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2"/>
        </w:trPr>
        <w:tc>
          <w:tcPr>
            <w:tcW w:w="398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No missing GA measurements</w:t>
            </w:r>
            <w:r>
              <w:rPr>
                <w:rFonts w:ascii="Arial" w:cs="Arial" w:eastAsia="Arial" w:hAnsi="Arial"/>
                <w:sz w:val="21"/>
                <w:szCs w:val="21"/>
                <w:color w:val="auto"/>
                <w:vertAlign w:val="superscript"/>
              </w:rPr>
              <w:t>(a)</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included in MRM analysis</w:t>
            </w: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c>
          <w:tcPr>
            <w:tcW w:w="780" w:type="dxa"/>
            <w:vAlign w:val="bottom"/>
          </w:tcPr>
          <w:p>
            <w:pPr>
              <w:ind w:left="2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w:t>
            </w:r>
          </w:p>
        </w:tc>
        <w:tc>
          <w:tcPr>
            <w:tcW w:w="800" w:type="dxa"/>
            <w:vAlign w:val="bottom"/>
          </w:tcPr>
          <w:p>
            <w:pPr>
              <w:ind w:left="2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79</w:t>
            </w:r>
          </w:p>
        </w:tc>
        <w:tc>
          <w:tcPr>
            <w:tcW w:w="780" w:type="dxa"/>
            <w:vAlign w:val="bottom"/>
          </w:tcPr>
          <w:p>
            <w:pPr>
              <w:ind w:left="2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BL = Baseline; M6 = Month 6; M12 = Month 12</w:t>
      </w:r>
    </w:p>
    <w:p>
      <w:pPr>
        <w:spacing w:after="0" w:line="55"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 = complete observations</w:t>
      </w:r>
    </w:p>
    <w:p>
      <w:pPr>
        <w:spacing w:after="0" w:line="154" w:lineRule="exact"/>
        <w:rPr>
          <w:sz w:val="20"/>
          <w:szCs w:val="20"/>
          <w:color w:val="auto"/>
        </w:rPr>
      </w:pPr>
    </w:p>
    <w:p>
      <w:pPr>
        <w:ind w:firstLine="198"/>
        <w:spacing w:after="0" w:line="301" w:lineRule="auto"/>
        <w:rPr>
          <w:sz w:val="20"/>
          <w:szCs w:val="20"/>
          <w:color w:val="auto"/>
        </w:rPr>
      </w:pPr>
      <w:r>
        <w:rPr>
          <w:rFonts w:ascii="Arial" w:cs="Arial" w:eastAsia="Arial" w:hAnsi="Arial"/>
          <w:sz w:val="16"/>
          <w:szCs w:val="16"/>
          <w:color w:val="auto"/>
        </w:rPr>
        <w:t>In total, 53 (18.5%) patients withdrew from the trial during the first 12 months. Of the patients who withdrew during the first 12 months, 2 patients were from the Zimura 1 mg group (7.7% withdrawals), 12 patients were from the combined Zimura 2 mg group (17.9% withdrawals), 25 patients were from the Zimura 4 mg group (30.1% withdrawals) and 14 patients were from the combined sham group (12.7% withdrawals). GA measurements for patients who withdrew from the study prior to the 12 month time point may have been included in the MRM analysis, as detailed in the table above.</w:t>
      </w:r>
    </w:p>
    <w:p>
      <w:pPr>
        <w:spacing w:after="0" w:line="90"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i w:val="1"/>
          <w:iCs w:val="1"/>
          <w:color w:val="auto"/>
        </w:rPr>
        <w:t>Sensitivity analyses</w:t>
      </w:r>
      <w:r>
        <w:rPr>
          <w:rFonts w:ascii="Arial" w:cs="Arial" w:eastAsia="Arial" w:hAnsi="Arial"/>
          <w:sz w:val="17"/>
          <w:szCs w:val="17"/>
          <w:color w:val="auto"/>
        </w:rPr>
        <w:t>. We performed several sensitivity analyses to assess the impact of missing data on the robustness of the GATHER1 trial results. The</w:t>
      </w:r>
      <w:r>
        <w:rPr>
          <w:rFonts w:ascii="Arial" w:cs="Arial" w:eastAsia="Arial" w:hAnsi="Arial"/>
          <w:sz w:val="17"/>
          <w:szCs w:val="17"/>
          <w:i w:val="1"/>
          <w:iCs w:val="1"/>
          <w:color w:val="auto"/>
        </w:rPr>
        <w:t xml:space="preserve"> </w:t>
      </w:r>
      <w:r>
        <w:rPr>
          <w:rFonts w:ascii="Arial" w:cs="Arial" w:eastAsia="Arial" w:hAnsi="Arial"/>
          <w:sz w:val="17"/>
          <w:szCs w:val="17"/>
          <w:color w:val="auto"/>
        </w:rPr>
        <w:t>analyses we performed were based on approaches that the FDA generally recommends sponsors of investigational products use to evaluate their clinical data. Based on these analyses, and accounting for the data missing from our data set because of patient withdrawals or for other reasons, the statistical analysis for the 12 month data from the GATHER1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110" w:lineRule="exact"/>
        <w:rPr>
          <w:sz w:val="20"/>
          <w:szCs w:val="20"/>
          <w:color w:val="auto"/>
        </w:rPr>
      </w:pPr>
    </w:p>
    <w:p>
      <w:pPr>
        <w:ind w:left="660" w:right="2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11"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A shift of at least 0.05 mm in terms of square root of GA growth was required to lose statistical significance for both the Zimura 2 mg and Zimura 4 mg groups. The difference between the Zimura treatment groups and the corresponding sham groups, in terms of mean change of square root of GA growth, was 0.11 mm for the Zimura 2 mg group and 0.12 mm for the Zimura 4 mg group, so a shift of 0.05 mm represents more than 40% of the observed treatment effect, which is large.</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Arbitrary imputation approaches, in which missing data are replaced by:</w:t>
      </w:r>
    </w:p>
    <w:p>
      <w:pPr>
        <w:spacing w:after="0" w:line="157" w:lineRule="exact"/>
        <w:rPr>
          <w:rFonts w:ascii="Arial" w:cs="Arial" w:eastAsia="Arial" w:hAnsi="Arial"/>
          <w:sz w:val="18"/>
          <w:szCs w:val="18"/>
          <w:color w:val="auto"/>
        </w:rPr>
      </w:pPr>
    </w:p>
    <w:p>
      <w:pPr>
        <w:ind w:left="980" w:right="140" w:hanging="324"/>
        <w:spacing w:after="0" w:line="27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mean value of the same treatment group, which seems a reasonable imputation approach since it replaces missing values by the mean of all observed values in the same treatment group;</w:t>
      </w:r>
    </w:p>
    <w:p>
      <w:pPr>
        <w:spacing w:after="0" w:line="89" w:lineRule="exact"/>
        <w:rPr>
          <w:rFonts w:ascii="Arial" w:cs="Arial" w:eastAsia="Arial" w:hAnsi="Arial"/>
          <w:sz w:val="18"/>
          <w:szCs w:val="18"/>
          <w:color w:val="auto"/>
        </w:rPr>
      </w:pPr>
    </w:p>
    <w:p>
      <w:pPr>
        <w:ind w:left="980" w:hanging="324"/>
        <w:spacing w:after="0" w:line="263"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mean value of the comparator treatment group, which is a very conservative approach. If there is a treatment effect, missing values in the sham control group are replaced by better values, on average, from the Zimura treatment group, while missing values in the Zimura treatment group are replaced by worse values, on average, from the sham control group;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mean value of both treatment groups, which is a conservative approach because it assumes no treatment effect for missing values; and</w:t>
      </w:r>
    </w:p>
    <w:p>
      <w:pPr>
        <w:spacing w:after="0" w:line="180" w:lineRule="exact"/>
        <w:rPr>
          <w:rFonts w:ascii="Arial" w:cs="Arial" w:eastAsia="Arial" w:hAnsi="Arial"/>
          <w:sz w:val="16"/>
          <w:szCs w:val="16"/>
          <w:color w:val="auto"/>
        </w:rPr>
      </w:pPr>
    </w:p>
    <w:p>
      <w:pPr>
        <w:ind w:left="980" w:right="400" w:hanging="324"/>
        <w:spacing w:after="0" w:line="277" w:lineRule="auto"/>
        <w:tabs>
          <w:tab w:leader="none" w:pos="9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mean value of the sham control group, which is also a conservative approach because it draws only upon data from the sham control group, which by definition did not have any treatment benefit.</w:t>
      </w:r>
    </w:p>
    <w:p>
      <w:pPr>
        <w:spacing w:after="0" w:line="89"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color w:val="auto"/>
        </w:rPr>
        <w:t>Statistical significance for the reduction in mean rate of GA growth for the Zimura 2 mg and Zimura 4 mg groups as compared to the corresponding sham groups was retained for all arbitrary imputation approaches.</w:t>
      </w:r>
    </w:p>
    <w:p>
      <w:pPr>
        <w:spacing w:after="0" w:line="103" w:lineRule="exact"/>
        <w:rPr>
          <w:sz w:val="20"/>
          <w:szCs w:val="20"/>
          <w:color w:val="auto"/>
        </w:rPr>
      </w:pPr>
    </w:p>
    <w:p>
      <w:pPr>
        <w:ind w:left="660" w:right="3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“pattern mixture model imputation” approach, which is a technically complex model and is especially useful when data are suspected to be missing “not at random”.</w:t>
      </w:r>
    </w:p>
    <w:p>
      <w:pPr>
        <w:spacing w:after="0" w:line="103"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Statistical significance for the reduction in mean rate of GA growth for the Zimura 2 mg and Zimura 4 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sensitivity analyses, and accounting for the data missing from our data set because of patient withdrawals or for other reasons, we believe the statistical analysis for the 12 month data from the GATHER1 trial is robust.</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Primary Efficacy Endpoint Data</w:t>
      </w:r>
    </w:p>
    <w:p>
      <w:pPr>
        <w:spacing w:after="0" w:line="158" w:lineRule="exact"/>
        <w:rPr>
          <w:sz w:val="20"/>
          <w:szCs w:val="20"/>
          <w:color w:val="auto"/>
        </w:rPr>
      </w:pPr>
    </w:p>
    <w:p>
      <w:pPr>
        <w:ind w:right="20" w:firstLine="177"/>
        <w:spacing w:after="0" w:line="286" w:lineRule="auto"/>
        <w:rPr>
          <w:sz w:val="20"/>
          <w:szCs w:val="20"/>
          <w:color w:val="auto"/>
        </w:rPr>
      </w:pPr>
      <w:r>
        <w:rPr>
          <w:rFonts w:ascii="Arial" w:cs="Arial" w:eastAsia="Arial" w:hAnsi="Arial"/>
          <w:sz w:val="17"/>
          <w:szCs w:val="17"/>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(MRM Analysis) (Square Root Transformation)</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7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vMerge w:val="restart"/>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Sham 2 mg</w:t>
            </w:r>
          </w:p>
        </w:tc>
        <w:tc>
          <w:tcPr>
            <w:tcW w:w="142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vMerge w:val="restart"/>
          </w:tcPr>
          <w:p>
            <w:pPr>
              <w:spacing w:after="0"/>
              <w:rPr>
                <w:sz w:val="17"/>
                <w:szCs w:val="1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00" w:type="dxa"/>
            <w:vAlign w:val="bottom"/>
            <w:vMerge w:val="restart"/>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20" w:type="dxa"/>
            <w:vAlign w:val="bottom"/>
            <w:gridSpan w:val="2"/>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0.292</w:t>
            </w:r>
            <w:r>
              <w:rPr>
                <w:rFonts w:ascii="Arial" w:cs="Arial" w:eastAsia="Arial" w:hAnsi="Arial"/>
                <w:sz w:val="23"/>
                <w:szCs w:val="23"/>
                <w:color w:val="auto"/>
                <w:w w:val="84"/>
                <w:vertAlign w:val="superscript"/>
              </w:rPr>
              <w:t>(b)</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4"/>
              </w:rPr>
              <w:t>0.402</w:t>
            </w:r>
            <w:r>
              <w:rPr>
                <w:rFonts w:ascii="Arial" w:cs="Arial" w:eastAsia="Arial" w:hAnsi="Arial"/>
                <w:sz w:val="23"/>
                <w:szCs w:val="23"/>
                <w:color w:val="auto"/>
                <w:w w:val="84"/>
                <w:vertAlign w:val="superscript"/>
              </w:rPr>
              <w:t>(b)</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0.0072</w:t>
            </w:r>
            <w:r>
              <w:rPr>
                <w:rFonts w:ascii="Arial" w:cs="Arial" w:eastAsia="Arial" w:hAnsi="Arial"/>
                <w:sz w:val="23"/>
                <w:szCs w:val="23"/>
                <w:color w:val="auto"/>
                <w:w w:val="87"/>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27.38%</w:t>
            </w:r>
          </w:p>
        </w:tc>
        <w:tc>
          <w:tcPr>
            <w:tcW w:w="0" w:type="dxa"/>
            <w:vAlign w:val="bottom"/>
          </w:tcPr>
          <w:p>
            <w:pPr>
              <w:spacing w:after="0"/>
              <w:rPr>
                <w:sz w:val="1"/>
                <w:szCs w:val="1"/>
                <w:color w:val="auto"/>
              </w:rPr>
            </w:pPr>
          </w:p>
        </w:tc>
      </w:tr>
      <w:tr>
        <w:trPr>
          <w:trHeight w:val="242"/>
        </w:trPr>
        <w:tc>
          <w:tcPr>
            <w:tcW w:w="27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vMerge w:val="restart"/>
          </w:tcPr>
          <w:p>
            <w:pPr>
              <w:spacing w:after="0"/>
              <w:rPr>
                <w:sz w:val="21"/>
                <w:szCs w:val="21"/>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Zimura 4 mg</w:t>
            </w: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Sham 4 mg</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20" w:type="dxa"/>
            <w:vAlign w:val="bottom"/>
            <w:gridSpan w:val="2"/>
            <w:vMerge w:val="restart"/>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20" w:type="dxa"/>
            <w:vAlign w:val="bottom"/>
            <w:gridSpan w:val="2"/>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0.444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0.124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0.0051</w:t>
            </w:r>
            <w:r>
              <w:rPr>
                <w:rFonts w:ascii="Arial" w:cs="Arial" w:eastAsia="Arial" w:hAnsi="Arial"/>
                <w:sz w:val="23"/>
                <w:szCs w:val="23"/>
                <w:color w:val="auto"/>
                <w:w w:val="84"/>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27.81%</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20" w:hanging="328"/>
        <w:spacing w:after="0" w:line="241" w:lineRule="auto"/>
        <w:tabs>
          <w:tab w:leader="none" w:pos="22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ind w:left="2280" w:hanging="328"/>
        <w:spacing w:after="0"/>
        <w:tabs>
          <w:tab w:leader="none" w:pos="2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statistically significant p-value; Hochberg procedure was used for significance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The analysis of the mean change in GA growth for Zimura 2 mg as compared to Sham 2 mg was adjusted for the fact that this dose of Zimura was tested in the two parts of the trial, which had different randomization ratios. The least squares mean changes in GA in Part 1 and Part 2 are shown separately in the following table: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15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Zimura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Part 1</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0.329</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0.42249</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0.093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80" w:hanging="328"/>
        <w:spacing w:after="0"/>
        <w:tabs>
          <w:tab w:leader="none" w:pos="2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Zimura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42)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ind w:left="320"/>
              <w:spacing w:after="0"/>
              <w:rPr>
                <w:sz w:val="20"/>
                <w:szCs w:val="20"/>
                <w:color w:val="auto"/>
              </w:rPr>
            </w:pPr>
            <w:r>
              <w:rPr>
                <w:rFonts w:ascii="Arial" w:cs="Arial" w:eastAsia="Arial" w:hAnsi="Arial"/>
                <w:sz w:val="16"/>
                <w:szCs w:val="16"/>
                <w:color w:val="auto"/>
              </w:rPr>
              <w:t>Part 2</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0.308</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0.42245</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0.114</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80" w:hanging="328"/>
        <w:spacing w:after="0"/>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40" w:lineRule="exact"/>
        <w:rPr>
          <w:sz w:val="20"/>
          <w:szCs w:val="20"/>
          <w:color w:val="auto"/>
        </w:rPr>
      </w:pPr>
    </w:p>
    <w:p>
      <w:pPr>
        <w:ind w:right="100" w:firstLine="177"/>
        <w:spacing w:after="0" w:line="308" w:lineRule="auto"/>
        <w:rPr>
          <w:sz w:val="20"/>
          <w:szCs w:val="20"/>
          <w:color w:val="auto"/>
        </w:rPr>
      </w:pPr>
      <w:r>
        <w:rPr>
          <w:rFonts w:ascii="Arial" w:cs="Arial" w:eastAsia="Arial" w:hAnsi="Arial"/>
          <w:sz w:val="17"/>
          <w:szCs w:val="17"/>
          <w:color w:val="auto"/>
        </w:rPr>
        <w:t>When the data from the Zimura 2 mg comparisons from each Part of the trial are analyzed using the MRM model, which includes a regression factor by part, the mean difference in GA growth over 12 months between the Zimura 2 mg and sham control groups is 0.110 mm.</w:t>
      </w:r>
    </w:p>
    <w:p>
      <w:pPr>
        <w:spacing w:after="0" w:line="79"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GATHER1 trial. Under the Hochberg procedure, it is necessary to use a stricter standard for statistical significance (a two-sided p-value of 0.025 or less) for any particular dose. For GATHER1, the results for the primary efficacy endpoint observed for both the Zimura 2 mg and Zimura 4 mg groups, as compared to the corresponding sham group, achieved p-values of 0.0072 and 0.0051, respectively, both of which are less than 0.025, indicating that both results were statistically significant.</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GA Data (non-square root transformation)</w:t>
      </w:r>
    </w:p>
    <w:p>
      <w:pPr>
        <w:spacing w:after="0" w:line="144" w:lineRule="exact"/>
        <w:rPr>
          <w:sz w:val="20"/>
          <w:szCs w:val="20"/>
          <w:color w:val="auto"/>
        </w:rPr>
      </w:pPr>
    </w:p>
    <w:p>
      <w:pPr>
        <w:ind w:right="120" w:firstLine="180"/>
        <w:spacing w:after="0"/>
        <w:rPr>
          <w:sz w:val="20"/>
          <w:szCs w:val="20"/>
          <w:color w:val="auto"/>
        </w:rPr>
      </w:pPr>
      <w:r>
        <w:rPr>
          <w:rFonts w:ascii="Arial" w:cs="Arial" w:eastAsia="Arial" w:hAnsi="Arial"/>
          <w:sz w:val="18"/>
          <w:szCs w:val="18"/>
          <w:color w:val="auto"/>
        </w:rPr>
        <w:t>In addition to analyzing the mean rate of change in GA area at month 12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with the MRM model. This descriptive analysis was also part of the prespecified statistical analysis plan for this trial. The observed mean GA area data for the Zimura 2 mg and Zimura 4 mg groups as compared to the corresponding sham control groups are summarized in the following table: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(Observed)</w:t>
      </w:r>
    </w:p>
    <w:p>
      <w:pPr>
        <w:spacing w:after="0" w:line="140"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1.592</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2.290</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0.697</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30.45%</w:t>
            </w:r>
          </w:p>
        </w:tc>
        <w:tc>
          <w:tcPr>
            <w:tcW w:w="0" w:type="dxa"/>
            <w:vAlign w:val="bottom"/>
          </w:tcPr>
          <w:p>
            <w:pPr>
              <w:spacing w:after="0"/>
              <w:rPr>
                <w:sz w:val="1"/>
                <w:szCs w:val="1"/>
                <w:color w:val="auto"/>
              </w:rPr>
            </w:pPr>
          </w:p>
        </w:tc>
      </w:tr>
      <w:tr>
        <w:trPr>
          <w:trHeight w:val="255"/>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22"/>
                <w:szCs w:val="22"/>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2.061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0.709</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25.59%</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280" w:hanging="328"/>
        <w:spacing w:after="0"/>
        <w:tabs>
          <w:tab w:leader="none" w:pos="2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7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Efficacy Endpoints Data</w:t>
      </w:r>
    </w:p>
    <w:p>
      <w:pPr>
        <w:spacing w:after="0" w:line="171" w:lineRule="exact"/>
        <w:rPr>
          <w:sz w:val="20"/>
          <w:szCs w:val="20"/>
          <w:color w:val="auto"/>
        </w:rPr>
      </w:pPr>
    </w:p>
    <w:p>
      <w:pPr>
        <w:ind w:right="140" w:firstLine="198"/>
        <w:spacing w:after="0" w:line="263" w:lineRule="auto"/>
        <w:rPr>
          <w:sz w:val="20"/>
          <w:szCs w:val="20"/>
          <w:color w:val="auto"/>
        </w:rPr>
      </w:pPr>
      <w:r>
        <w:rPr>
          <w:rFonts w:ascii="Arial" w:cs="Arial" w:eastAsia="Arial" w:hAnsi="Arial"/>
          <w:sz w:val="18"/>
          <w:szCs w:val="18"/>
          <w:color w:val="auto"/>
        </w:rPr>
        <w:t>The prespecified secondary endpoints in this trial were the mean change in BCVA from baseline to month 12 and the mean change in LL BCVA from baseline to month 12, both as measured by ETDRS letters. Testing for visual acuity serves as an important safety assessment to assure that the decrease in visual acuity in the Zimura treatment groups was not different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89" w:lineRule="exact"/>
        <w:rPr>
          <w:sz w:val="20"/>
          <w:szCs w:val="20"/>
          <w:color w:val="auto"/>
        </w:rPr>
      </w:pPr>
    </w:p>
    <w:p>
      <w:pPr>
        <w:ind w:right="28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secondary endpoints are summarized in the following tables: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BCVA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88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-7.90</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-9.29</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-3.79</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-3.51</w:t>
            </w:r>
          </w:p>
        </w:tc>
        <w:tc>
          <w:tcPr>
            <w:tcW w:w="1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6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LL BCVA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88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-1.03</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-1.41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1.53</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2.97</w:t>
            </w:r>
          </w:p>
        </w:tc>
        <w:tc>
          <w:tcPr>
            <w:tcW w:w="1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0" w:hanging="328"/>
        <w:spacing w:after="0" w:line="255" w:lineRule="auto"/>
        <w:tabs>
          <w:tab w:leader="none" w:pos="21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Zimura 1 mg 12-Month Efficacy Data</w:t>
      </w:r>
    </w:p>
    <w:p>
      <w:pPr>
        <w:spacing w:after="0" w:line="158" w:lineRule="exact"/>
        <w:rPr>
          <w:sz w:val="20"/>
          <w:szCs w:val="20"/>
          <w:color w:val="auto"/>
        </w:rPr>
      </w:pPr>
    </w:p>
    <w:p>
      <w:pPr>
        <w:ind w:right="40" w:firstLine="180"/>
        <w:spacing w:after="0" w:line="257" w:lineRule="auto"/>
        <w:rPr>
          <w:sz w:val="20"/>
          <w:szCs w:val="20"/>
          <w:color w:val="auto"/>
        </w:rPr>
      </w:pPr>
      <w:r>
        <w:rPr>
          <w:rFonts w:ascii="Arial" w:cs="Arial" w:eastAsia="Arial" w:hAnsi="Arial"/>
          <w:sz w:val="18"/>
          <w:szCs w:val="18"/>
          <w:color w:val="auto"/>
        </w:rPr>
        <w:t>Efficacy data from patients receiving Zimura 1 mg was not part of the prespecified statistical analysis. The total number of patients randomized to the Zimura 1 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Zimura 1 mg as compared to the patients in the sham control group in Part 1 of the trial to aid our assessment of whether a dose response relationship was present across treatment groups included in the clinical trial.</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 area data for the Zimura 1 mg group and the sham group from Part 1 of the trial are summarized in the following tables: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GA Area (mm) and Mean Percentage Change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(Square Root Transformation)</w:t>
      </w:r>
    </w:p>
    <w:p>
      <w:pPr>
        <w:spacing w:after="0" w:line="112"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Sham Part 1</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2.623 (0.687)</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M12,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3.055 (0.604)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3.021 (0.722)</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0.464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0.398</w:t>
            </w:r>
          </w:p>
        </w:tc>
        <w:tc>
          <w:tcPr>
            <w:tcW w:w="0" w:type="dxa"/>
            <w:vAlign w:val="bottom"/>
          </w:tcPr>
          <w:p>
            <w:pPr>
              <w:spacing w:after="0"/>
              <w:rPr>
                <w:sz w:val="1"/>
                <w:szCs w:val="1"/>
                <w:color w:val="auto"/>
              </w:rPr>
            </w:pPr>
          </w:p>
        </w:tc>
      </w:tr>
      <w:tr>
        <w:trPr>
          <w:trHeight w:val="27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(SD)</w:t>
            </w:r>
          </w:p>
        </w:tc>
        <w:tc>
          <w:tcPr>
            <w:tcW w:w="1640" w:type="dxa"/>
            <w:vAlign w:val="bottom"/>
          </w:tcPr>
          <w:p>
            <w:pPr>
              <w:jc w:val="center"/>
              <w:spacing w:after="0"/>
              <w:rPr>
                <w:sz w:val="20"/>
                <w:szCs w:val="20"/>
                <w:color w:val="auto"/>
              </w:rPr>
            </w:pPr>
            <w:r>
              <w:rPr>
                <w:rFonts w:ascii="Arial" w:cs="Arial" w:eastAsia="Arial" w:hAnsi="Arial"/>
                <w:sz w:val="16"/>
                <w:szCs w:val="16"/>
                <w:color w:val="auto"/>
                <w:w w:val="94"/>
              </w:rPr>
              <w:t>14.48% (8.2%)</w:t>
            </w:r>
          </w:p>
        </w:tc>
        <w:tc>
          <w:tcPr>
            <w:tcW w:w="1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16.49% (7.2%)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M12 = Month 12</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42" w:lineRule="exact"/>
        <w:rPr>
          <w:sz w:val="20"/>
          <w:szCs w:val="20"/>
          <w:color w:val="auto"/>
        </w:rPr>
      </w:pPr>
    </w:p>
    <w:p>
      <w:pPr>
        <w:ind w:right="60" w:firstLine="170"/>
        <w:spacing w:after="0" w:line="277" w:lineRule="auto"/>
        <w:rPr>
          <w:sz w:val="20"/>
          <w:szCs w:val="20"/>
          <w:color w:val="auto"/>
        </w:rPr>
      </w:pPr>
      <w:r>
        <w:rPr>
          <w:rFonts w:ascii="Arial" w:cs="Arial" w:eastAsia="Arial" w:hAnsi="Arial"/>
          <w:sz w:val="18"/>
          <w:szCs w:val="18"/>
          <w:color w:val="auto"/>
        </w:rPr>
        <w:t>Although the sample size for the Zimura 1 mg group is small, we believe the apparent reduction in mean percentage change in GA area from baseline to month 12 in the Zimura 1 mg group as compared to the sham control group in Part 1, when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combined with the statistically significant results observed for the primary efficacy endpoint for the Zimura 2 mg and Zimura 4 mg groups as compared to their corresponding sham control groups, suggest a potential dose response relationship across treatment groups.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18-Month Data</w:t>
      </w:r>
    </w:p>
    <w:p>
      <w:pPr>
        <w:spacing w:after="0" w:line="144" w:lineRule="exact"/>
        <w:rPr>
          <w:sz w:val="20"/>
          <w:szCs w:val="20"/>
          <w:color w:val="auto"/>
        </w:rPr>
      </w:pPr>
    </w:p>
    <w:p>
      <w:pPr>
        <w:ind w:firstLine="177"/>
        <w:spacing w:after="0" w:line="255" w:lineRule="auto"/>
        <w:rPr>
          <w:sz w:val="20"/>
          <w:szCs w:val="20"/>
          <w:color w:val="auto"/>
        </w:rPr>
      </w:pPr>
      <w:r>
        <w:rPr>
          <w:rFonts w:ascii="Arial" w:cs="Arial" w:eastAsia="Arial" w:hAnsi="Arial"/>
          <w:sz w:val="18"/>
          <w:szCs w:val="18"/>
          <w:color w:val="auto"/>
        </w:rPr>
        <w:t>The primary purpose of the 18 month time point was to gather additional safety data. This trial was not designed to assess, and the prespecified statistical analysis plan for the trial did not include assessing, the statistical significance of the 18 month efficacy data for the treatment groups as compared to the corresponding sham control groups. The reduction in the mean rate of GA growth over 18 months was 28.11% for the Zimura 2 mg group as compared to the corresponding sham control group and 29.97% for the Zimura 4 mg group as compared to the corresponding sham control group. The descriptive p-values for the treatment effects at month 18 were p=0.0014 for the Zimura 2 mg group and p=0.0021 for the Zimura 4 mg group. The analysis of the 18-month efficacy data is descriptive only.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 Growth Data over 18 Months</w:t>
      </w:r>
    </w:p>
    <w:p>
      <w:pPr>
        <w:spacing w:after="0" w:line="15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mean rate of change in GA growth over 18 months was measured by FAF based on readings at four time points (baseline, month 6, month 12 and month 18) and was calculated using the square root transformation of the GA area. The FAF images were assessed by an independent masked reading center. The prespecified statistical analysis plan used MRM to compare data for the Zimura 2 mg and Zimura 4 mg groups to the corresponding sham groups. Detailed data are shown below (the p-values for the 18 month statistical analyses are descriptive in nature):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Geographic Atrophy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(Square Root Transformation)</w:t>
      </w:r>
    </w:p>
    <w:p>
      <w:pPr>
        <w:spacing w:after="0" w:line="8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Zimura 2 mg</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67)</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(N = 110)</w:t>
            </w: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0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(mm)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0.430</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0.599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0.168</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28.11%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0.0014</w:t>
            </w:r>
          </w:p>
        </w:tc>
        <w:tc>
          <w:tcPr>
            <w:tcW w:w="0" w:type="dxa"/>
            <w:vAlign w:val="bottom"/>
          </w:tcPr>
          <w:p>
            <w:pPr>
              <w:spacing w:after="0"/>
              <w:rPr>
                <w:sz w:val="1"/>
                <w:szCs w:val="1"/>
                <w:color w:val="auto"/>
              </w:rPr>
            </w:pPr>
          </w:p>
        </w:tc>
      </w:tr>
      <w:tr>
        <w:trPr>
          <w:trHeight w:val="201"/>
        </w:trPr>
        <w:tc>
          <w:tcPr>
            <w:tcW w:w="2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6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3"/>
              </w:rPr>
              <w:t>Zimura 4 mg</w:t>
            </w:r>
          </w:p>
        </w:tc>
        <w:tc>
          <w:tcPr>
            <w:tcW w:w="14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83)</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0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(b)</w:t>
            </w:r>
            <w:r>
              <w:rPr>
                <w:rFonts w:ascii="Arial" w:cs="Arial" w:eastAsia="Arial" w:hAnsi="Arial"/>
                <w:sz w:val="18"/>
                <w:szCs w:val="18"/>
                <w:color w:val="auto"/>
                <w:w w:val="90"/>
              </w:rPr>
              <w:t xml:space="preserve"> (mm)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0.391</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0.559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0.167</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29.97%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0.0021</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2280" w:right="520" w:hanging="328"/>
        <w:spacing w:after="0" w:line="250" w:lineRule="auto"/>
        <w:tabs>
          <w:tab w:leader="none" w:pos="21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least squares means from MRM model, drawing on all available data at the month 18 time point, including data from groups with different randomization ratios in Part 1 and Part 2, and should not be interpreted as directly observed data.</w:t>
      </w:r>
    </w:p>
    <w:p>
      <w:pPr>
        <w:ind w:left="2160" w:hanging="208"/>
        <w:spacing w:after="0"/>
        <w:tabs>
          <w:tab w:leader="none" w:pos="21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least squares means are estimates of the MRM model, drawing on all available data, at the month 18 time point.</w:t>
      </w:r>
    </w:p>
    <w:p>
      <w:pPr>
        <w:spacing w:after="0" w:line="23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graphs below illustrate the difference in mean rate of GA growth between each of the Zimura 2 mg and Zimura 4 mg treatment groups and their corresponding sham control groups based on the MRM analysis at both 12 months and 18 months.</w:t>
      </w:r>
    </w:p>
    <w:p>
      <w:pPr>
        <w:spacing w:after="0" w:line="274"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410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Primary Efficacy Endpoint Met at 12 Months</w:t>
            </w:r>
          </w:p>
        </w:tc>
        <w:tc>
          <w:tcPr>
            <w:tcW w:w="37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Decrease in GA Growth Over 18 Months</w:t>
            </w:r>
          </w:p>
        </w:tc>
      </w:tr>
      <w:tr>
        <w:trPr>
          <w:trHeight w:val="270"/>
        </w:trPr>
        <w:tc>
          <w:tcPr>
            <w:tcW w:w="4100" w:type="dxa"/>
            <w:vAlign w:val="bottom"/>
          </w:tcPr>
          <w:p>
            <w:pPr>
              <w:jc w:val="center"/>
              <w:ind w:right="490"/>
              <w:spacing w:after="0"/>
              <w:rPr>
                <w:sz w:val="20"/>
                <w:szCs w:val="20"/>
                <w:color w:val="auto"/>
              </w:rPr>
            </w:pPr>
            <w:r>
              <w:rPr>
                <w:rFonts w:ascii="Arial" w:cs="Arial" w:eastAsia="Arial" w:hAnsi="Arial"/>
                <w:sz w:val="18"/>
                <w:szCs w:val="18"/>
                <w:color w:val="auto"/>
                <w:w w:val="90"/>
              </w:rPr>
              <w:t>Zimura 2 mg vs Sham</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Zimura 2 mg vs Sham</w:t>
            </w:r>
          </w:p>
        </w:tc>
      </w:tr>
      <w:tr>
        <w:trPr>
          <w:trHeight w:val="270"/>
        </w:trPr>
        <w:tc>
          <w:tcPr>
            <w:tcW w:w="4100" w:type="dxa"/>
            <w:vAlign w:val="bottom"/>
          </w:tcPr>
          <w:p>
            <w:pPr>
              <w:jc w:val="center"/>
              <w:ind w:right="510"/>
              <w:spacing w:after="0"/>
              <w:rPr>
                <w:sz w:val="20"/>
                <w:szCs w:val="20"/>
                <w:color w:val="auto"/>
              </w:rPr>
            </w:pPr>
            <w:r>
              <w:rPr>
                <w:rFonts w:ascii="Arial" w:cs="Arial" w:eastAsia="Arial" w:hAnsi="Arial"/>
                <w:sz w:val="18"/>
                <w:szCs w:val="18"/>
                <w:color w:val="auto"/>
                <w:w w:val="91"/>
              </w:rPr>
              <w:t>(Square Root Transformation)</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29300" cy="1448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312" w:lineRule="auto"/>
        <w:rPr>
          <w:sz w:val="20"/>
          <w:szCs w:val="20"/>
          <w:color w:val="auto"/>
        </w:rPr>
      </w:pPr>
      <w:r>
        <w:rPr>
          <w:rFonts w:ascii="Arial" w:cs="Arial" w:eastAsia="Arial" w:hAnsi="Arial"/>
          <w:sz w:val="13"/>
          <w:szCs w:val="13"/>
          <w:color w:val="auto"/>
        </w:rPr>
        <w:t>ITT Population; Based on the least squares means from MRM model drawing on all available data at the respective 12 month and 18 month analysis time points, including data from groups with different randomization ratios in Part 1 and Part 2, and should not be interpreted as directly observed data; Hochberg procedure used for significance testing for 12 month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410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Primary Efficacy Endpoint Met at 12 Months</w:t>
            </w:r>
          </w:p>
        </w:tc>
        <w:tc>
          <w:tcPr>
            <w:tcW w:w="37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Decrease in GA Growth Over 18 Months</w:t>
            </w:r>
          </w:p>
        </w:tc>
      </w:tr>
      <w:tr>
        <w:trPr>
          <w:trHeight w:val="270"/>
        </w:trPr>
        <w:tc>
          <w:tcPr>
            <w:tcW w:w="4100" w:type="dxa"/>
            <w:vAlign w:val="bottom"/>
          </w:tcPr>
          <w:p>
            <w:pPr>
              <w:jc w:val="center"/>
              <w:ind w:right="490"/>
              <w:spacing w:after="0"/>
              <w:rPr>
                <w:sz w:val="20"/>
                <w:szCs w:val="20"/>
                <w:color w:val="auto"/>
              </w:rPr>
            </w:pPr>
            <w:r>
              <w:rPr>
                <w:rFonts w:ascii="Arial" w:cs="Arial" w:eastAsia="Arial" w:hAnsi="Arial"/>
                <w:sz w:val="18"/>
                <w:szCs w:val="18"/>
                <w:color w:val="auto"/>
                <w:w w:val="90"/>
              </w:rPr>
              <w:t>Zimura 4 mg vs Sham</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Zimura 4 mg vs Sham</w:t>
            </w:r>
          </w:p>
        </w:tc>
      </w:tr>
      <w:tr>
        <w:trPr>
          <w:trHeight w:val="270"/>
        </w:trPr>
        <w:tc>
          <w:tcPr>
            <w:tcW w:w="4100" w:type="dxa"/>
            <w:vAlign w:val="bottom"/>
          </w:tcPr>
          <w:p>
            <w:pPr>
              <w:jc w:val="center"/>
              <w:ind w:right="510"/>
              <w:spacing w:after="0"/>
              <w:rPr>
                <w:sz w:val="20"/>
                <w:szCs w:val="20"/>
                <w:color w:val="auto"/>
              </w:rPr>
            </w:pPr>
            <w:r>
              <w:rPr>
                <w:rFonts w:ascii="Arial" w:cs="Arial" w:eastAsia="Arial" w:hAnsi="Arial"/>
                <w:sz w:val="18"/>
                <w:szCs w:val="18"/>
                <w:color w:val="auto"/>
                <w:w w:val="91"/>
              </w:rPr>
              <w:t>(Square Root Transformation)</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589270" cy="132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927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ITT Population; Based on the least squares means from the MRM model drawing on all available data at the respective 12 month and 18 month analysis time points; Hochberg procedure used for significance testing for 12 months data.</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18-Month Zimura 2 mg GA Data by Part</w:t>
      </w:r>
    </w:p>
    <w:p>
      <w:pPr>
        <w:spacing w:after="0" w:line="252"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Consistent with the analysis performed at 12 months, the analysis of the mean change in GA growth for Zimura 2 mg as compared to the corresponding sham control group over 18 months was adjusted for the fact that this dose of Zimura was tested in both Part 1 and Part 2 of the trial, each of which had different randomization ratios.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least squares mean changes in GA in Part 1 and Part 2 at month 18 are shown separately in the following table: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12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Cohort</w:t>
            </w:r>
          </w:p>
        </w:tc>
        <w:tc>
          <w:tcPr>
            <w:tcW w:w="1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26)</w:t>
            </w:r>
          </w:p>
        </w:tc>
        <w:tc>
          <w:tcPr>
            <w:tcW w:w="1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Part 1</w:t>
            </w: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0.464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0.635</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0.170</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42)</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Part 2</w:t>
            </w:r>
          </w:p>
        </w:tc>
        <w:tc>
          <w:tcPr>
            <w:tcW w:w="2920" w:type="dxa"/>
            <w:vAlign w:val="bottom"/>
            <w:gridSpan w:val="2"/>
          </w:tcPr>
          <w:p>
            <w:pPr>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0.440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0.608</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0.168</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80" w:hanging="328"/>
        <w:spacing w:after="0"/>
        <w:tabs>
          <w:tab w:leader="none" w:pos="2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54" w:lineRule="exact"/>
        <w:rPr>
          <w:sz w:val="20"/>
          <w:szCs w:val="20"/>
          <w:color w:val="auto"/>
        </w:rPr>
      </w:pPr>
    </w:p>
    <w:p>
      <w:pPr>
        <w:ind w:right="260" w:firstLine="177"/>
        <w:spacing w:after="0" w:line="311" w:lineRule="auto"/>
        <w:rPr>
          <w:sz w:val="20"/>
          <w:szCs w:val="20"/>
          <w:color w:val="auto"/>
        </w:rPr>
      </w:pPr>
      <w:r>
        <w:rPr>
          <w:rFonts w:ascii="Arial" w:cs="Arial" w:eastAsia="Arial" w:hAnsi="Arial"/>
          <w:sz w:val="16"/>
          <w:szCs w:val="16"/>
          <w:color w:val="auto"/>
        </w:rPr>
        <w:t>When the data for the Zimura 2 mg groups from each Part of the trial as compared to the corresponding sham control groups are analyzed using the MRM model, which includes a regression factor by part, the mean difference in GA growth over 18 months between the Zimura 2 mg and sham control groups is 0.168 mm, representing a 28.11% relative benefit in the Zimura 2 mg group as compared to the corresponding sham control group.</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18-Month GA Data (non-square root transformation)</w:t>
      </w:r>
    </w:p>
    <w:p>
      <w:pPr>
        <w:spacing w:after="0" w:line="144" w:lineRule="exact"/>
        <w:rPr>
          <w:sz w:val="20"/>
          <w:szCs w:val="20"/>
          <w:color w:val="auto"/>
        </w:rPr>
      </w:pPr>
    </w:p>
    <w:p>
      <w:pPr>
        <w:ind w:right="180" w:firstLine="180"/>
        <w:spacing w:after="0" w:line="273" w:lineRule="auto"/>
        <w:rPr>
          <w:sz w:val="20"/>
          <w:szCs w:val="20"/>
          <w:color w:val="auto"/>
        </w:rPr>
      </w:pPr>
      <w:r>
        <w:rPr>
          <w:rFonts w:ascii="Arial" w:cs="Arial" w:eastAsia="Arial" w:hAnsi="Arial"/>
          <w:sz w:val="18"/>
          <w:szCs w:val="18"/>
          <w:color w:val="auto"/>
        </w:rPr>
        <w:t>In addition to analyzing the mean rate of change in GA area at month 18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with the MRM model. This descriptive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analysis was also part of the prespecified statistical analysis plan for this trial. The observed mean GA area data for the Zimura 2 mg and Zimura 4 mg groups as compared to the corresponding sham control groups are summarized in the following table: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(Observed)</w:t>
      </w:r>
    </w:p>
    <w:p>
      <w:pPr>
        <w:spacing w:after="0" w:line="154"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2.431</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3.587</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1.156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32.24%</w:t>
            </w:r>
          </w:p>
        </w:tc>
        <w:tc>
          <w:tcPr>
            <w:tcW w:w="0" w:type="dxa"/>
            <w:vAlign w:val="bottom"/>
          </w:tcPr>
          <w:p>
            <w:pPr>
              <w:spacing w:after="0"/>
              <w:rPr>
                <w:sz w:val="1"/>
                <w:szCs w:val="1"/>
                <w:color w:val="auto"/>
              </w:rPr>
            </w:pPr>
          </w:p>
        </w:tc>
      </w:tr>
      <w:tr>
        <w:trPr>
          <w:trHeight w:val="242"/>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2.460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3.486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29.44%</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280" w:hanging="328"/>
        <w:spacing w:after="0"/>
        <w:tabs>
          <w:tab w:leader="none" w:pos="2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7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Visual Acuity Data</w:t>
      </w:r>
    </w:p>
    <w:p>
      <w:pPr>
        <w:spacing w:after="0" w:line="158" w:lineRule="exact"/>
        <w:rPr>
          <w:sz w:val="20"/>
          <w:szCs w:val="20"/>
          <w:color w:val="auto"/>
        </w:rPr>
      </w:pPr>
    </w:p>
    <w:p>
      <w:pPr>
        <w:ind w:firstLine="198"/>
        <w:spacing w:after="0" w:line="311" w:lineRule="auto"/>
        <w:rPr>
          <w:sz w:val="20"/>
          <w:szCs w:val="20"/>
          <w:color w:val="auto"/>
        </w:rPr>
      </w:pPr>
      <w:r>
        <w:rPr>
          <w:rFonts w:ascii="Arial" w:cs="Arial" w:eastAsia="Arial" w:hAnsi="Arial"/>
          <w:sz w:val="16"/>
          <w:szCs w:val="16"/>
          <w:color w:val="auto"/>
        </w:rPr>
        <w:t>In addition to analyzing mean change in GA area, we also performed pre-specified analyses of the mean change in BCVA from baseline to month 18 and the mean change in LL BCVA from baseline to month 18, both as measured by ETDRS letters. Testing for visual acuity serves as an important safety assessment to assure that the decrease in visual acuity in the Zimura treatment groups was not clinically different from the sham control groups.</w:t>
      </w:r>
    </w:p>
    <w:p>
      <w:pPr>
        <w:spacing w:after="0" w:line="81"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mean change in BCVA and LL BCVA at month 18 are summarized in the following tables: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99"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-12.7</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-15.1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2.37</w:t>
            </w:r>
          </w:p>
        </w:tc>
        <w:tc>
          <w:tcPr>
            <w:tcW w:w="0" w:type="dxa"/>
            <w:vAlign w:val="bottom"/>
          </w:tcPr>
          <w:p>
            <w:pPr>
              <w:spacing w:after="0"/>
              <w:rPr>
                <w:sz w:val="1"/>
                <w:szCs w:val="1"/>
                <w:color w:val="auto"/>
              </w:rPr>
            </w:pPr>
          </w:p>
        </w:tc>
      </w:tr>
      <w:tr>
        <w:trPr>
          <w:trHeight w:val="199"/>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-4.27</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-7.07</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sz w:val="20"/>
          <w:szCs w:val="20"/>
          <w:color w:val="auto"/>
        </w:rPr>
      </w:pPr>
    </w:p>
    <w:p>
      <w:pPr>
        <w:ind w:left="2280" w:right="280" w:hanging="328"/>
        <w:spacing w:after="0" w:line="255" w:lineRule="auto"/>
        <w:tabs>
          <w:tab w:leader="none" w:pos="227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LL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99"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-2.72</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-3.10</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0.37</w:t>
            </w:r>
          </w:p>
        </w:tc>
        <w:tc>
          <w:tcPr>
            <w:tcW w:w="0" w:type="dxa"/>
            <w:vAlign w:val="bottom"/>
          </w:tcPr>
          <w:p>
            <w:pPr>
              <w:spacing w:after="0"/>
              <w:rPr>
                <w:sz w:val="1"/>
                <w:szCs w:val="1"/>
                <w:color w:val="auto"/>
              </w:rPr>
            </w:pPr>
          </w:p>
        </w:tc>
      </w:tr>
      <w:tr>
        <w:trPr>
          <w:trHeight w:val="199"/>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2.85</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1.68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1.17</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40" w:hanging="328"/>
        <w:spacing w:after="0" w:line="255" w:lineRule="auto"/>
        <w:tabs>
          <w:tab w:leader="none" w:pos="2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Zimura 1 mg 18-Month Efficacy Data</w:t>
      </w:r>
    </w:p>
    <w:p>
      <w:pPr>
        <w:spacing w:after="0" w:line="252"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We performed descriptive analyses on the 18 month data for patients in the Zimura 1 mg group as compared to the patients in the sham control group in Part 1 of the trial.</w:t>
      </w:r>
    </w:p>
    <w:p>
      <w:pPr>
        <w:spacing w:after="0" w:line="103"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The mean rate of change in GA area for the Zimura 1 mg group and the corresponding sham group from Part 1 of the trial over 18 months is summarized in the following table: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GA Area (mm) and Mean Percentage Change from Baseline to Month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(Square Root Transformation)</w:t>
      </w:r>
    </w:p>
    <w:p>
      <w:pPr>
        <w:spacing w:after="0" w:line="112"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90"/>
              </w:rPr>
              <w:t>Sham</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2.591</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2.623</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M18,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3.258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3.230</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0.667</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0.607</w:t>
            </w:r>
          </w:p>
        </w:tc>
        <w:tc>
          <w:tcPr>
            <w:tcW w:w="0" w:type="dxa"/>
            <w:vAlign w:val="bottom"/>
          </w:tcPr>
          <w:p>
            <w:pPr>
              <w:spacing w:after="0"/>
              <w:rPr>
                <w:sz w:val="1"/>
                <w:szCs w:val="1"/>
                <w:color w:val="auto"/>
              </w:rPr>
            </w:pPr>
          </w:p>
        </w:tc>
      </w:tr>
      <w:tr>
        <w:trPr>
          <w:trHeight w:val="28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21.91%</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23.87%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M18 = Month 18</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42" w:lineRule="exact"/>
        <w:rPr>
          <w:sz w:val="20"/>
          <w:szCs w:val="20"/>
          <w:color w:val="auto"/>
        </w:rPr>
      </w:pPr>
    </w:p>
    <w:p>
      <w:pPr>
        <w:ind w:firstLine="170"/>
        <w:spacing w:after="0" w:line="311" w:lineRule="auto"/>
        <w:rPr>
          <w:sz w:val="20"/>
          <w:szCs w:val="20"/>
          <w:color w:val="auto"/>
        </w:rPr>
      </w:pPr>
      <w:r>
        <w:rPr>
          <w:rFonts w:ascii="Arial" w:cs="Arial" w:eastAsia="Arial" w:hAnsi="Arial"/>
          <w:sz w:val="16"/>
          <w:szCs w:val="16"/>
          <w:color w:val="auto"/>
        </w:rPr>
        <w:t>Although the sample size for the Zimura 1 mg group is small, we believe the apparent reduction in mean percentage change in GA area from baseline to month 18 in the Zimura 1 mg group as compared to the sham control group, when compared with the results observed in the Zimura 2 mg and Zimura 4 mg groups as compared to their corresponding sham control groups, may suggest a potential dose response relationship across treatment groups.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Safety Data</w:t>
      </w:r>
    </w:p>
    <w:p>
      <w:pPr>
        <w:spacing w:after="0" w:line="144"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Based on our review of the safety data in the trial, Zimura was generally well tolerated after 18 months of administration. During the trial, there were no investigator-reported Zimura-related adverse events, no Zimura-related intraocular inflammation, no Zimura-related increased intraocular pressure, no cases of endophthalmitis, and no discontinuations attributed by investigators to Zimura in the trial. Through month 18, the reported incidence of CNV in the untreated fellow eye was 11 patients (3.8%), and in the study eye was 3 patients (2.7%) in the sham control group, 2 patients (7.7%) in the Zimura 1 mg group, 8 patients (11.9%) in the Zimura 2 mg group, and 13 patients (15.7%) in the Zimura 4 mg group. The most frequently reported ocular adverse events were related to the injection procedure. The numbers below are based on investigator-reported adverse events occurring during the 18-month duration of the trial for all patients.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serious TEAEs organized by MedDRA system organ class are set forth in the table below:</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Part 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Zimura 2</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4</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83"/>
              </w:rPr>
              <w:t>mg</w:t>
            </w: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Blood and lymphatic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Eye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8 (9.6%)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 (6.0%)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Vascular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Of the reported serious TEAEs that were eye disorders, one TEAE was an ischaemic optic neuropathy (in the Zimura 2 mg group) and one TEAE was a retinal detachment (in the Zimura 4 mg group). Neither of these TEAEs were reported as related to Zimura.</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number of patients with one or more TEAEs, including serious TEAEs, identified by the investigator as related to the study drug (Zimura or sham)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set forth in the table below:</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TEAEs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46"/>
        </w:trPr>
        <w:tc>
          <w:tcPr>
            <w:tcW w:w="4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7"/>
              </w:rPr>
              <w:t>11 (44.0%)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 (23.1%)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28 (66.7%)</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61 (73.5%)</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39 (46.4%)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 (20.0%)</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18 (42.9%)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46 (55.4%)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24 (28.6%)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number of patients with one or more ocular TEAEs in the study eye, identified by the investigator as related to the study drug (Zimura or sham)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Ocular TEAEs in the Study Eye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46"/>
        </w:trPr>
        <w:tc>
          <w:tcPr>
            <w:tcW w:w="4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0" w:firstLine="180"/>
        <w:spacing w:after="0" w:line="253" w:lineRule="auto"/>
        <w:rPr>
          <w:sz w:val="20"/>
          <w:szCs w:val="20"/>
          <w:color w:val="auto"/>
        </w:rPr>
      </w:pPr>
      <w:r>
        <w:rPr>
          <w:rFonts w:ascii="Arial" w:cs="Arial" w:eastAsia="Arial" w:hAnsi="Arial"/>
          <w:sz w:val="18"/>
          <w:szCs w:val="18"/>
          <w:color w:val="auto"/>
        </w:rPr>
        <w:t>In addition to us collecting investigator-reported adverse events, the independent masked reading center performed multi-modal imaging analysis. Multi-modal imaging analysis is a process used to assess patient retinal findings by reviewing different image types, in this case optical coherence tomography, or OCT, images and fluorescein angiography, to provide a more comprehensive view of the patient's retinal tissue. OCT is an ultra-high resolution imaging technology commonly used to visualize the retinal tissue. OCT is capable of rendering images in multiple dimensions and from multiple perspectives, and is an imaging technique commonly used by retinal specialists to diagnose, treat and follow patients with CNV. Fluorescein angiography is a technique that involves injection of a fluorescent dye into the systemic circulation and capturing images showing the circulating dye during transit through the retinal circulation using a specialized camera. In this trial, the reading center's multi-modal imaging analysis identified one additional case of macular CNV for a patient in the Zimura 4 mg group at month 12. Because this patient's investigator did not detect the CNV, the patient remained in the trial through month 18.</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Post-hoc Analysis of GATHER1 Data in connection with the GATHER2 SPA</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parallel discussions with those for the GATHER2 SPA, the FDA indicated that, as part of a future NDA for Zimura, the results from GATHER1 will be considered using the original prespecified primary efficacy endpoint analysis, as described above, together with a post-hoc analysis using the same FDA-preferred method that will be used for the GATHER2 trial (mean rate of growth (slope) estimated based on GA area measured by FAF in the relevant timepoints). The 12 month and 18 month results of this post-hoc analysis, as compared to the results of the original prespecified analysis for GATHER1, for the Zimura 2 mg and Zimura 4 mg treatment arms as compared to their corresponding sham arms, are described below. Safety results from GATHER1 were not impacted as part of this analysis.</w:t>
      </w:r>
    </w:p>
    <w:p>
      <w:pPr>
        <w:spacing w:after="0" w:line="111" w:lineRule="exact"/>
        <w:rPr>
          <w:sz w:val="20"/>
          <w:szCs w:val="20"/>
          <w:color w:val="auto"/>
        </w:rPr>
      </w:pPr>
    </w:p>
    <w:p>
      <w:pPr>
        <w:ind w:right="600" w:firstLine="405"/>
        <w:spacing w:after="0" w:line="258" w:lineRule="auto"/>
        <w:rPr>
          <w:sz w:val="20"/>
          <w:szCs w:val="20"/>
          <w:color w:val="auto"/>
        </w:rPr>
      </w:pPr>
      <w:r>
        <w:rPr>
          <w:rFonts w:ascii="Arial" w:cs="Arial" w:eastAsia="Arial" w:hAnsi="Arial"/>
          <w:sz w:val="18"/>
          <w:szCs w:val="18"/>
          <w:color w:val="auto"/>
        </w:rPr>
        <w:t>Although we believe that the results of the post-hoc analysis from the GATHER1 trial are consistent with the positive results from the original prespecified analysis from the trial, any analyses, whether prespecified or post-hoc, that are intended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support an application for marketing approval are a matter of review for the FDA and other regulatory authorities.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Zimura 2 mg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Zimura 2 mg</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Difference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Difference</w:t>
            </w:r>
          </w:p>
        </w:tc>
        <w:tc>
          <w:tcPr>
            <w:tcW w:w="14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P-Value</w:t>
            </w:r>
          </w:p>
        </w:tc>
      </w:tr>
      <w:tr>
        <w:trPr>
          <w:trHeight w:val="223"/>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67)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 = 110)</w:t>
            </w: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23"/>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0.292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0.402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0.110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27.38%</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0.0072</w:t>
            </w:r>
            <w:r>
              <w:rPr>
                <w:rFonts w:ascii="Arial" w:cs="Arial" w:eastAsia="Arial" w:hAnsi="Arial"/>
                <w:sz w:val="21"/>
                <w:szCs w:val="21"/>
                <w:color w:val="auto"/>
                <w:vertAlign w:val="superscript"/>
              </w:rPr>
              <w:t>(a)</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0.283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0.392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0.109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27.73%</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0.0063</w:t>
            </w:r>
            <w:r>
              <w:rPr>
                <w:rFonts w:ascii="Arial" w:cs="Arial" w:eastAsia="Arial" w:hAnsi="Arial"/>
                <w:sz w:val="21"/>
                <w:szCs w:val="21"/>
                <w:color w:val="auto"/>
                <w:vertAlign w:val="superscript"/>
              </w:rPr>
              <w:t>(b)</w:t>
            </w: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1.592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2.29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0.697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30.45%</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0.0059</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1.221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1.889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0.668</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35.37%</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0.0050</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0.430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0.599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0.168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28.11%</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0.0014</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0.451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0.607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0.156</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25.75%</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0.0027</w:t>
            </w:r>
            <w:r>
              <w:rPr>
                <w:rFonts w:ascii="Arial" w:cs="Arial" w:eastAsia="Arial" w:hAnsi="Arial"/>
                <w:sz w:val="21"/>
                <w:szCs w:val="21"/>
                <w:color w:val="auto"/>
                <w:vertAlign w:val="superscript"/>
              </w:rPr>
              <w:t>(b)</w:t>
            </w: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2.431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3.587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1.156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32.24%</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0.0009</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1.914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2.951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1.037</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35.13%</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0.0023</w:t>
            </w:r>
            <w:r>
              <w:rPr>
                <w:rFonts w:ascii="Arial" w:cs="Arial" w:eastAsia="Arial" w:hAnsi="Arial"/>
                <w:sz w:val="21"/>
                <w:szCs w:val="21"/>
                <w:color w:val="auto"/>
                <w:vertAlign w:val="superscript"/>
              </w:rPr>
              <w:t>(b)</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spacing w:after="0" w:line="1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estimates for the Zimura 2 mg group vs. sham are from the MRM model, drawing on all available data, including data from groups with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different randomization ratios in Part 1 and Part 2 of the trial, and should not be interpreted as directly observed data;</w:t>
      </w:r>
    </w:p>
    <w:p>
      <w:pPr>
        <w:ind w:left="680" w:hanging="348"/>
        <w:spacing w:after="0" w:line="181" w:lineRule="auto"/>
        <w:tabs>
          <w:tab w:leader="none" w:pos="68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prespecified primary endpoint; statistically significant;</w:t>
      </w:r>
    </w:p>
    <w:p>
      <w:pPr>
        <w:ind w:left="700" w:hanging="368"/>
        <w:spacing w:after="0" w:line="194" w:lineRule="auto"/>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Zimura 4 mg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Zimura 4 mg</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Difference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Difference</w:t>
            </w:r>
          </w:p>
        </w:tc>
        <w:tc>
          <w:tcPr>
            <w:tcW w:w="14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P-Value</w:t>
            </w:r>
          </w:p>
        </w:tc>
      </w:tr>
      <w:tr>
        <w:trPr>
          <w:trHeight w:val="223"/>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83)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84)</w:t>
            </w: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23"/>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0.321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0.444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0.124</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27.81%</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0.0051</w:t>
            </w:r>
            <w:r>
              <w:rPr>
                <w:rFonts w:ascii="Arial" w:cs="Arial" w:eastAsia="Arial" w:hAnsi="Arial"/>
                <w:sz w:val="21"/>
                <w:szCs w:val="21"/>
                <w:color w:val="auto"/>
                <w:vertAlign w:val="superscript"/>
              </w:rPr>
              <w:t>(a)</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0.307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0.416</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0.109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26.31%</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0.0100</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2.061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2.770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0.709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25.59%</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0.0082</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1.674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2.273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0.599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26.34%</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0.0147</w:t>
            </w:r>
            <w:r>
              <w:rPr>
                <w:rFonts w:ascii="Arial" w:cs="Arial" w:eastAsia="Arial" w:hAnsi="Arial"/>
                <w:sz w:val="21"/>
                <w:szCs w:val="21"/>
                <w:color w:val="auto"/>
                <w:vertAlign w:val="superscript"/>
              </w:rPr>
              <w:t>(b)</w:t>
            </w: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0.391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0.559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0.167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29.97%</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0.0021</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0.373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0.512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0.139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27.11%</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0.0086</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2.460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3.486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1.026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29.44%</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0.0034</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2.142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3.010</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0.868</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28.82%</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0.0106</w:t>
            </w:r>
            <w:r>
              <w:rPr>
                <w:rFonts w:ascii="Arial" w:cs="Arial" w:eastAsia="Arial" w:hAnsi="Arial"/>
                <w:sz w:val="21"/>
                <w:szCs w:val="21"/>
                <w:color w:val="auto"/>
                <w:vertAlign w:val="superscript"/>
              </w:rPr>
              <w:t>(b)</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ind w:left="680" w:hanging="348"/>
        <w:spacing w:after="0" w:line="181" w:lineRule="auto"/>
        <w:tabs>
          <w:tab w:leader="none" w:pos="68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indicates prespecified primary endpoint; statistically significant;</w:t>
      </w:r>
    </w:p>
    <w:p>
      <w:pPr>
        <w:ind w:left="700" w:hanging="368"/>
        <w:spacing w:after="0" w:line="194" w:lineRule="auto"/>
        <w:tabs>
          <w:tab w:leader="none" w:pos="70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Zimura 2 mg Data by Part</w:t>
      </w:r>
    </w:p>
    <w:p>
      <w:pPr>
        <w:spacing w:after="0" w:line="144"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As previously discussed, we enrolled patients for the GATHER1 trial in two different parts, Part 1 and Part 2, with different dosages and randomization ratios in each Part. Twenty-five patients receiving Zimura 2mg were enrolled in Part 1 of the trial and 42 patients receiving Zimura 2mg were enrolled in Part 2 of the trial.</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Below are the month 12 and month 18 results for the Zimura 2 mg group as compared to its corresponding sham group, for both Part 1 and Part 2 of the trial, using both the original prespecified primary efficacy endpoint analysis for the GATHER1 trial and the post-hoc analysis using the FDA-preferred method that will be used for the GATHER2 trial: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 1 Only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88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MRM Analysis</w:t>
            </w:r>
          </w:p>
        </w:tc>
        <w:tc>
          <w:tcPr>
            <w:tcW w:w="15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Zimura 2 mg</w:t>
            </w:r>
          </w:p>
        </w:tc>
        <w:tc>
          <w:tcPr>
            <w:tcW w:w="148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Sham</w:t>
            </w:r>
          </w:p>
        </w:tc>
        <w:tc>
          <w:tcPr>
            <w:tcW w:w="148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Difference</w:t>
            </w:r>
          </w:p>
        </w:tc>
        <w:tc>
          <w:tcPr>
            <w:tcW w:w="148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 Difference</w:t>
            </w:r>
          </w:p>
        </w:tc>
      </w:tr>
      <w:tr>
        <w:trPr>
          <w:trHeight w:val="241"/>
        </w:trPr>
        <w:tc>
          <w:tcPr>
            <w:tcW w:w="388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 = 25)</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 = 26)</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39"/>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34"/>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0.329</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0.422</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0.093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22.07%</w:t>
            </w:r>
          </w:p>
        </w:tc>
      </w:tr>
      <w:tr>
        <w:trPr>
          <w:trHeight w:val="237"/>
        </w:trPr>
        <w:tc>
          <w:tcPr>
            <w:tcW w:w="38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0.307</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0.423</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0.116</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27.39%</w:t>
            </w:r>
          </w:p>
        </w:tc>
      </w:tr>
      <w:tr>
        <w:trPr>
          <w:trHeight w:val="239"/>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41"/>
        </w:trPr>
        <w:tc>
          <w:tcPr>
            <w:tcW w:w="3880" w:type="dxa"/>
            <w:vAlign w:val="bottom"/>
            <w:tcBorders>
              <w:left w:val="single" w:sz="8" w:color="auto"/>
              <w:bottom w:val="single" w:sz="8" w:color="auto"/>
              <w:right w:val="single" w:sz="8" w:color="auto"/>
            </w:tcBorders>
          </w:tcPr>
          <w:p>
            <w:pPr>
              <w:ind w:left="40"/>
              <w:spacing w:after="0" w:line="241"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1.910</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2.593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0.683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26.35%</w:t>
            </w:r>
          </w:p>
        </w:tc>
      </w:tr>
      <w:tr>
        <w:trPr>
          <w:trHeight w:val="237"/>
        </w:trPr>
        <w:tc>
          <w:tcPr>
            <w:tcW w:w="3880" w:type="dxa"/>
            <w:vAlign w:val="bottom"/>
            <w:tcBorders>
              <w:left w:val="single" w:sz="8" w:color="auto"/>
              <w:bottom w:val="single" w:sz="8" w:color="auto"/>
              <w:right w:val="single" w:sz="8" w:color="auto"/>
            </w:tcBorders>
            <w:shd w:val="clear" w:color="auto" w:fill="D9D9D9"/>
          </w:tcPr>
          <w:p>
            <w:pPr>
              <w:ind w:left="40"/>
              <w:spacing w:after="0" w:line="236"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1.655</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2.238</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0.584</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26.08%</w:t>
            </w:r>
          </w:p>
        </w:tc>
      </w:tr>
      <w:tr>
        <w:trPr>
          <w:trHeight w:val="232"/>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35"/>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0.464</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0.635</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0.170</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26.84%</w:t>
            </w:r>
          </w:p>
        </w:tc>
      </w:tr>
      <w:tr>
        <w:trPr>
          <w:trHeight w:val="236"/>
        </w:trPr>
        <w:tc>
          <w:tcPr>
            <w:tcW w:w="38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0.446</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0.630</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0.184</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29.23%</w:t>
            </w:r>
          </w:p>
        </w:tc>
      </w:tr>
      <w:tr>
        <w:trPr>
          <w:trHeight w:val="239"/>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41"/>
        </w:trPr>
        <w:tc>
          <w:tcPr>
            <w:tcW w:w="3880" w:type="dxa"/>
            <w:vAlign w:val="bottom"/>
            <w:tcBorders>
              <w:left w:val="single" w:sz="8" w:color="auto"/>
              <w:bottom w:val="single" w:sz="8" w:color="auto"/>
              <w:right w:val="single" w:sz="8" w:color="auto"/>
            </w:tcBorders>
          </w:tcPr>
          <w:p>
            <w:pPr>
              <w:ind w:left="40"/>
              <w:spacing w:after="0" w:line="241"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2.789</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4.103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1.314</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32.03%</w:t>
            </w:r>
          </w:p>
        </w:tc>
      </w:tr>
      <w:tr>
        <w:trPr>
          <w:trHeight w:val="236"/>
        </w:trPr>
        <w:tc>
          <w:tcPr>
            <w:tcW w:w="3880" w:type="dxa"/>
            <w:vAlign w:val="bottom"/>
            <w:tcBorders>
              <w:left w:val="single" w:sz="8" w:color="auto"/>
              <w:bottom w:val="single" w:sz="8" w:color="auto"/>
              <w:right w:val="single" w:sz="8" w:color="auto"/>
            </w:tcBorders>
            <w:shd w:val="clear" w:color="auto" w:fill="D9D9D9"/>
          </w:tcPr>
          <w:p>
            <w:pPr>
              <w:ind w:left="40"/>
              <w:spacing w:after="0" w:line="236"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2.482</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3.393</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0.911</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26.85%</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 2 Only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84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MRM Analysis</w:t>
            </w:r>
          </w:p>
        </w:tc>
        <w:tc>
          <w:tcPr>
            <w:tcW w:w="150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Zimura 2 mg</w:t>
            </w:r>
          </w:p>
        </w:tc>
        <w:tc>
          <w:tcPr>
            <w:tcW w:w="148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Sham</w:t>
            </w:r>
          </w:p>
        </w:tc>
        <w:tc>
          <w:tcPr>
            <w:tcW w:w="1480" w:type="dxa"/>
            <w:vAlign w:val="bottom"/>
            <w:tcBorders>
              <w:top w:val="single" w:sz="8" w:color="auto"/>
              <w:right w:val="single" w:sz="8" w:color="auto"/>
            </w:tcBorders>
          </w:tcPr>
          <w:p>
            <w:pPr>
              <w:ind w:left="320"/>
              <w:spacing w:after="0" w:line="198" w:lineRule="exact"/>
              <w:rPr>
                <w:sz w:val="20"/>
                <w:szCs w:val="20"/>
                <w:color w:val="auto"/>
              </w:rPr>
            </w:pPr>
            <w:r>
              <w:rPr>
                <w:rFonts w:ascii="Arial" w:cs="Arial" w:eastAsia="Arial" w:hAnsi="Arial"/>
                <w:sz w:val="18"/>
                <w:szCs w:val="18"/>
                <w:b w:val="1"/>
                <w:bCs w:val="1"/>
                <w:color w:val="auto"/>
              </w:rPr>
              <w:t>Difference</w:t>
            </w:r>
          </w:p>
        </w:tc>
        <w:tc>
          <w:tcPr>
            <w:tcW w:w="1480" w:type="dxa"/>
            <w:vAlign w:val="bottom"/>
            <w:tcBorders>
              <w:top w:val="single" w:sz="8" w:color="auto"/>
              <w:right w:val="single" w:sz="8" w:color="auto"/>
            </w:tcBorders>
          </w:tcPr>
          <w:p>
            <w:pPr>
              <w:ind w:left="220"/>
              <w:spacing w:after="0" w:line="198" w:lineRule="exact"/>
              <w:rPr>
                <w:sz w:val="20"/>
                <w:szCs w:val="20"/>
                <w:color w:val="auto"/>
              </w:rPr>
            </w:pPr>
            <w:r>
              <w:rPr>
                <w:rFonts w:ascii="Arial" w:cs="Arial" w:eastAsia="Arial" w:hAnsi="Arial"/>
                <w:sz w:val="18"/>
                <w:szCs w:val="18"/>
                <w:b w:val="1"/>
                <w:bCs w:val="1"/>
                <w:color w:val="auto"/>
              </w:rPr>
              <w:t>% Difference</w:t>
            </w: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 = 42)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3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0.308</w:t>
            </w:r>
          </w:p>
        </w:tc>
        <w:tc>
          <w:tcPr>
            <w:tcW w:w="148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0.422</w:t>
            </w:r>
          </w:p>
        </w:tc>
        <w:tc>
          <w:tcPr>
            <w:tcW w:w="148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0.114</w:t>
            </w:r>
          </w:p>
        </w:tc>
        <w:tc>
          <w:tcPr>
            <w:tcW w:w="14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27.02%</w:t>
            </w:r>
          </w:p>
        </w:tc>
      </w:tr>
      <w:tr>
        <w:trPr>
          <w:trHeight w:val="236"/>
        </w:trPr>
        <w:tc>
          <w:tcPr>
            <w:tcW w:w="38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0.303</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0.424</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0.121</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28.51%</w:t>
            </w:r>
          </w:p>
        </w:tc>
      </w:tr>
      <w:tr>
        <w:trPr>
          <w:trHeight w:val="23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41"/>
        </w:trPr>
        <w:tc>
          <w:tcPr>
            <w:tcW w:w="3840" w:type="dxa"/>
            <w:vAlign w:val="bottom"/>
            <w:tcBorders>
              <w:left w:val="single" w:sz="8" w:color="auto"/>
              <w:bottom w:val="single" w:sz="8" w:color="auto"/>
              <w:right w:val="single" w:sz="8" w:color="auto"/>
            </w:tcBorders>
          </w:tcPr>
          <w:p>
            <w:pPr>
              <w:ind w:left="40"/>
              <w:spacing w:after="0" w:line="241"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1.743</w:t>
            </w:r>
          </w:p>
        </w:tc>
        <w:tc>
          <w:tcPr>
            <w:tcW w:w="14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2.434</w:t>
            </w:r>
          </w:p>
        </w:tc>
        <w:tc>
          <w:tcPr>
            <w:tcW w:w="14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0.690</w:t>
            </w:r>
          </w:p>
        </w:tc>
        <w:tc>
          <w:tcPr>
            <w:tcW w:w="14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28.36%</w:t>
            </w:r>
          </w:p>
        </w:tc>
      </w:tr>
      <w:tr>
        <w:trPr>
          <w:trHeight w:val="237"/>
        </w:trPr>
        <w:tc>
          <w:tcPr>
            <w:tcW w:w="3840" w:type="dxa"/>
            <w:vAlign w:val="bottom"/>
            <w:tcBorders>
              <w:left w:val="single" w:sz="8" w:color="auto"/>
              <w:bottom w:val="single" w:sz="8" w:color="auto"/>
              <w:right w:val="single" w:sz="8" w:color="auto"/>
            </w:tcBorders>
            <w:shd w:val="clear" w:color="auto" w:fill="D9D9D9"/>
          </w:tcPr>
          <w:p>
            <w:pPr>
              <w:ind w:left="40"/>
              <w:spacing w:after="0" w:line="236"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1.419</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2.154</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0.735</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34.14%</w:t>
            </w:r>
          </w:p>
        </w:tc>
      </w:tr>
      <w:tr>
        <w:trPr>
          <w:trHeight w:val="232"/>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34"/>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0.440</w:t>
            </w:r>
          </w:p>
        </w:tc>
        <w:tc>
          <w:tcPr>
            <w:tcW w:w="14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0.608</w:t>
            </w:r>
          </w:p>
        </w:tc>
        <w:tc>
          <w:tcPr>
            <w:tcW w:w="14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0.168</w:t>
            </w:r>
          </w:p>
        </w:tc>
        <w:tc>
          <w:tcPr>
            <w:tcW w:w="14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27.67%</w:t>
            </w:r>
          </w:p>
        </w:tc>
      </w:tr>
      <w:tr>
        <w:trPr>
          <w:trHeight w:val="237"/>
        </w:trPr>
        <w:tc>
          <w:tcPr>
            <w:tcW w:w="38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0.474</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0.622</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0.148</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23.85%</w:t>
            </w:r>
          </w:p>
        </w:tc>
      </w:tr>
      <w:tr>
        <w:trPr>
          <w:trHeight w:val="239"/>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41"/>
        </w:trPr>
        <w:tc>
          <w:tcPr>
            <w:tcW w:w="3840" w:type="dxa"/>
            <w:vAlign w:val="bottom"/>
            <w:tcBorders>
              <w:left w:val="single" w:sz="8" w:color="auto"/>
              <w:bottom w:val="single" w:sz="8" w:color="auto"/>
              <w:right w:val="single" w:sz="8" w:color="auto"/>
            </w:tcBorders>
          </w:tcPr>
          <w:p>
            <w:pPr>
              <w:ind w:left="40"/>
              <w:spacing w:after="0" w:line="241"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2.550</w:t>
            </w:r>
          </w:p>
        </w:tc>
        <w:tc>
          <w:tcPr>
            <w:tcW w:w="14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3.649</w:t>
            </w:r>
          </w:p>
        </w:tc>
        <w:tc>
          <w:tcPr>
            <w:tcW w:w="14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1.099</w:t>
            </w:r>
          </w:p>
        </w:tc>
        <w:tc>
          <w:tcPr>
            <w:tcW w:w="14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30.12%</w:t>
            </w:r>
          </w:p>
        </w:tc>
      </w:tr>
      <w:tr>
        <w:trPr>
          <w:trHeight w:val="236"/>
        </w:trPr>
        <w:tc>
          <w:tcPr>
            <w:tcW w:w="3840" w:type="dxa"/>
            <w:vAlign w:val="bottom"/>
            <w:tcBorders>
              <w:left w:val="single" w:sz="8" w:color="auto"/>
              <w:bottom w:val="single" w:sz="8" w:color="auto"/>
              <w:right w:val="single" w:sz="8" w:color="auto"/>
            </w:tcBorders>
            <w:shd w:val="clear" w:color="auto" w:fill="D9D9D9"/>
          </w:tcPr>
          <w:p>
            <w:pPr>
              <w:ind w:left="40"/>
              <w:spacing w:after="0" w:line="236"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2.203</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3.264</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1.061</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32.51%</w:t>
            </w: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Post-Hoc Analysis of GATHER1 data - Foveal Preservation</w:t>
      </w:r>
    </w:p>
    <w:p>
      <w:pPr>
        <w:spacing w:after="0" w:line="144"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 February 2022, we announced the results from a post-hoc analysis that evaluated various GA growth parameters to explore the rate of disease progression within various regions in the fovea in a subset of patients from the GATHER1 trial. The post-hoc analysis evaluated GA growth in five standardized regions in the retina for patients for whom images were available at relevant time points, which consisted of 47 patients from the Zimura 2 mg group and 79 patients from the corresponding sham control group. The five regions included the central foveal region, consisting of a 2 mm diameter circle around the foveal center point, and four quadrants, temporal, nasal, superior and inferior, in a concentric 8 mm diameter circle around the foveal center point. The accompanying schematic illustrates the five standardized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137160</wp:posOffset>
            </wp:positionV>
            <wp:extent cx="1714500" cy="1714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observed a reduction in lesion growth in the five standardized regions surrounding and including the central foveal area for patients receiving Zimura 2 mg as compared to patients receiving sham over a period of 18 months. We believe the results of this subgroup analysis are consistent with the primary analysis results in the ITT population in the GATHER1 trial. The accompanying graphs illustrate the results:</w:t>
      </w:r>
    </w:p>
    <w:p>
      <w:pPr>
        <w:spacing w:after="0" w:line="191" w:lineRule="exact"/>
        <w:rPr>
          <w:sz w:val="20"/>
          <w:szCs w:val="20"/>
          <w:color w:val="auto"/>
        </w:rPr>
      </w:pPr>
    </w:p>
    <w:p>
      <w:pPr>
        <w:jc w:val="center"/>
        <w:ind w:left="340" w:right="60"/>
        <w:spacing w:after="0" w:line="261" w:lineRule="auto"/>
        <w:rPr>
          <w:sz w:val="20"/>
          <w:szCs w:val="20"/>
          <w:color w:val="auto"/>
        </w:rPr>
      </w:pPr>
      <w:r>
        <w:rPr>
          <w:rFonts w:ascii="Arial" w:cs="Arial" w:eastAsia="Arial" w:hAnsi="Arial"/>
          <w:sz w:val="18"/>
          <w:szCs w:val="18"/>
          <w:u w:val="single" w:color="auto"/>
          <w:color w:val="auto"/>
        </w:rPr>
        <w:t>Decrease in GA growth observed in patients receiving Zimura 2 mg versus patients receiving sham injections in five standardized regions and in line with circumferential progression found in natural history, square-root transformed (mm)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366395</wp:posOffset>
            </wp:positionV>
            <wp:extent cx="3429000" cy="4500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0" cy="450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OPH2001: Completed Phase 1/2a Clinical Trial of Zimura for GA Secondary to Dry AMD</w:t>
      </w:r>
    </w:p>
    <w:p>
      <w:pPr>
        <w:spacing w:after="0" w:line="252" w:lineRule="exact"/>
        <w:rPr>
          <w:sz w:val="20"/>
          <w:szCs w:val="20"/>
          <w:color w:val="auto"/>
        </w:rPr>
      </w:pPr>
    </w:p>
    <w:p>
      <w:pPr>
        <w:ind w:right="40" w:firstLine="180"/>
        <w:spacing w:after="0" w:line="279" w:lineRule="auto"/>
        <w:rPr>
          <w:sz w:val="20"/>
          <w:szCs w:val="20"/>
          <w:color w:val="auto"/>
        </w:rPr>
      </w:pPr>
      <w:r>
        <w:rPr>
          <w:rFonts w:ascii="Arial" w:cs="Arial" w:eastAsia="Arial" w:hAnsi="Arial"/>
          <w:sz w:val="17"/>
          <w:szCs w:val="17"/>
          <w:color w:val="auto"/>
        </w:rPr>
        <w:t>In 2011, we completed a multicenter, uncontrolled, open label Phase 1/2a clinical trial to evaluate the safety and tolerability of Zimura administered as a monotherapy in patients with GA. We enrolled 47 patients in this trial. We randomly assigned patients in this trial to one of two dose groups. Patients received a total of five intravitreal injections of either 0.3 mg or 1 mg of Zimura over a 36-week treatment period. Patients received an intravitreal injection of Zimura at day 0, week 4, week 8, week 24 and week 36 of the trial, with a final follow-up visit at week 48.</w:t>
      </w:r>
    </w:p>
    <w:p>
      <w:pPr>
        <w:spacing w:after="0" w:line="198"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Zimura was generally well-tolerated in this trial. We did not observe any evidence of drug related adverse events. We also did not observe any incidence of conversion to wet AMD in eyes treated with Zimura. Adverse events were primarily ocular adverse events in the study eye which were related to the injection procedure.</w:t>
      </w:r>
    </w:p>
    <w:p>
      <w:pPr>
        <w:spacing w:after="0" w:line="211" w:lineRule="exact"/>
        <w:rPr>
          <w:sz w:val="20"/>
          <w:szCs w:val="20"/>
          <w:color w:val="auto"/>
        </w:rPr>
      </w:pPr>
    </w:p>
    <w:p>
      <w:pPr>
        <w:ind w:right="120" w:firstLine="180"/>
        <w:spacing w:after="0" w:line="342" w:lineRule="auto"/>
        <w:rPr>
          <w:sz w:val="20"/>
          <w:szCs w:val="20"/>
          <w:color w:val="auto"/>
        </w:rPr>
      </w:pPr>
      <w:r>
        <w:rPr>
          <w:rFonts w:ascii="Arial" w:cs="Arial" w:eastAsia="Arial" w:hAnsi="Arial"/>
          <w:sz w:val="16"/>
          <w:szCs w:val="16"/>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51" w:lineRule="exact"/>
        <w:rPr>
          <w:sz w:val="20"/>
          <w:szCs w:val="20"/>
          <w:color w:val="auto"/>
        </w:rPr>
      </w:pPr>
    </w:p>
    <w:p>
      <w:pPr>
        <w:ind w:firstLine="180"/>
        <w:spacing w:after="0" w:line="301"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monotherapy, with statistical significance. The primary 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w:t>
      </w:r>
    </w:p>
    <w:p>
      <w:pPr>
        <w:spacing w:after="0" w:line="184" w:lineRule="exact"/>
        <w:rPr>
          <w:sz w:val="20"/>
          <w:szCs w:val="20"/>
          <w:color w:val="auto"/>
        </w:rPr>
      </w:pPr>
    </w:p>
    <w:p>
      <w:pPr>
        <w:ind w:firstLine="177"/>
        <w:spacing w:after="0" w:line="234" w:lineRule="auto"/>
        <w:rPr>
          <w:sz w:val="20"/>
          <w:szCs w:val="20"/>
          <w:color w:val="auto"/>
        </w:rPr>
      </w:pPr>
      <w:r>
        <w:rPr>
          <w:rFonts w:ascii="Arial" w:cs="Arial" w:eastAsia="Arial" w:hAnsi="Arial"/>
          <w:sz w:val="18"/>
          <w:szCs w:val="18"/>
          <w:color w:val="auto"/>
        </w:rPr>
        <w:t>The mean growth from baseline in the GA lesion area during the first 24 weeks of the trial, when the injections were administered more regularly, was 1.00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the 24 patients receiving the 0.3 mg dose and 0.78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the 23 patients receiving the 1 mg dose. When the injections were administered on a reduced dosing schedule during the subsequent 24 weeks,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this relative trend in reduced growth in GA lesion area was no longer present.</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14605</wp:posOffset>
            </wp:positionV>
            <wp:extent cx="4114800" cy="281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this apparent trend in the relative reduction of mean growth in GA lesion area when Zimura was dosed more frequently, together with the relative loss of the benefit when Zimura was dosed less frequently, may suggest a possible drug effect.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GATHER2: Ongoing Phase 3 Clinical Trial Assessing Safety and Efficacy of Zimura 2 mg for GA Secondary to AMD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5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In this trial, we enrolled 448 patients, who were randomized into two groups: a first group receiving monthly administrations of Zimura 2 mg for 12 months, and a second group receiving monthly administrations of sham. In accordance with our SPA with the FDA, the prespecified primary efficacy endpoint will be the mean rate of growth (slope) estimated based on GA area measured by FAF in at least three timepoints: baseline, month 6 and month</w:t>
      </w:r>
    </w:p>
    <w:p>
      <w:pPr>
        <w:spacing w:after="0" w:line="2" w:lineRule="exact"/>
        <w:rPr>
          <w:sz w:val="20"/>
          <w:szCs w:val="20"/>
          <w:color w:val="auto"/>
        </w:rPr>
      </w:pPr>
    </w:p>
    <w:p>
      <w:pPr>
        <w:jc w:val="both"/>
        <w:ind w:right="120" w:firstLine="8"/>
        <w:spacing w:after="0" w:line="281"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month 12, we are re-randomizing patients in the Zimura 2 mg arm to receive either monthly or every other month administrations of Zimura 2 mg, and patients receiving monthly administrations of sham will continue to receive monthly administrations of sham. We plan to treat and follow patients for</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key ophthalmic inclusion criteria for GATHER2 include the following:</w:t>
      </w:r>
    </w:p>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non-foveal GA secondary to dry AMD;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GA area between 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17.5 mm</w:t>
      </w:r>
      <w:r>
        <w:rPr>
          <w:rFonts w:ascii="Arial" w:cs="Arial" w:eastAsia="Arial" w:hAnsi="Arial"/>
          <w:sz w:val="23"/>
          <w:szCs w:val="23"/>
          <w:color w:val="auto"/>
          <w:vertAlign w:val="superscript"/>
        </w:rPr>
        <w:t>2</w:t>
      </w:r>
      <w:r>
        <w:rPr>
          <w:rFonts w:ascii="Arial" w:cs="Arial" w:eastAsia="Arial" w:hAnsi="Arial"/>
          <w:sz w:val="18"/>
          <w:szCs w:val="18"/>
          <w:color w:val="auto"/>
        </w:rPr>
        <w:t>, inclusive;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GA is multifocal, at least one focal lesion should measure 1.25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greater;</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 in part within 1500 microns from the foveal center;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Snellen equivalent BVCA in the study eye between 20/25 and 20/320, inclusive.</w:t>
      </w:r>
    </w:p>
    <w:p>
      <w:pPr>
        <w:spacing w:after="0" w:line="158" w:lineRule="exact"/>
        <w:rPr>
          <w:sz w:val="20"/>
          <w:szCs w:val="20"/>
          <w:color w:val="auto"/>
        </w:rPr>
      </w:pPr>
    </w:p>
    <w:p>
      <w:pPr>
        <w:ind w:firstLine="170"/>
        <w:spacing w:after="0" w:line="272" w:lineRule="auto"/>
        <w:rPr>
          <w:sz w:val="20"/>
          <w:szCs w:val="20"/>
          <w:color w:val="auto"/>
        </w:rPr>
      </w:pPr>
      <w:r>
        <w:rPr>
          <w:rFonts w:ascii="Arial" w:cs="Arial" w:eastAsia="Arial" w:hAnsi="Arial"/>
          <w:sz w:val="17"/>
          <w:szCs w:val="17"/>
          <w:color w:val="auto"/>
        </w:rPr>
        <w:t>As discussed above, when we initiated the GATHER1 trial, we did not believe that reliable measurements of GA by FAF images for patients with CNV in the study eye could be performed. Therefore, in the clinical trial protocol for the GATHER1 trial, we indicated that patients in any arm of the trial who developed CNV in the study eye, as observed by the investigator, would be removed from the trial and any future study treatments and assessments. Based on third-party clinical data published since the GATHER1 trial commenced and discussions with our independent reading center, we believe that GA for patients developing CNV in the study eye who receive standard of care anti-VEGF treatment for the CNV, could potentially be assessed by FAF. Based on the foregoing, the protocol for GATHER2 provides that patients will undergo monthly OCT imaging, and if an investigator suspects that a patient has CNV or if a patient experiences a decrease in visual acuity, as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measured by a loss of more than five ETDRS letters between a visit and the immediately prior visit, the independent masked reading center will confirm whether the patient has CNV using multi-modal imaging. In the event a CNV case is confirmed, the investigator will treat the CNV with one of two anti-VEGF agents, Lucentis or Eylea® (aflibercept), in accordance with the label for that anti-VEGF agent. These patients will remain in the trial and measurements of these patients' GA will be included in the primary efficacy analysis if their FAF images can be assessed by the masked reading center.</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Conduct</w:t>
      </w:r>
    </w:p>
    <w:p>
      <w:pPr>
        <w:spacing w:after="0" w:line="14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July 2021, we completed patient enrollment for GATHER2, four months ahead of our original schedule. In response to the COVID-19 pandemic, we and our clinical trial sites implemented a number of initiatives to protect the safety and well-being of our patients and to ensure they are able to attend their scheduled study visits. We continue to closely monitor the COVID-19 pandemic and the impact it may have on this trial.</w:t>
      </w:r>
    </w:p>
    <w:p>
      <w:pPr>
        <w:spacing w:after="0" w:line="9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particular, we continue to monitor patient retention in this trial. We are targeting and remain on track for an injection fidelity rate at month 12 of greater than 90%. The injection fidelity rate for GATHER1 at 12 months was 87%. We believe injection fidelity, which is calculated by dividing the total number of actual injections for all patients by the total number of expected injections based on the total number of patients enrolled in the trial, to be an accurate and meaningful measure of patient retention. In addition, more than 84% of the scheduled first-year visits in the GATHER2 trial, which consists of all study visits up to and including the timepoint for assessing the primary efficacy endpoint, have been completed or elapsed.</w:t>
      </w:r>
    </w:p>
    <w:p>
      <w:pPr>
        <w:spacing w:after="0" w:line="10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expect top-line data from this trial to be available during the second half of 2022, approximately one year following the enrollment of the last patient plus the time needed for database lock and analysis. We are actively working with our third-party imaging and other vendors to review and prepare the GATHER2 data for database lock.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Marketing Approval of Zimura in GA</w:t>
      </w:r>
    </w:p>
    <w:p>
      <w:pPr>
        <w:spacing w:after="0" w:line="252" w:lineRule="exact"/>
        <w:rPr>
          <w:sz w:val="20"/>
          <w:szCs w:val="20"/>
          <w:color w:val="auto"/>
        </w:rPr>
      </w:pPr>
    </w:p>
    <w:p>
      <w:pPr>
        <w:ind w:firstLine="177"/>
        <w:spacing w:after="0" w:line="287" w:lineRule="auto"/>
        <w:rPr>
          <w:sz w:val="20"/>
          <w:szCs w:val="20"/>
          <w:color w:val="auto"/>
        </w:rPr>
      </w:pPr>
      <w:r>
        <w:rPr>
          <w:rFonts w:ascii="Arial" w:cs="Arial" w:eastAsia="Arial" w:hAnsi="Arial"/>
          <w:sz w:val="16"/>
          <w:szCs w:val="16"/>
          <w:color w:val="auto"/>
        </w:rPr>
        <w:t>To obtain marketing approval for Zimura for the treatment of GA, we expect that we will need to obtain favorable results from a total of two independent, adequate and well-controlled pivotal clinical trials, demonstrating the safety and efficacy of Zimura in this indication. To establish efficacy, we believe it would be sufficient to demonstrate statistically significant results showing a clinically relevant reduction in the rate of growth of GA over 12 months, based on measurements over three time points (baseline, month 6 and month 12) in two independent trials. We selected this measure as the primary endpoint for the GATHER1 trial based on prior interactions with the FDA, as well as our understanding of clinical trials for other investigational products in development for the treatment of GA. We designed the GATHER1 trial as a well-controlled screening trial such that, in the event that the prespecified primary efficacy endpoint results were statistically significant, the trial could potentially serve as one of the two pivotal clinical trials typically required for marketing approval. Based on the results we have received, the statistical analysis that we have performed and additional discussions we have had with the FDA, we believe that the safety and efficacy results from the GATHER1 trial would satisfy the FDA’s requirements as one of the two pivotal clinical trials typically required for marketing approval. In the paragraphs that follow, we describe in detail the basis for our belief about the sufficiency of the GATHER1 trial and, if the data from this trial are positive, the GATHER2 trial, to support an application for marketing approval for GA.</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Requirements for Safety Data</w:t>
      </w:r>
    </w:p>
    <w:p>
      <w:pPr>
        <w:spacing w:after="0" w:line="158"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Zimura has generally been well tolerated in our clinical trials to date. In the GATHER1 trial, there were no investigator reported ocular serious adverse events, Zimura-related adverse events, cases of Zimura-related intraocular inflammation, cases of Zimura-related increased intraocular pressure, cases of endophthalmitis, or discontinuations attributed by investigators to Zimura. We believe the investigator reported CNV rate in the study eye for patients receiving Zimura as compared to sham and the untreated fellow eyes during the trial is within an acceptable range when compared to published clinical trial data for another complement inhibitor currently in development for GA. The most frequently reported ocular adverse events in the GATHER1 trial were related to the injection procedure.</w:t>
      </w:r>
    </w:p>
    <w:p>
      <w:pPr>
        <w:spacing w:after="0" w:line="111" w:lineRule="exact"/>
        <w:rPr>
          <w:sz w:val="20"/>
          <w:szCs w:val="20"/>
          <w:color w:val="auto"/>
        </w:rPr>
      </w:pPr>
    </w:p>
    <w:p>
      <w:pPr>
        <w:ind w:right="120" w:firstLine="177"/>
        <w:spacing w:after="0" w:line="296" w:lineRule="auto"/>
        <w:rPr>
          <w:sz w:val="20"/>
          <w:szCs w:val="20"/>
          <w:color w:val="auto"/>
        </w:rPr>
      </w:pPr>
      <w:r>
        <w:rPr>
          <w:rFonts w:ascii="Arial" w:cs="Arial" w:eastAsia="Arial" w:hAnsi="Arial"/>
          <w:sz w:val="16"/>
          <w:szCs w:val="16"/>
          <w:color w:val="auto"/>
        </w:rPr>
        <w:t>To demonstrate the safety of Zimura to a degree sufficient to support marketing approval, we believe that the FDA and potentially other regulatory authorities would require data from a minimum of 300 patients having received the dose of Zimura for which we are seeking approval, or a higher Zimura dose, independent of indication, for a minimum of 12 months, with 24-month safety data available for some portion, but not all, of these 300 patients. Based on the safety profile of Zimura observed to date and the number of patients treated across our Zimura clinical trials, we believe that the remaining minimum safety requirements could potentially be satisfied by the GATHER2 trial, in which we plan to treat and follow patients for 24 months.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Requirements for Efficacy Data</w:t>
      </w:r>
    </w:p>
    <w:p>
      <w:pPr>
        <w:spacing w:after="0" w:line="158" w:lineRule="exact"/>
        <w:rPr>
          <w:sz w:val="20"/>
          <w:szCs w:val="20"/>
          <w:color w:val="auto"/>
        </w:rPr>
      </w:pPr>
    </w:p>
    <w:p>
      <w:pPr>
        <w:ind w:right="60" w:firstLine="180"/>
        <w:spacing w:after="0" w:line="275" w:lineRule="auto"/>
        <w:rPr>
          <w:sz w:val="20"/>
          <w:szCs w:val="20"/>
          <w:color w:val="auto"/>
        </w:rPr>
      </w:pPr>
      <w:r>
        <w:rPr>
          <w:rFonts w:ascii="Arial" w:cs="Arial" w:eastAsia="Arial" w:hAnsi="Arial"/>
          <w:sz w:val="17"/>
          <w:szCs w:val="17"/>
          <w:i w:val="1"/>
          <w:iCs w:val="1"/>
          <w:color w:val="auto"/>
        </w:rPr>
        <w:t>Statistical Significance</w:t>
      </w:r>
      <w:r>
        <w:rPr>
          <w:rFonts w:ascii="Arial" w:cs="Arial" w:eastAsia="Arial" w:hAnsi="Arial"/>
          <w:sz w:val="17"/>
          <w:szCs w:val="17"/>
          <w:color w:val="auto"/>
        </w:rPr>
        <w:t>. In our GATHER1 trial, the reduction in the mean rate of GA growth over 12 months using the square root transformation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0.110 mm (p-value = 0.0072) for the Zimura 2 mg group as compared to the corresponding sham control group and 0.124 mm (p-value = 0.0051) for the Zimura 4 mg group as compared to the corresponding sham control group, corresponding to an approximate 27% relative reduction in the mean rate of GA growth over 12 months when compared with sham. These data for both dose groups were statistically significant. See above under “Primary Efficacy Endpoint Data” for a discussion of the procedures we used to confirm the statistical significance of these data.</w:t>
      </w:r>
    </w:p>
    <w:p>
      <w:pPr>
        <w:spacing w:after="0" w:line="95" w:lineRule="exact"/>
        <w:rPr>
          <w:sz w:val="20"/>
          <w:szCs w:val="20"/>
          <w:color w:val="auto"/>
        </w:rPr>
      </w:pPr>
    </w:p>
    <w:p>
      <w:pPr>
        <w:ind w:right="40" w:firstLine="180"/>
        <w:spacing w:after="0" w:line="255" w:lineRule="auto"/>
        <w:rPr>
          <w:sz w:val="20"/>
          <w:szCs w:val="20"/>
          <w:color w:val="auto"/>
        </w:rPr>
      </w:pPr>
      <w:r>
        <w:rPr>
          <w:rFonts w:ascii="Arial" w:cs="Arial" w:eastAsia="Arial" w:hAnsi="Arial"/>
          <w:sz w:val="18"/>
          <w:szCs w:val="18"/>
          <w:color w:val="auto"/>
        </w:rPr>
        <w:t>In clinical trials, it is common for data for some number of subjects to be missing for assessments performed throughout the trial. The degree of data that is missing from a clinical data set can impact the results and conclusions, including their statistical significance. See above under “Statistical Analysis for Efficacy Measures” for information regarding the GA measurement data that was missing from the analysis of the primary efficacy endpoint in the GATHER1 trial, as well as a description of the sensitivity analyses we performed. Based on our sensitivity analyses, and accounting for the data missing from our data set because of patient withdrawals or for other reasons, we believe the statistical analysis for the 12 month data from the GATHER1 trial is valid.</w:t>
      </w:r>
    </w:p>
    <w:p>
      <w:pPr>
        <w:spacing w:after="0" w:line="125" w:lineRule="exact"/>
        <w:rPr>
          <w:sz w:val="20"/>
          <w:szCs w:val="20"/>
          <w:color w:val="auto"/>
        </w:rPr>
      </w:pPr>
    </w:p>
    <w:p>
      <w:pPr>
        <w:ind w:firstLine="170"/>
        <w:spacing w:after="0" w:line="273" w:lineRule="auto"/>
        <w:rPr>
          <w:sz w:val="20"/>
          <w:szCs w:val="20"/>
          <w:color w:val="auto"/>
        </w:rPr>
      </w:pPr>
      <w:r>
        <w:rPr>
          <w:rFonts w:ascii="Arial" w:cs="Arial" w:eastAsia="Arial" w:hAnsi="Arial"/>
          <w:sz w:val="17"/>
          <w:szCs w:val="17"/>
          <w:color w:val="auto"/>
        </w:rPr>
        <w:t>Although we seek to apply our enrollment criteria consistently, there may be instances when an investigator proposes that a patient participate in the trial and the reading center determines that, although a patient may not meet all criteria precisely, participation in the trial is warranted based on the overall GA pattern and size. For example, this can result in the enrollment of patients with baseline GA area slightly below 1 disc area, as was the case with one patient in each of the Zimura 4 mg group and the Part 2 sham control group (which is part of the comparison for both the Zimura 2 mg and Zimura 4 mg groups) in the GATHER1 trial. These patients were included in the ITT analysis for our primary efficacy endpoint. The FDA or other regulatory authorities may not agree with the inclusion of these patients in our statistical analysis.</w:t>
      </w:r>
    </w:p>
    <w:p>
      <w:pPr>
        <w:spacing w:after="0" w:line="97" w:lineRule="exact"/>
        <w:rPr>
          <w:sz w:val="20"/>
          <w:szCs w:val="20"/>
          <w:color w:val="auto"/>
        </w:rPr>
      </w:pPr>
    </w:p>
    <w:p>
      <w:pPr>
        <w:ind w:right="40" w:firstLine="180"/>
        <w:spacing w:after="0" w:line="238" w:lineRule="auto"/>
        <w:rPr>
          <w:sz w:val="20"/>
          <w:szCs w:val="20"/>
          <w:color w:val="auto"/>
        </w:rPr>
      </w:pPr>
      <w:r>
        <w:rPr>
          <w:rFonts w:ascii="Arial" w:cs="Arial" w:eastAsia="Arial" w:hAnsi="Arial"/>
          <w:sz w:val="17"/>
          <w:szCs w:val="17"/>
          <w:i w:val="1"/>
          <w:iCs w:val="1"/>
          <w:color w:val="auto"/>
        </w:rPr>
        <w:t>Clinical Relevance</w:t>
      </w:r>
      <w:r>
        <w:rPr>
          <w:rFonts w:ascii="Arial" w:cs="Arial" w:eastAsia="Arial" w:hAnsi="Arial"/>
          <w:sz w:val="17"/>
          <w:szCs w:val="17"/>
          <w:color w:val="auto"/>
        </w:rPr>
        <w:t>. Clinical relevance refers to an assessment of how meaningful the observed outcome is or would be for patients. The FDA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authorities consult with clinicians in the field of study to advise on the relevance of an observed outcome for patients. Our GATHER1 and GATHER2 trials use anatomic endpoints measuring the reduction of GA growth as the primary efficacy endpoints. We obtained a written agreement with the FDA through the GATHER2 SPA that the mean rate of growth (slope) estimated based on GA area, measured by FAF in at least three time points: Baseline, Month 6, and Month 12, and the design and planned analysis of the GATHER2 trial adequately address the objectives necessary to support a regulatory submission. Since established literature and clinical experience indicate that patients' functional vision is impacted by the growth of the GA over time, which ultimately leads to severe vision loss, we believe that reduction of GA growth would have a meaningful impact on the patients’ well-being and quality of life and therefore is clinically relevant.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Adequate and Well-Controlled</w:t>
      </w:r>
      <w:r>
        <w:rPr>
          <w:rFonts w:ascii="Arial" w:cs="Arial" w:eastAsia="Arial" w:hAnsi="Arial"/>
          <w:sz w:val="16"/>
          <w:szCs w:val="16"/>
          <w:color w:val="auto"/>
        </w:rPr>
        <w:t>. In addition to statistical significance and clinical relevance, pivotal clinical trials must be adequate and well-controlled.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w:t>
      </w:r>
    </w:p>
    <w:p>
      <w:pPr>
        <w:spacing w:after="0" w:line="278" w:lineRule="exact"/>
        <w:rPr>
          <w:sz w:val="20"/>
          <w:szCs w:val="20"/>
          <w:color w:val="auto"/>
        </w:rPr>
      </w:pPr>
    </w:p>
    <w:p>
      <w:pPr>
        <w:ind w:left="660" w:right="140" w:hanging="328"/>
        <w:spacing w:after="0" w:line="232"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method of selecting subjects for GATHER1 and GATHER2 was based on the same prospectively defined inclusion and exclusion criteria and provided adequate assurance that they have GA secondary to AMD;</w:t>
      </w:r>
    </w:p>
    <w:p>
      <w:pPr>
        <w:spacing w:after="0" w:line="270" w:lineRule="exact"/>
        <w:rPr>
          <w:rFonts w:ascii="Arial" w:cs="Arial" w:eastAsia="Arial" w:hAnsi="Arial"/>
          <w:sz w:val="22"/>
          <w:szCs w:val="22"/>
          <w:color w:val="auto"/>
        </w:rPr>
      </w:pPr>
    </w:p>
    <w:p>
      <w:pPr>
        <w:ind w:left="660" w:right="240" w:hanging="328"/>
        <w:spacing w:after="0" w:line="251" w:lineRule="auto"/>
        <w:tabs>
          <w:tab w:leader="none" w:pos="655"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randomized method of assigning patients to GATHER1 and GATHER2 treatment groups and corresponding sham control groups minimizes potential confounding factors and bias, and is intended to ensure comparability of the groups for all pertinent variables; and</w:t>
      </w:r>
    </w:p>
    <w:p>
      <w:pPr>
        <w:spacing w:after="0" w:line="258" w:lineRule="exact"/>
        <w:rPr>
          <w:rFonts w:ascii="Arial" w:cs="Arial" w:eastAsia="Arial" w:hAnsi="Arial"/>
          <w:sz w:val="21"/>
          <w:szCs w:val="21"/>
          <w:color w:val="auto"/>
        </w:rPr>
      </w:pPr>
    </w:p>
    <w:p>
      <w:pPr>
        <w:ind w:left="660" w:right="160" w:hanging="328"/>
        <w:spacing w:after="0" w:line="251" w:lineRule="auto"/>
        <w:tabs>
          <w:tab w:leader="none" w:pos="655" w:val="left"/>
        </w:tabs>
        <w:numPr>
          <w:ilvl w:val="0"/>
          <w:numId w:val="35"/>
        </w:numPr>
        <w:rPr>
          <w:rFonts w:ascii="Arial" w:cs="Arial" w:eastAsia="Arial" w:hAnsi="Arial"/>
          <w:sz w:val="21"/>
          <w:szCs w:val="21"/>
          <w:color w:val="auto"/>
        </w:rPr>
      </w:pPr>
      <w:r>
        <w:rPr>
          <w:rFonts w:ascii="Arial" w:cs="Arial" w:eastAsia="Arial" w:hAnsi="Arial"/>
          <w:sz w:val="17"/>
          <w:szCs w:val="17"/>
          <w:color w:val="auto"/>
        </w:rPr>
        <w:t>GATHER1 and GATHER2 are appropriately masked. The primary endpoint was objectively measured by an independent masked reading center. Adequate measures were taken to minimize bias on the part of the subject, the investigator, the reading center and the sponsor.</w:t>
      </w:r>
    </w:p>
    <w:p>
      <w:pPr>
        <w:spacing w:after="0" w:line="21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based on the above and other aspects of the designs of the two trials and their similar primary efficacy endpoints and statistical analysis plans, that both trials are adequate and well-controlled to establish the efficacy and safety of Zimura for GA. GATHER2 is intended to provide independent substantiation of the statistically significant results we observed in GATHER1.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Regulatory Pathway Following GATHER1 and GATHER2</w:t>
      </w:r>
    </w:p>
    <w:p>
      <w:pPr>
        <w:spacing w:after="0" w:line="252" w:lineRule="exact"/>
        <w:rPr>
          <w:sz w:val="20"/>
          <w:szCs w:val="20"/>
          <w:color w:val="auto"/>
        </w:rPr>
      </w:pPr>
    </w:p>
    <w:p>
      <w:pPr>
        <w:ind w:right="180" w:firstLine="180"/>
        <w:spacing w:after="0" w:line="263" w:lineRule="auto"/>
        <w:rPr>
          <w:sz w:val="20"/>
          <w:szCs w:val="20"/>
          <w:color w:val="auto"/>
        </w:rPr>
      </w:pPr>
      <w:r>
        <w:rPr>
          <w:rFonts w:ascii="Arial" w:cs="Arial" w:eastAsia="Arial" w:hAnsi="Arial"/>
          <w:sz w:val="18"/>
          <w:szCs w:val="18"/>
          <w:color w:val="auto"/>
        </w:rPr>
        <w:t>Based on the foregoing, assuming that Zimura’s safety profile remains consistent with findings observed to date and subject to regulatory review of the GATHER1 trial results, we believe that one additional international, randomized, double-masked, sham controlled, Phase 3 clinical trial is needed to demonstrate the safety and efficacy of Zimura in GA in a manner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sufficient to support an application for marketing approval from the FDA and EMA in this indication. We designed the GATHER2 trial in accordance with this belief and understanding. Our belief and understanding of the remaining clinical requirements to demonstrate the safety and efficacy of Zimura for the treatment of GA in a manner sufficient to support an application for marketing approval from the FDA and EMA is based on our review of the data from the GATHER1 trial as well as discussions with the FDA. As described above, in parallel discussions with those for the GATHER2 SPA, the FDA indicated that, as part of a future NDA for Zimura, the results from GATHER1 will be considered using the original prespecified primary efficacy endpoint analysis (mean rate of change in GA area over 12 months measured by FAF at three timepoints: baseline, month 6 and month 12), together with a post-hoc analysis using the same FDA-preferred method that we are using for the GATHER2 trial (mean rate of growth (slope) estimated based on GA area measured by FAF in the relevant timepoints). We believe the GATHER1 data, when analyzed using the FDA's preferred method, are consistent with and supportive of the results from the original prespecified analysis. However, it is possible that unexpected or inconsistent findings could emerge as we continue to evaluate the unmasked, individual patient data, which could cause us to evaluate and change our conclusions about this data.</w:t>
      </w:r>
    </w:p>
    <w:p>
      <w:pPr>
        <w:spacing w:after="0" w:line="1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July 2021, we received a written agreement from the FDA under a SPA for the overall design of GATHER2. We believe that the safety and efficacy data we will collect from the GATHER2 trial, if positive, would satisfy the FDA’s and could potentially satisfy the EMA's requirements as the second pivotal clinical trial typically required for marketing approval. If the 12-month results from GATHER2 are positive, we plan to file applications with the FDA and the EMA for marketing approval of Zimura for GA. Our expectations regarding the minimum clinical requirements to demonstrate the safety and efficacy of Zimura for GA may change as new regulatory or third party information becomes available. We have not had any interactions to date with the EMA regarding the GATHER1 data or the design of GATHER2. Ultimately, for the GATHER1 and GATHER2 trials to be accepted as pivotal trials, the FDA, EMA and other regulatory authorities would need to agree that the overall data package meet the applicable requirements with an acceptable safety profile and a clinically relevant efficacy outcome with statistical significance, and that the data support an overall favorable benefit-to-risk determination.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Planned Phase 3 Clinical Trial for Patients With Intermediate AMD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Post-hoc Analyses of GATHER1 Data in Drusen, iRORA and cRORA</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conducted additional post-hoc analyses on the GATHER1 data, in which we evaluated the progression of iRORA to cRORA, and the progression of drusen to iRORA or cRORA, in patients treated with Zimura 2 mg as compared to patients in the corresponding sham group. Drusen, iRORA and cRORA represent progressive stages of AMD.</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post-hoc analysis data show a 19.6% absolute reduction in the rate of progression from drusen to iRORA or cRORA, for the Zimura 2 mg group as compared to sham at 18 months, representing a relative reduction of 72%. The data also show a 21.8% absolute reduction in the rate of progression from iRORA to cRORA for the Zimura 2 mg group as compared to sham at 18 months, representing a relative reduction of 52%. The following graphs illustrate these results:</w:t>
      </w:r>
    </w:p>
    <w:p>
      <w:pPr>
        <w:spacing w:after="0" w:line="115" w:lineRule="exact"/>
        <w:rPr>
          <w:sz w:val="20"/>
          <w:szCs w:val="20"/>
          <w:color w:val="auto"/>
        </w:rPr>
      </w:pPr>
    </w:p>
    <w:p>
      <w:pPr>
        <w:ind w:left="1800"/>
        <w:spacing w:after="0"/>
        <w:rPr>
          <w:sz w:val="20"/>
          <w:szCs w:val="20"/>
          <w:color w:val="auto"/>
        </w:rPr>
      </w:pPr>
      <w:r>
        <w:rPr>
          <w:rFonts w:ascii="Arial" w:cs="Arial" w:eastAsia="Arial" w:hAnsi="Arial"/>
          <w:sz w:val="18"/>
          <w:szCs w:val="18"/>
          <w:b w:val="1"/>
          <w:bCs w:val="1"/>
          <w:u w:val="single" w:color="auto"/>
          <w:color w:val="auto"/>
        </w:rPr>
        <w:t>Proportion of patients that progress from drusen to iRORA or cRORA (Zimura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111760</wp:posOffset>
            </wp:positionV>
            <wp:extent cx="4286250" cy="2057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60"/>
        <w:spacing w:after="0"/>
        <w:rPr>
          <w:sz w:val="20"/>
          <w:szCs w:val="20"/>
          <w:color w:val="auto"/>
        </w:rPr>
      </w:pPr>
      <w:r>
        <w:rPr>
          <w:rFonts w:ascii="Arial" w:cs="Arial" w:eastAsia="Arial" w:hAnsi="Arial"/>
          <w:sz w:val="18"/>
          <w:szCs w:val="18"/>
          <w:b w:val="1"/>
          <w:bCs w:val="1"/>
          <w:u w:val="single" w:color="auto"/>
          <w:color w:val="auto"/>
        </w:rPr>
        <w:t>Proportion of patients that progress from iRORA to cRORA (Zimura 2 mg compared to sham).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400685</wp:posOffset>
            </wp:positionV>
            <wp:extent cx="4286250" cy="1988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Planned Phase 3 Clinical Trial in Intermediate AMD</w:t>
      </w:r>
    </w:p>
    <w:p>
      <w:pPr>
        <w:spacing w:after="0" w:line="158"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We were encouraged by the results of the post-hoc analyses, and plan to initiate a Phase 3 clinical trial studying Zimura in patients with intermediate AMD. We expect this trial to be an international, randomized, double-masked, sham-controlled, multi-center trial with approximately 200 patients per treatment group. We expect to treat and follow patients for 24 months. We are currently evaluating other aspects of the design of this trial, including patient inclusion criteria and primary efficacy endpoints. We plan to obtain feedback from regulatory authorities on our plans for this trial and our development strategy in this indication, before initiating this trial during the second half of 2022.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STGD1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 Ongoing Phase 2b Clinical Trial of Zimura for STGD1</w:t>
      </w:r>
    </w:p>
    <w:p>
      <w:pPr>
        <w:spacing w:after="0" w:line="252" w:lineRule="exact"/>
        <w:rPr>
          <w:sz w:val="20"/>
          <w:szCs w:val="20"/>
          <w:color w:val="auto"/>
        </w:rPr>
      </w:pPr>
    </w:p>
    <w:p>
      <w:pPr>
        <w:ind w:right="20" w:firstLine="177"/>
        <w:spacing w:after="0" w:line="259" w:lineRule="auto"/>
        <w:rPr>
          <w:sz w:val="20"/>
          <w:szCs w:val="20"/>
          <w:color w:val="auto"/>
        </w:rPr>
      </w:pPr>
      <w:r>
        <w:rPr>
          <w:rFonts w:ascii="Arial" w:cs="Arial" w:eastAsia="Arial" w:hAnsi="Arial"/>
          <w:sz w:val="18"/>
          <w:szCs w:val="18"/>
          <w:color w:val="auto"/>
        </w:rPr>
        <w:t>We initially completed patient enrollment for this clinical trial in February 2019 with a total of 95 patients enrolled, none of whom have any remaining study visits. In July 2020, we reopened enrollment in this trial in the United States. We continue to enroll patients and plan to enroll approximately 25 additional patients, with the goal of enrolling a total of approximately 120 patients. We continue to monitor the COVID-19 pandemic closely and may need to slow down or stop patient enrollment in certain geographies depending on the local situation.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initially enrolled patients were, and any newly enrolled patients are, randomized in a 1:1 ratio as follows:</w:t>
      </w:r>
    </w:p>
    <w:p>
      <w:pPr>
        <w:spacing w:after="0" w:line="252" w:lineRule="exact"/>
        <w:rPr>
          <w:sz w:val="20"/>
          <w:szCs w:val="20"/>
          <w:color w:val="auto"/>
        </w:rPr>
      </w:pPr>
    </w:p>
    <w:p>
      <w:pPr>
        <w:ind w:left="660" w:right="96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Zimura 2 mg, followed by Zimura 2mg 14 days later, monthly for three months during an induction phase; followed by Zimura 4 mg, administered as two injections of Zimura 2 mg on the same day, monthly for 15 additional months during a maintenance phase; and</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sham injection, followed by a sham injection 14 days later, monthly for three months; followed by two sham injections on the same day, monthly for 15 months.</w:t>
      </w:r>
    </w:p>
    <w:p>
      <w:pPr>
        <w:spacing w:after="0" w:line="197" w:lineRule="exact"/>
        <w:rPr>
          <w:sz w:val="20"/>
          <w:szCs w:val="20"/>
          <w:color w:val="auto"/>
        </w:rPr>
      </w:pPr>
    </w:p>
    <w:p>
      <w:pPr>
        <w:ind w:right="20" w:firstLine="177"/>
        <w:spacing w:after="0" w:line="296" w:lineRule="auto"/>
        <w:rPr>
          <w:sz w:val="20"/>
          <w:szCs w:val="20"/>
          <w:color w:val="auto"/>
        </w:rPr>
      </w:pPr>
      <w:r>
        <w:rPr>
          <w:rFonts w:ascii="Arial" w:cs="Arial" w:eastAsia="Arial" w:hAnsi="Arial"/>
          <w:sz w:val="16"/>
          <w:szCs w:val="16"/>
          <w:color w:val="auto"/>
        </w:rPr>
        <w:t>We plan to evaluate the primary efficacy endpoint in this trial at 18 months. The primary efficacy endpoint is an anatomic endpoint, the mean rate of change in the area of ellipsoid zone defect, as measured by en-face OCT. OCT allows the demonstration of various layers of the retinal tissue, including the ellipsoid zone, which is a part of the photoreceptor cells. Scientific literature correlates defects in the ellipsoid zone with the loss of visual acuity and visual dysfunction. The ellipsoid zone is rendered in OCT images as a defined layer of photoreceptor cell segments. Areas of defects in the ellipsoid zone can be detected and measured by en-face OCT, which shows an OCT image from the perspective of looking at the retina head-on.</w:t>
      </w:r>
    </w:p>
    <w:p>
      <w:pPr>
        <w:spacing w:after="0" w:line="188" w:lineRule="exact"/>
        <w:rPr>
          <w:sz w:val="20"/>
          <w:szCs w:val="20"/>
          <w:color w:val="auto"/>
        </w:rPr>
      </w:pPr>
    </w:p>
    <w:p>
      <w:pPr>
        <w:ind w:firstLine="177"/>
        <w:spacing w:after="0" w:line="293" w:lineRule="auto"/>
        <w:rPr>
          <w:sz w:val="20"/>
          <w:szCs w:val="20"/>
          <w:color w:val="auto"/>
        </w:rPr>
      </w:pPr>
      <w:r>
        <w:rPr>
          <w:rFonts w:ascii="Arial" w:cs="Arial" w:eastAsia="Arial" w:hAnsi="Arial"/>
          <w:sz w:val="16"/>
          <w:szCs w:val="16"/>
          <w:color w:val="auto"/>
        </w:rPr>
        <w:t>We have not previously studied Zimura in STGD1 patients and thus do not have any clinical data regarding the effect of Zimura in STGD1. We previously engaged the Foundation Fighting Blindness to provide us with data from the Foundation's publicly available ProgStar study, the largest natural history study on Stargardt disease to date. We have used this natural history data, as well as the perspectives of the key opinion leaders involved in the ProgStar study, as resources to assist in the design of the STAR trial.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Zimura in this indication.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180"/>
        <w:spacing w:after="0" w:line="259" w:lineRule="auto"/>
        <w:rPr>
          <w:sz w:val="20"/>
          <w:szCs w:val="20"/>
          <w:color w:val="auto"/>
        </w:rPr>
      </w:pPr>
      <w:r>
        <w:rPr>
          <w:rFonts w:ascii="Arial" w:cs="Arial" w:eastAsia="Arial" w:hAnsi="Arial"/>
          <w:sz w:val="18"/>
          <w:szCs w:val="18"/>
          <w:color w:val="auto"/>
        </w:rPr>
        <w:t>Similar to GATHER1, STAR is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However, we have not yet engaged with the FDA or the EMA about this belief and expectation.</w:t>
      </w:r>
    </w:p>
    <w:p>
      <w:pPr>
        <w:spacing w:after="0" w:line="21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Even though we have reopened patient enrollment,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 We expect data from this trial will be available after the top-line data from the GATHER2 trial.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Wet AMD Trials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OPH2000: Completed Phase 1/2a Clinical Trial of Zimura for Wet AMD</w:t>
      </w:r>
    </w:p>
    <w:p>
      <w:pPr>
        <w:spacing w:after="0" w:line="252" w:lineRule="exact"/>
        <w:rPr>
          <w:sz w:val="20"/>
          <w:szCs w:val="20"/>
          <w:color w:val="auto"/>
        </w:rPr>
      </w:pPr>
    </w:p>
    <w:p>
      <w:pPr>
        <w:jc w:val="both"/>
        <w:ind w:right="60" w:firstLine="180"/>
        <w:spacing w:after="0" w:line="286" w:lineRule="auto"/>
        <w:rPr>
          <w:sz w:val="20"/>
          <w:szCs w:val="20"/>
          <w:color w:val="auto"/>
        </w:rPr>
      </w:pPr>
      <w:r>
        <w:rPr>
          <w:rFonts w:ascii="Arial" w:cs="Arial" w:eastAsia="Arial" w:hAnsi="Arial"/>
          <w:sz w:val="17"/>
          <w:szCs w:val="17"/>
          <w:color w:val="auto"/>
        </w:rPr>
        <w:t>In 2009, we completed a multicenter, uncontrolled, ascending dose and parallel group, open-label, first in human Phase 1/2a clinical trial to evaluate the safety and tolerability of multiple intravitreal injections of Zimura given in combination with multiple doses of Lucentis 0.5 mg in patients with wet AMD. We enrolled 60 patients in this trial, of which 58 were treatment-naïve patients, and two were treatment-experienced patients.</w:t>
      </w:r>
    </w:p>
    <w:p>
      <w:pPr>
        <w:spacing w:after="0" w:line="192" w:lineRule="exact"/>
        <w:rPr>
          <w:sz w:val="20"/>
          <w:szCs w:val="20"/>
          <w:color w:val="auto"/>
        </w:rPr>
      </w:pPr>
    </w:p>
    <w:p>
      <w:pPr>
        <w:ind w:right="80" w:firstLine="180"/>
        <w:spacing w:after="0" w:line="254" w:lineRule="auto"/>
        <w:rPr>
          <w:sz w:val="20"/>
          <w:szCs w:val="20"/>
          <w:color w:val="auto"/>
        </w:rPr>
      </w:pPr>
      <w:r>
        <w:rPr>
          <w:rFonts w:ascii="Arial" w:cs="Arial" w:eastAsia="Arial" w:hAnsi="Arial"/>
          <w:sz w:val="18"/>
          <w:szCs w:val="18"/>
          <w:color w:val="auto"/>
        </w:rPr>
        <w:t>Patients were treated at one of five Zimura dose levels: 0.03 mg, 0.3 mg, 1 mg, 2 mg and 3 mg. 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Zimura 2 mg. Despite this event, this patient's visual acuity improved during the study. Adverse events were primarily ocular adverse events in the study eye which were related to the injection procedure. One patient from the 0.3 mg Zimura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219"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Zimura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OPH2004: Discontinued Phase 2a Trial of Zimura for Treatment-Experienced Wet AMD Patients</w:t>
      </w:r>
    </w:p>
    <w:p>
      <w:pPr>
        <w:spacing w:after="0" w:line="252"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During the fourth quarter of 2015, we initiated an open-label Phase 2a clinical trial to evaluate Zimura’s potential role when administered in combination with anti-VEGF therapy for the treatment of wet AMD in anti-VEGF treatment-experienced patients who did not respond adequately to anti-VEGF monotherapy. In 2017, following our reassessment of our Zimura development programs, we stopped enrolling patients in this trial as we determined that we would initiate a new Zimura wet AMD trial, the OPH2007 trial described below, for treatment-naïve patients. One patient continued to receive treatment in this trial until the first half of 2018. This patient did not experience any drug-related adverse events and there were no unexpected safety issues.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OPH2007: Completed Phase 2a Clinical Trial of Zimura for Treatment-Naïve Wet AMD Patients</w:t>
      </w:r>
    </w:p>
    <w:p>
      <w:pPr>
        <w:spacing w:after="0" w:line="252"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In 2018, we completed a randomized, dose-ranging, open-label, multi-center Phase 2a clinical trial of Zimura in combination with Lucentis 0.5 mg to evaluate the safety of different dosing regimens of Zimura in combination with an anti-VEGF agent in treating wet AMD. We enrolled and treated a total of 64 treatment-naïve patients for this trial. We assigned patients in this trial to one of four groups: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4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Groups 1 and 2, consisting of ten patients in each group, patients received monthly combination therapy consisting of Lucentis 0.5 mg followed by, in Group 1, Zimura 4 mg two days later and in Group 2, Zimura 2 mg on the same day as the Lucentis treatment;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Groups 3 and 4, consisting of 22 patients in each group, patients received dosages in two phases, consisting of:</w:t>
      </w:r>
    </w:p>
    <w:p>
      <w:pPr>
        <w:spacing w:after="0" w:line="252"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37"/>
        </w:numPr>
        <w:rPr>
          <w:rFonts w:ascii="Arial" w:cs="Arial" w:eastAsia="Arial" w:hAnsi="Arial"/>
          <w:sz w:val="18"/>
          <w:szCs w:val="18"/>
          <w:color w:val="auto"/>
        </w:rPr>
      </w:pPr>
      <w:r>
        <w:rPr>
          <w:rFonts w:ascii="Arial" w:cs="Arial" w:eastAsia="Arial" w:hAnsi="Arial"/>
          <w:sz w:val="18"/>
          <w:szCs w:val="18"/>
          <w:color w:val="auto"/>
        </w:rPr>
        <w:t>first, an induction phase from day one to the second month, during which the patients received Lucentis 0.5 mg followed by Zimura 2 mg on the same day, followed by Zimura 2 mg fourteen days later; and</w:t>
      </w:r>
    </w:p>
    <w:p>
      <w:pPr>
        <w:spacing w:after="0" w:line="197" w:lineRule="exact"/>
        <w:rPr>
          <w:rFonts w:ascii="Arial" w:cs="Arial" w:eastAsia="Arial" w:hAnsi="Arial"/>
          <w:sz w:val="18"/>
          <w:szCs w:val="18"/>
          <w:color w:val="auto"/>
        </w:rPr>
      </w:pPr>
    </w:p>
    <w:p>
      <w:pPr>
        <w:ind w:left="1300" w:right="80" w:hanging="320"/>
        <w:spacing w:after="0" w:line="342"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second, a maintenance phase from the third month to the fifth month, during which the patients received, in Group 3, Lucentis 0.5 mg followed by Zimura 2 mg on the same day and in Group 4, Zimura 2 mg followed two days later with Lucentis 0.5 mg and Zimura 2 mg.</w:t>
      </w:r>
    </w:p>
    <w:p>
      <w:pPr>
        <w:spacing w:after="0" w:line="151" w:lineRule="exact"/>
        <w:rPr>
          <w:sz w:val="20"/>
          <w:szCs w:val="20"/>
          <w:color w:val="auto"/>
        </w:rPr>
      </w:pPr>
    </w:p>
    <w:p>
      <w:pPr>
        <w:ind w:right="160" w:firstLine="180"/>
        <w:spacing w:after="0" w:line="342" w:lineRule="auto"/>
        <w:rPr>
          <w:sz w:val="20"/>
          <w:szCs w:val="20"/>
          <w:color w:val="auto"/>
        </w:rPr>
      </w:pPr>
      <w:r>
        <w:rPr>
          <w:rFonts w:ascii="Arial" w:cs="Arial" w:eastAsia="Arial" w:hAnsi="Arial"/>
          <w:sz w:val="16"/>
          <w:szCs w:val="16"/>
          <w:color w:val="auto"/>
        </w:rPr>
        <w:t>From a safety perspective, Zimura combination therapy with Lucentis was generally well tolerated after six months of treatment. The most frequently reported ocular adverse events were related to the injection procedure. We did not observe any adverse events attributable to Zimura combination therapy.</w:t>
      </w:r>
    </w:p>
    <w:p>
      <w:pPr>
        <w:spacing w:after="0" w:line="151"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Our Phase 2a clinical trial was an uncontrolled trial with a small sample size designed to assess safety at different dosages and to detect a potential efficacy signal. This trial was not designed to detect a statistically significant difference between Zimura dose groups or to evaluate the efficacy of Zimura combination therapy with statistical significance.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evaluated the mean change in BCVA at the six-month timepoint as compared to baseline. The data are summarized as follows:</w:t>
      </w:r>
    </w:p>
    <w:p>
      <w:pPr>
        <w:spacing w:after="0" w:line="252" w:lineRule="exact"/>
        <w:rPr>
          <w:sz w:val="20"/>
          <w:szCs w:val="20"/>
          <w:color w:val="auto"/>
        </w:rPr>
      </w:pPr>
    </w:p>
    <w:p>
      <w:pPr>
        <w:ind w:left="660" w:right="2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Group 2, the mean change in visual acuity was 10.2 ETDRS letters with a median of 16.0 letters, and 60% of patients gained greater than or equal to 15 ETDRS letters;</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Group 3, the mean change in visual acuity was 10.7 ETDRS letters with a median of 10.0 letters, and 40.9% of patients gained greater than or equal to 15 ETDRS letters;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Group 4, the mean change in visual acuity was 9.9 ETDRS letters with a median of 11.0 letters, and 18.2% of patients gained greater than or equal to 15 ETDRS letters.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IPCV Trials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OPH2002: Completed Phase 2a Clinical Trial of Zimura for IPCV</w:t>
      </w:r>
    </w:p>
    <w:p>
      <w:pPr>
        <w:spacing w:after="0" w:line="225"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In late 2014, we initiated a very small, uncontrolled, open-label, Phase 2a clinical trial to evaluate Zimura’s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OPH2006: Discontinued Phase 2a Trial of Zimura for IPCV</w:t>
      </w:r>
    </w:p>
    <w:p>
      <w:pPr>
        <w:spacing w:after="0" w:line="252" w:lineRule="exact"/>
        <w:rPr>
          <w:sz w:val="20"/>
          <w:szCs w:val="20"/>
          <w:color w:val="auto"/>
        </w:rPr>
      </w:pPr>
    </w:p>
    <w:p>
      <w:pPr>
        <w:jc w:val="both"/>
        <w:ind w:right="220" w:firstLine="180"/>
        <w:spacing w:after="0" w:line="277" w:lineRule="auto"/>
        <w:rPr>
          <w:sz w:val="20"/>
          <w:szCs w:val="20"/>
          <w:color w:val="auto"/>
        </w:rPr>
      </w:pPr>
      <w:r>
        <w:rPr>
          <w:rFonts w:ascii="Arial" w:cs="Arial" w:eastAsia="Arial" w:hAnsi="Arial"/>
          <w:sz w:val="18"/>
          <w:szCs w:val="18"/>
          <w:color w:val="auto"/>
        </w:rPr>
        <w:t>In late 2017, we initiated a randomized, dose-ranging, open-label Phase 2a clinical trial of Zimura in combination with Eylea in treatment-experienced patients with IPCV. We did not enroll any patients in this clinical trial and decided to discontinue this clinical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IC-500: HtrA1 Inhibitor Product Candidate</w:t>
      </w:r>
    </w:p>
    <w:p>
      <w:pPr>
        <w:spacing w:after="0" w:line="256" w:lineRule="exact"/>
        <w:rPr>
          <w:sz w:val="20"/>
          <w:szCs w:val="20"/>
          <w:color w:val="auto"/>
        </w:rPr>
      </w:pPr>
    </w:p>
    <w:p>
      <w:pPr>
        <w:jc w:val="both"/>
        <w:ind w:right="200" w:firstLine="180"/>
        <w:spacing w:after="0" w:line="263" w:lineRule="auto"/>
        <w:rPr>
          <w:sz w:val="20"/>
          <w:szCs w:val="20"/>
          <w:color w:val="auto"/>
        </w:rPr>
      </w:pPr>
      <w:r>
        <w:rPr>
          <w:rFonts w:ascii="Arial" w:cs="Arial" w:eastAsia="Arial" w:hAnsi="Arial"/>
          <w:sz w:val="18"/>
          <w:szCs w:val="18"/>
          <w:color w:val="auto"/>
        </w:rPr>
        <w:t>In October 2018, we acquired from funds controlled by Versant Ventures a number of HtrA1 inhibitors. In previous experiments conducted before the acquisition, these HtrA1 inhibitors showed high affinity and specificity for HtrA1 when tested in vitro. In 2020, we selected the lead compound from this group of HtrA1 inhibitors, which we call IC-500, for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preclinical development. We are currently developing IC-500 for the treatment of GA and evaluating HtrA1 inhibition as a potential treatment for other stages of AMD and potentially other age-related retinal diseases.</w:t>
      </w:r>
    </w:p>
    <w:p>
      <w:pPr>
        <w:spacing w:after="0" w:line="197" w:lineRule="exact"/>
        <w:rPr>
          <w:sz w:val="20"/>
          <w:szCs w:val="20"/>
          <w:color w:val="auto"/>
        </w:rPr>
      </w:pPr>
    </w:p>
    <w:p>
      <w:pPr>
        <w:ind w:firstLine="177"/>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7"/>
          <w:szCs w:val="17"/>
          <w:i w:val="1"/>
          <w:iCs w:val="1"/>
          <w:color w:val="auto"/>
        </w:rPr>
        <w:t>Molecular Vision</w:t>
      </w:r>
      <w:r>
        <w:rPr>
          <w:rFonts w:ascii="Arial" w:cs="Arial" w:eastAsia="Arial" w:hAnsi="Arial"/>
          <w:sz w:val="17"/>
          <w:szCs w:val="17"/>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7"/>
          <w:szCs w:val="17"/>
          <w:i w:val="1"/>
          <w:iCs w:val="1"/>
          <w:color w:val="auto"/>
        </w:rPr>
        <w:t xml:space="preserve">EBioMedicine </w:t>
      </w:r>
      <w:r>
        <w:rPr>
          <w:rFonts w:ascii="Arial" w:cs="Arial" w:eastAsia="Arial" w:hAnsi="Arial"/>
          <w:sz w:val="17"/>
          <w:szCs w:val="17"/>
          <w:color w:val="auto"/>
        </w:rPr>
        <w:t>in 2018 found overexpression of HtrA1 in RPE cells as compared to the eyes of non-AMD subjects. Additionally, the overexpression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HtrA1 was found,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 published in the same article, to lead to 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GA as well as other stages of AMD and potentially other age-related retinal diseases.</w:t>
      </w:r>
    </w:p>
    <w:p>
      <w:pPr>
        <w:spacing w:after="0" w:line="178" w:lineRule="exact"/>
        <w:rPr>
          <w:sz w:val="20"/>
          <w:szCs w:val="20"/>
          <w:color w:val="auto"/>
        </w:rPr>
      </w:pPr>
    </w:p>
    <w:p>
      <w:pPr>
        <w:ind w:right="180" w:firstLine="177"/>
        <w:spacing w:after="0" w:line="275" w:lineRule="auto"/>
        <w:rPr>
          <w:sz w:val="20"/>
          <w:szCs w:val="20"/>
          <w:color w:val="auto"/>
        </w:rPr>
      </w:pPr>
      <w:r>
        <w:rPr>
          <w:rFonts w:ascii="Arial" w:cs="Arial" w:eastAsia="Arial" w:hAnsi="Arial"/>
          <w:sz w:val="17"/>
          <w:szCs w:val="17"/>
          <w:color w:val="auto"/>
        </w:rPr>
        <w:t>We are continuing the preclinical development of IC-500. In early 2021, we reviewed our IC-500 development program and explored the potential of a less frequent dosing regimen than monthly dosing. In 2021, we initiated a number of preclinical tolerability and pharmacokinetic studies for IC-500, and we are planning for IND-enabling GLP toxicology studies. We anticipate that the start of the IND-enabling toxicology studies will be later than what we originally planned, primarily due to the limited availability of study slots at CROs attributable to rising demand for their services as well as increased absenteeism of staff at those CROs in wake of the COVID-19 pandemic and the recent Omicron variant.</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have developed a formulation that we believe will be safe and effective for intravitreal administration into the eye, and are conducting current Good Manufacturing Practices, or cGMP, manufacturing activities for IC-500. Based on current timelines and subject to successful preclinical development and cGMP manufacturing, we expect to submit an IND to the FDA for IC-500 in mid-2023.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Research and Development Programs</w:t>
      </w:r>
    </w:p>
    <w:p>
      <w:pPr>
        <w:spacing w:after="0" w:line="229" w:lineRule="exact"/>
        <w:rPr>
          <w:sz w:val="20"/>
          <w:szCs w:val="20"/>
          <w:color w:val="auto"/>
        </w:rPr>
      </w:pPr>
    </w:p>
    <w:p>
      <w:pPr>
        <w:ind w:right="180" w:firstLine="180"/>
        <w:spacing w:after="0" w:line="273" w:lineRule="auto"/>
        <w:rPr>
          <w:sz w:val="20"/>
          <w:szCs w:val="20"/>
          <w:color w:val="auto"/>
        </w:rPr>
      </w:pPr>
      <w:r>
        <w:rPr>
          <w:rFonts w:ascii="Arial" w:cs="Arial" w:eastAsia="Arial" w:hAnsi="Arial"/>
          <w:sz w:val="17"/>
          <w:szCs w:val="17"/>
          <w:color w:val="auto"/>
        </w:rPr>
        <w:t>Since 2017, as we evaluated our strategic priorities and the market for orphan and age-related retinal diseases with unmet medical needs, as well as the available technologies in development to potentially address these needs, we have been encouraged by the prospects for gene therapy as a potential treatment option for retinal diseases. We in-licensed two gene therapy product candidates (IC-100 and IC-200) and established collaborative gene therapy sponsored research programs with three leading academic research institutions in the United States. These sponsored research programs were focused on generating data to support the preclinical development of our gene therapy product candidates and discovering and developing other novel gene therapy technologies to treat a number of orphan IRDs.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Since 2021, as we evaluated the results from our preclinical toxicology and efficacy studies for IC-100 and IC-200 and assessed the additional resources that would be needed to advance those programs in light of our focus on Zimura and other strategic goals, we have been considering our development options for both product candidates. We are currently planning to seek a collaborator for the future development and potential commercialization of IC-100 and IC-200. We continue to believe in gene therapy as a promising mechanism of action for the treatment of many retinal diseases. We continue to advance our minigene research programs, which we have transitioned to us from the University of Massachusetts Medical School, or UMMS.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of Gene Therapies for Retinal Diseases</w:t>
      </w:r>
    </w:p>
    <w:p>
      <w:pPr>
        <w:spacing w:after="0" w:line="225" w:lineRule="exact"/>
        <w:rPr>
          <w:sz w:val="20"/>
          <w:szCs w:val="20"/>
          <w:color w:val="auto"/>
        </w:rPr>
      </w:pPr>
    </w:p>
    <w:p>
      <w:pPr>
        <w:ind w:right="180" w:firstLine="180"/>
        <w:spacing w:after="0" w:line="289" w:lineRule="auto"/>
        <w:rPr>
          <w:sz w:val="20"/>
          <w:szCs w:val="20"/>
          <w:color w:val="auto"/>
        </w:rPr>
      </w:pPr>
      <w:r>
        <w:rPr>
          <w:rFonts w:ascii="Arial" w:cs="Arial" w:eastAsia="Arial" w:hAnsi="Arial"/>
          <w:sz w:val="16"/>
          <w:szCs w:val="16"/>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For genetic diseases where the mutant protein has toxic effect, we have been encouraged by the potential for a “knockdown” and “replace” approach in which gene therapy not only can introduce a wildtype version of the gene into the host body but also can suppress the expression of the mutant gene.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Products and AAV Vectors</w:t>
      </w:r>
    </w:p>
    <w:p>
      <w:pPr>
        <w:spacing w:after="0" w:line="225" w:lineRule="exact"/>
        <w:rPr>
          <w:sz w:val="20"/>
          <w:szCs w:val="20"/>
          <w:color w:val="auto"/>
        </w:rPr>
      </w:pPr>
    </w:p>
    <w:p>
      <w:pPr>
        <w:ind w:right="80" w:firstLine="170"/>
        <w:spacing w:after="0" w:line="275" w:lineRule="auto"/>
        <w:rPr>
          <w:sz w:val="20"/>
          <w:szCs w:val="20"/>
          <w:color w:val="auto"/>
        </w:rPr>
      </w:pPr>
      <w:r>
        <w:rPr>
          <w:rFonts w:ascii="Arial" w:cs="Arial" w:eastAsia="Arial" w:hAnsi="Arial"/>
          <w:sz w:val="17"/>
          <w:szCs w:val="17"/>
          <w:color w:val="auto"/>
        </w:rPr>
        <w:t>A gene therapy product typically includes the gene of interest, or transgene, together with a promoter sequence. The composition of the transgene may differ from that of the wildtype form of the gene—for example, the gene may be modified to increase the expression of the target protein. Promoters are DNA sequences that are linked to a gene and control the transcription of a gene into RNA in the host body's cells. There are cell-specific promoters, which tend to drive gene expression in particular cell or tissue types - for example, the RPE and photoreceptors. The choice of the specific promoter that is to be linked to a given transgene is an important consideration in constructing a gene therapy product.</w:t>
      </w:r>
    </w:p>
    <w:p>
      <w:pPr>
        <w:spacing w:after="0" w:line="176" w:lineRule="exact"/>
        <w:rPr>
          <w:sz w:val="20"/>
          <w:szCs w:val="20"/>
          <w:color w:val="auto"/>
        </w:rPr>
      </w:pPr>
    </w:p>
    <w:p>
      <w:pPr>
        <w:ind w:right="200" w:firstLine="177"/>
        <w:spacing w:after="0" w:line="257" w:lineRule="auto"/>
        <w:rPr>
          <w:sz w:val="20"/>
          <w:szCs w:val="20"/>
          <w:color w:val="auto"/>
        </w:rPr>
      </w:pPr>
      <w:r>
        <w:rPr>
          <w:rFonts w:ascii="Arial" w:cs="Arial" w:eastAsia="Arial" w:hAnsi="Arial"/>
          <w:sz w:val="18"/>
          <w:szCs w:val="18"/>
          <w:color w:val="auto"/>
        </w:rPr>
        <w:t>The promoter-transgene combination is packaged together into a delivery vehicle to facilitate localization within the relevant tissue within the body. Gene therapies are typically delivered via viral vectors and among those, AAV has become the most common choice for gene therapy applications inside the eye. AAV is a small, non-pathogenic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88" w:lineRule="exact"/>
        <w:rPr>
          <w:sz w:val="20"/>
          <w:szCs w:val="20"/>
          <w:color w:val="auto"/>
        </w:rPr>
      </w:pPr>
    </w:p>
    <w:p>
      <w:pPr>
        <w:ind w:right="120" w:firstLine="177"/>
        <w:spacing w:after="0" w:line="255" w:lineRule="auto"/>
        <w:rPr>
          <w:sz w:val="20"/>
          <w:szCs w:val="20"/>
          <w:color w:val="auto"/>
        </w:rPr>
      </w:pPr>
      <w:r>
        <w:rPr>
          <w:rFonts w:ascii="Arial" w:cs="Arial" w:eastAsia="Arial" w:hAnsi="Arial"/>
          <w:sz w:val="18"/>
          <w:szCs w:val="18"/>
          <w:color w:val="auto"/>
        </w:rPr>
        <w:t>We are focused on AAV gene therapies,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options for genetic diseases. Unlike lentiviral vectors or gene editing approaches, with AAV gene therapy, the delivered genetic cargo does not incorporate into or alter the host cell's existing DNA and chromosomes, but rather remains separate in the host cell, where it can be transcribed by the host cell's existing machinery.</w:t>
      </w:r>
    </w:p>
    <w:p>
      <w:pPr>
        <w:spacing w:after="0" w:line="192" w:lineRule="exact"/>
        <w:rPr>
          <w:sz w:val="20"/>
          <w:szCs w:val="20"/>
          <w:color w:val="auto"/>
        </w:rPr>
      </w:pPr>
    </w:p>
    <w:p>
      <w:pPr>
        <w:ind w:right="60" w:firstLine="177"/>
        <w:spacing w:after="0" w:line="293" w:lineRule="auto"/>
        <w:rPr>
          <w:sz w:val="20"/>
          <w:szCs w:val="20"/>
          <w:color w:val="auto"/>
        </w:rPr>
      </w:pPr>
      <w:r>
        <w:rPr>
          <w:rFonts w:ascii="Arial" w:cs="Arial" w:eastAsia="Arial" w:hAnsi="Arial"/>
          <w:sz w:val="16"/>
          <w:szCs w:val="16"/>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shell of the AAV. Recombinant AAV vectors can be created by combining the Rep sequence for one AAV serotype with the Cap sequence for another AAV serotype. For example, a recombinant AAV 2/5 vector is produced using the AAV2 Rep sequence and the AAV5 Cap sequence to package the transgene inside an AAV5 capsid. Because different capsid proteins have different transduction capabilities within different types of cells, the selection of the capsid serotype is an important consideration in constructing an AAV gene therapy product.</w:t>
      </w:r>
    </w:p>
    <w:p>
      <w:pPr>
        <w:spacing w:after="0" w:line="164"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 xml:space="preserve">One of the primary limitations with AAV gene therapy is AAV's packaging capacity: an AAV vector can hold only up to approximately 4,700 base pairs of DNA, whereas the genes associated with a number of monogenic IRDs, such as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associated with LCA10 and 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associated with STGD1, exceed that size. A possible solution to the 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IC-100: RHO-adRP Product Candidate</w:t>
      </w:r>
    </w:p>
    <w:p>
      <w:pPr>
        <w:spacing w:after="0" w:line="225" w:lineRule="exact"/>
        <w:rPr>
          <w:sz w:val="20"/>
          <w:szCs w:val="20"/>
          <w:color w:val="auto"/>
        </w:rPr>
      </w:pPr>
    </w:p>
    <w:p>
      <w:pPr>
        <w:ind w:right="60" w:firstLine="180"/>
        <w:spacing w:after="0" w:line="279" w:lineRule="auto"/>
        <w:rPr>
          <w:sz w:val="20"/>
          <w:szCs w:val="20"/>
          <w:color w:val="auto"/>
        </w:rPr>
      </w:pPr>
      <w:r>
        <w:rPr>
          <w:rFonts w:ascii="Arial" w:cs="Arial" w:eastAsia="Arial" w:hAnsi="Arial"/>
          <w:sz w:val="17"/>
          <w:szCs w:val="17"/>
          <w:color w:val="auto"/>
        </w:rPr>
        <w:t xml:space="preserve">In June 2018, we entered into an exclusive global license agreement with the University of Florida Research Foundation, or UFRF, and the University of Pennsylvania, or Penn, for rights to develop and commercialize IC-100, our novel AAV gene therapy product candidate for the treatment of RHO-adRP. There are over 150 known mutations in the </w:t>
      </w:r>
      <w:r>
        <w:rPr>
          <w:rFonts w:ascii="Arial" w:cs="Arial" w:eastAsia="Arial" w:hAnsi="Arial"/>
          <w:sz w:val="17"/>
          <w:szCs w:val="17"/>
          <w:i w:val="1"/>
          <w:iCs w:val="1"/>
          <w:color w:val="auto"/>
        </w:rPr>
        <w:t>RHO</w:t>
      </w:r>
      <w:r>
        <w:rPr>
          <w:rFonts w:ascii="Arial" w:cs="Arial" w:eastAsia="Arial" w:hAnsi="Arial"/>
          <w:sz w:val="17"/>
          <w:szCs w:val="17"/>
          <w:color w:val="auto"/>
        </w:rPr>
        <w:t xml:space="preserve"> gene that can result in RHO-adRP. In individuals with RHO-adRP, the rhodopsin that is produced by the mutant gene is toxic. The construct for our RHO-adRP product candidate combines in a single AAV2/5 vector: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transgene for a highly-efficient, novel short hairpin RNA, or shRNA, designed to target and "knockdown" expression of the subject's innate rhodopsin, regardless of the specific mutation a subject has, with</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transgene for a healthy rhodopsin protein that is resistant to the shRNA.</w:t>
      </w:r>
    </w:p>
    <w:p>
      <w:pPr>
        <w:spacing w:after="0" w:line="158" w:lineRule="exact"/>
        <w:rPr>
          <w:sz w:val="20"/>
          <w:szCs w:val="20"/>
          <w:color w:val="auto"/>
        </w:rPr>
      </w:pPr>
    </w:p>
    <w:p>
      <w:pPr>
        <w:ind w:right="140" w:firstLine="180"/>
        <w:spacing w:after="0" w:line="273" w:lineRule="auto"/>
        <w:rPr>
          <w:sz w:val="20"/>
          <w:szCs w:val="20"/>
          <w:color w:val="auto"/>
        </w:rPr>
      </w:pPr>
      <w:r>
        <w:rPr>
          <w:rFonts w:ascii="Arial" w:cs="Arial" w:eastAsia="Arial" w:hAnsi="Arial"/>
          <w:sz w:val="17"/>
          <w:szCs w:val="17"/>
          <w:color w:val="auto"/>
        </w:rPr>
        <w:t xml:space="preserve">Our RHO-adRP construct was tested by investigators at Penn in a naturally occurring canine model of RHO-adRP, resulting in long term, i.e., over 8 months, anatomic and functional preservation of the photoreceptors, which was demonstrated with histology and electrophysiology. The investigators had initially tested a dual vector construct in which the shRNA and the healthy </w:t>
      </w:r>
      <w:r>
        <w:rPr>
          <w:rFonts w:ascii="Arial" w:cs="Arial" w:eastAsia="Arial" w:hAnsi="Arial"/>
          <w:sz w:val="17"/>
          <w:szCs w:val="17"/>
          <w:i w:val="1"/>
          <w:iCs w:val="1"/>
          <w:color w:val="auto"/>
        </w:rPr>
        <w:t>RHO</w:t>
      </w:r>
      <w:r>
        <w:rPr>
          <w:rFonts w:ascii="Arial" w:cs="Arial" w:eastAsia="Arial" w:hAnsi="Arial"/>
          <w:sz w:val="17"/>
          <w:szCs w:val="17"/>
          <w:color w:val="auto"/>
        </w:rPr>
        <w:t xml:space="preserve"> transgenes were delivered by different AAV vectors. The investigators found, however, that the dual vector approach caused inflammation and other complications in the retina, leading the investigators to develop this single vector construct. The results from these experiments were published by scientists at Penn and UF in </w:t>
      </w:r>
      <w:r>
        <w:rPr>
          <w:rFonts w:ascii="Arial" w:cs="Arial" w:eastAsia="Arial" w:hAnsi="Arial"/>
          <w:sz w:val="17"/>
          <w:szCs w:val="17"/>
          <w:i w:val="1"/>
          <w:iCs w:val="1"/>
          <w:color w:val="auto"/>
        </w:rPr>
        <w:t>PNAS</w:t>
      </w:r>
      <w:r>
        <w:rPr>
          <w:rFonts w:ascii="Arial" w:cs="Arial" w:eastAsia="Arial" w:hAnsi="Arial"/>
          <w:sz w:val="17"/>
          <w:szCs w:val="17"/>
          <w:color w:val="auto"/>
        </w:rPr>
        <w:t xml:space="preserve"> in August 2018 in a paper titled: "Mutation-independent Rhodopsin Gene Therapy by Knockdown and Replacement with a Single AAV Vector."</w:t>
      </w:r>
    </w:p>
    <w:p>
      <w:pPr>
        <w:spacing w:after="0" w:line="110" w:lineRule="exact"/>
        <w:rPr>
          <w:sz w:val="20"/>
          <w:szCs w:val="20"/>
          <w:color w:val="auto"/>
        </w:rPr>
      </w:pPr>
    </w:p>
    <w:p>
      <w:pPr>
        <w:ind w:right="180" w:firstLine="177"/>
        <w:spacing w:after="0" w:line="263" w:lineRule="auto"/>
        <w:rPr>
          <w:sz w:val="20"/>
          <w:szCs w:val="20"/>
          <w:color w:val="auto"/>
        </w:rPr>
      </w:pPr>
      <w:r>
        <w:rPr>
          <w:rFonts w:ascii="Arial" w:cs="Arial" w:eastAsia="Arial" w:hAnsi="Arial"/>
          <w:sz w:val="18"/>
          <w:szCs w:val="18"/>
          <w:color w:val="auto"/>
        </w:rPr>
        <w:t>We worked with a gene therapy contract development and manufacturing organization, or CDMO, to develop a manufacturing process for IC-100, and this CDMO produced and we released a cGMP batch of IC-100. In addition, we and Penn conducted a number of preclinical studies of IC-100 and a natural history study of RHO-adRP patients.</w:t>
      </w:r>
    </w:p>
    <w:p>
      <w:pPr>
        <w:spacing w:after="0" w:line="1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completed two preclinical toxicology studies of IC-100, one of which was a toxicology and efficacy study in the naturally occurring canine model of RHO-adRP and the other study was a GLP toxicology study in non-human primates. We tested the same three doses of IC-100 in both studies. In the canine study, we believe the results demonstrated there was efficacy across all three dose groups. We observed, through clinical examination, ocular inflammation in the high dose group in the canines and at varying degrees at different dosing levels in the non-human primates. Because of the different findings across the two species, we planned to discuss with the FDA the results from these toxicology studies and the design of our planned first-in-human clinical trial before submitting an IND. The FDA advised, in lieu of this meeting, additional discussion should be conducted during the 30-day IND review period following IND submission.</w:t>
      </w:r>
    </w:p>
    <w:p>
      <w:pPr>
        <w:spacing w:after="0" w:line="12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been considering our development options for this product candidate and currently plan to seek a collaborator for the future development and potential commercialization of IC-100.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44"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 xml:space="preserve">In April 2019, we entered into an exclusive global license agreement with Penn and UFRF for rights to develop and commercialize IC-200, our novel AAV gene therapy product candidate for the treatment of Best disease and other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Investigators at Penn and UFRF tested IC-200 in a naturally occurring autosomal recessive canine model for Best disease, resulting in the reversal of subretinal lesions and micro-detachments associated with the canine disease. The results of this work were published in </w:t>
      </w:r>
      <w:r>
        <w:rPr>
          <w:rFonts w:ascii="Arial" w:cs="Arial" w:eastAsia="Arial" w:hAnsi="Arial"/>
          <w:sz w:val="16"/>
          <w:szCs w:val="16"/>
          <w:i w:val="1"/>
          <w:iCs w:val="1"/>
          <w:color w:val="auto"/>
        </w:rPr>
        <w:t>PNAS</w:t>
      </w:r>
      <w:r>
        <w:rPr>
          <w:rFonts w:ascii="Arial" w:cs="Arial" w:eastAsia="Arial" w:hAnsi="Arial"/>
          <w:sz w:val="16"/>
          <w:szCs w:val="16"/>
          <w:color w:val="auto"/>
        </w:rPr>
        <w:t xml:space="preserve"> in February 2018 in a paper titled: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therapy corrects a diffuse retina-wide microdetachment modulated by light exposure." We believe the results from these experiments in a naturally occurring canine disease model with distinct phenotypic similarities to human Best disease demonstrate the potential therapeutic benefit of IC-200 for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worked with a gene therapy CDMO to develop a manufacturing process for IC-200, and this CDMO produced and we released a cGMP batch of IC-</w:t>
      </w:r>
    </w:p>
    <w:p>
      <w:pPr>
        <w:spacing w:after="0" w:line="46" w:lineRule="exact"/>
        <w:rPr>
          <w:sz w:val="20"/>
          <w:szCs w:val="20"/>
          <w:color w:val="auto"/>
        </w:rPr>
      </w:pPr>
    </w:p>
    <w:p>
      <w:pPr>
        <w:ind w:right="100" w:firstLine="8"/>
        <w:spacing w:after="0" w:line="302"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In addition, we and Penn conducted a number of preclinical studies of IC-200 and natural history studies of patients with </w:t>
      </w:r>
      <w:r>
        <w:rPr>
          <w:rFonts w:ascii="Arial" w:cs="Arial" w:eastAsia="Arial" w:hAnsi="Arial"/>
          <w:sz w:val="16"/>
          <w:szCs w:val="16"/>
          <w:i w:val="1"/>
          <w:iCs w:val="1"/>
          <w:color w:val="auto"/>
        </w:rPr>
        <w:t>BEST1</w:t>
      </w:r>
      <w:r>
        <w:rPr>
          <w:rFonts w:ascii="Arial" w:cs="Arial" w:eastAsia="Arial" w:hAnsi="Arial"/>
          <w:sz w:val="16"/>
          <w:szCs w:val="16"/>
          <w:color w:val="auto"/>
        </w:rPr>
        <w:t>-related IRDs, which included a preclinical toxicology and efficacy study of IC-200 in the naturally occurring canine model of Best disease. We believe the results of the toxicology and efficacy study show IC-200 had an efficacy effect in these canines with minimal adverse effects from inflammation or other safety issues.</w:t>
      </w:r>
    </w:p>
    <w:p>
      <w:pPr>
        <w:spacing w:after="0" w:line="15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been considering our development options for this product candidate and currently plan to seek a collaborator for the future development and potential commercialization of IC-200.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19"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Starting in 2018, we funded several sponsored research programs at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have transitioned the preclinical research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activities for these programs from UMMS to us and have established a laboratory for these employees to continue working on these programs and other preclinical ocular research and development activities.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miniCEP290 Program for LCA10</w:t>
      </w:r>
    </w:p>
    <w:p>
      <w:pPr>
        <w:spacing w:after="0" w:line="144" w:lineRule="exact"/>
        <w:rPr>
          <w:sz w:val="20"/>
          <w:szCs w:val="20"/>
          <w:color w:val="auto"/>
        </w:rPr>
      </w:pPr>
    </w:p>
    <w:p>
      <w:pPr>
        <w:ind w:right="40" w:firstLine="180"/>
        <w:spacing w:after="0" w:line="257" w:lineRule="auto"/>
        <w:rPr>
          <w:sz w:val="20"/>
          <w:szCs w:val="20"/>
          <w:color w:val="auto"/>
        </w:rPr>
      </w:pPr>
      <w:r>
        <w:rPr>
          <w:rFonts w:ascii="Arial" w:cs="Arial" w:eastAsia="Arial" w:hAnsi="Arial"/>
          <w:sz w:val="18"/>
          <w:szCs w:val="18"/>
          <w:color w:val="auto"/>
        </w:rPr>
        <w:t xml:space="preserve">Our miniCEP290 program is targeting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naturally occurring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is approximately 8,000 base pairs. In a 2018 publication in </w:t>
      </w:r>
      <w:r>
        <w:rPr>
          <w:rFonts w:ascii="Arial" w:cs="Arial" w:eastAsia="Arial" w:hAnsi="Arial"/>
          <w:sz w:val="18"/>
          <w:szCs w:val="18"/>
          <w:i w:val="1"/>
          <w:iCs w:val="1"/>
          <w:color w:val="auto"/>
        </w:rPr>
        <w:t>Human Gene Therapy</w:t>
      </w:r>
      <w:r>
        <w:rPr>
          <w:rFonts w:ascii="Arial" w:cs="Arial" w:eastAsia="Arial" w:hAnsi="Arial"/>
          <w:sz w:val="18"/>
          <w:szCs w:val="18"/>
          <w:color w:val="auto"/>
        </w:rPr>
        <w:t xml:space="preserve">, researchers at UMMS presented their findings that injection of a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into a newborn mouse model for LCA10 resulted in rescue of photoreceptor cells, as evidenced by both anatomical and functional measures. The goal of our sponsored research with UMMS was to create and evaluate other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constructs in the mouse model and optimize the effect observed in that publication.</w:t>
      </w:r>
    </w:p>
    <w:p>
      <w:pPr>
        <w:spacing w:after="0" w:line="120" w:lineRule="exact"/>
        <w:rPr>
          <w:sz w:val="20"/>
          <w:szCs w:val="20"/>
          <w:color w:val="auto"/>
        </w:rPr>
      </w:pPr>
    </w:p>
    <w:p>
      <w:pPr>
        <w:ind w:right="80" w:firstLine="177"/>
        <w:spacing w:after="0" w:line="275" w:lineRule="auto"/>
        <w:rPr>
          <w:sz w:val="20"/>
          <w:szCs w:val="20"/>
          <w:color w:val="auto"/>
        </w:rPr>
      </w:pPr>
      <w:r>
        <w:rPr>
          <w:rFonts w:ascii="Arial" w:cs="Arial" w:eastAsia="Arial" w:hAnsi="Arial"/>
          <w:sz w:val="17"/>
          <w:szCs w:val="17"/>
          <w:color w:val="auto"/>
        </w:rPr>
        <w:t>We were encouraged by the results of the sponsored research. One of the new minigene constructs shows five times longer duration of functional rescue of the photoreceptors as compared to what was observed in the 2018 publication. In July 2019, we entered into a license agreement with the University of Massachusetts, or UMass, for exclusive development and commercialization rights to this program. UMMS continued experiments to optimize the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miniABCA4 Program for STGD1</w:t>
      </w:r>
    </w:p>
    <w:p>
      <w:pPr>
        <w:spacing w:after="0" w:line="144"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 xml:space="preserve">Our miniABCA4 program is targeting STGD1, which is associated with mutations in 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The size of the naturally occurring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is approximately 7,000 base pairs. As part of the sponsored research, UMMS generated and evaluated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which yielded what we believe to be encouraging results. We are conducting additional experiments to optimize the constructs and assess their efficacy in the mouse model.</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UMMS granted us an option to obtain an exclusive license to certain patent applications for this program.</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miniUSH2A Program for USH2A-Related IRDs</w:t>
      </w:r>
    </w:p>
    <w:p>
      <w:pPr>
        <w:spacing w:after="0" w:line="144"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 xml:space="preserve">The miniUSH2A program seeks to develop a mutation independent, minigene therapy for the vision loss associated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 mutations, including vision loss associated with Usher 2A and </w:t>
      </w:r>
      <w:r>
        <w:rPr>
          <w:rFonts w:ascii="Arial" w:cs="Arial" w:eastAsia="Arial" w:hAnsi="Arial"/>
          <w:sz w:val="18"/>
          <w:szCs w:val="18"/>
          <w:i w:val="1"/>
          <w:iCs w:val="1"/>
          <w:color w:val="auto"/>
        </w:rPr>
        <w:t>USH2A</w:t>
      </w:r>
      <w:r>
        <w:rPr>
          <w:rFonts w:ascii="Arial" w:cs="Arial" w:eastAsia="Arial" w:hAnsi="Arial"/>
          <w:sz w:val="18"/>
          <w:szCs w:val="18"/>
          <w:color w:val="auto"/>
        </w:rPr>
        <w:t xml:space="preserve">-associated nonsyndromic autosomal recessive retinitis pigmentosa. Some of the activities in this program were delayed during 2020 as a result of the closure of UMMS animal research laboratories due to the COVID-19 pandemic. UMMS generated and evaluated several USH2A minigene constructs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and we are planning to evaluate their efficacy in animals. The animal experiments have been delayed as a result of transitioning the work from UMMS to us.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UMMS granted us an option to obtain an exclusive license to certain patent applications for this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Zimura, IC-500, IC-100, IC-200 or any other product candidate we may develop. Although we rely and intend to continue to rely upon third-party contract manufacturing organizations, or CMOs, to produce our products and product candidates, we have personnel with experience to manage the third-party CMOs that we have engaged or may engage to produce our product candidates.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Manufacturing of pharmaceutical and biological products is a process that involves procurement of starting materials, chemical synthesis or cell culture processing in controlled environments, purification and post-production testing and analysis before the product can be released. Manufacturing processes can be complex and difficult to develop, especially for products such as oligonucleotides and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process that can be validated is crucial to obtaining FDA approval of any product candidate we may bring forward.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Manufacturing</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process for manufacturing Zimura consists of chemical synthesis, purification, pegylation, purification and finally freeze drying to form a powder, which is the active pharmaceutical ingredient, or API. Each of these steps involves relatively common unit operations. In a separate process that follows the freeze drying, the Zimura API is dissolved in a liquid solution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that includes certain chemicals and then is aseptically filled into vials from which the intravitreal injection solution is drawn. This process of rendering the API into a liquid solution and placing it into vials is referred to as fill/finish services.</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are working with our historical contract manufacturer for Zimura drug substance, Agilent Technologies, Inc., or Agilent, to scale up and potentially validate the manufacturing process for Zimura drug substance. In parallel, we are working with a new contract manufacturer with the goal of assessing whether this manufacturer can produce Zimura drug substance at an adequate scale for potential commercial use. We have experienced issues during technology transfer of the existing manufacturing process to this manufacturer, which has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 substance produced through the scaled up process can be produced consistently, delivering quality product within a range of acceptable specifications. We are continuing analytical method development and qualification with our contract manufacturers and laboratories.</w:t>
      </w:r>
    </w:p>
    <w:p>
      <w:pPr>
        <w:spacing w:after="0" w:line="18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finished Zimura drug product using the new vial, which we plan to use for a portion of the second-year study visits for patients in the GATHER2 trial. We believe Ajinomoto has the capacity to supply us with finished Zimura drug product with the new vial for our expected commercial supply needs upon launch, if approved.</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We believe this supplier will have the capacity to supply us with the PEG that we will need for commercial manufacturing.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Sustained Release Delivery Technologies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exploring lifecycle management initiatives for Zimura with efforts focused on potential sustained release delivery technologies. Our goal is to derive a formulation of Zimura with a sustained release delivery technology that reduces the frequency of intravitreal injections that a patient must undergo, while maintaining comparable efficacy and safety to monthly injections. We have been exploring a number of potential sustained release delivery technologies with various technology providers. Preliminary evaluation of the sustained release delivery technologies and the resulting formulations is ongoing. We intend to evaluate multiple sustained release delivery technologies for Zimura, and may pursue long-term development collaborations with technologies that meet our feasibility and other criteria.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IC-500 Manufacturing</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process for manufacturing IC-500 consists of chemical synthesis, purification and spray drying to form a powder, which is the spray dried active pharmaceutical ingredient, or SDAPI. Each of these steps involves relatively common unit operations. In a separate process that follows the spray drying, the IC-500 SDAPI is dispersed in a liquid solution to form a suspension that includes certain pharmaceutical excipients and then is aseptically filled into vials and terminally sterilized. The filled drug product suspension is then diluted to the clinical dose concentration using a diluent. This process of rendering the SDAPI into a liquid suspension and placing it into vials, from which the intravitreal injection is drawn, is referred to as fill/finishing.</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engaged multiple contract manufacturers to support the various processes necessary for the scale-up and cGMP manufacturing of IC-500 drug substance and drug product for larger scale batches for potential clinical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Manufacturing</w:t>
      </w:r>
    </w:p>
    <w:p>
      <w:pPr>
        <w:spacing w:after="0" w:line="225" w:lineRule="exact"/>
        <w:rPr>
          <w:sz w:val="20"/>
          <w:szCs w:val="20"/>
          <w:color w:val="auto"/>
        </w:rPr>
      </w:pPr>
    </w:p>
    <w:p>
      <w:pPr>
        <w:ind w:right="160" w:firstLine="177"/>
        <w:spacing w:after="0" w:line="311" w:lineRule="auto"/>
        <w:rPr>
          <w:sz w:val="20"/>
          <w:szCs w:val="20"/>
          <w:color w:val="auto"/>
        </w:rPr>
      </w:pPr>
      <w:r>
        <w:rPr>
          <w:rFonts w:ascii="Arial" w:cs="Arial" w:eastAsia="Arial" w:hAnsi="Arial"/>
          <w:sz w:val="16"/>
          <w:szCs w:val="16"/>
          <w:color w:val="auto"/>
        </w:rPr>
        <w:t>The manufacture of AAV gene therapies requires the use of high quality starting materials, such as plasmids and cells. Plasmids are circular double-stranded DNA that can exist separately from chromosomes in cells. A plasmid can be engineered and transfected into cells to express a specific transgene with different combinations of AAV serotypes. The plasmids and cells are generally sourced from a limited number of qualified suppliers.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process for producing AAV vectors typically consists of growing the cells, transfection of the cells with appropriate plasmids and harvesting the viral vectors from the cell culture. The subsequent purification process is designed to capture, purify and concentrate the viral vector product while removing process and product-related impurities. The purified AAV vector is then formulated, filtered and filled into vials, from which the injection solution is drawn.</w:t>
      </w:r>
    </w:p>
    <w:p>
      <w:pPr>
        <w:spacing w:after="0" w:line="187" w:lineRule="exact"/>
        <w:rPr>
          <w:sz w:val="20"/>
          <w:szCs w:val="20"/>
          <w:color w:val="auto"/>
        </w:rPr>
      </w:pPr>
    </w:p>
    <w:p>
      <w:pPr>
        <w:ind w:right="100" w:firstLine="720"/>
        <w:spacing w:after="0" w:line="263" w:lineRule="auto"/>
        <w:rPr>
          <w:sz w:val="20"/>
          <w:szCs w:val="20"/>
          <w:color w:val="auto"/>
        </w:rPr>
      </w:pPr>
      <w:r>
        <w:rPr>
          <w:rFonts w:ascii="Arial" w:cs="Arial" w:eastAsia="Arial" w:hAnsi="Arial"/>
          <w:sz w:val="18"/>
          <w:szCs w:val="18"/>
          <w:color w:val="auto"/>
        </w:rPr>
        <w:t>We obtain the plasmids that are used for IC-100 and IC-200 from a single third-party supplier on a purchase order basis. We worked with a gene therapy CDMO for preclinical and Phase 1/2 clinical supply of IC-100 and IC-200 drug substance and drug product. This CDMO has produced, and we have released, a cGMP batch of IC-100 and a cGMP batch of IC-200.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Workforce</w:t>
      </w:r>
    </w:p>
    <w:p>
      <w:pPr>
        <w:spacing w:after="0" w:line="225" w:lineRule="exact"/>
        <w:rPr>
          <w:sz w:val="20"/>
          <w:szCs w:val="20"/>
          <w:color w:val="auto"/>
        </w:rPr>
      </w:pPr>
    </w:p>
    <w:p>
      <w:pPr>
        <w:ind w:right="20" w:firstLine="170"/>
        <w:spacing w:after="0" w:line="255" w:lineRule="auto"/>
        <w:rPr>
          <w:sz w:val="20"/>
          <w:szCs w:val="20"/>
          <w:color w:val="auto"/>
        </w:rPr>
      </w:pPr>
      <w:r>
        <w:rPr>
          <w:rFonts w:ascii="Arial" w:cs="Arial" w:eastAsia="Arial" w:hAnsi="Arial"/>
          <w:sz w:val="18"/>
          <w:szCs w:val="18"/>
          <w:color w:val="auto"/>
        </w:rPr>
        <w:t>As of January 31, 2022, we had 94 full-time employees, compared to 57 full-time employees as of January 31, 2021. These employees support key areas of our business and operations, including commercial planning, medical affairs, clinical development and clinical operations, regulatory affairs and drug safety, data management, scientific research, process and analytical development, drug substance and drug product manufacturing, quality control, materials and supply chain management, and quality assurance, as well as our general and administrative functions and public company infrastructure. We plan to continue to hire strategically to support key areas of our business, including the hiring of medical science liaisons. The following are additional data about our full-time employees, as of January 31, 2022:</w:t>
      </w:r>
    </w:p>
    <w:p>
      <w:pPr>
        <w:spacing w:after="0" w:line="19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67 are in research and development, manufacturing and quality control and assurance;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32 have M.D., O.D., Pharm.D. or Ph.D. degrees;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45 self-identify as women;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45 self-identify as racial or ethnic minorities;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32 reside in a state where we do not have any physical offices (currently, New Jersey, New York and Massachusetts).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to our full-time employees, we engage various consultants and advisors to support key areas of our business, including formulating our research and development, manufacturing, commercialization and lifecycle management strategies. Many of these consultants and advisors have specialized expertise that also makes them attractive for other companies. We generally engage them as independent contractors and they are generally free to work for other companies, subject to the terms of any non-compete arrangements that we enter into with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Initiatives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COVID-19 pandemic, we increased our efforts to support our employees and transitioned to full-time remote working in March 2020. We conducted numerous surveys over the course of the year to gauge employee sentiment and understand their needs. Throughout the pandemic, we have provided employees with technology and training sessions to support remote working. We took efforts to enhance company communication, such as holding weekly company meetings to provide business updates and provide a forum for guest speakers, including several offering education in best practices for remote working and general wellness. Our employees adopted various software tools to support virtual communication and collaboration, both internally and with third parties.</w:t>
      </w:r>
    </w:p>
    <w:p>
      <w:pPr>
        <w:spacing w:after="0" w:line="21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Starting in the middle of 2021, we adopted health and safety policies for employees who started voluntarily returning to the office. We have also adopted a vaccination policy and we provide COVID-19 testing to employees who regularly work in our offices. We continue to provide flexible work policies to support our employees. We continue to monitor the COVID-19 situation closely and, other than for our laboratory-based employees, currently expect to continue working predominantly in a hybrid (partially remote, partially in office) working model for the foreseeable near future.</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2021, we continued to develop our new employee integration and professional development programs. Similar to 2020, most of our newly hired employees in 2021 joined us as remote- or hybrid-based employees, and we continued to enhance our new employee orientation program. For 2021, we continued to expand our training programs for new and continuing employees.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In mid-2020, we formed an employee committee on diversity, equity and inclusion, or CDEI, to assess issues of diversity, equity and inclusion among our workforce and provide recommendations. In 2021, we worked to implement some of the recommendations from the CDEI, including conducting trainings on topics such as unconscious bias and interviewing skills. We entered into a corporate sponsorship with Genspace NYC, a community life sciences lab in Brooklyn, New York. We also rolled out an employee volunteering and company match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in some or all geographic markets,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In addition, our commercial strategy will vary depending on whether the disease is typically treated by general ophthalmology practitioners, specialists, such as retina specialists, or other sub-specialists, and the degree and potential degree of acceptance of our product candidate by the relevant physicians in various markets. For example, in the United States, retina specialists perform most of the medical procedures involving diseases of the back of the eye, including intravitreal injections. We believe that retina specialists in the United States are sufficiently concentrated such that we could effectively promote an approved product candidate to these specialists. We also understand that a majority of GA patients in the United States currently are not cared for by retina specialists and instead see general ophthalmologists (GOs) and optometrists (ODs); this will be a factor in our sales and marketing strategy for Zimura for GA.</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working to build our commercial capabilities and infrastructure and develop our sales and marketing strategy for the potential launch of Zimura in the United States for GA, if approved. If we are successful in expanding the potential label for Zimura to intermediate AMD and/or STGD1, which, in contrast to GA and other forms of AMD, is a condition affecting a more limited number of individuals, our commercial strategy for Zimura may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approaches, and others are based on entirely different approaches. We also will face similar competition with respect to any product candidates that we may seek to develop or commercialize in the future. In particular, many companies are pursuing gene therapy approaches for orphan and age-related retinal diseases.</w:t>
      </w:r>
    </w:p>
    <w:p>
      <w:pPr>
        <w:spacing w:after="0" w:line="16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39" w:lineRule="exact"/>
        <w:rPr>
          <w:sz w:val="20"/>
          <w:szCs w:val="20"/>
          <w:color w:val="auto"/>
        </w:rPr>
      </w:pPr>
    </w:p>
    <w:p>
      <w:pPr>
        <w:ind w:left="660" w:hanging="328"/>
        <w:spacing w:after="0" w:line="25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Annexon Inc., Apellis Pharmaceuticals, Inc., or Apellis, Applied Genetic Technologies Corporation, or AGTC, Biogen Inc., Gemini Therapeutics, Inc., Gyroscope Therapeutics (which was recently acquired by Novartis AG),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data from two Phase 3 clinical trials in September 2021 and Apellis stated it would file an application for marketing approval with the FDA during the second quarter of 2022.</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80"/>
        <w:spacing w:after="0" w:line="255" w:lineRule="auto"/>
        <w:rPr>
          <w:sz w:val="20"/>
          <w:szCs w:val="20"/>
          <w:color w:val="auto"/>
        </w:rPr>
      </w:pPr>
      <w:r>
        <w:rPr>
          <w:rFonts w:ascii="Arial" w:cs="Arial" w:eastAsia="Arial" w:hAnsi="Arial"/>
          <w:sz w:val="16"/>
          <w:szCs w:val="16"/>
          <w:color w:val="auto"/>
        </w:rPr>
        <w:t>Apellis could obtain marketing approval for its product candidate in advance of when we might reasonably expect to obtain marketing approval for Zimura in GA or IC-500 in GA, if at all. Moreover, we are aware that several other companies, including Abbvie Pharmaceuticals, Inc., Allegro Ophthalmics, LLC, Alkeus Pharmaceuticals Inc., Astellas Pharma Inc., Boehringer Ingelheim, Lineage Cell Therapeutics, Inc., Ocugen, Inc., ONL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 or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120" w:hanging="328"/>
        <w:spacing w:after="0" w:line="25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180" w:hanging="328"/>
        <w:spacing w:after="0" w:line="24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aware that ProQR is developing an RNA-based therapeutic for RHO-adRP, for which it is currently conducting a Phase 1/2 clinical trial. Ocugen, Inc. is developing a preclinical gene therapy for RHO-adRP, for which the FDA granted orphan drug designation in July 2020. In addition, Biogen has a preclinical AAV gene therapy program in RHO-adRP. Editas Medicine, Inc. is also developing a preclinical gene editing product candidate for this disease. We are also aware that multiple academic institutions have early stage gene therapy development programs in RHO-adRP.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aware that Biogen has a preclinical AAV gene therapy program for one or more BEST1-related IRDs.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220" w:hanging="328"/>
        <w:spacing w:after="0" w:line="279"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There are a number of products in preclinical research and clinical development by third parties to treat </w:t>
      </w:r>
      <w:r>
        <w:rPr>
          <w:rFonts w:ascii="Arial" w:cs="Arial" w:eastAsia="Arial" w:hAnsi="Arial"/>
          <w:sz w:val="16"/>
          <w:szCs w:val="16"/>
          <w:i w:val="1"/>
          <w:iCs w:val="1"/>
          <w:color w:val="auto"/>
        </w:rPr>
        <w:t>USH2A</w:t>
      </w:r>
      <w:r>
        <w:rPr>
          <w:rFonts w:ascii="Arial" w:cs="Arial" w:eastAsia="Arial" w:hAnsi="Arial"/>
          <w:sz w:val="16"/>
          <w:szCs w:val="16"/>
          <w:color w:val="auto"/>
        </w:rPr>
        <w:t>-related IRDs. We are aware that</w:t>
      </w:r>
    </w:p>
    <w:p>
      <w:pPr>
        <w:spacing w:after="0" w:line="46" w:lineRule="exact"/>
        <w:rPr>
          <w:sz w:val="20"/>
          <w:szCs w:val="20"/>
          <w:color w:val="auto"/>
        </w:rPr>
      </w:pPr>
    </w:p>
    <w:p>
      <w:pPr>
        <w:ind w:left="660" w:right="240"/>
        <w:spacing w:after="0" w:line="250" w:lineRule="auto"/>
        <w:rPr>
          <w:sz w:val="20"/>
          <w:szCs w:val="20"/>
          <w:color w:val="auto"/>
        </w:rPr>
      </w:pPr>
      <w:r>
        <w:rPr>
          <w:rFonts w:ascii="Arial" w:cs="Arial" w:eastAsia="Arial" w:hAnsi="Arial"/>
          <w:sz w:val="18"/>
          <w:szCs w:val="18"/>
          <w:color w:val="auto"/>
        </w:rPr>
        <w:t xml:space="preserve">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1" w:lineRule="exact"/>
        <w:rPr>
          <w:sz w:val="20"/>
          <w:szCs w:val="20"/>
          <w:color w:val="auto"/>
        </w:rPr>
      </w:pPr>
    </w:p>
    <w:p>
      <w:pPr>
        <w:ind w:firstLine="180"/>
        <w:spacing w:after="0" w:line="275" w:lineRule="auto"/>
        <w:rPr>
          <w:sz w:val="20"/>
          <w:szCs w:val="20"/>
          <w:color w:val="auto"/>
        </w:rPr>
      </w:pPr>
      <w:r>
        <w:rPr>
          <w:rFonts w:ascii="Arial" w:cs="Arial" w:eastAsia="Arial" w:hAnsi="Arial"/>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For our collaborative gene therapy sponsored research programs, we have generally relied on our university collaborators to perform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research and generate data to support new patent applications, and to file, prosecute and maintain any patents or patent applications resulting from the sponsored research with our input. We also rely upon trade secrets, know-how, continuing technological innovation and in-licensing opportunities to develop and maintain our proprietary position.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patents and patent applications in-licensed from Archemix Corp., or Archemix:</w:t>
      </w:r>
    </w:p>
    <w:p>
      <w:pPr>
        <w:spacing w:after="0" w:line="225" w:lineRule="exact"/>
        <w:rPr>
          <w:rFonts w:ascii="Arial" w:cs="Arial" w:eastAsia="Arial" w:hAnsi="Arial"/>
          <w:sz w:val="18"/>
          <w:szCs w:val="18"/>
          <w:color w:val="auto"/>
        </w:rPr>
      </w:pPr>
    </w:p>
    <w:p>
      <w:pPr>
        <w:ind w:left="1620" w:right="60" w:hanging="316"/>
        <w:spacing w:after="0" w:line="311" w:lineRule="auto"/>
        <w:tabs>
          <w:tab w:leader="none" w:pos="1615" w:val="left"/>
        </w:tabs>
        <w:numPr>
          <w:ilvl w:val="1"/>
          <w:numId w:val="48"/>
        </w:numPr>
        <w:rPr>
          <w:rFonts w:ascii="Arial" w:cs="Arial" w:eastAsia="Arial" w:hAnsi="Arial"/>
          <w:sz w:val="16"/>
          <w:szCs w:val="16"/>
          <w:color w:val="auto"/>
        </w:rPr>
      </w:pPr>
      <w:r>
        <w:rPr>
          <w:rFonts w:ascii="Arial" w:cs="Arial" w:eastAsia="Arial" w:hAnsi="Arial"/>
          <w:sz w:val="16"/>
          <w:szCs w:val="16"/>
          <w:color w:val="auto"/>
        </w:rPr>
        <w:t>patents covering Zimura's composition-of-matter, which have issued in the United States, the countries covered by the European Patent Organisation, which we refer to as the EPO Countries, Japan and certain other jurisdictions, and which are expected to expire in the United States and the EPO Countries in 2025 and elsewhere, including China and Japan, in 2026; and</w:t>
      </w:r>
    </w:p>
    <w:p>
      <w:pPr>
        <w:spacing w:after="0" w:line="148" w:lineRule="exact"/>
        <w:rPr>
          <w:rFonts w:ascii="Arial" w:cs="Arial" w:eastAsia="Arial" w:hAnsi="Arial"/>
          <w:sz w:val="16"/>
          <w:szCs w:val="16"/>
          <w:color w:val="auto"/>
        </w:rPr>
      </w:pPr>
    </w:p>
    <w:p>
      <w:pPr>
        <w:ind w:left="1620" w:right="20" w:hanging="316"/>
        <w:spacing w:after="0" w:line="279" w:lineRule="auto"/>
        <w:tabs>
          <w:tab w:leader="none" w:pos="1615" w:val="left"/>
        </w:tabs>
        <w:numPr>
          <w:ilvl w:val="1"/>
          <w:numId w:val="48"/>
        </w:numPr>
        <w:rPr>
          <w:rFonts w:ascii="Arial" w:cs="Arial" w:eastAsia="Arial" w:hAnsi="Arial"/>
          <w:sz w:val="17"/>
          <w:szCs w:val="17"/>
          <w:color w:val="auto"/>
        </w:rPr>
      </w:pPr>
      <w:r>
        <w:rPr>
          <w:rFonts w:ascii="Arial" w:cs="Arial" w:eastAsia="Arial" w:hAnsi="Arial"/>
          <w:sz w:val="17"/>
          <w:szCs w:val="17"/>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EPO Countries, Japan and certain other jurisdictions, and which are expected to expire in the EPO Countries in 2025 and elsewhere, including the United States and Japan, in 2026; and</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patents and patent applications owned by IVERIC bio, Inc.:</w:t>
      </w:r>
    </w:p>
    <w:p>
      <w:pPr>
        <w:spacing w:after="0" w:line="225" w:lineRule="exact"/>
        <w:rPr>
          <w:rFonts w:ascii="Arial" w:cs="Arial" w:eastAsia="Arial" w:hAnsi="Arial"/>
          <w:sz w:val="18"/>
          <w:szCs w:val="18"/>
          <w:color w:val="auto"/>
        </w:rPr>
      </w:pPr>
    </w:p>
    <w:p>
      <w:pPr>
        <w:ind w:left="1620" w:right="260" w:hanging="316"/>
        <w:spacing w:after="0" w:line="279" w:lineRule="auto"/>
        <w:tabs>
          <w:tab w:leader="none" w:pos="1615" w:val="left"/>
        </w:tabs>
        <w:numPr>
          <w:ilvl w:val="1"/>
          <w:numId w:val="48"/>
        </w:numPr>
        <w:rPr>
          <w:rFonts w:ascii="Arial" w:cs="Arial" w:eastAsia="Arial" w:hAnsi="Arial"/>
          <w:sz w:val="17"/>
          <w:szCs w:val="17"/>
          <w:color w:val="auto"/>
        </w:rPr>
      </w:pPr>
      <w:r>
        <w:rPr>
          <w:rFonts w:ascii="Arial" w:cs="Arial" w:eastAsia="Arial" w:hAnsi="Arial"/>
          <w:sz w:val="17"/>
          <w:szCs w:val="17"/>
          <w:color w:val="auto"/>
        </w:rPr>
        <w:t>patent applications covering formulations, methods of use for treating GA, Stargardt disease and other conditions, and other proprietary technology relating to Zimura, which have resulted in claims covering methods of using Zimura to treat GA that have been allowed by the USPTO and are expected to expire in 2034, and others are pending in the United States, the EPO Countries, Japan and certain other jurisdictions, which, if granted, are expected to expire in 2034; and</w:t>
      </w:r>
    </w:p>
    <w:p>
      <w:pPr>
        <w:spacing w:after="0" w:line="171" w:lineRule="exact"/>
        <w:rPr>
          <w:rFonts w:ascii="Arial" w:cs="Arial" w:eastAsia="Arial" w:hAnsi="Arial"/>
          <w:sz w:val="17"/>
          <w:szCs w:val="17"/>
          <w:color w:val="auto"/>
        </w:rPr>
      </w:pPr>
    </w:p>
    <w:p>
      <w:pPr>
        <w:ind w:left="1620" w:right="20" w:hanging="316"/>
        <w:spacing w:after="0" w:line="277" w:lineRule="auto"/>
        <w:tabs>
          <w:tab w:leader="none" w:pos="16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patent applications covering methods of using Zimura to treat intermediate AMD and other forms of AMD, which are pending under the Patent Cooperation Treaty, or PCT, and which, if granted, are expected to expire in 2041;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patents and patent applications owned by our subsidiary Orion Ophthalmology LLC, or Orion:</w:t>
      </w:r>
    </w:p>
    <w:p>
      <w:pPr>
        <w:spacing w:after="0" w:line="225" w:lineRule="exact"/>
        <w:rPr>
          <w:rFonts w:ascii="Arial" w:cs="Arial" w:eastAsia="Arial" w:hAnsi="Arial"/>
          <w:sz w:val="18"/>
          <w:szCs w:val="18"/>
          <w:color w:val="auto"/>
        </w:rPr>
      </w:pPr>
    </w:p>
    <w:p>
      <w:pPr>
        <w:ind w:left="1620" w:hanging="316"/>
        <w:spacing w:after="0" w:line="301" w:lineRule="auto"/>
        <w:tabs>
          <w:tab w:leader="none" w:pos="161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three families of composition-of-matter and method-of-treatment patent applications covering IC-500 and other HtrA1 inhibitors owned by Orion, some of which have resulted in issued patents in the United States or claims that have been allowed by the USPTO, as well as issued patents or allowed claims in other jurisdictions, all of which are expected to expire in 2037, and others are pending in the United States, the EPO Countries, Japan and certain other jurisdictions, which, if granted, are expected to expire in 2037; and</w:t>
      </w:r>
    </w:p>
    <w:p>
      <w:pPr>
        <w:spacing w:after="0" w:line="157"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patents and patent applications in-licensed from UFRF and Penn:</w:t>
      </w:r>
    </w:p>
    <w:p>
      <w:pPr>
        <w:spacing w:after="0" w:line="225" w:lineRule="exact"/>
        <w:rPr>
          <w:rFonts w:ascii="Arial" w:cs="Arial" w:eastAsia="Arial" w:hAnsi="Arial"/>
          <w:sz w:val="18"/>
          <w:szCs w:val="18"/>
          <w:color w:val="auto"/>
        </w:rPr>
      </w:pPr>
    </w:p>
    <w:p>
      <w:pPr>
        <w:ind w:left="1620" w:right="20" w:hanging="316"/>
        <w:spacing w:after="0" w:line="259" w:lineRule="auto"/>
        <w:tabs>
          <w:tab w:leader="none" w:pos="16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patents covering composition-of-matter and method-of-treatment relating to IC-100 and the proprietary RHO-adRP AAV technology of UFRF and Penn, which have issued in the United States and are expected to expire in 2037, and applications covering the same subject matter that are pending in the United States, EPO countries, Japan and certain other jurisdictions, which, if granted, are expected to expire in 2037; and</w:t>
      </w:r>
    </w:p>
    <w:p>
      <w:pPr>
        <w:spacing w:after="0" w:line="186" w:lineRule="exact"/>
        <w:rPr>
          <w:rFonts w:ascii="Arial" w:cs="Arial" w:eastAsia="Arial" w:hAnsi="Arial"/>
          <w:sz w:val="18"/>
          <w:szCs w:val="18"/>
          <w:color w:val="auto"/>
        </w:rPr>
      </w:pPr>
    </w:p>
    <w:p>
      <w:pPr>
        <w:ind w:left="1620" w:right="420" w:hanging="316"/>
        <w:spacing w:after="0" w:line="311" w:lineRule="auto"/>
        <w:tabs>
          <w:tab w:leader="none" w:pos="161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two families of composition-of-matter and method-of-treatment patent applications relating to the proprietary RHO-adRP AAV technology of UFRF and Penn, one family of which is pending in the United States, and both families are pending in the EPO Countries, Japan and certain other jurisdictions, which, if granted, are expected to expire in 2037 and 2039, respectively; and</w:t>
      </w:r>
    </w:p>
    <w:p>
      <w:pPr>
        <w:spacing w:after="0" w:line="148" w:lineRule="exact"/>
        <w:rPr>
          <w:rFonts w:ascii="Arial" w:cs="Arial" w:eastAsia="Arial" w:hAnsi="Arial"/>
          <w:sz w:val="16"/>
          <w:szCs w:val="16"/>
          <w:color w:val="auto"/>
        </w:rPr>
      </w:pPr>
    </w:p>
    <w:p>
      <w:pPr>
        <w:jc w:val="both"/>
        <w:ind w:left="1620" w:right="200" w:hanging="316"/>
        <w:spacing w:after="0" w:line="263" w:lineRule="auto"/>
        <w:tabs>
          <w:tab w:leader="none" w:pos="16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patent applications covering composition-of-matter and method-of-treatment relating to proprietary BEST1 AAV technology from UFRF, which are pending in the United States, the EPO Countries, Japan and certain other jurisdictions, and which, if granted, are expected to expire in 2039;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620" w:right="200" w:hanging="316"/>
        <w:spacing w:after="0" w:line="277" w:lineRule="auto"/>
        <w:tabs>
          <w:tab w:leader="none" w:pos="16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patent applications covering methods of treating autosomal dominant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and autosomal recessive </w:t>
      </w:r>
      <w:r>
        <w:rPr>
          <w:rFonts w:ascii="Arial" w:cs="Arial" w:eastAsia="Arial" w:hAnsi="Arial"/>
          <w:sz w:val="18"/>
          <w:szCs w:val="18"/>
          <w:i w:val="1"/>
          <w:iCs w:val="1"/>
          <w:color w:val="auto"/>
        </w:rPr>
        <w:t>BEST1</w:t>
      </w:r>
      <w:r>
        <w:rPr>
          <w:rFonts w:ascii="Arial" w:cs="Arial" w:eastAsia="Arial" w:hAnsi="Arial"/>
          <w:sz w:val="18"/>
          <w:szCs w:val="18"/>
          <w:color w:val="auto"/>
        </w:rPr>
        <w:t>-related IRDs, which are pending under the PCT, and which, if granted, are expected to expire in 2041;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 applications in-licensed from UMass:</w:t>
      </w:r>
    </w:p>
    <w:p>
      <w:pPr>
        <w:spacing w:after="0" w:line="225" w:lineRule="exact"/>
        <w:rPr>
          <w:rFonts w:ascii="Arial" w:cs="Arial" w:eastAsia="Arial" w:hAnsi="Arial"/>
          <w:sz w:val="18"/>
          <w:szCs w:val="18"/>
          <w:color w:val="auto"/>
        </w:rPr>
      </w:pPr>
    </w:p>
    <w:p>
      <w:pPr>
        <w:ind w:left="1620" w:right="140" w:hanging="316"/>
        <w:spacing w:after="0" w:line="286" w:lineRule="auto"/>
        <w:tabs>
          <w:tab w:leader="none" w:pos="1615"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two families of composition-of-matter and method-of-treatment patent applications relating to certain proprietary minigene technology for the treatment of diseases associated with mutations in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which are pending in the United States, the EPO Countries and China, and which, if granted, are expected to expire in 2038 and 2040, respectively.</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a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8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Similar provisions are available in the EPO Countries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any patent term adjustments or potential patent term extension or other market exclusivity that may be available to us. See "—Government Regulation and Product Approvals" below for a description of market exclusivity mechanisms that may be available to us.</w:t>
      </w:r>
    </w:p>
    <w:p>
      <w:pPr>
        <w:spacing w:after="0" w:line="16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Other Arrangements</w:t>
      </w:r>
    </w:p>
    <w:p>
      <w:pPr>
        <w:spacing w:after="0" w:line="256"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We are party to a number of license, acquisition, option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211"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In the future, we may enter into additional acquisition or license agreements, particularly if we choose to acquire or in-license additional product candidates or other technologies, including sustained release delivery technologies for Zimura, and further expand our product pipeline. We expect that any future acquisition or license agreements would impose similar obligations on us. In the future, we may also enter into agreements to out-license intellectual property to our collaboration and research partners to assist in the development and, if approved, commercialization of our product candidates, including for the future development and potential commercialization of IC-100 and IC-200. We may out-license certain rights to any of our product candidates if we believe the arrangement could assist us in the development or potential commercialization of such product candidate and would otherwise help us pursue our business plan and strategic goals.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Archemix C5 License Agreement</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C5 License Agreement, for each anti-C5 aptamer product that we may develop under the agreement, including Zimura,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Either we or Archemix may terminate the C5 License Agreement if the other party materially breaches the agreement and the breach remains uncured for a specified period. Archemix may also terminate the C5 License Agreement, or may convert our exclusive license under the agreement to a non-exclusive license, if we challenge or assist a third party in challenging the 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IC-500 - Inception 4 Merger Agreement</w:t>
      </w:r>
    </w:p>
    <w:p>
      <w:pPr>
        <w:spacing w:after="0" w:line="158"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In October 2018, we acquired IC-500 and a number of other HtrA1 inhibitors through our acquisition of Inception 4, Inc., or Inception 4, which was previously a privately held biotechnology company controlled by funds owned by Versant Ventures. We and Inception 4 entered into an agreement and plan of merger, which we refer to as the Inception 4 Merger Agreement, pursuant to which we acquired Inception 4 through a merger transaction, referred to as the Inception 4 Merger. Following the Inception 4 Merger, Inception 4 was merged into our wholly-owned subsidiary Orion, which currently owns the rights to IC-500 and the other HtrA1 inhibitors acquired in the Inception 4 Merger.</w:t>
      </w:r>
    </w:p>
    <w:p>
      <w:pPr>
        <w:spacing w:after="0" w:line="120" w:lineRule="exact"/>
        <w:rPr>
          <w:sz w:val="20"/>
          <w:szCs w:val="20"/>
          <w:color w:val="auto"/>
        </w:rPr>
      </w:pPr>
    </w:p>
    <w:p>
      <w:pPr>
        <w:ind w:right="40" w:firstLine="170"/>
        <w:spacing w:after="0" w:line="263" w:lineRule="auto"/>
        <w:rPr>
          <w:sz w:val="20"/>
          <w:szCs w:val="20"/>
          <w:color w:val="auto"/>
        </w:rPr>
      </w:pPr>
      <w:r>
        <w:rPr>
          <w:rFonts w:ascii="Arial" w:cs="Arial" w:eastAsia="Arial" w:hAnsi="Arial"/>
          <w:sz w:val="18"/>
          <w:szCs w:val="18"/>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58"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Diligence Obligation</w:t>
      </w:r>
    </w:p>
    <w:p>
      <w:pPr>
        <w:spacing w:after="0" w:line="158" w:lineRule="exact"/>
        <w:rPr>
          <w:sz w:val="20"/>
          <w:szCs w:val="20"/>
          <w:color w:val="auto"/>
        </w:rPr>
      </w:pPr>
    </w:p>
    <w:p>
      <w:pPr>
        <w:ind w:right="120" w:firstLine="177"/>
        <w:spacing w:after="0" w:line="286" w:lineRule="auto"/>
        <w:rPr>
          <w:sz w:val="20"/>
          <w:szCs w:val="20"/>
          <w:color w:val="auto"/>
        </w:rPr>
      </w:pPr>
      <w:r>
        <w:rPr>
          <w:rFonts w:ascii="Arial" w:cs="Arial" w:eastAsia="Arial" w:hAnsi="Arial"/>
          <w:sz w:val="17"/>
          <w:szCs w:val="17"/>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Terms and Conditions</w:t>
      </w:r>
    </w:p>
    <w:p>
      <w:pPr>
        <w:spacing w:after="0" w:line="144" w:lineRule="exact"/>
        <w:rPr>
          <w:sz w:val="20"/>
          <w:szCs w:val="20"/>
          <w:color w:val="auto"/>
        </w:rPr>
      </w:pPr>
    </w:p>
    <w:p>
      <w:pPr>
        <w:ind w:firstLine="177"/>
        <w:spacing w:after="0" w:line="291" w:lineRule="auto"/>
        <w:rPr>
          <w:sz w:val="20"/>
          <w:szCs w:val="20"/>
          <w:color w:val="auto"/>
        </w:rPr>
      </w:pPr>
      <w:r>
        <w:rPr>
          <w:rFonts w:ascii="Arial" w:cs="Arial" w:eastAsia="Arial" w:hAnsi="Arial"/>
          <w:sz w:val="16"/>
          <w:szCs w:val="16"/>
          <w:color w:val="auto"/>
        </w:rPr>
        <w:t>The Inception 4 Merger Agreement contains customary representations, warranties and covenants for both Inception 4 and our company as the purchaser. The representations and warranties generally survived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UFRF and Penn for IC-100</w:t>
      </w:r>
    </w:p>
    <w:p>
      <w:pPr>
        <w:spacing w:after="0" w:line="158" w:lineRule="exact"/>
        <w:rPr>
          <w:sz w:val="20"/>
          <w:szCs w:val="20"/>
          <w:color w:val="auto"/>
        </w:rPr>
      </w:pPr>
    </w:p>
    <w:p>
      <w:pPr>
        <w:ind w:right="140" w:firstLine="180"/>
        <w:spacing w:after="0" w:line="275" w:lineRule="auto"/>
        <w:rPr>
          <w:sz w:val="20"/>
          <w:szCs w:val="20"/>
          <w:color w:val="auto"/>
        </w:rPr>
      </w:pPr>
      <w:r>
        <w:rPr>
          <w:rFonts w:ascii="Arial" w:cs="Arial" w:eastAsia="Arial" w:hAnsi="Arial"/>
          <w:sz w:val="17"/>
          <w:szCs w:val="17"/>
          <w:color w:val="auto"/>
        </w:rPr>
        <w:t>In June 2018, we entered into an exclusive global license agreement with UFRF and Penn, which we refer to as the RHO-adRP License Agreement. Under the RHO-adRP License Agreement, UFRF and Penn granted us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our novel AAV gene therapy product candidate intended to treat RHO-adRP.</w:t>
      </w:r>
    </w:p>
    <w:p>
      <w:pPr>
        <w:spacing w:after="0" w:line="95" w:lineRule="exact"/>
        <w:rPr>
          <w:sz w:val="20"/>
          <w:szCs w:val="20"/>
          <w:color w:val="auto"/>
        </w:rPr>
      </w:pPr>
    </w:p>
    <w:p>
      <w:pPr>
        <w:ind w:right="100" w:firstLine="177"/>
        <w:spacing w:after="0" w:line="263" w:lineRule="auto"/>
        <w:rPr>
          <w:sz w:val="20"/>
          <w:szCs w:val="20"/>
          <w:color w:val="auto"/>
        </w:rPr>
      </w:pPr>
      <w:r>
        <w:rPr>
          <w:rFonts w:ascii="Arial" w:cs="Arial" w:eastAsia="Arial" w:hAnsi="Arial"/>
          <w:sz w:val="18"/>
          <w:szCs w:val="18"/>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of the licensed patent rights and know-how with the consent of UFRF and Penn, not to be unreasonably withheld.</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158" w:lineRule="exact"/>
        <w:rPr>
          <w:sz w:val="20"/>
          <w:szCs w:val="20"/>
          <w:color w:val="auto"/>
        </w:rPr>
      </w:pPr>
    </w:p>
    <w:p>
      <w:pPr>
        <w:ind w:right="40" w:firstLine="177"/>
        <w:spacing w:after="0" w:line="301" w:lineRule="auto"/>
        <w:rPr>
          <w:sz w:val="20"/>
          <w:szCs w:val="20"/>
          <w:color w:val="auto"/>
        </w:rPr>
      </w:pPr>
      <w:r>
        <w:rPr>
          <w:rFonts w:ascii="Arial" w:cs="Arial" w:eastAsia="Arial" w:hAnsi="Arial"/>
          <w:sz w:val="16"/>
          <w:szCs w:val="16"/>
          <w:color w:val="auto"/>
        </w:rPr>
        <w:t>We agreed to use commercially reasonable efforts to pursue an agreed-upon development plan with the intent to develop a licensed product for sale within at least the United States and two major European countries and, subject to obtaining marketing approval, to commercialize a licensed product in at least the United States and two major European countries. In addition, we agreed to meet specified development and commercial milestones with respect to a licensed product by specified dates, as the same may be extended under the terms of the RHO-adRP License Agreement.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58" w:lineRule="exact"/>
        <w:rPr>
          <w:sz w:val="20"/>
          <w:szCs w:val="20"/>
          <w:color w:val="auto"/>
        </w:rPr>
      </w:pPr>
    </w:p>
    <w:p>
      <w:pPr>
        <w:ind w:right="220" w:firstLine="180"/>
        <w:spacing w:after="0" w:line="279" w:lineRule="auto"/>
        <w:rPr>
          <w:sz w:val="20"/>
          <w:szCs w:val="20"/>
          <w:color w:val="auto"/>
        </w:rPr>
      </w:pPr>
      <w:r>
        <w:rPr>
          <w:rFonts w:ascii="Arial" w:cs="Arial" w:eastAsia="Arial" w:hAnsi="Arial"/>
          <w:sz w:val="17"/>
          <w:szCs w:val="17"/>
          <w:color w:val="auto"/>
        </w:rPr>
        <w:t>In June 2018, we paid a $0.5 million upfront license issuance fee in connection with entry into the agreement, as well as accrued patent prosecution expenses of approximately $30 thousand.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104"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1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4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81"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16"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Unless earlier terminated by us, the RHO-adRP License Agreement will expire upon the expiration of our obligation to pay royalties to UFRF on net sales of licensed products. We may terminate the agreement at any time for any reason upon prior written notice to UFRF.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challenges or assists a third party in challenging the validity, scope, patentability, and/or enforceability of the licensed patent rights.</w:t>
      </w:r>
    </w:p>
    <w:p>
      <w:pPr>
        <w:spacing w:after="0" w:line="110" w:lineRule="exact"/>
        <w:rPr>
          <w:sz w:val="20"/>
          <w:szCs w:val="20"/>
          <w:color w:val="auto"/>
        </w:rPr>
      </w:pPr>
    </w:p>
    <w:p>
      <w:pPr>
        <w:ind w:right="540" w:firstLine="180"/>
        <w:spacing w:after="0" w:line="277" w:lineRule="auto"/>
        <w:rPr>
          <w:sz w:val="20"/>
          <w:szCs w:val="20"/>
          <w:color w:val="auto"/>
        </w:rPr>
      </w:pPr>
      <w:r>
        <w:rPr>
          <w:rFonts w:ascii="Arial" w:cs="Arial" w:eastAsia="Arial" w:hAnsi="Arial"/>
          <w:sz w:val="18"/>
          <w:szCs w:val="18"/>
          <w:color w:val="auto"/>
        </w:rPr>
        <w:t>Following any termination of the agreement prior to expiration of the term of the agreement, all rights to the licensed patent rights and know-how granted to us will revert to UFRF and Penn.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Penn and UFRF for IC-200</w:t>
      </w:r>
    </w:p>
    <w:p>
      <w:pPr>
        <w:spacing w:after="0" w:line="252" w:lineRule="exact"/>
        <w:rPr>
          <w:sz w:val="20"/>
          <w:szCs w:val="20"/>
          <w:color w:val="auto"/>
        </w:rPr>
      </w:pPr>
    </w:p>
    <w:p>
      <w:pPr>
        <w:ind w:right="40" w:firstLine="180"/>
        <w:spacing w:after="0" w:line="296" w:lineRule="auto"/>
        <w:rPr>
          <w:sz w:val="20"/>
          <w:szCs w:val="20"/>
          <w:color w:val="auto"/>
        </w:rPr>
      </w:pPr>
      <w:r>
        <w:rPr>
          <w:rFonts w:ascii="Arial" w:cs="Arial" w:eastAsia="Arial" w:hAnsi="Arial"/>
          <w:sz w:val="16"/>
          <w:szCs w:val="16"/>
          <w:color w:val="auto"/>
        </w:rPr>
        <w:t xml:space="preserve">In April 2019, we entered into an exclusive global license agreement, which we refer to as the BEST1 License Agreement, with Penn and UFRF. We entered into the BEST1 License Agreement by exercising our exclusive option rights under an option agreement that we previously entered into with Penn and UFRF in October 2018. Under the BEST1 License Agreement, Penn and UFRF granted us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such product in at least the United States and two major European countries. In addition, we have agreed to meet specified development and regulatory milestones with respect to a licensed product by specified dates, as the same may be extended under the terms of the agreement.</w:t>
      </w:r>
    </w:p>
    <w:p>
      <w:pPr>
        <w:spacing w:after="0" w:line="19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We may grant sublicenses of the licensed patent rights and know-how, without the consent of Penn or UFRF, to certain affiliates and to biopharmaceutical companies that have a minimum market capitalization at the time such sublicense is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granted, and may otherwise grant sublicenses to the licensed patent rights and know-how with the consent of Penn and UFRF, not to be unreasonably withheld.</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4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In May 2019, we paid Penn, for the benefit of Penn and UFRF, a $0.2 million upfront license issuance fee,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7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11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BEST1 License Agreement, unless earlier terminated by us or Penn or UFRF, will expire upon the expiration of our obligation to pay royalties to Penn, for the benefit of Penn and UFRF, on net sales of licensed products. Before the effectiveness of an IND for a licensed product, we may terminate the BEST1 License Agreement with respect to such licensed product or in its entirety, at any time for any reason upon prior written notice to Penn and UFRF. Following the effectiveness of an IND for a licensed product, we may terminate the BEST1 License Agreement with respect to such licensed product by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providing Penn prior written notice and a certification that we are ceasing all use, research and development and commercialization of such licensed product, subject to certain limited exceptions. We may also terminate the BEST1 License Agreement if Penn or UFRF materially breaches the BEST1 License Agreement and does not cure such breach within a specified cure period.</w:t>
      </w:r>
    </w:p>
    <w:p>
      <w:pPr>
        <w:spacing w:after="0" w:line="1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Penn or UFRF may terminate the BEST1 License Agreement if we materially breach the BEST1 License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any of our affiliates or any of our sublicensees challenge or assist a third party in challenging the validity, scope, patentability, and/or enforceability of the licensed patent rights. If we materially breach certain diligence obligations under the BEST1 License Agreement with respect to only one licensed product, then Penn and UFRF may only terminate our rights and licenses under the BEST1 License Agreement for such licensed product, but not for other licensed products.</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Following any termination of the BEST1 License Agreement prior to expiration of the term of the BEST1 License Agreement, all rights to the licensed patent rights and know-how that Penn and UFRF granted to us will revert to Penn and UFRF.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UMass for the miniCEP290 Program</w:t>
      </w:r>
    </w:p>
    <w:p>
      <w:pPr>
        <w:spacing w:after="0" w:line="14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July 2019, we entered into an Exclusive License Agreement, which we refer to as the miniCEP290 License Agreement, with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including LCA10. We may grant sublicenses of the licensed patent rights and know-how without the consent of UMass.</w:t>
      </w:r>
    </w:p>
    <w:p>
      <w:pPr>
        <w:spacing w:after="0" w:line="1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4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July 2019, we issued to UMass 75,000 shares of our common stock following execution of the miniCEP290 License Agreement pursuant to an exemption from registration afforded by Section 4(a)(2) of the Securities Act of 1933, as amended, or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10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116"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0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UMass may terminate the miniCEP290 License Agreement if we materially breach the miniCEP290 License Agreement and do not cure such breach within a specified cure period.</w:t>
      </w:r>
    </w:p>
    <w:p>
      <w:pPr>
        <w:spacing w:after="0" w:line="10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Following any termination of the miniCEP290 License Agreement prior to expiration of the term of the miniCEP290 License Agreement, all rights to the licensed patent rights and know-how that UMass granted to us will revert to UMass.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and Biologics in the United States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A company, institution, or organization which takes responsibility for the initiation and management of a clinical development program for such products, and for their regulatory approval, is typically referred to as a sponsor. The failure to comply with requirements under the FDCA or PHSA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8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 drug candidate must be approved by the FDA through a new drug application, or NDA. A biologic candidate is licensed by the FDA through approval of a biologic license application, or BLA. A sponsor seeking approval to market and distribute a new product in the United States must typically undertake the following:</w:t>
      </w:r>
    </w:p>
    <w:p>
      <w:pPr>
        <w:spacing w:after="0" w:line="184" w:lineRule="exact"/>
        <w:rPr>
          <w:sz w:val="20"/>
          <w:szCs w:val="20"/>
          <w:color w:val="auto"/>
        </w:rPr>
      </w:pPr>
    </w:p>
    <w:p>
      <w:pPr>
        <w:ind w:left="980" w:right="20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design of a clinical trial protocol and submission to the FDA of an IND, which must take effect before human clinical trials may begin;</w:t>
      </w:r>
    </w:p>
    <w:p>
      <w:pPr>
        <w:spacing w:after="0" w:line="263"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trial site before each clinical trial may be initiated at that clinical site;</w:t>
      </w:r>
    </w:p>
    <w:p>
      <w:pPr>
        <w:spacing w:after="0" w:line="197"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preparation and submission to the FDA of an application requesting marketing approval for one or more proposed indications;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52"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application;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Before a sponsor begins testing a drug or biologic with potential therapeutic value in humans, the product candidate must undergo preclinical testing. Preclinical studies include laboratory evaluation of product chemistry, toxicity and formulation, and the purity and stability of the substance,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potential safety and activity of the product candidate for initial testing in humans and to establish a rationale for therapeutic use. The conduct of preclinical studies is subject to federal regulations and requirements, including GLP regulations and the United States Department of Agriculture’s Animal Welfare Act, if applicable.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re-commence.</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to the foregoing IND requirements, an IRB or ethics committee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 represents, if the clinical trial is not being conducted in accordance with the IRB’s requirements or if the product candidate has been associated with unexpected serious harm to patients.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certain available data from the study to which only the DSMB may access.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Human Clinical Trials in Support of an Application</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225" w:lineRule="exact"/>
        <w:rPr>
          <w:sz w:val="20"/>
          <w:szCs w:val="20"/>
          <w:color w:val="auto"/>
        </w:rPr>
      </w:pPr>
    </w:p>
    <w:p>
      <w:pPr>
        <w:jc w:val="both"/>
        <w:ind w:left="980" w:right="140" w:hanging="324"/>
        <w:spacing w:after="0" w:line="263"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product candidate is initially introduced into a small number of healthy human subjects or, in certain indications,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target disease or condition and tested for safety, dosage tolerance, absorption, metabolism, distribution, excretion and, if possible, to gain an early indication of its effectiveness and to determine optimal dosage.</w:t>
      </w:r>
    </w:p>
    <w:p>
      <w:pPr>
        <w:spacing w:after="0" w:line="210" w:lineRule="exact"/>
        <w:rPr>
          <w:rFonts w:ascii="Arial" w:cs="Arial" w:eastAsia="Arial" w:hAnsi="Arial"/>
          <w:sz w:val="18"/>
          <w:szCs w:val="18"/>
          <w:color w:val="auto"/>
        </w:rPr>
      </w:pPr>
    </w:p>
    <w:p>
      <w:pPr>
        <w:ind w:left="980" w:right="120" w:hanging="324"/>
        <w:spacing w:after="0" w:line="279" w:lineRule="auto"/>
        <w:tabs>
          <w:tab w:leader="none" w:pos="975"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The product candidate is administered to a limited patient population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98" w:lineRule="exact"/>
        <w:rPr>
          <w:rFonts w:ascii="Arial" w:cs="Arial" w:eastAsia="Arial" w:hAnsi="Arial"/>
          <w:sz w:val="17"/>
          <w:szCs w:val="17"/>
          <w:color w:val="auto"/>
        </w:rPr>
      </w:pPr>
    </w:p>
    <w:p>
      <w:pPr>
        <w:ind w:left="980" w:right="20" w:hanging="324"/>
        <w:spacing w:after="0" w:line="275" w:lineRule="auto"/>
        <w:tabs>
          <w:tab w:leader="none" w:pos="975"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clinical trials are commonly referred to as “pivotal” studies, which denotes a study that presents the data that the FDA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risk–benefit profile of the product and to provide adequate information for the labeling of the product.</w:t>
      </w:r>
    </w:p>
    <w:p>
      <w:pPr>
        <w:spacing w:after="0" w:line="203"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95"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to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Both NIH and the FDA have recently signaled the government’s willingness to begin enforcing those requirements against non-compliant clinical trial sponsors. The failure to submit clinical trial information to clinicaltrials.gov, as required, is a prohibited act under the FDCA with violations subject to potential civil monetary penalties of up to $10,000 for each day the violation continues.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Expanded access allows a patient to obtain an investigational new drug when enrolling in a clinical trial for that drug is difficult or not feasible for the patient. FDA regulations allow access to investigational drugs under an IND by the sponsor or the treating physician for treatment purposes on a case-by-case basis in certain circumstances, subject to FDA approval. There is no obligation for a sponsor to make its drug products available for expanded access. In April 2020, we adopted an expanded access policy, which is, as required by the 21st Century Cures Act, or Cures Act, available on our website.</w:t>
      </w:r>
    </w:p>
    <w:p>
      <w:pPr>
        <w:spacing w:after="0" w:line="9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approval under the expanded access program. There is no obligation for a drug manufacturer to make its drug products available to eligible patients under the Right to Try Act.</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and Other Regulatory Requirements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1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Regulations and Guidance Governing Gene Therapy Products</w:t>
      </w:r>
    </w:p>
    <w:p>
      <w:pPr>
        <w:spacing w:after="0" w:line="252"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transferred to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prior to administration to the recipient.</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FDA has issued various guidance documents regarding gene therapies, including final guidance documents released in January 2020 relating to chemistry, manufacturing and controls information for gene therapy INDs, long-term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follow-up after the administration of gene therapy products,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We expect the FDA to issue additional guidance on gene therapies.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Protocol Assessment Agreements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 Special Protocol Assessment, or SPA, agreement is an agreement between a drug manufacturer and the FDA on the design and size of studies and clinical trials that can be used for approval of a drug or biological product. The FDA’s guidance on such agreements states that an agreement may not be changed by the manufacturer or the agency unless through a written agreement of the two entities or if FDA determines a substantial scientific issue essential to determining the safety or effectiveness of the drug. The protocols that are eligible for SPA agreements are: animal carcinogenicity protocols, final product stability protocols and clinical protocols for Phase 3 trials whose data will form the primary basis for an efficacy claim.</w:t>
      </w:r>
    </w:p>
    <w:p>
      <w:pPr>
        <w:spacing w:after="0" w:line="188" w:lineRule="exact"/>
        <w:rPr>
          <w:sz w:val="20"/>
          <w:szCs w:val="20"/>
          <w:color w:val="auto"/>
        </w:rPr>
      </w:pPr>
    </w:p>
    <w:p>
      <w:pPr>
        <w:jc w:val="both"/>
        <w:ind w:right="120" w:firstLine="648"/>
        <w:spacing w:after="0" w:line="271" w:lineRule="auto"/>
        <w:rPr>
          <w:sz w:val="20"/>
          <w:szCs w:val="20"/>
          <w:color w:val="auto"/>
        </w:rPr>
      </w:pPr>
      <w:r>
        <w:rPr>
          <w:rFonts w:ascii="Arial" w:cs="Arial" w:eastAsia="Arial" w:hAnsi="Arial"/>
          <w:sz w:val="17"/>
          <w:szCs w:val="17"/>
          <w:color w:val="auto"/>
        </w:rPr>
        <w:t>The FDA may meet with sponsors, provided certain conditions are met, for the purpose of reaching an SPA agreement on the design and size of clinical trials intended to form the primary basis of an efficacy claim in a marketing application. If a sponsor makes a reasonable written request to meet with the FDA for the purpose of reaching agreement on the design and size of a clinical trial, then the FDA will meet with the sponsor. If an agreement is reached, the FDA will reduce the agreement to writing and make it part of the administrative record. An agreement may not be changed by the sponsor or FDA after the trial begins, except with the written agreement of the sponsor and FDA, or if the director of the FDA reviewing division determines that “a substantial scientific issue essential to determining the safety or effectiveness of the drug” was identified after the testing began. If a sponsor and the FDA meet regarding the design and size of a clinical trial and the parties cannot agree that the trial design is adequate to meet the goals of the sponsor, the FDA will clearly state the reasons for the disagreement in a letter to the sponsor.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Review of a Product Candidate by the FDA</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clinical trials are successful, the next step in the development process is the preparation and submission to the FDA of an application for marketing approval. The application is the vehicle through which sponsors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2022 is $3,117,218 for an application requiring clinical data. The sponsor of an approved application is also subject to an annual program fee, which for fiscal year 2022 is $369,413. Certain exceptions and waivers are available for some of these fees, such as an exception from the application fee for products with orphan designation and a waiver for certain small businesses.</w:t>
      </w:r>
    </w:p>
    <w:p>
      <w:pPr>
        <w:spacing w:after="0" w:line="16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Following submission of an application, the FDA conducts a preliminary review of an application within 60 calendar days of its receipt and must inform the sponsor by that time or before whether the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an application for filing.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any special review status for the particular product candidate allowing for expedited review. Special review status is available for certain products that are intended to address an unmet medical need in the treatment of a serious or life–threatening disease or condition under one of the following FDA-designations: fast track designation, breakthrough therapy designation, priority review designation and regenerative medicine advanced therapy designation. The review process and the PDUFA goal date may be extended by the FDA for three additional months to consider new information or clarification provided by the sponsor to address an outstanding deficiency identified by the FDA following the original submission.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its review of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 and the integrity of the clinical data submitted.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submission of the assessment data required under PREA. These plans are subject to FDA review before beginning the pediatric study. Product candidates that have received orphan designation are generally exempt from the requirements of PREA. In addition, a sponsor may apply for a waiver of the PREA requirements, which the FDA has indicated it will automatically grant for certain diseases that do not affect pediatric populations, including AMD.</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FDA’s Decision on an Application</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FDA reviews an application to determine, among other things, whether the product is safe and whether it is effective for its intended use(s), with the latter determination being made on the basis of substantial evidence. 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w:t>
      </w:r>
    </w:p>
    <w:p>
      <w:pPr>
        <w:spacing w:after="0" w:line="17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product’s safety and efficacy in the NDA or potency, purity and safety in a BLA.</w:t>
      </w:r>
    </w:p>
    <w:p>
      <w:pPr>
        <w:spacing w:after="0" w:line="184"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w:t>
      </w:r>
    </w:p>
    <w:p>
      <w:pPr>
        <w:spacing w:after="0" w:line="19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firstLine="180"/>
        <w:spacing w:after="0" w:line="277" w:lineRule="auto"/>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 and Accelerated Approval; Rare Pediatric Disease Priority Review Voucher Program</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 None of these expedited programs changes the standards for approval, but each may help expedite the development or approval process governing product candidates.</w:t>
      </w:r>
    </w:p>
    <w:p>
      <w:pPr>
        <w:spacing w:after="0" w:line="15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In April 2020, the FDA granted fast track designation to Zimura for the treatment of GA secondary to dry AMD.</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FDASIA established a new regulatory scheme allowing for expedited review of products designated as “breakthrough therapies.” 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With passage of the Cures Act,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and potential eligibility for priority review and accelerated approval based on surrogate or intermediate endpoints.</w:t>
      </w:r>
    </w:p>
    <w:p>
      <w:pPr>
        <w:spacing w:after="0" w:line="192" w:lineRule="exact"/>
        <w:rPr>
          <w:sz w:val="20"/>
          <w:szCs w:val="20"/>
          <w:color w:val="auto"/>
        </w:rPr>
      </w:pPr>
    </w:p>
    <w:p>
      <w:pPr>
        <w:ind w:right="60" w:firstLine="177"/>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1" w:lineRule="exact"/>
        <w:rPr>
          <w:sz w:val="20"/>
          <w:szCs w:val="20"/>
          <w:color w:val="auto"/>
        </w:rPr>
      </w:pPr>
    </w:p>
    <w:p>
      <w:pPr>
        <w:jc w:val="both"/>
        <w:ind w:right="460" w:firstLine="177"/>
        <w:spacing w:after="0" w:line="259" w:lineRule="auto"/>
        <w:rPr>
          <w:sz w:val="20"/>
          <w:szCs w:val="20"/>
          <w:color w:val="auto"/>
        </w:rPr>
      </w:pPr>
      <w:r>
        <w:rPr>
          <w:rFonts w:ascii="Arial" w:cs="Arial" w:eastAsia="Arial" w:hAnsi="Arial"/>
          <w:sz w:val="18"/>
          <w:szCs w:val="18"/>
          <w:color w:val="auto"/>
        </w:rPr>
        <w:t>The FDA may award priority review vouchers, or PRVs, to sponsors of rare pediatric disease product applications that meet certain criteria. A rare pediatric disease is a rare disease where the disease is serious or life-threatening with the serious or life-threatening manifestations primarily affecting individuals from age zero to 18. A sponsor who receives approval for a drug or biologic for a rare pediatric disease may qualify for a PRV, which the sponsor may redeem to receive priority review of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subsequent marketing application for a different product. In lieu of using the PRV for one of its own product candidates, a sponsor may sell that voucher for use by a third party. Current prices for these PRVs range in the hundreds of millions of dollars. The current rare pediatric disease priority review voucher program will expire on September 30, 2024, although a drug designated as a rare pediatric disease treatment by September 30, 2024 can still receive a priority review voucher but no later than September 30, 2026.</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 changes, or changing the manufacturing process for the approved product, are subject to additional testing and/or FDA review and approval.</w:t>
      </w:r>
    </w:p>
    <w:p>
      <w:pPr>
        <w:spacing w:after="0" w:line="17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 third–party manufacturers that the sponsor may decide to use. Accordingly, sponsors and manufacturers must continue to spend time, money, and effort in the area of production and quality control to maintain cGMP compliance. Further, the FDA will conduct laboratory research related to the safety, purity, potency and effectiveness of pharmaceutical products.</w:t>
      </w:r>
    </w:p>
    <w:p>
      <w:pPr>
        <w:spacing w:after="0" w:line="17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61"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Products may be promoted only for the approved indications and in accordance with the provisions of the approved label. Although health care providers may prescribe products for off-label uses in their professional judgment, manufacturers are prohibited from soliciting, encouraging or promoting unapproved uses of a product.</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Generic Drugs and Exclusivity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Under the Hatch-Waxman Amendments to the FDCA, the FDA is authorized to approve generic drugs that are shown to contain the same active ingredients as, and is bioequivalent to, drugs previously approved by the FDA pursuant to NDAs, which are also known as reference listed drugs, or RLDs. To obtain approval of a generic drug, a sponsor must submit an abbreviated new drug application, or ANDA, to the FDA. An ANDA sponsor does not generally rely on its own preclinical or clinical data to demonstrate safety and effectiveness but instead can rely on preclinical and clinical testing previously conducted by the sponsor of the RLD. The ANDA sponsor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11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FDA is also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Sponsors of RLDs are required to list in the FDA's Orange Book each patent with claims covering the RLD or approved methods of using the RLD. An ANDA sponsor is required to certify to the FDA concerning any such patents, which may be a certification that the listed patent is invalid, unenforceable or will not be infringed by the new product, which is known as a Paragraph IV certification. An ANDA sponsor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sponsor.</w:t>
      </w:r>
    </w:p>
    <w:p>
      <w:pPr>
        <w:spacing w:after="0" w:line="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sponsor to gain approval of an NDA for a New Chemical Entity. A drug is a New Chemical Entity if the FDA has not previously approved any other new drug containing the same active moiety, which is the molecule responsible for the pharmacological activity of the drug substance. This interpretation was confirmed with enactment of the Ensuring Innovation Act in April 2021.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9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FDCA also provides three years of marketing exclusivity for an NDA, 505(b)(2) NDA, or supplement to an existing NDA or 505(b)(2) NDA if new clinical investigations, other than bioavailability studies, that were conducted or sponsored by the sponsor,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The five-year and three-year exclusivities will not delay the submission or approval of a full NDA; however, a sponsor submitting a full NDA would be required to conduct or obtain a right of reference to all of the preclinical studies and adequate and well-controlled clinical trials necessary to demonstrate safety and effectiveness.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Patient Protection and Affordable Care Act, or ACA,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To date, the FDA has approved a number of biosimilars and the first interchangeable biosimilar product was approved on July 30, 2021 and a second product previously approved as a biosimilar was designated as interchangeable in October 2021. The FDA has also issued numerous guidance documents outlining its approach reviewing and licensing biosimilars and interchangeable biosimilars under the PHSA.</w:t>
      </w:r>
    </w:p>
    <w:p>
      <w:pPr>
        <w:spacing w:after="0" w:line="19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there have been recent government proposals to reduce the 12-year reference product exclusivity period, but none has been enacted to date. At the same time, many states have passed laws or amendments to laws, including laws governing pharmacy practices, which are state-regulated, involving biosimilars.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patent claiming a new drug product, its method of use or its method of manufacture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the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indicated that it will determine whether two vectors from the same viral class are the same on a case-by-case basis and may consider additional key features in assessing sameness. If a product designated as an orphan drug ultimately receives marketing approval for an indication broader than what was designated in its orphan drug application, it may not be entitled to exclusivity.</w:t>
      </w:r>
    </w:p>
    <w:p>
      <w:pPr>
        <w:spacing w:after="0" w:line="16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 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It is unclear how this court decision will be implemented by the FDA.</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an additional six months of regulatory exclusivity. For drug products, the six month exclusivity may be attached to the term of any existing patent or regulatory exclusivity, including orphan drug exclusivity and regulatory exclusivities available under the Hatch-Waxman provisions of the FDCA. For biologic products, the six month period may be attached to any existing regulatory exclusivities but not to any patent terms. This six-month exclusivity may be granted if an application sponsor submits pediatric data that fairly respond to a written 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FDA cannot approve an ANDA or 505(b)(2) NDA that references the product. With regard to patents, the six-month pediatric exclusivity period will not attach to any patents for which an ANDA or 505(b)(2) sponsor submitted a paragraph IV certification, unless the NDA sponsor or patent owner first obtains a court determination that the patent is valid and infringed by the proposed ANDA or 505(b)(2)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Products in Europe and other Foreign Jurisdictions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before beginning clinical trials or marketing the product in those countries. To obtain regulatory approval of an investigational product in the European Union, a manufacturer must submit a marketing authorization application, or MAA, to the EMA. For other countries outside of the European Union, such as the United Kingdom or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19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Parties conducting certain clinical trials must, as in the United States, post clinical trial information in the EU at the EudraCT website.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European Union, marketing authorizations for medicinal products may be obtained through different procedures founded on the same basic regulatory process. A marketing authorization may be granted only to a sponsor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marketing authorizations.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The centralized procedure provides for the grant of a single marketing authorization by the European Commission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Specialized Procedures for Gene Therapies. </w:t>
      </w:r>
      <w:r>
        <w:rPr>
          <w:rFonts w:ascii="Arial" w:cs="Arial" w:eastAsia="Arial" w:hAnsi="Arial"/>
          <w:sz w:val="16"/>
          <w:szCs w:val="16"/>
          <w:color w:val="auto"/>
        </w:rPr>
        <w:t>The grant of marketing authorization in the European Union for gene therapy products is governed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1394/2007/EC on advanced therapy medicinal products, read in combination with Directive 2001/83/EC of the European Parliament and of the Council, commonly known as the Community code on medicinal products for human use. Regulation 1394/2007/EC includes specific rules concerning the authorization, supervision, and pharmacovigilance of gene therapy medicinal products. All advanced therapy medicinal products are approved centrally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the EMA. The EMA's Committee for Advanced Therapies reviews and provides an opinion regarding each advanced therapy MAA for potential final approval by the European Commission.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The decentralized procedure provides for approval by one or more other concerned EU Member States of an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 MAA conducted by one EU Member State, known as the reference EU Member State. In accordance with this procedure, a sponsor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92"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87" w:lineRule="exact"/>
        <w:rPr>
          <w:sz w:val="20"/>
          <w:szCs w:val="20"/>
          <w:color w:val="auto"/>
        </w:rPr>
      </w:pPr>
    </w:p>
    <w:p>
      <w:pPr>
        <w:ind w:right="40" w:firstLine="180"/>
        <w:spacing w:after="0" w:line="308" w:lineRule="auto"/>
        <w:rPr>
          <w:sz w:val="20"/>
          <w:szCs w:val="20"/>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accordance with the mutual recognition procedure, the sponsor applies for national marketing authorization in one EU</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State. Upon receipt of this authorization the sponsor can then seek the recognition of this authorization by other EU Member States.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PRIME Designation</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the PRIME scheme, facilitating increased understanding of the product at EMA’s Committee level.</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1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detailing the continued quality, safety and efficacy of the product,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European Union market, in the case of the centralized procedure, or in the market of the EU Member State which delivered the marketing authorization, in the case of the decentralized procedure, within three years after authorization ceases to be valid.</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Extensions in the European Union and Other Jurisdictions</w:t>
      </w:r>
    </w:p>
    <w:p>
      <w:pPr>
        <w:spacing w:after="0" w:line="117"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1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In the European Union, innovative medicinal products approved on the basis of a complete independent data package qualify for eight years of data exclusivity upon marketing authorization and an additional two years of market exclusivity. Data exclusivity prevents sponsors for authorization of generics of these innovative products from referencing the innovator’s data in a generic (abridged) application for a period of eight years. During an additional two-year period of market exclusivity, a generic MAA can be submitted and authorized, and the innovator’s data may be referenced, but no generic medicinal product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can be placed on the European Union market until the expiration of the market exclusivity. The overall ten-year period will be extended to a maximum of 11 years if, during the first eight years of those ten years, the marketing authorization holder obtains an authorization for one or more new therapeutic indications that are shown, during the scientific evaluation prior to authorization, to bring a significant clinical benefit in comparison with existing therapies. Even if a compound is considered to be an innovative medicinal product so that the innovator gains the additional prescribed period of marketing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sponsor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9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The market exclusivity period can be extended by two years following completion of an agreed upon pediatric investigation plan.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new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to not justify maintenance of market exclusivity.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Before obtaining a marketing authorization in the European Union, sponsors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sponsor actually complied with the agreed studies and measures listed in each relevant PIP. If a sponsor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or alternatively a one year extension of the regulatory market exclusivity from ten to eleven years, as selected by the marketing authorization holder.</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8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United Kingdom’s withdrawal from the EU took place on January 31, 2020. The EU and the U.K. reached an agreement on their new partnership in the Trade and Cooperation Agreement, or the Trade Agreement, which was applied provisionally beginning on January 1, 2021 and which entered into force on May 1, 2021. The Trade Agreement focuses primarily on free trade by ensuring no tariffs or quotas on trade in goods, including healthcare products such as medicinal products. Thereafter, the EU and the U.K. will form two separate markets governed by two distinct regulatory and legal regimes. As such, the Trade Agreement seeks to minimize barriers to trade in goods while accepting that border checks will become inevitable as a consequence that the U.K. is no longer part of the single market. As of January 1, 2021, the Medicines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of the U.K. the body of EU law governing medicinal products that pre-existed prior to the U.K.’s withdrawal from the EU.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Insurance Coverage, Pricing and Reimbursement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medically necessary or cost effective by the payors.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195" w:lineRule="exact"/>
        <w:rPr>
          <w:sz w:val="20"/>
          <w:szCs w:val="20"/>
          <w:color w:val="auto"/>
        </w:rPr>
      </w:pPr>
    </w:p>
    <w:p>
      <w:pPr>
        <w:ind w:right="60" w:firstLine="177"/>
        <w:spacing w:after="0" w:line="289"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the U.S. Congress. Under both the previous Trump Administration and the current Biden Administration, various U.S. government agencies, including the FDA and the Center for Medicare &amp; Medicaid Services, or CMS, proposed a number of rules intended to curb drug prices. For example, in October 2020, the Department of Health and Human Services, or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 on July 9, 2021, President Biden signed Executive Order 14063, which focuses on, among other things, the price of pharmaceuticals. The executive order directs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08" w:lineRule="exact"/>
        <w:rPr>
          <w:sz w:val="20"/>
          <w:szCs w:val="20"/>
          <w:color w:val="auto"/>
        </w:rPr>
      </w:pPr>
    </w:p>
    <w:p>
      <w:pPr>
        <w:ind w:firstLine="170"/>
        <w:spacing w:after="0" w:line="272"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access to certain products, and marketing cost disclosure and transparency measures, and, in some cases, measures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healthcare organizations and individual hospitals are increasingly using bidding procedures to determine which pharmaceutical products and which suppliers will be included in their prescription drug and other healthcare programs. These measures could reduce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ultimate demand for our products, if and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11"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21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cost effectiveness clinical studies. EU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Over the past decade, many EU Member States have increased 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 Member States, and parallel trade, i.e., arbitrage between low-priced and high-priced member states, can further reduce prices.</w:t>
      </w:r>
    </w:p>
    <w:p>
      <w:pPr>
        <w:spacing w:after="0" w:line="165" w:lineRule="exact"/>
        <w:rPr>
          <w:sz w:val="20"/>
          <w:szCs w:val="20"/>
          <w:color w:val="auto"/>
        </w:rPr>
      </w:pPr>
    </w:p>
    <w:p>
      <w:pPr>
        <w:ind w:right="20" w:firstLine="180"/>
        <w:spacing w:after="0" w:line="289" w:lineRule="auto"/>
        <w:rPr>
          <w:sz w:val="20"/>
          <w:szCs w:val="20"/>
          <w:color w:val="auto"/>
        </w:rPr>
      </w:pPr>
      <w:r>
        <w:rPr>
          <w:rFonts w:ascii="Arial" w:cs="Arial" w:eastAsia="Arial" w:hAnsi="Arial"/>
          <w:sz w:val="16"/>
          <w:szCs w:val="16"/>
          <w:color w:val="auto"/>
        </w:rPr>
        <w:t>In addition to initiatives specifically directed at lowering or containing prescription drug prices, legislative action in the United States at the national level has resulted in reduced funding levels for Medicare. For example, the Budget Control Act of 2011, or BCA, led to aggregate reductions in Medicare payments to providers of up to 2% per fiscal year from 2013 through 2031, and the American Taxpayer Relief Act of 2012 reduced Medicare payments to several types of providers and increased the statute of limitations period for the government to recover overpayments to providers from three to five years. We expect that Zimura, if approved for GA, would be reimbursed by the Medicare Part B "buy and bill" reimbursement model, under which physicians purchase Zimura from us or a wholesaler/distributor, and then bill Medicare for their costs following administration. Medicare Part B currently provides for reimbursement to the physicians at a rate equal to the average sales price for the product plus a six percent markup. The BCA has reduced the effective rate of that markup to 4.3%. Any further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193"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 to a penalty. The individual mandate was repealed as part of the Tax Cuts and Jobs Act of 2017, or TCJA, with the repeal becoming effective on January 1, 2019. According to the Congressional Budget Office, the repeal of the individual mandate will cause 13 million fewer Americans to be insured in 2027 and premiums in insurance markets may rise. In addition, since passage of the ACA, there have been several lawsuits challenging the ACA, and we expect additional lawsuits may be filed.</w:t>
      </w:r>
    </w:p>
    <w:p>
      <w:pPr>
        <w:spacing w:after="0" w:line="205" w:lineRule="exact"/>
        <w:rPr>
          <w:sz w:val="20"/>
          <w:szCs w:val="20"/>
          <w:color w:val="auto"/>
        </w:rPr>
      </w:pPr>
    </w:p>
    <w:p>
      <w:pPr>
        <w:jc w:val="both"/>
        <w:ind w:right="320" w:firstLine="648"/>
        <w:spacing w:after="0" w:line="255" w:lineRule="auto"/>
        <w:rPr>
          <w:sz w:val="20"/>
          <w:szCs w:val="20"/>
          <w:color w:val="auto"/>
        </w:rPr>
      </w:pPr>
      <w:r>
        <w:rPr>
          <w:rFonts w:ascii="Arial" w:cs="Arial" w:eastAsia="Arial" w:hAnsi="Arial"/>
          <w:sz w:val="18"/>
          <w:szCs w:val="18"/>
          <w:color w:val="auto"/>
        </w:rPr>
        <w:t>Despite those developments, we expect the 117th Congress and the Biden Administration to support and expand on the ACA. For example, on January 28, 2021, President Biden issued an executive order directing federal agencies to review all existing regulations, policies and a variety of other guidance that limit Americans’ access to high-quality healthcare and to</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consider actions that will protect and strengthen Medicaid, the ACA and, more generally, access to affordable healthcare for Americans. Under this order, federal agencies are to advance President Biden’s overall access policy and make determinations as to whether additional actions are necessary. Specifically, the agencies must examine, among other things, policies that undermine protections for people with pre-existing conditions, including complications related to COVID-19, and policies that undermine the health insurance marketplace or other markets for health insurance.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40" w:hanging="324"/>
        <w:spacing w:after="0" w:line="259"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13"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3"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among other things, prohibits knowingly and willfully executing, or attempting to execute, a scheme to defraud any healthcare benefit program or making false statements relating to healthcare matters;</w:t>
      </w:r>
    </w:p>
    <w:p>
      <w:pPr>
        <w:spacing w:after="0" w:line="210" w:lineRule="exact"/>
        <w:rPr>
          <w:rFonts w:ascii="Arial" w:cs="Arial" w:eastAsia="Arial" w:hAnsi="Arial"/>
          <w:sz w:val="18"/>
          <w:szCs w:val="18"/>
          <w:color w:val="auto"/>
        </w:rPr>
      </w:pPr>
    </w:p>
    <w:p>
      <w:pPr>
        <w:ind w:left="980" w:right="100" w:hanging="324"/>
        <w:spacing w:after="0" w:line="286"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which impose obligations, including mandatory contractual terms, relating to safeguarding the privacy, security and transmission of individually identifiable health information by certain covered entities and their business associates;</w:t>
      </w:r>
    </w:p>
    <w:p>
      <w:pPr>
        <w:spacing w:after="0" w:line="192" w:lineRule="exact"/>
        <w:rPr>
          <w:rFonts w:ascii="Arial" w:cs="Arial" w:eastAsia="Arial" w:hAnsi="Arial"/>
          <w:sz w:val="17"/>
          <w:szCs w:val="17"/>
          <w:color w:val="auto"/>
        </w:rPr>
      </w:pPr>
    </w:p>
    <w:p>
      <w:pPr>
        <w:ind w:left="980" w:right="240" w:hanging="324"/>
        <w:spacing w:after="0" w:line="308"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3" w:lineRule="exact"/>
        <w:rPr>
          <w:rFonts w:ascii="Arial" w:cs="Arial" w:eastAsia="Arial" w:hAnsi="Arial"/>
          <w:sz w:val="17"/>
          <w:szCs w:val="17"/>
          <w:color w:val="auto"/>
        </w:rPr>
      </w:pPr>
    </w:p>
    <w:p>
      <w:pPr>
        <w:ind w:left="980" w:right="180" w:hanging="324"/>
        <w:spacing w:after="0" w:line="342" w:lineRule="auto"/>
        <w:tabs>
          <w:tab w:leader="none" w:pos="9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federal Foreign Corrupt Practices Act, which, among other things, prohibits providing or offering to provide money or anything of value to a foreign government body, government official, or political candidate for the improper purpose of obtaining or keeping business;</w:t>
      </w:r>
    </w:p>
    <w:p>
      <w:pPr>
        <w:spacing w:after="0" w:line="150" w:lineRule="exact"/>
        <w:rPr>
          <w:rFonts w:ascii="Arial" w:cs="Arial" w:eastAsia="Arial" w:hAnsi="Arial"/>
          <w:sz w:val="16"/>
          <w:szCs w:val="16"/>
          <w:color w:val="auto"/>
        </w:rPr>
      </w:pPr>
    </w:p>
    <w:p>
      <w:pPr>
        <w:ind w:left="980" w:right="260" w:hanging="324"/>
        <w:spacing w:after="0" w:line="279"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federal transparency requirements such as the federal Physician Payments Sunshine Act, created under the ACA, which requires certain manufacturers of drugs, devices, biologics and medical supplies to report annually to CMS information related to payments and other transfers of value made by that entity to physicians, other healthcare providers and teaching hospitals, as well as ownership and investment interests held by physicians, other healthcare providers and their immediate family members; and</w:t>
      </w:r>
    </w:p>
    <w:p>
      <w:pPr>
        <w:spacing w:after="0" w:line="198" w:lineRule="exact"/>
        <w:rPr>
          <w:rFonts w:ascii="Arial" w:cs="Arial" w:eastAsia="Arial" w:hAnsi="Arial"/>
          <w:sz w:val="17"/>
          <w:szCs w:val="17"/>
          <w:color w:val="auto"/>
        </w:rPr>
      </w:pPr>
    </w:p>
    <w:p>
      <w:pPr>
        <w:ind w:left="980" w:right="140" w:hanging="324"/>
        <w:spacing w:after="0" w:line="263"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state pharmaceutical sales representative listing requirements and other consumer protection laws, which may apply to healthcare items or services that are reimbursed by private insurers.</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such as the European Union's General Data Protection Regulation, also govern the privacy and security of, and require the notification of any breaches of, health information in some circumstances, many of which differ from each other in significant ways and often are not preempted by HIPAA, thus complicating compliance efforts.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principal executive offices are located at 8 Sylvan Way, Parsippany, New Jersey, 07054, and our telephone number is (609) 474-6755. Our Internet website is http://www.ivericbio.com.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177"/>
        <w:spacing w:after="0" w:line="296" w:lineRule="auto"/>
        <w:rPr>
          <w:sz w:val="20"/>
          <w:szCs w:val="20"/>
          <w:color w:val="auto"/>
        </w:rPr>
      </w:pPr>
      <w:r>
        <w:rPr>
          <w:rFonts w:ascii="Arial" w:cs="Arial" w:eastAsia="Arial" w:hAnsi="Arial"/>
          <w:sz w:val="16"/>
          <w:szCs w:val="16"/>
          <w:color w:val="auto"/>
        </w:rPr>
        <w:t>We make available free of charge through our website our Annual Report on Form 10–K, Quarterly Reports on Form 10–Q, Current Reports on Form 8– 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Zimura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19" w:lineRule="exact"/>
        <w:rPr>
          <w:sz w:val="20"/>
          <w:szCs w:val="20"/>
          <w:color w:val="auto"/>
        </w:rPr>
      </w:pPr>
    </w:p>
    <w:p>
      <w:pPr>
        <w:ind w:firstLine="447"/>
        <w:spacing w:after="0" w:line="275"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 for IC-500, and our gene therapy research programs. In particular, we are highly dependent on the success of Zimura, and any delays or issues with its further development,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10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having a product development focus to a company capable of commercializing pharmaceutical products. At this time, we are beginning to hire commercialization personnel and build a commercial infrastructure for the potential commercialization of Zimura, if approved. We may not be successful in such a transition, as our company has never conducted the sales, marketing, manufacturing and distribution activities necessary for successful product commercialization.</w:t>
      </w:r>
    </w:p>
    <w:p>
      <w:pPr>
        <w:spacing w:after="0" w:line="76" w:lineRule="exact"/>
        <w:rPr>
          <w:sz w:val="20"/>
          <w:szCs w:val="20"/>
          <w:color w:val="auto"/>
        </w:rPr>
      </w:pPr>
    </w:p>
    <w:p>
      <w:pPr>
        <w:ind w:right="100" w:firstLine="405"/>
        <w:spacing w:after="0" w:line="227"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even if we are successful in advancing the development of IC-500, which is currently in preclinical development, the value of our common stock may not rise in a meaningful way.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2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9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prior Fovista licensing and commercialization agreement with Novartis Pharma AG, funds we received in connection with our acquisition of Inception 4 in October 2018, and our follow-on public offerings, which we closed in February 2014, December 2019, June 2020, July 2021 and October 2021. As of December 31, 2021, we had an accumulated deficit of $679.6 million. Our net loss was $114.5 million for the year ended December 31, 2021 and we expect to continue to incur significant operating losses for the foreseeable future.</w:t>
      </w:r>
    </w:p>
    <w:p>
      <w:pPr>
        <w:spacing w:after="0" w:line="119" w:lineRule="exact"/>
        <w:rPr>
          <w:sz w:val="20"/>
          <w:szCs w:val="20"/>
          <w:color w:val="auto"/>
        </w:rPr>
      </w:pPr>
    </w:p>
    <w:p>
      <w:pPr>
        <w:ind w:right="60" w:firstLine="405"/>
        <w:spacing w:after="0" w:line="267" w:lineRule="auto"/>
        <w:rPr>
          <w:sz w:val="20"/>
          <w:szCs w:val="20"/>
          <w:color w:val="auto"/>
        </w:rPr>
      </w:pPr>
      <w:r>
        <w:rPr>
          <w:rFonts w:ascii="Arial" w:cs="Arial" w:eastAsia="Arial" w:hAnsi="Arial"/>
          <w:sz w:val="16"/>
          <w:szCs w:val="16"/>
          <w:color w:val="auto"/>
        </w:rPr>
        <w:t>Zimura is in clinical development, IC-500 is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right="52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0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prepare an NDA and an MAA for Zimura and seek marketing approval for any product candidates that successfully complete clinical trials;</w:t>
      </w:r>
    </w:p>
    <w:p>
      <w:pPr>
        <w:spacing w:after="0" w:line="180" w:lineRule="exact"/>
        <w:rPr>
          <w:rFonts w:ascii="Arial" w:cs="Arial" w:eastAsia="Arial" w:hAnsi="Arial"/>
          <w:sz w:val="16"/>
          <w:szCs w:val="16"/>
          <w:color w:val="auto"/>
        </w:rPr>
      </w:pPr>
    </w:p>
    <w:p>
      <w:pPr>
        <w:ind w:left="980" w:right="560" w:hanging="324"/>
        <w:spacing w:after="0" w:line="277" w:lineRule="auto"/>
        <w:tabs>
          <w:tab w:leader="none" w:pos="975" w:val="left"/>
        </w:tabs>
        <w:numPr>
          <w:ilvl w:val="0"/>
          <w:numId w:val="57"/>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Zimura</w:t>
      </w:r>
      <w:r>
        <w:rPr>
          <w:rFonts w:ascii="Arial" w:cs="Arial" w:eastAsia="Arial" w:hAnsi="Arial"/>
          <w:sz w:val="18"/>
          <w:szCs w:val="18"/>
          <w:color w:val="000000"/>
        </w:rPr>
        <w:t>;</w:t>
      </w:r>
    </w:p>
    <w:p>
      <w:pPr>
        <w:spacing w:after="0" w:line="102" w:lineRule="exact"/>
        <w:rPr>
          <w:rFonts w:ascii="Arial" w:cs="Arial" w:eastAsia="Arial" w:hAnsi="Arial"/>
          <w:sz w:val="18"/>
          <w:szCs w:val="18"/>
          <w:color w:val="212529"/>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Zimura or any of our other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1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December 31, 2021, we had cash, cash equivalents and available-for-sale securities of $381.7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0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22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89" w:lineRule="exact"/>
        <w:rPr>
          <w:rFonts w:ascii="Arial" w:cs="Arial" w:eastAsia="Arial" w:hAnsi="Arial"/>
          <w:sz w:val="18"/>
          <w:szCs w:val="18"/>
          <w:color w:val="auto"/>
        </w:rPr>
      </w:pPr>
    </w:p>
    <w:p>
      <w:pPr>
        <w:ind w:left="980" w:right="900" w:hanging="324"/>
        <w:spacing w:after="0" w:line="308"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78" w:lineRule="exact"/>
        <w:rPr>
          <w:rFonts w:ascii="Arial" w:cs="Arial" w:eastAsia="Arial" w:hAnsi="Arial"/>
          <w:sz w:val="17"/>
          <w:szCs w:val="17"/>
          <w:color w:val="auto"/>
        </w:rPr>
      </w:pPr>
    </w:p>
    <w:p>
      <w:pPr>
        <w:ind w:left="980" w:right="20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0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89"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or out-license for the further development and potential commercialization of IC-100 and IC-200;</w:t>
      </w:r>
    </w:p>
    <w:p>
      <w:pPr>
        <w:spacing w:after="0" w:line="116"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10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89"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78"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8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89"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100"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9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0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9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85" w:lineRule="exact"/>
        <w:rPr>
          <w:sz w:val="20"/>
          <w:szCs w:val="20"/>
          <w:color w:val="auto"/>
        </w:rPr>
      </w:pPr>
    </w:p>
    <w:p>
      <w:pPr>
        <w:ind w:right="20" w:firstLine="405"/>
        <w:spacing w:after="0" w:line="236" w:lineRule="auto"/>
        <w:rPr>
          <w:sz w:val="20"/>
          <w:szCs w:val="20"/>
          <w:color w:val="auto"/>
        </w:rPr>
      </w:pPr>
      <w:r>
        <w:rPr>
          <w:rFonts w:ascii="Arial" w:cs="Arial" w:eastAsia="Arial" w:hAnsi="Arial"/>
          <w:sz w:val="17"/>
          <w:szCs w:val="17"/>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we issued and sold 10,350,000 shares of our common stock in an underwritten public offering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127"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6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disruptions in the financial markets and economies, which could adversely affect our business and operations.</w:t>
      </w:r>
    </w:p>
    <w:p>
      <w:pPr>
        <w:spacing w:after="0" w:line="11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Beginning in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 w:hanging="328"/>
        <w:spacing w:after="0" w:line="268"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w:t>
      </w:r>
      <w:r>
        <w:rPr>
          <w:rFonts w:ascii="Arial" w:cs="Arial" w:eastAsia="Arial" w:hAnsi="Arial"/>
          <w:sz w:val="17"/>
          <w:szCs w:val="17"/>
          <w:color w:val="auto"/>
        </w:rPr>
        <w:t xml:space="preserve"> </w:t>
      </w:r>
      <w:r>
        <w:rPr>
          <w:rFonts w:ascii="Arial" w:cs="Arial" w:eastAsia="Arial" w:hAnsi="Arial"/>
          <w:sz w:val="17"/>
          <w:szCs w:val="17"/>
          <w:i w:val="1"/>
          <w:iCs w:val="1"/>
          <w:color w:val="auto"/>
        </w:rPr>
        <w:t>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660" w:right="20" w:hanging="328"/>
        <w:spacing w:after="0" w:line="268" w:lineRule="auto"/>
        <w:tabs>
          <w:tab w:leader="none" w:pos="655"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minigene research programs. Over the past year, several of our vendors have been facing backlogs due to work and demands from other clients, including those who are developing vaccines or medicines for the COVID-19 pandemic, which has limited their availability to perform work for us. For example, we anticipate that the start of the IND-enabling toxicology studies for IC-500 will be later than what we originally planned, primarily due to the limited availability of study slots at CROs attributable to rising demand for their services as well as increased absenteeism of staff at those CROs in wake of the COVID-19 pandemic and the recent Omicron variant. We are also aware that some of our third-party contract manufacturers and storage vendors have experienced high levels of absenteeism due to the Omicron variant and as a result started to limit their operations and on-site activities. These operational and staffing limitations may cause further delays for our development and manufacturing activities. At this time, we do not know whether there will be further impact on the work of our third-party vendors and collaborators due to the COVID-19 pandemic.</w:t>
      </w:r>
    </w:p>
    <w:p>
      <w:pPr>
        <w:spacing w:after="0" w:line="118" w:lineRule="exact"/>
        <w:rPr>
          <w:rFonts w:ascii="Arial" w:cs="Arial" w:eastAsia="Arial" w:hAnsi="Arial"/>
          <w:sz w:val="17"/>
          <w:szCs w:val="17"/>
          <w:b w:val="1"/>
          <w:bCs w:val="1"/>
          <w:i w:val="1"/>
          <w:iCs w:val="1"/>
          <w:color w:val="auto"/>
        </w:rPr>
      </w:pPr>
    </w:p>
    <w:p>
      <w:pPr>
        <w:ind w:left="660" w:hanging="328"/>
        <w:spacing w:after="0" w:line="269"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Supply Chain and Materials.</w:t>
      </w:r>
      <w:r>
        <w:rPr>
          <w:rFonts w:ascii="Arial" w:cs="Arial" w:eastAsia="Arial" w:hAnsi="Arial"/>
          <w:sz w:val="17"/>
          <w:szCs w:val="17"/>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drug substance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in October 2021 we learned that the new manufacturer we are working with for second source supply of Zimura drug substance was experiencing issues with procuring an important raw material common to many manufacturing processes, which occurred due to recent supply chain interruptions and caused a slight delay to our manufacturing timelines with this contract manufacturer.</w:t>
      </w:r>
    </w:p>
    <w:p>
      <w:pPr>
        <w:spacing w:after="0" w:line="114" w:lineRule="exact"/>
        <w:rPr>
          <w:rFonts w:ascii="Arial" w:cs="Arial" w:eastAsia="Arial" w:hAnsi="Arial"/>
          <w:sz w:val="17"/>
          <w:szCs w:val="17"/>
          <w:color w:val="auto"/>
        </w:rPr>
      </w:pPr>
    </w:p>
    <w:p>
      <w:pPr>
        <w:ind w:left="660" w:right="120" w:hanging="328"/>
        <w:spacing w:after="0" w:line="301"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Remote Working</w:t>
      </w:r>
      <w:r>
        <w:rPr>
          <w:rFonts w:ascii="Arial" w:cs="Arial" w:eastAsia="Arial" w:hAnsi="Arial"/>
          <w:sz w:val="16"/>
          <w:szCs w:val="16"/>
          <w:color w:val="auto"/>
        </w:rPr>
        <w:t>. We instituted company-wide remote working starting in March 2020. In 2021, we began permitting employees to return to our offices on a voluntary basis in compliance with new health and safety policies we implemented, including a vaccination policy for employees working in our offices. We expect to operate under a hybrid (partially remote and partially in office) working model for the foreseeable near future. We are continuing to monitor and support the health and well-being of our employees and their productivity as remote working continues.</w:t>
      </w:r>
    </w:p>
    <w:p>
      <w:pPr>
        <w:spacing w:after="0" w:line="76"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progression of the COVID-19 pandemic remains fluid and its impact on our business and operations remains uncertain. Throughout the course of</w:t>
      </w:r>
      <w:r>
        <w:rPr>
          <w:rFonts w:ascii="Arial" w:cs="Arial" w:eastAsia="Arial" w:hAnsi="Arial"/>
          <w:sz w:val="16"/>
          <w:szCs w:val="16"/>
          <w:color w:val="auto"/>
        </w:rPr>
        <w:t xml:space="preserve"> </w:t>
      </w:r>
      <w:r>
        <w:rPr>
          <w:rFonts w:ascii="Arial" w:cs="Arial" w:eastAsia="Arial" w:hAnsi="Arial"/>
          <w:sz w:val="16"/>
          <w:szCs w:val="16"/>
          <w:color w:val="212529"/>
        </w:rPr>
        <w:t>the pandemic thus far</w:t>
      </w:r>
      <w:r>
        <w:rPr>
          <w:rFonts w:ascii="Arial" w:cs="Arial" w:eastAsia="Arial" w:hAnsi="Arial"/>
          <w:sz w:val="16"/>
          <w:szCs w:val="16"/>
          <w:color w:val="000000"/>
        </w:rPr>
        <w:t>, many countries and regions, including many states in the United States, have experienced surges in the number of new cases,</w:t>
      </w:r>
      <w:r>
        <w:rPr>
          <w:rFonts w:ascii="Arial" w:cs="Arial" w:eastAsia="Arial" w:hAnsi="Arial"/>
          <w:sz w:val="16"/>
          <w:szCs w:val="16"/>
          <w:color w:val="212529"/>
        </w:rPr>
        <w:t xml:space="preserve"> </w:t>
      </w:r>
      <w:r>
        <w:rPr>
          <w:rFonts w:ascii="Arial" w:cs="Arial" w:eastAsia="Arial" w:hAnsi="Arial"/>
          <w:sz w:val="16"/>
          <w:szCs w:val="16"/>
          <w:color w:val="000000"/>
        </w:rPr>
        <w:t>including as a result of new variants to the SARS-COV-2 virus, such as the recently emerged Omicron variant, which have caused public health authorities to reimpose restrictive measures. In addition, although the FDA has fully approved three vaccines as well as vaccine booster shots for certain individuals, there continue to be challenges with increasing the percentage of vaccinated individuals among the general population, and the long-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term safety and efficacy and ability of these vaccines to slow transmission, including against new variants of the virus, are largely unknown. In the United States and some other countries, vaccine mandates remain controversial and the reluctance of many individuals to get COVID-19 vaccines may affect the work of our vendors and other third parties providing services for us. As a result, governments may continue to deploy measures to contain the pandemic for a prolonged period of time. </w:t>
      </w:r>
      <w:r>
        <w:rPr>
          <w:rFonts w:ascii="Arial" w:cs="Arial" w:eastAsia="Arial" w:hAnsi="Arial"/>
          <w:sz w:val="17"/>
          <w:szCs w:val="17"/>
          <w:color w:val="212529"/>
        </w:rPr>
        <w:t>The full extent to which the COVID-19 pandemic will directly or indirectly impact our business, results of operations and</w:t>
      </w:r>
      <w:r>
        <w:rPr>
          <w:rFonts w:ascii="Arial" w:cs="Arial" w:eastAsia="Arial" w:hAnsi="Arial"/>
          <w:sz w:val="17"/>
          <w:szCs w:val="17"/>
          <w:color w:val="auto"/>
        </w:rPr>
        <w:t xml:space="preserve"> </w:t>
      </w:r>
      <w:r>
        <w:rPr>
          <w:rFonts w:ascii="Arial" w:cs="Arial" w:eastAsia="Arial" w:hAnsi="Arial"/>
          <w:sz w:val="17"/>
          <w:szCs w:val="17"/>
          <w:color w:val="212529"/>
        </w:rPr>
        <w:t>financial condition will depend on developments that are highly uncertain and cannot be accurately predicted, including new information that may emerge concerning COVID-19 and new variants of the virus, the actions taken to contain it or lessen its impact, including the availability, effectiveness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0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0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212529"/>
        </w:rPr>
        <w:t>We cannot foresee if and when the COVID-19 pandemic will be effectively contained, nor can we predict the severity and durati</w:t>
      </w:r>
      <w:r>
        <w:rPr>
          <w:rFonts w:ascii="Arial" w:cs="Arial" w:eastAsia="Arial" w:hAnsi="Arial"/>
          <w:sz w:val="16"/>
          <w:szCs w:val="16"/>
          <w:color w:val="000000"/>
        </w:rPr>
        <w:t>on of the impact of</w:t>
      </w:r>
      <w:r>
        <w:rPr>
          <w:rFonts w:ascii="Arial" w:cs="Arial" w:eastAsia="Arial" w:hAnsi="Arial"/>
          <w:sz w:val="16"/>
          <w:szCs w:val="16"/>
          <w:color w:val="212529"/>
        </w:rPr>
        <w:t xml:space="preserve"> </w:t>
      </w:r>
      <w:r>
        <w:rPr>
          <w:rFonts w:ascii="Arial" w:cs="Arial" w:eastAsia="Arial" w:hAnsi="Arial"/>
          <w:sz w:val="16"/>
          <w:szCs w:val="16"/>
          <w:color w:val="000000"/>
        </w:rPr>
        <w:t>the pandemic on our financial condition or operations. We may experience additional disruptions to our clinical trials or supply chains, and closures of facilities, such as clinical trial sites, academic research centers and suppliers, including single source suppliers, and delays in interactions with regulatory agencies or obtaining approvals for our product candidates. In addition, the effects of COVID-19 on the financial markets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9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strategy of obtaining additional rights to products, product candidates or technologies for the treatment of retinal diseases may not be successful. We may not be successful in obtaining rights to and developing a sustained release delivery technology for Zimura. We may not be successful in finding a collaborator for IC-100 and/or IC-200.</w:t>
      </w:r>
    </w:p>
    <w:p>
      <w:pPr>
        <w:spacing w:after="0" w:line="10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with a focus on sustained release delivery technologies for Zimura. We may also continue to consider other alternatives, including mergers, acquisitions, asset purchases or sales and/or other transactions involving our company as a whole or other collaboration transactions, including potential collaboration or out-license opportunities for further development and potential commercialization of Zimura in one or more territories outside the United States and collaboration opportunities for further development and potential commercialization of IC-100 and/or IC-200. Our business development efforts may fail to result in our acquiring rights to additional products, product candidates or technologies, or may result in our consummating transactions with which you do not agree.</w:t>
      </w:r>
    </w:p>
    <w:p>
      <w:pPr>
        <w:spacing w:after="0" w:line="118"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7"/>
          <w:szCs w:val="17"/>
          <w:color w:val="000000"/>
        </w:rPr>
        <w:t>ing product candidates and technologies. For</w:t>
      </w:r>
      <w:r>
        <w:rPr>
          <w:rFonts w:ascii="Arial" w:cs="Arial" w:eastAsia="Arial" w:hAnsi="Arial"/>
          <w:sz w:val="17"/>
          <w:szCs w:val="17"/>
          <w:color w:val="212529"/>
        </w:rPr>
        <w:t xml:space="preserve"> </w:t>
      </w:r>
      <w:r>
        <w:rPr>
          <w:rFonts w:ascii="Arial" w:cs="Arial" w:eastAsia="Arial" w:hAnsi="Arial"/>
          <w:sz w:val="17"/>
          <w:szCs w:val="17"/>
          <w:color w:val="000000"/>
        </w:rPr>
        <w:t>potential sustained release delivery technologies, that process typically involves conducting a feasibility study of Zimura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11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5" w:lineRule="auto"/>
        <w:rPr>
          <w:sz w:val="20"/>
          <w:szCs w:val="20"/>
          <w:color w:val="auto"/>
        </w:rPr>
      </w:pPr>
      <w:r>
        <w:rPr>
          <w:rFonts w:ascii="Arial" w:cs="Arial" w:eastAsia="Arial" w:hAnsi="Arial"/>
          <w:sz w:val="17"/>
          <w:szCs w:val="17"/>
          <w:color w:val="212529"/>
        </w:rPr>
        <w:t>manufacturing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9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Zimura, we expect any promising technologies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12529"/>
        </w:rPr>
        <w:t>If we are unable to successfully obtain rights to suitable product candidates or technologies, our business, financial condition and prospect</w:t>
      </w:r>
      <w:r>
        <w:rPr>
          <w:rFonts w:ascii="Arial" w:cs="Arial" w:eastAsia="Arial" w:hAnsi="Arial"/>
          <w:sz w:val="18"/>
          <w:szCs w:val="18"/>
          <w:color w:val="000000"/>
        </w:rPr>
        <w:t>s for</w:t>
      </w:r>
      <w:r>
        <w:rPr>
          <w:rFonts w:ascii="Arial" w:cs="Arial" w:eastAsia="Arial" w:hAnsi="Arial"/>
          <w:sz w:val="18"/>
          <w:szCs w:val="18"/>
          <w:color w:val="212529"/>
        </w:rPr>
        <w:t xml:space="preserve"> </w:t>
      </w:r>
      <w:r>
        <w:rPr>
          <w:rFonts w:ascii="Arial" w:cs="Arial" w:eastAsia="Arial" w:hAnsi="Arial"/>
          <w:sz w:val="18"/>
          <w:szCs w:val="18"/>
          <w:color w:val="000000"/>
        </w:rPr>
        <w:t>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regulatory and legal risks, including:</w:t>
      </w:r>
    </w:p>
    <w:p>
      <w:pPr>
        <w:spacing w:after="0" w:line="252" w:lineRule="exact"/>
        <w:rPr>
          <w:sz w:val="20"/>
          <w:szCs w:val="20"/>
          <w:color w:val="auto"/>
        </w:rPr>
      </w:pPr>
    </w:p>
    <w:p>
      <w:pPr>
        <w:ind w:left="980" w:right="6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304" w:lineRule="exact"/>
        <w:rPr>
          <w:rFonts w:ascii="Arial" w:cs="Arial" w:eastAsia="Arial" w:hAnsi="Arial"/>
          <w:sz w:val="17"/>
          <w:szCs w:val="17"/>
          <w:color w:val="auto"/>
        </w:rPr>
      </w:pPr>
    </w:p>
    <w:p>
      <w:pPr>
        <w:ind w:left="980" w:right="620" w:hanging="324"/>
        <w:spacing w:after="0" w:line="232" w:lineRule="auto"/>
        <w:tabs>
          <w:tab w:leader="none" w:pos="975" w:val="left"/>
        </w:tabs>
        <w:numPr>
          <w:ilvl w:val="0"/>
          <w:numId w:val="61"/>
        </w:numPr>
        <w:rPr>
          <w:rFonts w:ascii="Arial" w:cs="Arial" w:eastAsia="Arial" w:hAnsi="Arial"/>
          <w:sz w:val="22"/>
          <w:szCs w:val="22"/>
          <w:color w:val="auto"/>
        </w:rPr>
      </w:pPr>
      <w:r>
        <w:rPr>
          <w:rFonts w:ascii="Arial" w:cs="Arial" w:eastAsia="Arial" w:hAnsi="Arial"/>
          <w:sz w:val="18"/>
          <w:szCs w:val="18"/>
          <w:color w:val="auto"/>
        </w:rPr>
        <w:t>inability to receive regulatory clearance from government agencies, such as the Federal Trade Commission, to close transactions after announcement;</w:t>
      </w:r>
    </w:p>
    <w:p>
      <w:pPr>
        <w:spacing w:after="0" w:line="230"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63" w:lineRule="exact"/>
        <w:rPr>
          <w:rFonts w:ascii="Arial" w:cs="Arial" w:eastAsia="Arial" w:hAnsi="Arial"/>
          <w:sz w:val="17"/>
          <w:szCs w:val="17"/>
          <w:color w:val="auto"/>
        </w:rPr>
      </w:pPr>
    </w:p>
    <w:p>
      <w:pPr>
        <w:ind w:left="980" w:right="52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80" w:hanging="324"/>
        <w:spacing w:after="0" w:line="259"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3"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and certain of our current and former board members and executive officers were named as defendants in lawsuits that could result in substantial costs and divert management’s attention. We are in the process of settling those lawsuits, but the settlements are not yet final.</w:t>
      </w:r>
    </w:p>
    <w:p>
      <w:pPr>
        <w:spacing w:after="0" w:line="56"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and certain of our current and former executive officers were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our prior product candidate Fovista in combination with anti-VEGF agents for the treatment of wet AMD. Certain current and former members of our board of directors and current and former officers were also named as defendants in two shareholder derivative actions initiated in August 2018 and May 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On September 8, 2021, the parties in the class action executed a settlement agreement, which has been submitted to the court for approval. We expect our directors’ and officers’ liability insurance to cover the costs of the settlement, including plaintiff counsel’s fees. The shareholder derivative actions were stayed while a special litigation committee of our board of directors, or the SLC, investigated the allegations contained in the complaints. On October 18, 2021, the parties notified the court overseeing the Pacheco matter that they had reached an agreement in principle to settle the action. On January 27, 2022, the parties executed a settlement agreement, which has been submitted to the court for approval. We are unable, however, to predict the outcome of these matters at this time. Moreover, any conclusion of these matters in a manner adverse to us and for which we incur substantial costs or damages not covered by our directors’ and officers’ liability insurance could have a material adverse effect on our financial condition and business. In addition, the litigation, including in responding to discovery requests, caused our management and board of directors to divert time and attention to the litigation and could adversely impact our reputation, and if the litigation remains protracted, could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Regardless of whether these lawsuits are finally settled, additional lawsuits may be filed against us.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346" w:lineRule="exact"/>
        <w:rPr>
          <w:sz w:val="20"/>
          <w:szCs w:val="20"/>
          <w:color w:val="auto"/>
        </w:rPr>
      </w:pPr>
    </w:p>
    <w:p>
      <w:pPr>
        <w:ind w:left="980" w:right="22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w:t>
      </w:r>
    </w:p>
    <w:p>
      <w:pPr>
        <w:spacing w:after="0" w:line="197" w:lineRule="exact"/>
        <w:rPr>
          <w:rFonts w:ascii="Arial" w:cs="Arial" w:eastAsia="Arial" w:hAnsi="Arial"/>
          <w:sz w:val="18"/>
          <w:szCs w:val="18"/>
          <w:color w:val="auto"/>
        </w:rPr>
      </w:pPr>
    </w:p>
    <w:p>
      <w:pPr>
        <w:ind w:left="980" w:right="380" w:hanging="324"/>
        <w:spacing w:after="0" w:line="286" w:lineRule="auto"/>
        <w:tabs>
          <w:tab w:leader="none" w:pos="9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275" w:lineRule="exact"/>
        <w:rPr>
          <w:rFonts w:ascii="Arial" w:cs="Arial" w:eastAsia="Arial" w:hAnsi="Arial"/>
          <w:sz w:val="16"/>
          <w:szCs w:val="16"/>
          <w:color w:val="auto"/>
        </w:rPr>
      </w:pPr>
    </w:p>
    <w:p>
      <w:pPr>
        <w:ind w:left="980" w:right="320" w:hanging="324"/>
        <w:spacing w:after="0" w:line="286" w:lineRule="auto"/>
        <w:tabs>
          <w:tab w:leader="none" w:pos="9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92" w:lineRule="exact"/>
        <w:rPr>
          <w:rFonts w:ascii="Arial" w:cs="Arial" w:eastAsia="Arial" w:hAnsi="Arial"/>
          <w:sz w:val="17"/>
          <w:szCs w:val="17"/>
          <w:color w:val="auto"/>
        </w:rPr>
      </w:pPr>
    </w:p>
    <w:p>
      <w:pPr>
        <w:ind w:left="980" w:right="38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63" w:lineRule="exact"/>
        <w:rPr>
          <w:rFonts w:ascii="Arial" w:cs="Arial" w:eastAsia="Arial" w:hAnsi="Arial"/>
          <w:sz w:val="17"/>
          <w:szCs w:val="17"/>
          <w:color w:val="auto"/>
        </w:rPr>
      </w:pPr>
    </w:p>
    <w:p>
      <w:pPr>
        <w:ind w:left="980" w:right="300" w:hanging="324"/>
        <w:spacing w:after="0" w:line="308" w:lineRule="auto"/>
        <w:tabs>
          <w:tab w:leader="none" w:pos="9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52"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52" w:lineRule="exact"/>
        <w:rPr>
          <w:rFonts w:ascii="Arial" w:cs="Arial" w:eastAsia="Arial" w:hAnsi="Arial"/>
          <w:sz w:val="18"/>
          <w:szCs w:val="18"/>
          <w:color w:val="auto"/>
        </w:rPr>
      </w:pPr>
    </w:p>
    <w:p>
      <w:pPr>
        <w:ind w:left="980" w:right="160" w:hanging="324"/>
        <w:spacing w:after="0" w:line="342" w:lineRule="auto"/>
        <w:tabs>
          <w:tab w:leader="none" w:pos="9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5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1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caused us to evaluate our development options for this product candidate. At this time, we are planning to seek a collaborator for the further development of this product candidate.</w:t>
      </w:r>
    </w:p>
    <w:p>
      <w:pPr>
        <w:spacing w:after="0" w:line="113"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or other indications. The results of our planned Phase 3 clinical trial studying Zimura in intermediate AMD may not replicate the results we observed after conducting post-hoc analyses of the GATHER1 data and the Phase 3 clinical trial may not be adequately powered to detect a difference in the primary endpoint with statistical significance.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0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03" w:lineRule="exact"/>
        <w:rPr>
          <w:sz w:val="20"/>
          <w:szCs w:val="20"/>
          <w:color w:val="auto"/>
        </w:rPr>
      </w:pPr>
    </w:p>
    <w:p>
      <w:pPr>
        <w:ind w:left="980" w:right="200" w:hanging="324"/>
        <w:spacing w:after="0" w:line="277"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61" w:lineRule="exact"/>
        <w:rPr>
          <w:rFonts w:ascii="Arial" w:cs="Arial" w:eastAsia="Arial" w:hAnsi="Arial"/>
          <w:sz w:val="16"/>
          <w:szCs w:val="16"/>
          <w:color w:val="auto"/>
        </w:rPr>
      </w:pPr>
    </w:p>
    <w:p>
      <w:pPr>
        <w:ind w:left="980" w:hanging="324"/>
        <w:spacing w:after="0" w:line="228"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and dichloroacetic acid, or DCA, used for the manufacture of Zimura, and issues with the packaging, distribution, storage and import/export of materials and products;</w:t>
      </w:r>
    </w:p>
    <w:p>
      <w:pPr>
        <w:spacing w:after="0" w:line="218"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method development for testing our product candidates;</w:t>
      </w:r>
    </w:p>
    <w:p>
      <w:pPr>
        <w:spacing w:after="0" w:line="197"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not be able to successfully scale up or validate a manufacturing process for one or more of our product candidates, including the manufacturing process for Zimura, and may need to rely on second source suppliers for adequate supply of drug substance and/or drug product in line with our needs and expectations;</w:t>
      </w:r>
    </w:p>
    <w:p>
      <w:pPr>
        <w:spacing w:after="0" w:line="210" w:lineRule="exact"/>
        <w:rPr>
          <w:rFonts w:ascii="Arial" w:cs="Arial" w:eastAsia="Arial" w:hAnsi="Arial"/>
          <w:sz w:val="18"/>
          <w:szCs w:val="18"/>
          <w:color w:val="auto"/>
        </w:rPr>
      </w:pPr>
    </w:p>
    <w:p>
      <w:pPr>
        <w:ind w:left="980" w:right="640" w:hanging="324"/>
        <w:spacing w:after="0" w:line="308" w:lineRule="auto"/>
        <w:tabs>
          <w:tab w:leader="none" w:pos="975"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73" w:lineRule="exact"/>
        <w:rPr>
          <w:rFonts w:ascii="Arial" w:cs="Arial" w:eastAsia="Arial" w:hAnsi="Arial"/>
          <w:sz w:val="17"/>
          <w:szCs w:val="17"/>
          <w:color w:val="auto"/>
        </w:rPr>
      </w:pPr>
    </w:p>
    <w:p>
      <w:pPr>
        <w:ind w:left="980" w:right="720" w:hanging="324"/>
        <w:spacing w:after="0" w:line="263"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0" w:lineRule="exact"/>
        <w:rPr>
          <w:rFonts w:ascii="Arial" w:cs="Arial" w:eastAsia="Arial" w:hAnsi="Arial"/>
          <w:sz w:val="18"/>
          <w:szCs w:val="18"/>
          <w:color w:val="auto"/>
        </w:rPr>
      </w:pPr>
    </w:p>
    <w:p>
      <w:pPr>
        <w:ind w:left="980" w:right="280" w:hanging="324"/>
        <w:spacing w:after="0" w:line="286" w:lineRule="auto"/>
        <w:tabs>
          <w:tab w:leader="none" w:pos="97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160" w:hanging="324"/>
        <w:spacing w:after="0" w:line="263"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there are no therapies approved for GA, intermediate AMD, or Stargardt disease, in either the United States or the European Union, the regulatory pathway for product candidates in those indications, including the selection of efficacy endpoints and their clinical meaningfulness, is highly uncertain;</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75"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1"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in a manner sufficient to support an application for marketing approval to the FDA are based on the Special Protocol Assessment, or SPA, we received from the FDA for the GATHER2 trial and our review of the 12-month and 18-month data from the GATHER1 trial. Our expectations regarding the minimum clinical requirements to demonstrate the safety and efficacy of Zimura for GA may change as we continue to have interactions with the FDA and potentially with the EMA and other regulatory authorities, as we conduct our GATHER2 trial, and as new regulatory or third party information, including that of our competitors, third-party clinical data or information from prospective collaborators or licensees, becomes available. If we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development of Zimura is based on a novel mechanism of action that is unproven in GA, intermediate AMD and STGD1 and poses a number of scientific and other risks, and we may not be successful in developing Zimura in the indications we are pursuing or in any other indication we may choose to pursue.</w:t>
      </w:r>
    </w:p>
    <w:p>
      <w:pPr>
        <w:spacing w:after="0" w:line="18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are currently targeting GA and intermediate AMD, which are an advanced form and an earlier form of AMD, respectively,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the complement system as potential pharmaceutical treatments for GA, and that the results from our GATHER1 trial of Zimura in GA and from a competitor’s trials of its complement inhibitor in GA support our view, this approach may not prove successful for treating GA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96"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Zimura is designed to inhibit complement protein C5. There are no FDA or EMA approved products that utilize C5 inhibition as a mechanism of action to treat GA, intermediate AMD or STGD1. There have been other investigational products using complement inhibition as a mechanism of action for the treatment of GA, including inhibition of C5, that ultimately proved to be unsuccessful. Even though our GATHER1 trial of Zimura in GA met its prespecified primary endpoint at month 12 and continued to show positive treatment effect at month 18, this mechanism of action may not prove safe and effective for the treatment of GA, intermediate AMD, STGD1 or any other indication for which we may develop Zimura.</w:t>
      </w:r>
    </w:p>
    <w:p>
      <w:pPr>
        <w:spacing w:after="0" w:line="20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We are planning to initiate clinical development of Zimura in intermediate AMD based on results from a post-hoc analysis of data from our GATHER1 trial. Although there is nonclinical scientific literature supporting the potential use of complement system inhibitors for the treatment of intermediate AMD, we have not yet conducted a clinical trial assessing Zimura for the treatment of intermediate AMD. Intermediate AMD is a developing field of study whose patient population continues to be defined by, and any primary endpoints used to assess any treatments are new for, the medical community, and as such, the patient population and primary endpoint we choose for our planned Phase 3 clinical trial may not be accepted by regulators. We intend to seek regulatory feedback before initiating this trial, and regulatory authorities may disagree with our development and regulatory plans and strategy. We may also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GATHER2 trial may yield results that are different from the results observed in the GATHER1 trial. An unfavorable result from the GATHER2 trial likely would materially and adversely affect our ability to obtain approval for Zimura in GA.</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GATHER2 trial, the mean rate of growth (slope) estimated based on GA area,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If the results from GATHER2 are positive, we plan to seek approval for the 2 mg dose of Zimura in GA. Additionally, for our GATHER2 trial, because we want to begin to evaluate the efficacy of a less frequent dosing regimen, we are re-randomizing the patients in the monthly Zimura 2 mg treatment arm at 12 months and evaluating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and the label we would seek for Zimura in GA, if the results from the GATHER2 trial are positive, would in all likelihood provide for monthly administration of Zimura.</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8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Our intended regulatory pathway for generating sufficient safety and efficacy data to apply for and potentially obtain marketing approval for Zimura for GA is subject to several assumptions, including that we may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the EMA or other regulatory authorities may not accept the design or results of the GATHER1 or GATHER2 trials. We may decide to or may be required to enroll additional patients, collect additional safety data or conduct additional clinical trials or nonclinical studies to seek or obtain approval for Zimura in GA.</w:t>
      </w:r>
    </w:p>
    <w:p>
      <w:pPr>
        <w:spacing w:after="0" w:line="153" w:lineRule="exact"/>
        <w:rPr>
          <w:sz w:val="20"/>
          <w:szCs w:val="20"/>
          <w:color w:val="auto"/>
        </w:rPr>
      </w:pPr>
    </w:p>
    <w:p>
      <w:pPr>
        <w:ind w:firstLine="405"/>
        <w:spacing w:after="0" w:line="250" w:lineRule="auto"/>
        <w:rPr>
          <w:sz w:val="20"/>
          <w:szCs w:val="20"/>
          <w:color w:val="auto"/>
        </w:rPr>
      </w:pPr>
      <w:r>
        <w:rPr>
          <w:rFonts w:ascii="Arial" w:cs="Arial" w:eastAsia="Arial" w:hAnsi="Arial"/>
          <w:sz w:val="16"/>
          <w:szCs w:val="16"/>
          <w:color w:val="auto"/>
        </w:rPr>
        <w:t>Based on the results of our GATHER1 trial, additional statistical analysis we have performed and discussions we have had with the FDA, we believe that the efficacy results from this trial would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understand that many regulatory authorities outside the United States, including those in Europe, may require a sponsor to show a functional benefit to vision for marketing approval in GA. If we are required to show a functional benefit to vision to obtain marketing approval, we may need to conduct additional clinical trials or sub-studies, which may not ultimately demonstrate a functional benefit to vision to the satisfaction of these regulatory authorities. Since receiving the 12-month results from the GATHER1 trial, we have not had any interactions with the EMA regarding the GATHER1 data or the design of GATHER2. The FDA, the EMA or other regulatory authorities may also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then in order to seek marketing approval we may need to conduct, in addition to the GATHER2 trial, one or more additional, adequate and well-controlled clinical trials that meet the applicable regulatory requirements in order to obtain marketing approval.</w:t>
      </w:r>
    </w:p>
    <w:p>
      <w:pPr>
        <w:spacing w:after="0" w:line="18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In parallel discussions with those for the GATHER2 SPA, the FDA indicated that, as part of a future NDA for Zimura, it would consider the results from GATHER1 using the original prespecified primary efficacy endpoint analysis, together with a post-hoc analysis we performed using the FDA-preferred method that will be used for the GATHER2 trial (mean rate of growth</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(slope) estimated based on GA area measured by FAF in the relevant timepoints). 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who may disagree with our methodologies and analyses for any number of reasons. The FDA, EMA or other regulatory authorities may take issue with the number of modifications we introduced to the GATHER1 trial following its commencement, which they may view as introducing additional uncontrolled variables. The FDA, EMA or other regulatory authorities may also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92"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Based on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We believe that if we were to file an application for marketing approval for Zimura for GA, we would be able to rely on safety data from our GATHER1 and GATHER2 trials in GA secondary to AMD, as well as our STAR trial evaluating Zimura for STGD1. We also believe that, if the data from the GATHER2 trial are positive, we would be able to submit our application following the primary efficacy and safety analysis for the GATHER2 trial at the 12-month time point, without waiting for the full 24-month data package. We have designed our GATHER2 trial to meet these requirements, which, as we understand them, and if data from the GATHER2 trial are positive, will permit us to seek marketing approval for Zimura for GA in the United States and potentially the European Union. Since receiving the 12-month results from the GATHER1 trial, we have not had any scientific advice or other formal interactions with the EMA or competent national authorities in the European Union or United Kingdom regarding the sufficiency of the GATHER1 and GATHER2 trials, including our primary efficacy endpoint analyses, to support an application for marketing approval.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For example, based on our assessment of the data we have collected for Zimura to date and the requirements of regulatory authorities, we are conducting a pharmacokinetic substudy involving a portion of the patients enrolled in the GATHER2 trial and an additional nonclinical study of Zimura. Any delays or unfavorable results from those studies may impact our timelines for seeking and potentially obtaining approval for Zimura in GA. In addition, because of the COVID-19 pandemic or other reasons, we may experience a higher than anticipated rate of dropouts and missed visits and treatments in our GATHER2 and STAR trials, which could result in our not having adequate safety data for a sufficient number of patients to obtain marketing approval in GA, even if the primary efficacy endpoint is met and the results from the GATHER2 trial are otherwise positive.</w:t>
      </w:r>
    </w:p>
    <w:p>
      <w:pPr>
        <w:spacing w:after="0" w:line="180"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they may manifest in our GATHER2 trial, in our STAR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6"/>
          <w:szCs w:val="16"/>
          <w:i w:val="1"/>
          <w:iCs w:val="1"/>
          <w:color w:val="auto"/>
        </w:rPr>
        <w:t>If serious adverse or unacceptable side effects are</w:t>
      </w:r>
      <w:r>
        <w:rPr>
          <w:rFonts w:ascii="Arial" w:cs="Arial" w:eastAsia="Arial" w:hAnsi="Arial"/>
          <w:sz w:val="16"/>
          <w:szCs w:val="16"/>
          <w:color w:val="auto"/>
        </w:rPr>
        <w:t xml:space="preserve"> </w:t>
      </w:r>
      <w:r>
        <w:rPr>
          <w:rFonts w:ascii="Arial" w:cs="Arial" w:eastAsia="Arial" w:hAnsi="Arial"/>
          <w:sz w:val="16"/>
          <w:szCs w:val="16"/>
          <w:i w:val="1"/>
          <w:iCs w:val="1"/>
          <w:color w:val="auto"/>
        </w:rPr>
        <w:t>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r>
        <w:rPr>
          <w:rFonts w:ascii="Arial" w:cs="Arial" w:eastAsia="Arial" w:hAnsi="Arial"/>
          <w:sz w:val="16"/>
          <w:szCs w:val="16"/>
          <w:color w:val="auto"/>
        </w:rPr>
        <w:t>"</w:t>
      </w:r>
    </w:p>
    <w:p>
      <w:pPr>
        <w:spacing w:after="0" w:line="166"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will likely adversely affect our business and the value of your investment in our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8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decided to enroll approximately 25 additional patients in this trial, with the goal of enrolling a total of approximately 120 patients. This change to the trial has increased the costs associated with this trial and has delayed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We are continuing to recruit and enroll patients in this trial. Patient recruitment may take longer or cost more than we would expect.</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p>
    <w:p>
      <w:pPr>
        <w:spacing w:after="0" w:line="16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GATHER1, GATHER2 and STAR trials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2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Patient enrollment, missed patient visits and patient retention remain key risks for our clinical trials. Due to the COVID-19 pandemic, we delayed the initiation of patient enrollment for the GATHER2 trial from March 2020 to June 2020. Even though we have completed patient enrollment for GATHER2, we are continuing to enroll patients in the STAR trial,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We do not know yet whether the number of missed visits will increase or decrease in any of these trials, and whether and to what extent missed visits may impact patient retention in these trials or the results of the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15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COVID-19 pandemic has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We expect to initiate our planned clinical trial studying Zimura in intermediate AMD during the second half of 2022 and we plan to use many of the same sites that are in the GATHER2 trial. The sites may be assisting with database lock and related activities for GATHER2 around the same time that they may be preparing for and starting up the intermediate AMD trial. If any reductions in staff and operations continue to persist at the sites at that time, it may affect our conduct of the ongoing GATHER2 and planned intermediate AMD trials.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9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early 2021, we experienced difficulties and delays in performing audits on most of our clinical trial sites because of privacy and other concerns with remote auditing. Although we do not believe the COVID-19 pandemic has materially affected the robustness of our data verification process for the GATHER1 trial, we or regulatory authorities may find data verification discrepancies upon reviewing the data from the trial. This risk may also affect our data verification processes for the GATHER2 and STAR trials.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IC-500 is also based on a novel mechanism of action that is unproven and poses a number of scientific and other risks.</w:t>
      </w:r>
    </w:p>
    <w:p>
      <w:pPr>
        <w:spacing w:after="0" w:line="248"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is conducting a clinical trial to assess the long-term safety and tolerability of its monoclonal antibody HtrA1 inhibitor.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20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studies to assess the pharmacokinetics and toxicology of IC-500 in animals,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We are refocusing our gene therapy development efforts from IC-100 and IC-200 to earlier stage research programs, and need to continue building our gene therapy capabilities. Our limited experience with gene therapy and the limited patient populations for our gene therapy programs may limit our ability to be successful or may delay our development efforts.</w:t>
      </w:r>
    </w:p>
    <w:p>
      <w:pPr>
        <w:spacing w:after="0" w:line="21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Gene therapy is an emerging field of drug development with only a small number of gene replacement therapies having received FDA approval to date. Our gene therapy research and development programs, which we decided to undertake based 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For example, we observed inconclusive data across the two preclinical toxicology studies we conducted for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9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For our miniCEP290 program and other minigene programs, we are pursuing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7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8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5"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p>
    <w:p>
      <w:pPr>
        <w:spacing w:after="0" w:line="8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later been found to cause side effects that prevented further development. Safety issues may arise due to reasons unrelated to the study drug, such as issues with the injection procedure or the syringes or needles being used.</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choroidal neovascularization, or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or intermediate AMD. We have no human data regarding IC-500.</w:t>
      </w:r>
    </w:p>
    <w:p>
      <w:pPr>
        <w:spacing w:after="0" w:line="9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intermediate AMD, STGD1 or any other indication for which we may seek to develop Zimura.</w:t>
      </w:r>
    </w:p>
    <w:p>
      <w:pPr>
        <w:spacing w:after="0" w:line="16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we intend to administer IC-500 by intravitreal injection, which poses the same safety risks outlined above with respect to intravitreal injections of Zimura.</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8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8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Zimura, IC-500 and any other product candidates that we may acquire or in-license.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78"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In addition, we have a limited number of personnel hired to supervise our outside contract manufacturers and, as we prepare for potential commercialization of Zimura, we expect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or the timing for the need for that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8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83" w:lineRule="exact"/>
        <w:rPr>
          <w:sz w:val="20"/>
          <w:szCs w:val="20"/>
          <w:color w:val="auto"/>
        </w:rPr>
      </w:pPr>
    </w:p>
    <w:p>
      <w:pPr>
        <w:ind w:right="80" w:firstLine="405"/>
        <w:spacing w:after="0" w:line="235"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8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7"/>
          <w:szCs w:val="17"/>
          <w:i w:val="1"/>
          <w:iCs w:val="1"/>
          <w:color w:val="auto"/>
        </w:rPr>
        <w:t>We contract with third parties for the manufacture of and for providing starting materials</w:t>
      </w:r>
      <w:r>
        <w:rPr>
          <w:rFonts w:ascii="Arial" w:cs="Arial" w:eastAsia="Arial" w:hAnsi="Arial"/>
          <w:sz w:val="17"/>
          <w:szCs w:val="17"/>
          <w:color w:val="auto"/>
        </w:rPr>
        <w:t xml:space="preserve"> </w:t>
      </w:r>
      <w:r>
        <w:rPr>
          <w:rFonts w:ascii="Arial" w:cs="Arial" w:eastAsia="Arial" w:hAnsi="Arial"/>
          <w:sz w:val="17"/>
          <w:szCs w:val="17"/>
          <w:i w:val="1"/>
          <w:iCs w:val="1"/>
          <w:color w:val="auto"/>
        </w:rPr>
        <w:t>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Our experience manufacturing Zimura is limited. As we plan for the potential commercialization of Zimura, we and our third-party manufacturers will need to complete several activities to ensure the continued supply of drug product for ongoing and future clinical trials we conduct for Zimura and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5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6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including our planned clinical trial for Zimura in intermediate AMD. We are working with our historical contract manufacturer for Zimura drug substance, Agilent Technologies, Inc., or Agilent, to scale up and potentially validate the manufacturing process for Zimura drug substance. Agilent may not be successful in producing Zimura drug substance at a larger scale. In parallel, we are working with a new contract manufacturer with the goal of assessing whether this manufacturer can produce Zimura drug substance at an adequate scale for potential commercial use. We have experienced issues during technology transfer of the existing manufacturing process to this manufacturer, which has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 substance produced through the scaled up process can be produced consistently, delivering quality product within a range of acceptable specifications.</w:t>
      </w:r>
    </w:p>
    <w:p>
      <w:pPr>
        <w:spacing w:after="0" w:line="19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finished Zimura drug product using the new vial, which we plan to use for a portion of the second-year study visits for patients in the GATHER2 trial. We believe Ajinomoto has the capacity to supply us with finished Zimura drug product with the new vial for our expected commercial supply needs upon launch, if approved. If Ajinomoto is unable to provide us and/or a potential collaborator with Zimura drug product for potential commercial use, we will need to use alternative suppliers, which may increase our costs and delay our timelines.</w:t>
      </w:r>
    </w:p>
    <w:p>
      <w:pPr>
        <w:spacing w:after="0" w:line="20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order to obtain regulatory approval for Zimura,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 combination of analytical, nonclinical or clinical data. Our plan to demonstrate comparability is subject to review by the FDA and other health authorities. Based on feedback from the FDA, we are planning to use finished Zimura drug product in the new vial for a portion of the second-year study visits for patients in the GATHER2 trial, which adds potential variability to the trial. If we are unable to sufficiently demonstrate comparability to the FDA or other health authorities, or if the FDA or other health authorities require analytical, nonclinical or clinical comparability data beyond what our plans currently provide for, our timelines to complete the development of and seek regulatory approval for Zimura could be impacted.</w:t>
      </w:r>
    </w:p>
    <w:p>
      <w:pPr>
        <w:spacing w:after="0" w:line="20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order the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However, we may not be able to agree to terms or may need to agree to unfavorable terms in order to secure adequate supply. We believe this supplier will have the capacity to supply the PEG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Zimura.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Each of these activities is costly, time-consuming and uncertain in outcome. We may not be able to successfully scale up our manufacturing process for Zimura, validate the scaled up process, demonstrate comparability of Zimura drug substance manufactured through the scaled up process or of the finished drug product in the container closure system to be used commercially, in each case, with the Zimura previously used in our clinical trials, or establish the long-term stability of the Zimura drug product stored in the new vial container. The new manufacturers we have engaged or may engage in the future have not had previous experience with Zimura and there may be additional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In addition, we may not be able to secure adequate supply of Zimura drug substance, including the PEG starting material used to make Zimura drug substance, and Zimura drug product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7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continuing to establish manufacturing capabilities for IC-500. We may need to conduct additional process development and formulation development activities.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Before we can commence IND-enabling studies for IC-500, we need to conduct process development and formulation development to determine whether we can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and efficacy profile for intravitreal injection.</w:t>
      </w:r>
    </w:p>
    <w:p>
      <w:pPr>
        <w:spacing w:after="0" w:line="215" w:lineRule="exact"/>
        <w:rPr>
          <w:sz w:val="20"/>
          <w:szCs w:val="20"/>
          <w:color w:val="auto"/>
        </w:rPr>
      </w:pPr>
    </w:p>
    <w:p>
      <w:pPr>
        <w:ind w:right="200" w:firstLine="405"/>
        <w:spacing w:after="0" w:line="290" w:lineRule="auto"/>
        <w:rPr>
          <w:sz w:val="20"/>
          <w:szCs w:val="20"/>
          <w:color w:val="auto"/>
        </w:rPr>
      </w:pPr>
      <w:r>
        <w:rPr>
          <w:rFonts w:ascii="Arial" w:cs="Arial" w:eastAsia="Arial" w:hAnsi="Arial"/>
          <w:sz w:val="16"/>
          <w:szCs w:val="16"/>
          <w:color w:val="auto"/>
        </w:rPr>
        <w:t>We are working with a CDMO to conduct scale up and cGMP manufacturing of the drug substance for IC-500 for early-stage clinical trials. We are working with a number of other CDMOs to conduct scale-up, cGMP manufacturing and fill/finish of the drug product for IC-500. Our contract manufacturers have developed a manufacturing process for IC-500 drug substance and a formulation of this produced drug substance. However, we have only limited data showing the effect of this formulation in animals; the results of additional preclinical studies for IC-500, including the GLP toxicology studies we are planning, may require us to refine or change our manufacturing process or conduct additional formulation development activities. Manufacturing, including process development, formulation development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7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cGMP manufacturing run at our CDMO and reschedule the run for a later date based on the CDMO’s availability. A failure to procure or a shortage of necessary starting materials likely would delay our manufacturing and development timelines.</w:t>
      </w:r>
    </w:p>
    <w:p>
      <w:pPr>
        <w:spacing w:after="0" w:line="1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IC-100 and IC-200 produced by our CDMO, we have not yet conducted any manufacturing activities, including process development, for any of our minigene research programs.</w:t>
      </w:r>
    </w:p>
    <w:p>
      <w:pPr>
        <w:spacing w:after="0" w:line="18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9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business strategy is focused on developing transformative therapies for retinal diseases, including GA,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6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19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39" w:lineRule="exact"/>
        <w:rPr>
          <w:sz w:val="20"/>
          <w:szCs w:val="20"/>
          <w:color w:val="auto"/>
        </w:rPr>
      </w:pPr>
    </w:p>
    <w:p>
      <w:pPr>
        <w:ind w:left="660" w:hanging="328"/>
        <w:spacing w:after="0" w:line="249"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Annexon Inc., Apellis Pharmaceuticals, Inc., or Apellis, Applied Genetic Technologies Corporation, or AGTC, Biogen Inc., Gemini Therapeutics, Inc., Gyroscope Therapeutics (which was recently acquired by Novartis AG),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data from two Phase 3 clinical trials in September 2021 and Apellis stated it would file an application for marketing approval with the FDA during the second quarter of 2022. Apellis could obtain marketing approval for its product candidate in advance of when we might reasonably expect to obtain marketing approval for Zimura in GA or IC-500 in GA, if at all. Moreover, we are aware that several other companies, including Abbvie Pharmaceuticals, Inc., Allegro Ophthalmics, LLC, Alkeus Pharmaceuticals Inc., Astellas Pharma Inc., Boehringer Ingelheim, Lineage Cell Therapeutics, Inc., Ocugen, Inc., ONL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 or 2023.</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140" w:hanging="328"/>
        <w:spacing w:after="0" w:line="254"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200" w:hanging="328"/>
        <w:spacing w:after="0" w:line="24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are aware that ProQR is developing an RNA-based therapeutic for RHO-adRP, for which it is currently conducting a Phase 1/2 clinical trial. Ocugen, Inc. is developing a preclinical gene therapy for RHO-adRP, for which the FDA granted orphan drug designation in July 2020. In addition, Biogen has a preclinical AAV gene therapy program in RHO-adRP. Editas Medicine, Inc. is also developing a preclinical gene editing product candidate for this disease. We are also aware that multiple academic institutions have early stage gene therapy development programs in RHO-adRP.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aware that Biogen has a preclinical AAV gene therapy program for one or more BEST1-related IRDs.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180" w:hanging="328"/>
        <w:spacing w:after="0" w:line="279"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14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87"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Zimura or any of our other product candidates, if and when any such product candidate is approved.</w:t>
      </w:r>
    </w:p>
    <w:p>
      <w:pPr>
        <w:spacing w:after="0" w:line="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In 2021, we hired a chief commercial officer and are in the process of hiring additional commercialization personnel and planning our commercialization strategy for Zimura, including developing market access and reimbursement strategies and potentially setting up a sales, marketing and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w:t>
      </w:r>
    </w:p>
    <w:p>
      <w:pPr>
        <w:spacing w:after="0" w:line="185"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or are unable to establish sales, marketing and distribution capabilities successfully, either on our own or in collaboration with third parties, we would not be successful in commercializing our product candidates, if approved.</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hanging="324"/>
        <w:spacing w:after="0" w:line="301" w:lineRule="auto"/>
        <w:tabs>
          <w:tab w:leader="none" w:pos="9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restrictions in the label on the use of our products to or by a subgroup of patients, including, for example, for Zimura, if approved, restrictions on use of our product to patients with GA secondary to dry or non-neovascular AMD (as opposed to all forms of GA) or to patients with specific GA lesion characteristics, such as non-foveal GA. The inclusion criteria for our GATHER1 and GATHER2 trials require patients to have non-foveal GA and as a result, our label for Zimura, if approved, may have a restriction limiting its use to those patients;</w:t>
      </w:r>
    </w:p>
    <w:p>
      <w:pPr>
        <w:spacing w:after="0" w:line="184"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availability and timeliness of governmental and third-party payor coverage and adequate reimbursement;</w:t>
      </w:r>
    </w:p>
    <w:p>
      <w:pPr>
        <w:spacing w:after="0" w:line="252"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73" w:lineRule="exact"/>
        <w:rPr>
          <w:rFonts w:ascii="Arial" w:cs="Arial" w:eastAsia="Arial" w:hAnsi="Arial"/>
          <w:sz w:val="17"/>
          <w:szCs w:val="17"/>
          <w:color w:val="auto"/>
        </w:rPr>
      </w:pPr>
    </w:p>
    <w:p>
      <w:pPr>
        <w:ind w:left="980" w:right="460" w:hanging="324"/>
        <w:spacing w:after="0" w:line="308"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prevalence and severity of any side effects or perceived safety concerns, such as CNV; and</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alternatives that offer a less frequent dosing regimen than monthly intravitreal injections, in the case of Zimura, come to market.</w:t>
      </w:r>
    </w:p>
    <w:p>
      <w:pPr>
        <w:spacing w:after="0" w:line="17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development program for Zimura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measures that we are using as our primary endpoints for GATHER1 and GATHER2.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8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8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intermediate AMD are often asymptomatic as to loss of vision; therefore they may not seek or value having a treatment for their condition, especially a treatment involving monthly injections, which is the current dosing regimen for Zimura. In addition, physicians, including retina specialists, GOs and ODs, and their patients may not be aware of the risks of disease progression or of the availability of treatments, once approved. If the number of patients that may benefit from the treatments we are seeking to develop is lower than we expect, our business, financial condition, results of operations and prospects may be adversely affected.</w:t>
      </w:r>
    </w:p>
    <w:p>
      <w:pPr>
        <w:spacing w:after="0" w:line="18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1"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9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Zimura,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20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We expect that Zimura, if approved for GA, would be reimbursed by Medicare Part B and therefore, these cost containment measures will likely affect our pricing and reimbursement strategies.</w:t>
      </w:r>
    </w:p>
    <w:p>
      <w:pPr>
        <w:spacing w:after="0" w:line="188"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2020, President Trump issued several executive orders intended to lower the</w:t>
      </w:r>
    </w:p>
    <w:p>
      <w:pPr>
        <w:spacing w:after="0" w:line="3" w:lineRule="exact"/>
        <w:rPr>
          <w:sz w:val="20"/>
          <w:szCs w:val="20"/>
          <w:color w:val="auto"/>
        </w:rPr>
      </w:pPr>
    </w:p>
    <w:p>
      <w:pPr>
        <w:ind w:right="2300"/>
        <w:spacing w:after="0" w:line="252" w:lineRule="auto"/>
        <w:rPr>
          <w:sz w:val="20"/>
          <w:szCs w:val="20"/>
          <w:color w:val="auto"/>
        </w:rPr>
      </w:pPr>
      <w:r>
        <w:rPr>
          <w:rFonts w:ascii="Arial" w:cs="Arial" w:eastAsia="Arial" w:hAnsi="Arial"/>
          <w:sz w:val="18"/>
          <w:szCs w:val="18"/>
          <w:color w:val="auto"/>
        </w:rPr>
        <w:t>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260" w:lineRule="exact"/>
        <w:rPr>
          <w:sz w:val="20"/>
          <w:szCs w:val="20"/>
          <w:color w:val="auto"/>
        </w:rPr>
      </w:pPr>
    </w:p>
    <w:p>
      <w:pPr>
        <w:ind w:right="80" w:firstLine="405"/>
        <w:spacing w:after="0" w:line="299" w:lineRule="auto"/>
        <w:rPr>
          <w:sz w:val="20"/>
          <w:szCs w:val="20"/>
          <w:color w:val="auto"/>
        </w:rPr>
      </w:pPr>
      <w:r>
        <w:rPr>
          <w:rFonts w:ascii="Arial" w:cs="Arial" w:eastAsia="Arial" w:hAnsi="Arial"/>
          <w:sz w:val="16"/>
          <w:szCs w:val="16"/>
          <w:color w:val="292929"/>
        </w:rPr>
        <w:t xml:space="preserve">On July 9, 2021, President Biden signed </w:t>
      </w:r>
      <w:r>
        <w:rPr>
          <w:rFonts w:ascii="Arial" w:cs="Arial" w:eastAsia="Arial" w:hAnsi="Arial"/>
          <w:sz w:val="16"/>
          <w:szCs w:val="16"/>
          <w:color w:val="000000"/>
        </w:rPr>
        <w:t>Executive Order 14063</w:t>
      </w:r>
      <w:r>
        <w:rPr>
          <w:rFonts w:ascii="Arial" w:cs="Arial" w:eastAsia="Arial" w:hAnsi="Arial"/>
          <w:sz w:val="16"/>
          <w:szCs w:val="16"/>
          <w:color w:val="292929"/>
        </w:rPr>
        <w:t>,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292929"/>
        </w:rPr>
        <w:t>address the recurrent problem of price gouging.” On September 9, 2021, HHS released its plan to reduce pharmaceutical prices. The key features of that plan are to: (a) make pharmaceutical prices more affordable and equitable for all consumers and throughout the healthcare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1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 "buy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1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14"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Zimura.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178"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color w:val="auto"/>
        </w:rPr>
        <w:t>We have historically relied on, and purchased on a purchase order basis from, a single third-party manufacturer, Agilent, to provide Zimura drug substance. We are working with Agilent and a new manufacturer to conduct scale up and validation activities for Zimura drug substance. However, we do not currently have any contractual commitments with Agilent or the new manufacturer for the long-term clinical or commercial supply of Zimura drug substance. We have also historically relied on a single third-party manufacturer, Ajinomoto, for Zimura drug product. We are working with a second fill/finish manufacturer for additional supply of Zimura drug product for our expected needs for the GATHER2 and STAR trials. We plan to rely on Ajinomoto for supply of Zimura drug product using the new vial for commercial supply upon launch, if approved. However, we may ultimately need to rely on other manufacturers for long-term supply of Zimura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8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For IC-500, we work with a number of CDMOs to conduct process development, scale-up and cGMP manufacture of the drug substance and drug product for preclinical toxicology studies and early-stage clinical trials.</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2" w:lineRule="exact"/>
        <w:rPr>
          <w:sz w:val="20"/>
          <w:szCs w:val="20"/>
          <w:color w:val="auto"/>
        </w:rPr>
      </w:pPr>
    </w:p>
    <w:p>
      <w:pPr>
        <w:ind w:right="240" w:firstLine="405"/>
        <w:spacing w:after="0" w:line="289" w:lineRule="auto"/>
        <w:rPr>
          <w:sz w:val="20"/>
          <w:szCs w:val="20"/>
          <w:color w:val="auto"/>
        </w:rPr>
      </w:pPr>
      <w:r>
        <w:rPr>
          <w:rFonts w:ascii="Arial" w:cs="Arial" w:eastAsia="Arial" w:hAnsi="Arial"/>
          <w:sz w:val="16"/>
          <w:szCs w:val="16"/>
          <w:color w:val="auto"/>
        </w:rPr>
        <w:t>Over the past few years, Agilent has been undergoing rapid expansion, including ramping up for production for existing clients, bringing on additional clients, opening new facilities, installing and validating new equipment, and hiring and training new personnel. As a result, we engaged a new contract manufacturer for supply of Zimura drug substance, which we had planned to be our primary manufacturer for Zimura drug substance. We encountered issues during technology transfer of the Zimura manufacturing process to this new manufacturer, which delayed our timelines with this new manufacturer. Subject to successful completion of scale up and validation activities, we currently plan to use Agilent as the primary source of supply of Zimura drug substance upon launch, if approved, and the new manufacturer as a second source of supply of Zimura drug substance. We are continuing discussions with Agilent for long-term commercial supply of Zimura drug substance.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6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raw materials used in the manufacture of IC-500 from China. Over the past year, there have been increasing disruptions in the global supply chain for various materials, due to the effects of the COVID-19 pandemic and other reasons, and these disruptions may ultimately affect our operations. In October 2021, we learned that the new manufacturer we are working with as a second source of Zimura drug substance was experiencing issues with procuring an important raw material common to many manufacturing processes, which occurred due to recent supply chain interruptions and caused a slight delay to our manufacturing timelines with this contract manufacturer.</w:t>
      </w:r>
    </w:p>
    <w:p>
      <w:pPr>
        <w:spacing w:after="0" w:line="20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6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control and quality assurance;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 The COVID-19 pandemic has also affected their operations.</w:t>
      </w:r>
    </w:p>
    <w:p>
      <w:pPr>
        <w:spacing w:after="0" w:line="18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7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COVID-19 pandemic has caused our university collaborators to limit the number of staff on site and the types of activities that may be conducted in their laboratories. During 2020, Penn restricted their researchers from being on site in their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laboratories and closed a number of research centers that our researchers use for data analysis, which limited their ability to analyze some of the data generated during our preclinical studies. As a result, our receipt of data and reports from some of those studies was delayed.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Over the past year, several of our vendors have been facing backlogs due to work and demands from other clients, including those who are developing vaccines or medicines for the COVID-19 pandemic, which has limited their availability to perform work for us. For example, we anticipate that the start of the IND-enabling toxicology studies for IC-500 will be later than what we originally planned, primarily due to the limited availability of study slots at CROs attributable to rising demand for their services as well as increased absenteeism of staff at those CROs in wake of the COVID-19 pandemic and the recent Omicron variant. There is no guarantee that the COVID-19 pandemic will not further impact our third-party vendors, which could have a material impact on our research and development programs.</w:t>
      </w:r>
    </w:p>
    <w:p>
      <w:pPr>
        <w:spacing w:after="0" w:line="16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9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65" w:lineRule="exact"/>
        <w:rPr>
          <w:sz w:val="20"/>
          <w:szCs w:val="20"/>
          <w:color w:val="auto"/>
        </w:rPr>
      </w:pPr>
    </w:p>
    <w:p>
      <w:pPr>
        <w:ind w:right="20" w:firstLine="405"/>
        <w:spacing w:after="0" w:line="225"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clients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historically relied upon third-party researchers to advance our sponsored research programs. We may not be able to fully realize the benefits of any intellectual property generated by these arrangements.</w:t>
      </w:r>
    </w:p>
    <w:p>
      <w:pPr>
        <w:spacing w:after="0" w:line="170"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Part of our strategy to date involves collaborative sponsored research performed by third-party research institutions. Although we have sought to direct this research and advise on the design of these projects as well as critical development decisions, this research has been performed by individuals who are not our employees and the timeline and quality of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21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1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have transitioned the miniCEP290, miniABCA4 and miniUSH2A research programs from UMMS to us. Those programs were previously collaborative sponsored research programs overseen by researchers at UMMS, and we now plan to continue those research programs internally. As part of this transition, we need to obtain or breed new animals for the miniABCA4 program and the miniUSH2A program, which has led to delays in our timelines for receipt of data from both programs. We may not be successful in pursuing these research programs internally.</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may seek a collaborator for the further development and potential commercialization of Zimura in one or more territories outside the United States. If any of the sustained release delivery technologies that we are evaluating for Zimura are promising, we expect we may pursue a collaboration with the technology provider for further development. We also plan to seek a collaborator for the further development of IC-100 and/or IC-200. If we are not able to establish collaborations to advance these or any of our other development programs, we may have to alter our development and commercialization plans.</w:t>
      </w:r>
    </w:p>
    <w:p>
      <w:pPr>
        <w:spacing w:after="0" w:line="1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may seek a collaborator for the further development and potential commercialization of Zimura in one or more territories outside the United States. We also plan to seek a collaborator for the further development and potential commercialization of IC-100 and IC-200.</w:t>
      </w:r>
    </w:p>
    <w:p>
      <w:pPr>
        <w:spacing w:after="0" w:line="153" w:lineRule="exact"/>
        <w:rPr>
          <w:sz w:val="20"/>
          <w:szCs w:val="20"/>
          <w:color w:val="auto"/>
        </w:rPr>
      </w:pPr>
    </w:p>
    <w:p>
      <w:pPr>
        <w:ind w:right="20" w:firstLine="405"/>
        <w:spacing w:after="0" w:line="235"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Zimura,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including IC-100 and IC-200, we are party to in-license agreements that limit who we can collaborate with or may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9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Zimura,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Zimura in the United States ourselves, if approved, as part of the process for finding a collaborator for potential commercialization in one or more territories outside the United States, we may choose to grant a potential collaborator co-commercialization rights in the United States.</w:t>
      </w:r>
    </w:p>
    <w:p>
      <w:pPr>
        <w:spacing w:after="0" w:line="16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60" w:hanging="324"/>
        <w:spacing w:after="0" w:line="277"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3" w:lineRule="exact"/>
        <w:rPr>
          <w:rFonts w:ascii="Arial" w:cs="Arial" w:eastAsia="Arial" w:hAnsi="Arial"/>
          <w:sz w:val="18"/>
          <w:szCs w:val="18"/>
          <w:color w:val="auto"/>
        </w:rPr>
      </w:pPr>
    </w:p>
    <w:p>
      <w:pPr>
        <w:ind w:left="980" w:right="520" w:hanging="324"/>
        <w:spacing w:after="0" w:line="308" w:lineRule="auto"/>
        <w:tabs>
          <w:tab w:leader="none" w:pos="975"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51" w:lineRule="exact"/>
        <w:rPr>
          <w:rFonts w:ascii="Arial" w:cs="Arial" w:eastAsia="Arial" w:hAnsi="Arial"/>
          <w:sz w:val="18"/>
          <w:szCs w:val="18"/>
          <w:color w:val="auto"/>
        </w:rPr>
      </w:pPr>
    </w:p>
    <w:p>
      <w:pPr>
        <w:ind w:left="980" w:right="180" w:hanging="324"/>
        <w:spacing w:after="0" w:line="232" w:lineRule="auto"/>
        <w:tabs>
          <w:tab w:leader="none" w:pos="975" w:val="left"/>
        </w:tabs>
        <w:numPr>
          <w:ilvl w:val="0"/>
          <w:numId w:val="78"/>
        </w:numPr>
        <w:rPr>
          <w:rFonts w:ascii="Arial" w:cs="Arial" w:eastAsia="Arial" w:hAnsi="Arial"/>
          <w:sz w:val="22"/>
          <w:szCs w:val="22"/>
          <w:color w:val="auto"/>
        </w:rPr>
      </w:pPr>
      <w:r>
        <w:rPr>
          <w:rFonts w:ascii="Arial" w:cs="Arial" w:eastAsia="Arial" w:hAnsi="Arial"/>
          <w:sz w:val="18"/>
          <w:szCs w:val="18"/>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230" w:lineRule="exact"/>
        <w:rPr>
          <w:rFonts w:ascii="Arial" w:cs="Arial" w:eastAsia="Arial" w:hAnsi="Arial"/>
          <w:sz w:val="22"/>
          <w:szCs w:val="22"/>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19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responsibilities for us with respect to product candidates or might result in litigation or arbitration, any of which would divert management attention and resources, be time-consuming and expensive, and be uncertain in outcome;</w:t>
      </w:r>
    </w:p>
    <w:p>
      <w:pPr>
        <w:spacing w:after="0" w:line="197" w:lineRule="exact"/>
        <w:rPr>
          <w:sz w:val="20"/>
          <w:szCs w:val="20"/>
          <w:color w:val="auto"/>
        </w:rPr>
      </w:pPr>
    </w:p>
    <w:p>
      <w:pPr>
        <w:ind w:left="980" w:hanging="324"/>
        <w:spacing w:after="0" w:line="263"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80" w:hanging="324"/>
        <w:spacing w:after="0" w:line="342" w:lineRule="auto"/>
        <w:tabs>
          <w:tab w:leader="none" w:pos="975"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8" w:lineRule="exact"/>
        <w:rPr>
          <w:sz w:val="20"/>
          <w:szCs w:val="20"/>
          <w:color w:val="auto"/>
        </w:rPr>
      </w:pPr>
    </w:p>
    <w:p>
      <w:pPr>
        <w:ind w:right="120" w:firstLine="405"/>
        <w:spacing w:after="0" w:line="268" w:lineRule="auto"/>
        <w:rPr>
          <w:sz w:val="20"/>
          <w:szCs w:val="20"/>
          <w:color w:val="auto"/>
        </w:rPr>
      </w:pPr>
      <w:r>
        <w:rPr>
          <w:rFonts w:ascii="Arial" w:cs="Arial" w:eastAsia="Arial" w:hAnsi="Arial"/>
          <w:sz w:val="17"/>
          <w:szCs w:val="17"/>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For example, for IC-100, those milestones include a development milestone, which we did not meet at its original deadline. We were able to successfully obtain an extension to that milestone and all subsequent milestones in the RHO-adRP License Agreement. If we are unable to meet the extended deadline or any other diligence milestone timelines in our agreements with our academic licensors, or obtain extensions to those deadlines, the applicable licensor would have the right to terminate the license agreement on which we depend for rights to IC-100, IC-200 or our miniCEP290 program and we could lose our rights to develop and market IC-100, IC-200 or any product candidates from our miniCEP290 program, or to have a potential collaborator or licensee do so.</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of that program.</w:t>
      </w:r>
    </w:p>
    <w:p>
      <w:pPr>
        <w:spacing w:after="0" w:line="18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7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Moreover, the license agreements for IC-100, IC-200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and if clinical development is successful,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process for filing and obtaining marketing approval for, Zimura to continue for at least an additional year, if not more.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If we are successful in developing a sustained release delivery technology for Zimura, we may be able to obtain patent protection for Zimura with the sustained release delivery technology beyond the current patent life for Zimura; however, obtaining the additional patent protection from these efforts or other efforts to extend the patent life of Zimura is not guaranteed. Although the patent rights under existing patent applications for IC-500, IC-100, IC-200 and our miniCEP290 program are not expected to expire until 2037 or after, we face the same risk with those product candidates and programs and any future product candidates that we may develop.</w:t>
      </w:r>
    </w:p>
    <w:p>
      <w:pPr>
        <w:spacing w:after="0" w:line="16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recently allowed claims from the USPTO relating to a method of using Zimura to treat GA will issue as a method-of-treatment patent. Certain of our licensed patent rights for Zimura and IC-100 are method-of-treatment patents and patent applications. Our licensed patent rights for IC-200 are method-of-treatment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8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jc w:val="both"/>
        <w:ind w:right="500" w:firstLine="405"/>
        <w:spacing w:after="0" w:line="287"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pending and future patent applications, and any collaboration or commercialization partner’s pending and future patent applications, may not result in patents being issued which protect our technology or products, in whole or in part, 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6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88"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8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7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6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6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88" w:lineRule="exact"/>
        <w:rPr>
          <w:sz w:val="20"/>
          <w:szCs w:val="20"/>
          <w:color w:val="auto"/>
        </w:rPr>
      </w:pPr>
    </w:p>
    <w:p>
      <w:pPr>
        <w:ind w:right="360" w:firstLine="405"/>
        <w:spacing w:after="0" w:line="301" w:lineRule="auto"/>
        <w:rPr>
          <w:sz w:val="20"/>
          <w:szCs w:val="20"/>
          <w:color w:val="auto"/>
        </w:rPr>
      </w:pPr>
      <w:r>
        <w:rPr>
          <w:rFonts w:ascii="Arial" w:cs="Arial" w:eastAsia="Arial" w:hAnsi="Arial"/>
          <w:sz w:val="16"/>
          <w:szCs w:val="16"/>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5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w:t>
      </w:r>
    </w:p>
    <w:p>
      <w:pPr>
        <w:spacing w:after="0" w:line="166" w:lineRule="exact"/>
        <w:rPr>
          <w:sz w:val="20"/>
          <w:szCs w:val="20"/>
          <w:color w:val="auto"/>
        </w:rPr>
      </w:pPr>
    </w:p>
    <w:p>
      <w:pPr>
        <w:ind w:right="500" w:firstLine="405"/>
        <w:spacing w:after="0" w:line="311" w:lineRule="auto"/>
        <w:rPr>
          <w:sz w:val="20"/>
          <w:szCs w:val="20"/>
          <w:color w:val="auto"/>
        </w:rPr>
      </w:pPr>
      <w:r>
        <w:rPr>
          <w:rFonts w:ascii="Arial" w:cs="Arial" w:eastAsia="Arial" w:hAnsi="Arial"/>
          <w:sz w:val="16"/>
          <w:szCs w:val="16"/>
          <w:color w:val="auto"/>
        </w:rPr>
        <w:t>As a result of the COVID-19 pandemic, we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 others we work with; and/or result in disruptions to our research and development activities and business operations, including potential product development, regulatory approval and commercialization delays.</w:t>
      </w:r>
    </w:p>
    <w:p>
      <w:pPr>
        <w:spacing w:after="0" w:line="195"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7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 the ordinary course of business, we rely on third parties, including clinical trial sites, CROs, CDMOs and other service providers, to collect, process and maintain personal and other sensitive data on their respective networks for our research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214"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5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20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will become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8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We are a development-stage company with a limited number of employees to oversee our research and development programs and general and administrative functions. We are in the process of recruiting new personnel to prepare for the potential commercialization of Zimura and to support our growth. We may experience difficulties in recruiting necessary personnel and in retaining key employees and consultants.</w:t>
      </w:r>
    </w:p>
    <w:p>
      <w:pPr>
        <w:spacing w:after="0" w:line="54"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We are a development-stage company with a total of 94 full-time employees as of January 31, 2022. These employees support key areas of our business and operations, including commercial planning, clinical development and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5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7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prepare for the potential filing of an NDA and an MAA for and the potential commercialization of Zimura, and continue the development of IC-500, we have been and expect we will need to continue hiring additional commercial operations, medical affairs, clinical operations, quality assurance, manufacturing, analytical, regulatory, pharmacovigilance and other personnel from this limited pool. In 2021 we hired a chief commercial officer and started hiring commercial and medical affairs personnel, and will need to continue to hire additional commercialization and medical affairs personnel, including medical science liaisons, or MSLs. Hiring, training and effectively deploying MSLs can be time consuming and costly, and many other companies are competing with us for the MSLs whom we are looking to hire. If we experience any challenges or delays in the hiring and integration of necessary personnel due to the COVID-19 pandemic or other reasons, it could impede our ability to finish development of, file for marketing approval for, and potentially commercialize Zimura in line with our expectations.</w:t>
      </w:r>
    </w:p>
    <w:p>
      <w:pPr>
        <w:spacing w:after="0" w:line="179"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result of the COVID-19 pandemic, our company has been working remotely since March 2020 and we expect to work in a hybrid (partially remote, partially in office) working model for the foreseeable near future. Our ability to continue to work effectively in a hybrid working model may affect our operations and the success of our company going forward.</w:t>
      </w:r>
    </w:p>
    <w:p>
      <w:pPr>
        <w:spacing w:after="0" w:line="89"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In March 2020, we instituted a company-wide working from home policy, which has largely remained in effect. Other than for our laboratory-based employees, we expect to work in a hybrid (partially remote, partially in office) working model for the foreseeable near future. We will closely follow the guidance from federal and state authorities, including the Centers for Disease Control and Prevention, the New York State Department of Health, the New Jersey Department of Health and the Massachusetts Department of Public Health, with regard to our policies relating to working in our offices. We expect that changes to the way we work will depend on, among other factors, the local COVID-19 and public safety situation and the degree to which our employees have received vaccines and if applicable, booster shots. If and when we transition back to working at company sites closer to a full-time basis,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the importance of our employees and contractors to the success of our company, their exposure to the COVID-19 pandemic may adversely affect our ability to carry on our operations.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that we may develop is not effective, is only moderately effective or has undesirable or unintended side effects, toxicities or other characteristics that preclude our obtaining marketing approval or prevent or limit commercial use.</w:t>
      </w:r>
    </w:p>
    <w:p>
      <w:pPr>
        <w:spacing w:after="0" w:line="17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Marketing approval of novel product candidates, for example aptamers such as Zimura,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92"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Although we have obtained agreement with the FDA on a SPA for GATHER2, a SPA does not guarantee marketing approval of, or any other particular outcome from, regulatory review.</w:t>
      </w:r>
    </w:p>
    <w:p>
      <w:pPr>
        <w:spacing w:after="0" w:line="19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Even after the FDA agrees to the design, execution, and analysis proposed in a protocol reviewed under the</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Zimura.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2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For example, although we have obtained a SPA from the FDA for the GATHER2 trial, the EMA or other regulatory authorities may not agree with the overall protocol design for the GATHER2 trial.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92"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As a result of Brexit, we expect we will need to submit a separate application to the MHRA for marketing approval in the UK, in addition to the planned MAA for the EMA. We are continuing to analyze how Brexit and the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intermediate AMD or STGD1, or that the FDA will grant fast track designation for any of our other product candidates, if we choose to apply for fast track designation.</w:t>
      </w:r>
    </w:p>
    <w:p>
      <w:pPr>
        <w:spacing w:after="0" w:line="1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6" w:lineRule="exact"/>
        <w:rPr>
          <w:sz w:val="20"/>
          <w:szCs w:val="20"/>
          <w:color w:val="auto"/>
        </w:rPr>
      </w:pPr>
    </w:p>
    <w:p>
      <w:pPr>
        <w:jc w:val="both"/>
        <w:ind w:right="60" w:firstLine="405"/>
        <w:spacing w:after="0" w:line="301" w:lineRule="auto"/>
        <w:rPr>
          <w:sz w:val="20"/>
          <w:szCs w:val="20"/>
          <w:color w:val="auto"/>
        </w:rPr>
      </w:pPr>
      <w:r>
        <w:rPr>
          <w:rFonts w:ascii="Arial" w:cs="Arial" w:eastAsia="Arial" w:hAnsi="Arial"/>
          <w:sz w:val="16"/>
          <w:szCs w:val="16"/>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8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1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96"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7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recently issued final guidance stating that it would consider two gene therapy products to be different products if they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express different transgenes or use different vectors. In the European Union, marketing authorization may be granted to a similar medicinal product for the same orphan indication if:</w:t>
      </w:r>
    </w:p>
    <w:p>
      <w:pPr>
        <w:spacing w:after="0" w:line="197" w:lineRule="exact"/>
        <w:rPr>
          <w:sz w:val="20"/>
          <w:szCs w:val="20"/>
          <w:color w:val="auto"/>
        </w:rPr>
      </w:pPr>
    </w:p>
    <w:p>
      <w:pPr>
        <w:ind w:left="980" w:right="520" w:hanging="324"/>
        <w:spacing w:after="0" w:line="308" w:lineRule="auto"/>
        <w:tabs>
          <w:tab w:leader="none" w:pos="97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173" w:lineRule="exact"/>
        <w:rPr>
          <w:rFonts w:ascii="Arial" w:cs="Arial" w:eastAsia="Arial" w:hAnsi="Arial"/>
          <w:sz w:val="17"/>
          <w:szCs w:val="17"/>
          <w:color w:val="auto"/>
        </w:rPr>
      </w:pPr>
    </w:p>
    <w:p>
      <w:pPr>
        <w:ind w:left="980" w:right="880" w:hanging="324"/>
        <w:spacing w:after="0" w:line="277"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21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6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FDA and other agencies, including the Department of Justice, or the DOJ, closely regulate and monitor the pre- and post-approval marketing and promotion of products to ensure that they are marketed and distributed only for the approved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9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7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3" w:lineRule="exact"/>
        <w:rPr>
          <w:sz w:val="20"/>
          <w:szCs w:val="20"/>
          <w:color w:val="auto"/>
        </w:rPr>
      </w:pPr>
    </w:p>
    <w:p>
      <w:pPr>
        <w:ind w:left="980" w:right="500" w:hanging="324"/>
        <w:spacing w:after="0" w:line="277" w:lineRule="auto"/>
        <w:tabs>
          <w:tab w:leader="none" w:pos="9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return for, either the referral of an individual for, or the purchase, order or recommendation or arranging of, any good or service, for which payment may be made under a federal healthcare program such as Medicare and Medicaid;</w:t>
      </w:r>
    </w:p>
    <w:p>
      <w:pPr>
        <w:spacing w:after="0" w:line="197" w:lineRule="exact"/>
        <w:rPr>
          <w:sz w:val="20"/>
          <w:szCs w:val="20"/>
          <w:color w:val="auto"/>
        </w:rPr>
      </w:pPr>
    </w:p>
    <w:p>
      <w:pPr>
        <w:ind w:left="980" w:hanging="324"/>
        <w:spacing w:after="0" w:line="257"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0"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13"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176"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Zimura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19"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reversed this decision and dismissed the case on standing grounds. Litigation and legislation over the ACA may continue, with unpredictable and uncertain results.</w:t>
      </w:r>
    </w:p>
    <w:p>
      <w:pPr>
        <w:spacing w:after="0" w:line="19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19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94" w:lineRule="exact"/>
        <w:rPr>
          <w:sz w:val="20"/>
          <w:szCs w:val="20"/>
          <w:color w:val="auto"/>
        </w:rPr>
      </w:pPr>
    </w:p>
    <w:p>
      <w:pPr>
        <w:ind w:right="60" w:firstLine="405"/>
        <w:spacing w:after="0" w:line="238"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between pharmacy benefit managers and manufacturers, the implementation of which have also been delayed by the Biden administration until January 1, 2023.</w:t>
      </w:r>
    </w:p>
    <w:p>
      <w:pPr>
        <w:spacing w:after="0" w:line="21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pacing w:after="0" w:line="15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our calculation, price reporting and payment obligations previously reported or paid. Such revisions could affect liability to federal and state payers and also adversely impact reported financial results of operations in the period of such restatement. We expect that Zimura, if approved for GA, would be reimbursed by the "buy and bill" model under Medicare Part B, which requires that we report the average sale price, or ASP, for Zimura, which will affect the level of reimbursement from Medicare. The determination of ASP can be complex and uncertain.</w:t>
      </w:r>
    </w:p>
    <w:p>
      <w:pPr>
        <w:spacing w:after="0" w:line="192"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a company becomes subject to investigations, restatements, or other inquiries concerning compliance with price reporting laws and regulations, it could be required to pay or be subject to additional reimbursements, penalties, sanctions or fines, which could have a material adverse effect on the business, financial condition and results of operations. In addition, it is possible that future healthcare reform measures could be adopted, which could result in increased pressure on pricing and reimbursement of products and thus have an adverse impact on financial position or business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the company’s financial position and results of operations could be adversely affected.</w:t>
      </w:r>
    </w:p>
    <w:p>
      <w:pPr>
        <w:spacing w:after="0" w:line="214" w:lineRule="exact"/>
        <w:rPr>
          <w:sz w:val="20"/>
          <w:szCs w:val="20"/>
          <w:color w:val="auto"/>
        </w:rPr>
      </w:pPr>
    </w:p>
    <w:p>
      <w:pPr>
        <w:ind w:right="340" w:firstLine="441"/>
        <w:spacing w:after="0" w:line="257" w:lineRule="auto"/>
        <w:rPr>
          <w:sz w:val="20"/>
          <w:szCs w:val="20"/>
          <w:color w:val="auto"/>
        </w:rPr>
      </w:pPr>
      <w:r>
        <w:rPr>
          <w:rFonts w:ascii="Arial" w:cs="Arial" w:eastAsia="Arial" w:hAnsi="Arial"/>
          <w:sz w:val="18"/>
          <w:szCs w:val="18"/>
          <w:color w:val="auto"/>
        </w:rPr>
        <w:t>In addition to retroactive rebates and the potential for 340B Program refunds, if a pharmaceutical firm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Medicaid or Medicare Part B, for covered outpatient drugs.</w:t>
      </w:r>
    </w:p>
    <w:p>
      <w:pPr>
        <w:spacing w:after="0" w:line="215"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3"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84"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 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 shut down several times and certain regulatory agencies, such as the FDA and the SEC, have had to furlough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Separately, since the FDA placed most foreign and domestic inspections of facilities on hold in March 2020 due to the COVID-19 pandemic, the FDA has been working to resume routine surveillance, 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CRL, or defer action on the application until an inspection can be completed.</w:t>
      </w:r>
    </w:p>
    <w:p>
      <w:pPr>
        <w:spacing w:after="0" w:line="20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2020 and 2021, a number of companies announced receipt of CRLs due to the FDA’s inability to complete required inspections for their applications. In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prolonged, including where a pre-approval inspection or an inspection of clinical sites is required and due to the ongoing COVID-19 pandemic and travel restrictions, the FDA is unable to complete such required inspections during the review period. Any of these delays may affect our regulatory submissions and the FDA's timing for reviewing them. Regulatory authorities outside the U.S. may adopt similar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restrictions or other policy measures in response to the COVID-19 pandemic and may experience delays in their regulatory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68" w:lineRule="auto"/>
        <w:tabs>
          <w:tab w:leader="none" w:pos="1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03"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1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16"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90"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52"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3" w:lineRule="exact"/>
        <w:rPr>
          <w:sz w:val="20"/>
          <w:szCs w:val="20"/>
          <w:color w:val="auto"/>
        </w:rPr>
      </w:pPr>
    </w:p>
    <w:p>
      <w:pPr>
        <w:ind w:left="980" w:hanging="324"/>
        <w:spacing w:after="0" w:line="263"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 including any potential increase in the trading of our common stock and the resulting volatility of our stock price that may occur as we get closer to the expected availability of top-line data from our GATHER2 trial;</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results of regulatory interactions and review for our product candidates;</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 For example, in September 2021, Apellis announced top-line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660"/>
        <w:spacing w:after="0" w:line="277" w:lineRule="auto"/>
        <w:rPr>
          <w:sz w:val="20"/>
          <w:szCs w:val="20"/>
          <w:color w:val="auto"/>
        </w:rPr>
      </w:pPr>
      <w:r>
        <w:rPr>
          <w:rFonts w:ascii="Arial" w:cs="Arial" w:eastAsia="Arial" w:hAnsi="Arial"/>
          <w:sz w:val="18"/>
          <w:szCs w:val="18"/>
          <w:color w:val="auto"/>
        </w:rPr>
        <w:t>from its Phase 3 trials for GA, and the price of our common stock was affected following the release of those results. Any subsequent developments from Apellis or other competitors may have a significant impact on our stock price;</w:t>
      </w:r>
    </w:p>
    <w:p>
      <w:pPr>
        <w:spacing w:after="0" w:line="197"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 candidates and technologies for the treatment of retinal diseases, including sustained release delivery technologies for Zimura;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 See “</w:t>
      </w:r>
      <w:r>
        <w:rPr>
          <w:rFonts w:ascii="Arial" w:cs="Arial" w:eastAsia="Arial" w:hAnsi="Arial"/>
          <w:sz w:val="17"/>
          <w:szCs w:val="17"/>
          <w:i w:val="1"/>
          <w:iCs w:val="1"/>
          <w:color w:val="auto"/>
        </w:rPr>
        <w:t>Risks Related to Our Business Plan, Financial Position and Need for Additional Capital—We and certain of our 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former executive officers were named as defendants in lawsuits that could result in substantial costs and divert management’s attention</w:t>
      </w:r>
      <w:r>
        <w:rPr>
          <w:rFonts w:ascii="Arial" w:cs="Arial" w:eastAsia="Arial" w:hAnsi="Arial"/>
          <w:sz w:val="17"/>
          <w:szCs w:val="17"/>
          <w:color w:val="auto"/>
        </w:rPr>
        <w:t>.</w:t>
      </w:r>
      <w:r>
        <w:rPr>
          <w:rFonts w:ascii="Arial" w:cs="Arial" w:eastAsia="Arial" w:hAnsi="Arial"/>
          <w:sz w:val="17"/>
          <w:szCs w:val="17"/>
          <w:i w:val="1"/>
          <w:iCs w:val="1"/>
          <w:color w:val="auto"/>
        </w:rPr>
        <w:t xml:space="preserve"> We are in the process of settling those lawsuits but the settlements are not yet final</w:t>
      </w:r>
      <w:r>
        <w:rPr>
          <w:rFonts w:ascii="Arial" w:cs="Arial" w:eastAsia="Arial" w:hAnsi="Arial"/>
          <w:sz w:val="17"/>
          <w:szCs w:val="17"/>
          <w:color w:val="auto"/>
        </w:rPr>
        <w:t>.” These proceedings and other similar litigation, if instituted against us, could cause us</w:t>
      </w:r>
      <w:r>
        <w:rPr>
          <w:rFonts w:ascii="Arial" w:cs="Arial" w:eastAsia="Arial" w:hAnsi="Arial"/>
          <w:sz w:val="17"/>
          <w:szCs w:val="17"/>
          <w:i w:val="1"/>
          <w:iCs w:val="1"/>
          <w:color w:val="auto"/>
        </w:rPr>
        <w:t xml:space="preserve"> </w:t>
      </w:r>
      <w:r>
        <w:rPr>
          <w:rFonts w:ascii="Arial" w:cs="Arial" w:eastAsia="Arial" w:hAnsi="Arial"/>
          <w:sz w:val="17"/>
          <w:szCs w:val="17"/>
          <w:color w:val="auto"/>
        </w:rPr>
        <w:t>to incur substantial costs to defend such claims and divert management’s attention and resources, which could seriously harm our business, and cause additional volatility in the price of our common stock.</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pacing w:after="0" w:line="18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8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 representing approximately 2.5 million shares of common stock have been exercised and as of December 31, 2021, pre-funded warrants representing 3,164,280 shares of common stock remain outstanding.</w:t>
      </w:r>
    </w:p>
    <w:p>
      <w:pPr>
        <w:spacing w:after="0" w:line="17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more information about the dilutive effects of financing or business development transactions we may undertake, see the risk factor above,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0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lease properties in Parsippany, New Jersey, New York, New York, and Cranbury, New Jersey, all of which are used for office space and/or storage of IT equipment. We also have several lab benches for use in Worcester, Massachusetts, which we license from the University of Massachusetts and where we have four employees doing laboratory research and other preclinical development work.</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Descriptions of legal proceedings are set forth in "Note 11-Commitments and Contingencies" in the notes to the financial statements filed with this Annual Report on Form 10-K.</w:t>
      </w:r>
    </w:p>
    <w:p>
      <w:pPr>
        <w:spacing w:after="0" w:line="103"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162"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"OPHT" from September 25, 2013 to April 16, 2019, and under the symbol "ISEE" since April 17,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As of January 31, 2022, there were approximately 101 holders of record of our common stock. This number does not include beneficial owners whose shares are held by nominees in street name.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did not sell any of our equity securities or any options, warrants or rights to purchase our equity securities during the period covered by this Annual Report on Form 10-K that were not registered under the Securities Act and that have not otherwise been described in a Current Report on Form 8-K or a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following graph and chart compares the cumulative annual stockholder return on our common stock over the period commencing December 31, 2016 and ending on December 31, 2021, to that of the total return for the NASDAQ Composite Index and the NASDAQ Biotechnology Index, assuming an investment of $100 on December 31, 2016.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320040</wp:posOffset>
            </wp:positionV>
            <wp:extent cx="5863590" cy="4869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right="100" w:firstLine="177"/>
        <w:spacing w:after="0" w:line="263"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10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lead asset is our clinical stage product candidate Zimura® (avacincaptad pegol), a complement C5 inhibitor. We are currently targeting the following diseases with Zimura:</w:t>
      </w:r>
    </w:p>
    <w:p>
      <w:pPr>
        <w:spacing w:after="0" w:line="103" w:lineRule="exact"/>
        <w:rPr>
          <w:sz w:val="20"/>
          <w:szCs w:val="20"/>
          <w:color w:val="auto"/>
        </w:rPr>
      </w:pPr>
    </w:p>
    <w:p>
      <w:pPr>
        <w:ind w:left="660" w:right="14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144"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03"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July 2021, we completed patient enrollment for GATHER2, our Phase 3 clinical trial evaluating the safety and efficacy of Zimura for the treatment of GA secondary to AMD. We also received a written agreement from the U.S. Food and Drug Administration, or the FDA, under a Special Protocol Assessment, or SPA, for the overall design of GATHER2. We expect topline data from the GATHER2 trial to become available during the second half of 2022, approximately one year after the enrollment of the last patient plus the time needed for database lock and analysis. We also plan to initiate a Phase 3 clinical trial evaluating Zimura for patients with intermediate AMD during the second half of 2022.</w:t>
      </w:r>
    </w:p>
    <w:p>
      <w:pPr>
        <w:spacing w:after="0" w:line="10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Zimura, we are developing our preclinical product candidate IC-500, a High temperature requirement A serine peptidase 1 protein, or HtrA1, inhibitor, for GA and potentially other age-related retinal diseases. Based on current timelines, we expect to submit an investigational new drug application, or IND, to the FDA for IC-500 in mid-2023.</w:t>
      </w:r>
    </w:p>
    <w:p>
      <w:pPr>
        <w:spacing w:after="0" w:line="103"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116" w:lineRule="exact"/>
        <w:rPr>
          <w:sz w:val="20"/>
          <w:szCs w:val="20"/>
          <w:color w:val="auto"/>
        </w:rPr>
      </w:pPr>
    </w:p>
    <w:p>
      <w:pPr>
        <w:ind w:left="660" w:right="32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or Best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103"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As we focus our efforts on and prioritize the development and potential commercialization of Zimura, we have been considering our development options for IC-100 and IC-200, which we have been developing for RHO-adRP and BEST1-related IRDs, respectively. We currently plan to seek a collaborator for the future development and potential commercialization of these product candidates.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486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359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these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Zimura</w:t>
      </w:r>
    </w:p>
    <w:p>
      <w:pPr>
        <w:spacing w:after="0" w:line="144" w:lineRule="exact"/>
        <w:rPr>
          <w:sz w:val="20"/>
          <w:szCs w:val="20"/>
          <w:color w:val="auto"/>
        </w:rPr>
      </w:pPr>
    </w:p>
    <w:p>
      <w:pPr>
        <w:ind w:right="520" w:firstLine="405"/>
        <w:spacing w:after="0" w:line="263" w:lineRule="auto"/>
        <w:rPr>
          <w:sz w:val="20"/>
          <w:szCs w:val="20"/>
          <w:color w:val="auto"/>
        </w:rPr>
      </w:pPr>
      <w:r>
        <w:rPr>
          <w:rFonts w:ascii="Arial" w:cs="Arial" w:eastAsia="Arial" w:hAnsi="Arial"/>
          <w:sz w:val="18"/>
          <w:szCs w:val="18"/>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ongoing and planned clinical trials for Zimura, and our manufacturing activities for Zimura.</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GATHER2 is an international, randomized, double-masked, sham controlled, multi-center Phase 3 clinical trial evaluating the safety and efficacy of Zimura for the treatment of GA secondary to AMD. In this trial, we enrolled 448 patients who were randomized to receive either monthly administration of Zimura 2 mg or sham during the first 12 months of the trial, at which time we plan to analyze the primary efficacy endpoint of the mean rate of growth (slope) estimated based on GA area, as measured by fundus autofluorescence, or FAF, based on readings at three time points: baseline, month 6 and month</w:t>
      </w:r>
    </w:p>
    <w:p>
      <w:pPr>
        <w:spacing w:after="0" w:line="1" w:lineRule="exact"/>
        <w:rPr>
          <w:sz w:val="20"/>
          <w:szCs w:val="20"/>
          <w:color w:val="auto"/>
        </w:rPr>
      </w:pPr>
    </w:p>
    <w:p>
      <w:pPr>
        <w:jc w:val="both"/>
        <w:ind w:right="280" w:firstLine="8"/>
        <w:spacing w:after="0" w:line="255" w:lineRule="auto"/>
        <w:tabs>
          <w:tab w:leader="none" w:pos="2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month 12, patients in the Zimura 2 mg arm are re-randomized to receive either monthly or every other month administration of Zimura 2 mg and patients receiving monthly administrations of sham will continue to receive monthly administrations of sham. The final evaluation for patients will take place at month 24.</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Progress</w:t>
      </w:r>
    </w:p>
    <w:p>
      <w:pPr>
        <w:spacing w:after="0" w:line="158"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In July 2021, we completed patient enrollment in GATHER2, four months ahead of our original schedule. We expect 12-month top-line data from this trial to become available during the second half of 2022, approximately one year after the enrollment of the last patient plus the time needed for database lock and analysis. If the 12-month results are positive, we plan to file applications with the FDA and the EMA for marketing approval of Zimura for GA.</w:t>
      </w:r>
    </w:p>
    <w:p>
      <w:pPr>
        <w:spacing w:after="0" w:line="6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focusing on patient retention and continue to closely monitor the COVID-19 pandemic and its potential effect on the trial. We are targeting and remain on track for patient retention for the trial, as measured by the injection fidelity rate through month 12, of greater than 90%. The 12-month injection fidelity rate for our previously completed GATHER1 trial was 87%. The injection fidelity rate is calculated by dividing the total number of actual injections for all patients by the total number of expected injections based on the total number of patients enrolled in the trial. In addition, more than 84% of the scheduled first-year visits in the GATHER2 trial, which consists of all study visits up to and including the timepoint for assessing the primary efficacy endpoint, have been completed or elapsed.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Special Protocol Assessment</w:t>
      </w:r>
    </w:p>
    <w:p>
      <w:pPr>
        <w:spacing w:after="0" w:line="14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July 2021, we received a written agreement from the FDA under a SPA for the overall design of GATHER2. The SPA is a procedure by which the FDA provides a clinical trial sponsor with an official evaluation and written guidance on the design of a proposed protocol intended to form the basis for an NDA. In connection with our SPA, the FDA recommended, and we accepted, modifying the primary efficacy endpoint for the GATHER2 trial from the mean rate of change in GA area over 12 months measured by FAF at three timepoints: baseline, month 6 and month 12, to the mean rate of growth (slope) estimated based on GA area measured by FAF in at least three timepoints: baseline, month 6 and month 12.</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Planned Development of Zimura for Intermediate AMD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Previous Post-Hoc Analyses on GATHER1 Data</w:t>
      </w:r>
    </w:p>
    <w:p>
      <w:pPr>
        <w:spacing w:after="0" w:line="1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conducted post-hoc analyses on the GATHER1 data, in which we evaluated the progression of incomplete Retinal Pigment Epithelial and Outer Retinal Atrophy, or iRORA, to complete Retinal Pigment Epithelial and Outer Retinal Atrophy, or cRORA, and the progression of drusen to iRORA or cRORA, in patients treated with Zimura 2 mg as compared to patients in the corresponding sham group. Drusen, iRORA and cRORA represent progressive stages of AMD.</w:t>
      </w:r>
    </w:p>
    <w:p>
      <w:pPr>
        <w:spacing w:after="0" w:line="119"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The post-hoc analysis data show a 19.6% absolute reduction in the rate of progression from drusen to iRORA or cRORA, for the Zimura 2 mg group as compared to sham at 18 months, representing a relative risk reduction of 72%. The data also show a 21.8% absolute reduction in the rate of progression from iRORA to cRORA for the Zimura 2 mg group as compared to sham at 18 months, representing a relative risk of reduction of 52%.</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Planned Phase 3 Clinical Trial in Intermediate AMD</w:t>
      </w:r>
    </w:p>
    <w:p>
      <w:pPr>
        <w:spacing w:after="0" w:line="14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We have been encouraged by the post-hoc analyses data and currently plan to initiate a Phase 3 clinical trial studying Zimura in patients with intermediate AMD. Intermediate AMD is an earlier stage of AMD that precedes GA.</w:t>
      </w:r>
    </w:p>
    <w:p>
      <w:pPr>
        <w:spacing w:after="0" w:line="10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expect the intermediate AMD trial will be an international, randomized, double-masked, sham-controlled, multi-center trial with approximately 200 patients per treatment group. We expect to treat and follow patients for 24 months. We are currently evaluating other aspects of the design of this trial, including patient inclusion criteria and primary efficacy endpoints. We plan to obtain feedback from regulatory authorities on our plans for this trial and our development strategy in this indication, before initiating this trial during the second half of 2022.</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14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STAR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none of whom have any remaining study visits.</w:t>
      </w:r>
    </w:p>
    <w:p>
      <w:pPr>
        <w:spacing w:after="0" w:line="120"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July 2020, we reopened enrollment in this trial in the United States. We continue to enroll new patients and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 We expect results from this trial to be available after the 12-month top-line data from the GATHER2 trial.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14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are working with our historical contract manufacturer for Zimura drug substance, Agilent Technologies, Inc., or Agilent, to scale up and potentially validate the manufacturing process for Zimura drug substance. In parallel, we are working with a new contract manufacturer with the goal of assessing whether this manufacturer can produce Zimura drug substance at an adequate scale for potential commercial use. We have experienced issues during technology transfer of the existing manufacturing process to this manufacturer, which has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substance produced through the scaled up process can be produced consistently, delivering quality product within a range of acceptable specifications. We are continuing analytical method development and qualification with our contract manufacturers and laboratories.</w:t>
      </w:r>
    </w:p>
    <w:p>
      <w:pPr>
        <w:spacing w:after="0" w:line="170"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finished Zimura drug product using the new vial, which we plan to use for a portion of the second-year study visits for patients in the GATHER2 trial. We believe Ajinomoto has the capacity to supply us with finished Zimura drug product with the new vial for our expected commercial supply needs upon launch, if approved.</w:t>
      </w:r>
    </w:p>
    <w:p>
      <w:pPr>
        <w:spacing w:after="0" w:line="11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We believe this supplier will have the capacity to supply us with the PEG that we will need for commercial manufacturing.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2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We are pursuing the preclinical development of IC-500 for the treatment of GA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116"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are continuing the preclinical development of IC-500. In early 2021, we reviewed our IC-500 development program and explored the potential of a less frequent dosing regimen than monthly dosing. In 2021, we initiated a number of preclinical tolerability and pharmacokinetic studies for IC-500, and we are planning for IND-enabling GLP toxicology studies. We anticipate that the start of the IND-enabling toxicology studies will be later than what we originally planned, primarily due to the limited availability of study slots at CROs attributable to rising demand for their services as well as increased absenteeism of staff at those CROs in wake of the COVID-19 pandemic and the recent Omicron variant.</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developed a formulation that we believe will be safe and effective for intravitreal administration into the eye, and are conducting current Good Manufacturing Practices, or cGMP, manufacturing activities for IC-500. Based on current timelines and subject to successful preclinical development and cGMP manufacturing, we expect to submit an IND to the FDA for IC-500 in mid-2023.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5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have been conducting the preclinical development of IC-100, our novel AAV gene therapy product candidate for the treatment of RHO-adRP. We worked with a gene therapy contract development and manufacturing organization, or CDMO, for preclinical and early-stage clinical supply of IC-100. This CDMO produced, and we released, a cGMP batch of IC-100. In addition, we and the University of Pennsylvania, or Penn, conducted a number of preclinical studies of IC-100 and a natural history study of RHO-adRP patients, including a preclinical toxicology and efficacy study of IC-100 in the naturally occurring canine model of RHO-adRP. We have been considering our development options for this product candidate. We currently plan to seek a collaborator for the future development and potential commercialization of IC-100.</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4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We have been conducting the preclinical development of IC-200, our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We worked with a gene therapy CDMO for preclinical and early-stage clinical supply of IC-200. This CDMO produced, and we released, a cGMP batch of IC-200. In addition, we and Penn conducted a number of preclinical studies of IC-200 and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including a preclinical toxicology and efficacy study of IC-200 in the naturally occurring canine model of Best disease. We have been considering our development options for this product candidate. We currently plan to seek a collaborator for the future development and potential commercialization of IC-200.</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5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have transitioned the preclinical research activities for these programs from UMMS to us and we have established a laboratory for these employees to continue working on these programs and other preclinical ocular research and development activities.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these minigene programs and their status:</w:t>
      </w:r>
    </w:p>
    <w:p>
      <w:pPr>
        <w:spacing w:after="0" w:line="154" w:lineRule="exact"/>
        <w:rPr>
          <w:sz w:val="20"/>
          <w:szCs w:val="20"/>
          <w:color w:val="auto"/>
        </w:rPr>
      </w:pPr>
    </w:p>
    <w:p>
      <w:pPr>
        <w:ind w:left="660" w:right="4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miniCEP290 (LCA10): </w:t>
      </w:r>
      <w:r>
        <w:rPr>
          <w:rFonts w:ascii="Arial" w:cs="Arial" w:eastAsia="Arial" w:hAnsi="Arial"/>
          <w:sz w:val="18"/>
          <w:szCs w:val="18"/>
          <w:color w:val="auto"/>
        </w:rPr>
        <w:t>This program, which we refer to as the miniCEP290 program, is targeting LCA10,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 July 2019, we entered into a license agreement with the University of Massachusetts, or UMass, for exclusive development and commercialization rights to this program. The sponsored research yielded a number of minigene constructs that show encouraging results when tested in a mouse model. UMMS conducted additional experiments to optimize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87"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miniABCA4 (STGD1): </w:t>
      </w:r>
      <w:r>
        <w:rPr>
          <w:rFonts w:ascii="Arial" w:cs="Arial" w:eastAsia="Arial" w:hAnsi="Arial"/>
          <w:sz w:val="16"/>
          <w:szCs w:val="16"/>
          <w:color w:val="auto"/>
        </w:rPr>
        <w:t>This program, which we refer to as the miniABCA4 program, is targeting STGD1, which is associated with mutations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UMMS granted us an option to obtain an exclusive license to certain patent applications for this program. UMMS generated and evaluated several </w:t>
      </w:r>
      <w:r>
        <w:rPr>
          <w:rFonts w:ascii="Arial" w:cs="Arial" w:eastAsia="Arial" w:hAnsi="Arial"/>
          <w:sz w:val="16"/>
          <w:szCs w:val="16"/>
          <w:i w:val="1"/>
          <w:iCs w:val="1"/>
          <w:color w:val="auto"/>
        </w:rPr>
        <w:t>ABCA4</w:t>
      </w:r>
      <w:r>
        <w:rPr>
          <w:rFonts w:ascii="Arial" w:cs="Arial" w:eastAsia="Arial" w:hAnsi="Arial"/>
          <w:sz w:val="16"/>
          <w:szCs w:val="16"/>
          <w:color w:val="auto"/>
        </w:rPr>
        <w:t xml:space="preserve"> minigene constructs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which yielded what we believe to be encouraging results.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We are conducting additional experiments to optimize the constructs and assess their efficacy in the mouse model.</w:t>
      </w:r>
    </w:p>
    <w:p>
      <w:pPr>
        <w:spacing w:after="0" w:line="206" w:lineRule="exact"/>
        <w:rPr>
          <w:rFonts w:ascii="Arial" w:cs="Arial" w:eastAsia="Arial" w:hAnsi="Arial"/>
          <w:sz w:val="16"/>
          <w:szCs w:val="16"/>
          <w:color w:val="auto"/>
        </w:rPr>
      </w:pPr>
    </w:p>
    <w:p>
      <w:pPr>
        <w:ind w:left="660" w:right="80" w:hanging="328"/>
        <w:spacing w:after="0" w:line="274"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miniUSH2A (</w:t>
      </w:r>
      <w:r>
        <w:rPr>
          <w:rFonts w:ascii="Arial" w:cs="Arial" w:eastAsia="Arial" w:hAnsi="Arial"/>
          <w:sz w:val="17"/>
          <w:szCs w:val="17"/>
          <w:b w:val="1"/>
          <w:bCs w:val="1"/>
          <w:i w:val="1"/>
          <w:iCs w:val="1"/>
          <w:color w:val="auto"/>
        </w:rPr>
        <w:t>USH2A</w:t>
      </w:r>
      <w:r>
        <w:rPr>
          <w:rFonts w:ascii="Arial" w:cs="Arial" w:eastAsia="Arial" w:hAnsi="Arial"/>
          <w:sz w:val="17"/>
          <w:szCs w:val="17"/>
          <w:b w:val="1"/>
          <w:bCs w:val="1"/>
          <w:color w:val="auto"/>
        </w:rPr>
        <w:t xml:space="preserve">-related IRDs): </w:t>
      </w:r>
      <w:r>
        <w:rPr>
          <w:rFonts w:ascii="Arial" w:cs="Arial" w:eastAsia="Arial" w:hAnsi="Arial"/>
          <w:sz w:val="17"/>
          <w:szCs w:val="17"/>
          <w:color w:val="auto"/>
        </w:rPr>
        <w:t>This program, which we refer to as the miniUSH2A program, is targeting IRDs associated with mutations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w:t>
      </w:r>
      <w:r>
        <w:rPr>
          <w:rFonts w:ascii="Arial" w:cs="Arial" w:eastAsia="Arial" w:hAnsi="Arial"/>
          <w:sz w:val="17"/>
          <w:szCs w:val="17"/>
          <w:i w:val="1"/>
          <w:iCs w:val="1"/>
          <w:color w:val="auto"/>
        </w:rPr>
        <w:t>USH2A</w:t>
      </w:r>
      <w:r>
        <w:rPr>
          <w:rFonts w:ascii="Arial" w:cs="Arial" w:eastAsia="Arial" w:hAnsi="Arial"/>
          <w:sz w:val="17"/>
          <w:szCs w:val="17"/>
          <w:color w:val="auto"/>
        </w:rPr>
        <w:t xml:space="preserve"> gene, including Usher 2A and </w:t>
      </w:r>
      <w:r>
        <w:rPr>
          <w:rFonts w:ascii="Arial" w:cs="Arial" w:eastAsia="Arial" w:hAnsi="Arial"/>
          <w:sz w:val="17"/>
          <w:szCs w:val="17"/>
          <w:i w:val="1"/>
          <w:iCs w:val="1"/>
          <w:color w:val="auto"/>
        </w:rPr>
        <w:t>USH2A</w:t>
      </w:r>
      <w:r>
        <w:rPr>
          <w:rFonts w:ascii="Arial" w:cs="Arial" w:eastAsia="Arial" w:hAnsi="Arial"/>
          <w:sz w:val="17"/>
          <w:szCs w:val="17"/>
          <w:color w:val="auto"/>
        </w:rPr>
        <w:t xml:space="preserve">-associated non-syndromic autosomal recessive retinitis pigmentosa. UMMS granted us an option to obtain an exclusive license to certain patent applications for this program. Some of the activities in this program were delayed during 2020 as a result of the closure of UMMS animal research laboratories due to the COVID-19 pandemic. UMMS generated and evaluated several </w:t>
      </w:r>
      <w:r>
        <w:rPr>
          <w:rFonts w:ascii="Arial" w:cs="Arial" w:eastAsia="Arial" w:hAnsi="Arial"/>
          <w:sz w:val="17"/>
          <w:szCs w:val="17"/>
          <w:i w:val="1"/>
          <w:iCs w:val="1"/>
          <w:color w:val="auto"/>
        </w:rPr>
        <w:t xml:space="preserve">USH2A </w:t>
      </w:r>
      <w:r>
        <w:rPr>
          <w:rFonts w:ascii="Arial" w:cs="Arial" w:eastAsia="Arial" w:hAnsi="Arial"/>
          <w:sz w:val="17"/>
          <w:szCs w:val="17"/>
          <w:color w:val="auto"/>
        </w:rPr>
        <w:t>minigene constructs in</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experiments and we are planning to evaluate their efficacy in animals. The animal experiments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delayed as a result of transitioning the work from UMMS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Beginning in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211" w:lineRule="exact"/>
        <w:rPr>
          <w:sz w:val="20"/>
          <w:szCs w:val="20"/>
          <w:color w:val="auto"/>
        </w:rPr>
      </w:pPr>
    </w:p>
    <w:p>
      <w:pPr>
        <w:ind w:left="660" w:hanging="328"/>
        <w:spacing w:after="0" w:line="268" w:lineRule="auto"/>
        <w:tabs>
          <w:tab w:leader="none" w:pos="6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w:t>
      </w:r>
      <w:r>
        <w:rPr>
          <w:rFonts w:ascii="Arial" w:cs="Arial" w:eastAsia="Arial" w:hAnsi="Arial"/>
          <w:sz w:val="17"/>
          <w:szCs w:val="17"/>
          <w:color w:val="auto"/>
        </w:rPr>
        <w:t xml:space="preserve"> </w:t>
      </w:r>
      <w:r>
        <w:rPr>
          <w:rFonts w:ascii="Arial" w:cs="Arial" w:eastAsia="Arial" w:hAnsi="Arial"/>
          <w:sz w:val="17"/>
          <w:szCs w:val="17"/>
          <w:i w:val="1"/>
          <w:iCs w:val="1"/>
          <w:color w:val="auto"/>
        </w:rPr>
        <w:t>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Third-Party Collaborators and Vendors</w:t>
      </w:r>
      <w:r>
        <w:rPr>
          <w:rFonts w:ascii="Arial" w:cs="Arial" w:eastAsia="Arial" w:hAnsi="Arial"/>
          <w:sz w:val="18"/>
          <w:szCs w:val="18"/>
          <w:color w:val="auto"/>
        </w:rPr>
        <w:t>. Many of our third-party contract manufacturers, academic research collaborators and contract research organizations limited their operations and staff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minigene research programs. Over the past year, several of our vendors have been facing backlogs due to work and demands from other clients, including those who are developing vaccines or medicines for the COVID-19 pandemic, which has limited their availability to perform work for us. For example, we anticipate that the start of the IND-enabling toxicology studies for IC-500 will be later than what we originally planned, primarily due to the limited availability of study slots at CROs attributable to rising demand for their services as well as increased absenteeism of staff at those CROs in wake of the COVID-19 pandemic and the recent Omicron variant. We are also aware that some of our third-party contract manufacturers and storage vendors have experienced high levels of absenteeism due to the Omicron variant and as a result started to limit their operations and on-site activities. These operational and staffing limitations may cause further delays for our development and manufacturing activities. At this time, we do not know whether there will be further impact on the work of our third-party vendors and collaborators due to the COVID-19 pandemic.</w:t>
      </w:r>
    </w:p>
    <w:p>
      <w:pPr>
        <w:spacing w:after="0" w:line="101" w:lineRule="exact"/>
        <w:rPr>
          <w:sz w:val="20"/>
          <w:szCs w:val="20"/>
          <w:color w:val="auto"/>
        </w:rPr>
      </w:pPr>
    </w:p>
    <w:p>
      <w:pPr>
        <w:ind w:left="660" w:right="20" w:hanging="328"/>
        <w:spacing w:after="0" w:line="269"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Supply Chain and Materials.</w:t>
      </w:r>
      <w:r>
        <w:rPr>
          <w:rFonts w:ascii="Arial" w:cs="Arial" w:eastAsia="Arial" w:hAnsi="Arial"/>
          <w:sz w:val="17"/>
          <w:szCs w:val="17"/>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drug substance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in October 2021 we learned that the new manufacturer we are working with for second source supply of Zimura drug substance was experiencing issues with procuring an important raw material common to many manufacturing processes, which occurred due to recent supply chain interruptions and caused a slight delay to our manufacturing timelines with this contract manufacturer.</w:t>
      </w:r>
    </w:p>
    <w:p>
      <w:pPr>
        <w:spacing w:after="0" w:line="114" w:lineRule="exact"/>
        <w:rPr>
          <w:rFonts w:ascii="Arial" w:cs="Arial" w:eastAsia="Arial" w:hAnsi="Arial"/>
          <w:sz w:val="17"/>
          <w:szCs w:val="17"/>
          <w:color w:val="auto"/>
        </w:rPr>
      </w:pPr>
    </w:p>
    <w:p>
      <w:pPr>
        <w:ind w:left="660" w:right="140" w:hanging="328"/>
        <w:spacing w:after="0" w:line="301" w:lineRule="auto"/>
        <w:tabs>
          <w:tab w:leader="none" w:pos="65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Remote Working</w:t>
      </w:r>
      <w:r>
        <w:rPr>
          <w:rFonts w:ascii="Arial" w:cs="Arial" w:eastAsia="Arial" w:hAnsi="Arial"/>
          <w:sz w:val="16"/>
          <w:szCs w:val="16"/>
          <w:color w:val="auto"/>
        </w:rPr>
        <w:t>. We instituted company-wide remote working starting in March 2020. In 2021, we began permitting employees to return to our offices on a voluntary basis in compliance with new health and safety policies we implemented, including a vaccination policy for employees working in our offices. We expect to operate under a hybrid (partially remote and partially in office) working model for the foreseeable near future. We are continuing to monitor and support the health and well-being of our employees and their productivity as remote working continues.</w:t>
      </w:r>
    </w:p>
    <w:p>
      <w:pPr>
        <w:spacing w:after="0" w:line="90" w:lineRule="exact"/>
        <w:rPr>
          <w:sz w:val="20"/>
          <w:szCs w:val="20"/>
          <w:color w:val="auto"/>
        </w:rPr>
      </w:pPr>
    </w:p>
    <w:p>
      <w:pPr>
        <w:ind w:firstLine="177"/>
        <w:spacing w:after="0" w:line="290" w:lineRule="auto"/>
        <w:rPr>
          <w:sz w:val="20"/>
          <w:szCs w:val="20"/>
          <w:color w:val="auto"/>
        </w:rPr>
      </w:pPr>
      <w:r>
        <w:rPr>
          <w:rFonts w:ascii="Arial" w:cs="Arial" w:eastAsia="Arial" w:hAnsi="Arial"/>
          <w:sz w:val="16"/>
          <w:szCs w:val="16"/>
          <w:color w:val="212529"/>
        </w:rPr>
        <w:t>We do not believe that the COVID-19 pandemic, and our actions in response and the costs of those actions, have had a material impact on our financial position, results of operations, or cash flows for the three months or twelve months ended December 31, 2021.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and new variants of the virus, the actions taken to contain it or lessen its impact, including the availability, effectiveness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65" w:lineRule="exact"/>
        <w:rPr>
          <w:sz w:val="20"/>
          <w:szCs w:val="20"/>
          <w:color w:val="auto"/>
        </w:rPr>
      </w:pPr>
    </w:p>
    <w:p>
      <w:pPr>
        <w:ind w:right="660" w:firstLine="180"/>
        <w:spacing w:after="0" w:line="342" w:lineRule="auto"/>
        <w:rPr>
          <w:sz w:val="20"/>
          <w:szCs w:val="20"/>
          <w:color w:val="auto"/>
        </w:rPr>
      </w:pPr>
      <w:r>
        <w:rPr>
          <w:rFonts w:ascii="Arial" w:cs="Arial" w:eastAsia="Arial" w:hAnsi="Arial"/>
          <w:sz w:val="16"/>
          <w:szCs w:val="16"/>
          <w:color w:val="212529"/>
        </w:rPr>
        <w:t>For further information on actual and potential impacts to us as a result of the COVID-19 pandemic, see the other sections of this Management's Discussion and Analysis of Results of Operations and Financial Position and the Risk Factors contained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Beginning in 2017, we pursued a business development strategy focused on evaluating various available technologies to treat ophthalmic diseases, particularly those in the back of the eye, and exploring opportunities to obtain rights to additional products and product candidates employing these technologies. Our efforts resulted in the expansion of our research and development pipeline, including the addition of IC-500, IC-100, IC-200 and a number of collaborative gene therapy sponsored research programs.</w:t>
      </w:r>
    </w:p>
    <w:p>
      <w:pPr>
        <w:spacing w:after="0" w:line="187"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212529"/>
        </w:rPr>
        <w:t>As we continue the development of our product candidates and programs, prepare for the potential commercialization of Zimura and evaluate our overall strategic priorities, we will continue to pursue selective business development and financing opportunities that advance us toward our strategic goals. We plan to continue to evaluate, on a selective and targeted basis,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12529"/>
        </w:rPr>
        <w:t>opportunities to potentially obtain rights to additional product candidates and technologies for retinal diseases, with a focus on sustained release delivery technologies for Zimura.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Zimura in one or more territories outside the United States and collaboration opportunities for the future development and potential commercialization of IC-100 and IC-200.</w:t>
      </w:r>
    </w:p>
    <w:p>
      <w:pPr>
        <w:spacing w:after="0" w:line="188"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212529"/>
        </w:rPr>
        <w:t>For information about our follow-on public offerings that we completed in July 2021 and October 2021, please see the Liquidity a</w:t>
      </w:r>
      <w:r>
        <w:rPr>
          <w:rFonts w:ascii="Arial" w:cs="Arial" w:eastAsia="Arial" w:hAnsi="Arial"/>
          <w:sz w:val="17"/>
          <w:szCs w:val="17"/>
          <w:color w:val="000000"/>
        </w:rPr>
        <w:t>nd Capital</w:t>
      </w:r>
      <w:r>
        <w:rPr>
          <w:rFonts w:ascii="Arial" w:cs="Arial" w:eastAsia="Arial" w:hAnsi="Arial"/>
          <w:sz w:val="17"/>
          <w:szCs w:val="17"/>
          <w:color w:val="212529"/>
        </w:rPr>
        <w:t xml:space="preserve"> </w:t>
      </w:r>
      <w:r>
        <w:rPr>
          <w:rFonts w:ascii="Arial" w:cs="Arial" w:eastAsia="Arial" w:hAnsi="Arial"/>
          <w:sz w:val="17"/>
          <w:szCs w:val="17"/>
          <w:color w:val="000000"/>
        </w:rPr>
        <w:t>Resources section of Management' s Discussion and Analysis of Financial Condition and Results of Operations. We expect to continue to pursue capital raising transactions when they are available on terms favorable to us and if the opportunity advances our strategic goals.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44" w:lineRule="exact"/>
        <w:rPr>
          <w:sz w:val="20"/>
          <w:szCs w:val="20"/>
          <w:color w:val="auto"/>
        </w:rPr>
      </w:pPr>
    </w:p>
    <w:p>
      <w:pPr>
        <w:jc w:val="both"/>
        <w:ind w:right="220" w:firstLine="170"/>
        <w:spacing w:after="0" w:line="287" w:lineRule="auto"/>
        <w:rPr>
          <w:sz w:val="20"/>
          <w:szCs w:val="20"/>
          <w:color w:val="auto"/>
        </w:rPr>
      </w:pPr>
      <w:r>
        <w:rPr>
          <w:rFonts w:ascii="Arial" w:cs="Arial" w:eastAsia="Arial" w:hAnsi="Arial"/>
          <w:sz w:val="16"/>
          <w:szCs w:val="16"/>
          <w:color w:val="auto"/>
        </w:rPr>
        <w:t>As of December 31, 2021, we had cash, cash equivalents and available-for-sale securities of $381.7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w:t>
      </w:r>
    </w:p>
    <w:p>
      <w:pPr>
        <w:spacing w:after="0" w:line="158"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These top-line data indicated that the trials failed to achieve their pre-specified primary endpoints. We terminated these trials, as well as several other smaller Fovista trials in wet AMD in 2017. We have no plans for the future development of Fovista.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43" w:lineRule="exact"/>
        <w:rPr>
          <w:sz w:val="20"/>
          <w:szCs w:val="20"/>
          <w:color w:val="auto"/>
        </w:rPr>
      </w:pPr>
    </w:p>
    <w:p>
      <w:pPr>
        <w:ind w:left="980" w:right="40" w:hanging="324"/>
        <w:spacing w:after="0" w:line="342" w:lineRule="auto"/>
        <w:tabs>
          <w:tab w:leader="none" w:pos="975"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other vendors and CDMOs for the production and analysis of drug substance and drug product;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50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All research and development expenses are charged to operations as incurred in accordance with ASC 730</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2021, 2020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183"/>
        </w:trPr>
        <w:tc>
          <w:tcPr>
            <w:tcW w:w="7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Fovista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23"/>
        </w:trPr>
        <w:tc>
          <w:tcPr>
            <w:tcW w:w="75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39,644</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As we continue our ongoing clinical trials, plan for and initiate clinical development of Zimura in intermediate AMD and continue our ongoing and planned manufacturing activities for Zimura, we expect our research and development expenses for Zimura to increase. We expect our research and development expenses for IC-500 to increase as we continue preclinical development. We expect our research and development expenses for IC-100 and IC-200 to remain minimal for the foreseeable near future. We expect our research and development expenses for our miniCEP290 program and other gene therapy research programs to remain largely unchanged as we continue those programs. Our research and development expenses may increase if we in-license or acquire any new product candidates or technologies, including potential sustained release delivery technologies for Zimura, or if we commence any new development programs.</w:t>
      </w:r>
    </w:p>
    <w:p>
      <w:pPr>
        <w:spacing w:after="0" w:line="12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Zimura for indications outside of GA or for any of our other product candidates.</w:t>
      </w:r>
    </w:p>
    <w:p>
      <w:pPr>
        <w:spacing w:after="0" w:line="9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89" w:lineRule="exact"/>
        <w:rPr>
          <w:sz w:val="20"/>
          <w:szCs w:val="20"/>
          <w:color w:val="auto"/>
        </w:rPr>
      </w:pPr>
    </w:p>
    <w:p>
      <w:pPr>
        <w:ind w:left="980" w:hanging="24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380" w:hanging="243"/>
        <w:spacing w:after="0" w:line="277"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8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 For example, based on our assessment of the data we have collected for Zimura to date and the requirements of regulatory authorities, we are conducting a pharmacokinetic substudy involving a portion of the patients enrolled in the GATHER2 trial and an additional nonclinical study of Zimura, which has increased the research and development expenses for Zimura.</w:t>
      </w:r>
    </w:p>
    <w:p>
      <w:pPr>
        <w:spacing w:after="0" w:line="12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20" w:firstLine="180"/>
        <w:spacing w:after="0" w:line="296" w:lineRule="auto"/>
        <w:rPr>
          <w:sz w:val="20"/>
          <w:szCs w:val="20"/>
          <w:color w:val="auto"/>
        </w:rPr>
      </w:pPr>
      <w:r>
        <w:rPr>
          <w:rFonts w:ascii="Arial" w:cs="Arial" w:eastAsia="Arial" w:hAnsi="Arial"/>
          <w:sz w:val="16"/>
          <w:szCs w:val="16"/>
          <w:color w:val="auto"/>
        </w:rPr>
        <w:t>General and administrative expenses consist primarily of salaries and related costs for personnel, including share-based compensation expense, in our executive, legal, finance, business development, commercial planning, human resources, investor relations and information technology functions. We expect that our general and administrative expenses will increase as we continue to hire additional commercial planning personnel and undertake commercial planning activities to prepare for the potential commercialization of Zimura. Other general and administrative expenses include facility costs and professional fees for legal, including patent-related, services and expenses, consulting and accounting services, and travel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currently have invested our cash, cash equivalents and available-for-sale securities in money market funds, U.S. Treasury securities, investment-grade corporate debt securities, asset-backed securities and debt instruments issued by foreign governments, which generate a nominal amount of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04" w:lineRule="exact"/>
        <w:rPr>
          <w:sz w:val="20"/>
          <w:szCs w:val="20"/>
          <w:color w:val="auto"/>
        </w:rPr>
      </w:pPr>
    </w:p>
    <w:p>
      <w:pPr>
        <w:ind w:firstLine="177"/>
        <w:spacing w:after="0" w:line="253" w:lineRule="auto"/>
        <w:rPr>
          <w:sz w:val="20"/>
          <w:szCs w:val="20"/>
          <w:color w:val="auto"/>
        </w:rPr>
      </w:pPr>
      <w:r>
        <w:rPr>
          <w:rFonts w:ascii="Arial" w:cs="Arial" w:eastAsia="Arial" w:hAnsi="Arial"/>
          <w:sz w:val="18"/>
          <w:szCs w:val="18"/>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We calculate expected volatility based on daily historical volatility during the time period that corresponds to the expected option term. We calculate the expected term of stock option grants to employees based on an analysis of actual option exercises.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2021, 2020 and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Borders>
              <w:bottom w:val="single" w:sz="8" w:color="auto"/>
            </w:tcBorders>
          </w:tcPr>
          <w:p>
            <w:pPr>
              <w:spacing w:after="0"/>
              <w:rPr>
                <w:sz w:val="16"/>
                <w:szCs w:val="16"/>
                <w:color w:val="auto"/>
              </w:rPr>
            </w:pPr>
          </w:p>
        </w:tc>
      </w:tr>
      <w:tr>
        <w:trPr>
          <w:trHeight w:val="187"/>
        </w:trPr>
        <w:tc>
          <w:tcPr>
            <w:tcW w:w="66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0.31%-1.22%</w:t>
            </w:r>
          </w:p>
        </w:tc>
        <w:tc>
          <w:tcPr>
            <w:tcW w:w="1560" w:type="dxa"/>
            <w:vAlign w:val="bottom"/>
            <w:gridSpan w:val="2"/>
          </w:tcPr>
          <w:p>
            <w:pPr>
              <w:jc w:val="center"/>
              <w:ind w:left="39"/>
              <w:spacing w:after="0"/>
              <w:rPr>
                <w:sz w:val="20"/>
                <w:szCs w:val="20"/>
                <w:color w:val="auto"/>
              </w:rPr>
            </w:pPr>
            <w:r>
              <w:rPr>
                <w:rFonts w:ascii="Arial" w:cs="Arial" w:eastAsia="Arial" w:hAnsi="Arial"/>
                <w:sz w:val="18"/>
                <w:szCs w:val="18"/>
                <w:color w:val="auto"/>
                <w:w w:val="92"/>
              </w:rPr>
              <w:t>0.22%-1.34%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1.38%-2.54%</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5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5"/>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14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$11.2 million, $8.3 million and $9.2 million for the years ended December 31, 2021, 2020, and 2019, respectively. As of December 31, 2021, we had $56.3 million of total unrecognized share-based compensation expense, which we expect to recognize over a weighted-average remaining vesting period of approximately 3.3 years. We expect to grant additional stock options that will result in additional share-based compensation expense for our equity awards to employees, non-employee directors and consultants.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2021, 2020 and 2019, we allocated share-based compensation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77"/>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183"/>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firstLine="180"/>
        <w:spacing w:after="0" w:line="290" w:lineRule="auto"/>
        <w:rPr>
          <w:sz w:val="20"/>
          <w:szCs w:val="20"/>
          <w:color w:val="auto"/>
        </w:rPr>
      </w:pPr>
      <w:r>
        <w:rPr>
          <w:rFonts w:ascii="Arial" w:cs="Arial" w:eastAsia="Arial" w:hAnsi="Arial"/>
          <w:sz w:val="16"/>
          <w:szCs w:val="16"/>
          <w:color w:val="auto"/>
        </w:rPr>
        <w:t>In October 2019, our board of directors adopted the 2019 Inducement Stock Incentive Plan, or the Inducement Plan, pursuant to which we may grant, subject to the terms of the Inducement Plan and the rules of The Nasdaq Global Select Market, or Nasdaq, nonstatutory stock options, restricted stock, RSUs, and other stock-based awards up to an aggregate of 1,000,000 shares of our common stock. In March 2020, February 2021, September 2021 and December 2021, our board of directors amended the Inducement Plan to reserve an additional 1,000,000 shares of our common stock, an additional 600,000 shares of our common stock, an additional 1,000,000 shares of our common stock and an additional 1,000,000 shares of our common stock, respectively, for issuance under the plan. The Inducement Plan permits us to, subject to the approval of each grant by the compensation and talent strategy committee of our board of directors, use the stock-based awards available under the Inducement Plan to attract key employees for the growth of our business. As of December 31, 2021, we had approximately 1,372,000 shares available for issuance under the Inducement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(61,272)</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research and development expenses were $85.1 million for the year ended December 31, 2021, an increase of $22.3 million compared to $62.8 million for the year ended December 31, 2020. The increase in research and development expenses for the year ended December 31, 2021 was primarily due to a $24.8 million increase in costs associated with Zimura, a $7.8 million increase in personnel costs, including share-based compensation associated with additional research and development staffing, and a $0.6 million increase in costs associated with IC-500 which were partially offset by a $5.7 million decrease in costs associated with IC-100, a $4.7 million decrease in costs associated with IC-200 and a $0.9 million decrease in costs associated with our collaborative gene therapy sponsored research programs. The increased costs for Zimura were primarily due to the commencement and completion of patient enrollment for our GATHER2 trial and increased manufacturing activities. The decreased costs for IC-100 and IC-200 primarily reflect decreased manufacturing and preclinical development activities.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Our general and administrative expenses were $29.7 million for the year ended December 31, 2021, an increase of $3.7 million, compared to $26.0 million for the year ended December 31, 2020. The increase in general and administrative expenses was primarily due to an increase in personnel costs, including shares-based compensation costs, and an increase in external costs, including legal and consulting costs associated with litigation, pre-commercialization activities and other administrative costs necessary to support our operations.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Interest income for the year ended December 31, 2021 was $0.2 million compared to interest income of $0.5 million for the year ended December 31, 2020. The decrease in interest income earned during the year ended December 31, 2021 was primarily due to the decrease in interest rate yields.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recorded no benefit from income taxes for the year ended December 31, 2021. For the year ended December 31, 2020, we recorded an income tax benefit of $3.7 million primarily to reflect the settlement of local tax audit.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and our follow-on public offerings, which we closed in February 2014, December 2019, June 2020, July 2021 and October 2021, including the sale of pre-funded warrants in December 2019 and June 2020. We do not have any committed external source of funds.</w:t>
      </w:r>
    </w:p>
    <w:p>
      <w:pPr>
        <w:spacing w:after="0" w:line="1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110"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were approximately $107.8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$16.750 per share and at a price to the underwriters of $15.745 per share. The net proceeds from the public offering, after deducting underwriting discounts and commissions and other offering expenses payable by us totaling approximately $10.8 million, were approximately $162.6 million.</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 yet issued and sold any shares of our common stock under the ATM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December 31, 2021, we had cash, cash equivalents and available-for-sale securities totaling $381.7 million and no debt. We primarily invest our cash, cash equivalents and available-for-sale securities in money market funds, U.S. Treasury securities, certain investment-grade corporate debt securities, asset-backed securities and debt instruments issued by foreign governments.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2021, 2020 and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182"/>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(98,559)</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(48,490)</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42,838</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net cash used in operating activities, which was $98.6 million and $66.1 million for the years ended December 31, 2021 and 2020, respectively, relates primarily to net cash used to fund our Zimura clinical trials and manufacturing activities and to support the preclinical development activities of IC-500, IC-100 and IC-200.</w:t>
      </w:r>
    </w:p>
    <w:p>
      <w:pPr>
        <w:spacing w:after="0" w:line="116" w:lineRule="exact"/>
        <w:rPr>
          <w:sz w:val="20"/>
          <w:szCs w:val="20"/>
          <w:color w:val="auto"/>
        </w:rPr>
      </w:pPr>
    </w:p>
    <w:p>
      <w:pPr>
        <w:ind w:left="380" w:right="1180" w:firstLine="284"/>
        <w:spacing w:after="0" w:line="414"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Net cash provided by investing activities was $21.3 million for the year ended December 31, 2021, which primarily related to the maturities of available-for-sale securities. Net cash used in investing activities for the year ended December 31, 2020 was $143.8 million and primarily related to the purchases of available-for-sale securities.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Net cash provided by financing activities for the year ended December 31, 2021 was $272.3 million and relates primarily to cash received from our July 2021 and October 2021 public offerings of our common stock. Net cash provided by financing activities for the year ended December 31, 2020 was $150.6 million and relates primarily to cash received from our June 2020 public offering of our common stock and concurrent private placement.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ind w:right="40" w:firstLine="405"/>
        <w:spacing w:after="0" w:line="270" w:lineRule="auto"/>
        <w:rPr>
          <w:sz w:val="20"/>
          <w:szCs w:val="20"/>
          <w:color w:val="auto"/>
        </w:rPr>
      </w:pPr>
      <w:r>
        <w:rPr>
          <w:rFonts w:ascii="Arial" w:cs="Arial" w:eastAsia="Arial" w:hAnsi="Arial"/>
          <w:sz w:val="16"/>
          <w:szCs w:val="16"/>
          <w:color w:val="auto"/>
        </w:rPr>
        <w:t>Zimura is in clinical development, IC-500 is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right="460" w:hanging="324"/>
        <w:spacing w:after="0" w:line="277" w:lineRule="auto"/>
        <w:tabs>
          <w:tab w:leader="none" w:pos="9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0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prepare an NDA and an MAA for Zimura and seek marketing approval for any product candidates that successfully complete clinical trials;</w:t>
      </w:r>
    </w:p>
    <w:p>
      <w:pPr>
        <w:spacing w:after="0" w:line="180"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98"/>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Zimura</w:t>
      </w:r>
      <w:r>
        <w:rPr>
          <w:rFonts w:ascii="Arial" w:cs="Arial" w:eastAsia="Arial" w:hAnsi="Arial"/>
          <w:sz w:val="18"/>
          <w:szCs w:val="18"/>
          <w:color w:val="000000"/>
        </w:rPr>
        <w:t>;</w:t>
      </w:r>
    </w:p>
    <w:p>
      <w:pPr>
        <w:spacing w:after="0" w:line="102" w:lineRule="exact"/>
        <w:rPr>
          <w:rFonts w:ascii="Arial" w:cs="Arial" w:eastAsia="Arial" w:hAnsi="Arial"/>
          <w:sz w:val="18"/>
          <w:szCs w:val="18"/>
          <w:color w:val="212529"/>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jc w:val="both"/>
        <w:ind w:right="160" w:firstLine="170"/>
        <w:spacing w:after="0" w:line="271" w:lineRule="auto"/>
        <w:rPr>
          <w:sz w:val="20"/>
          <w:szCs w:val="20"/>
          <w:color w:val="auto"/>
        </w:rPr>
      </w:pPr>
      <w:r>
        <w:rPr>
          <w:rFonts w:ascii="Arial" w:cs="Arial" w:eastAsia="Arial" w:hAnsi="Arial"/>
          <w:sz w:val="16"/>
          <w:szCs w:val="16"/>
          <w:color w:val="auto"/>
        </w:rPr>
        <w:t>As of December 31, 2021, we had cash, cash equivalents and available-for-sale securities of $381.7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w:t>
      </w:r>
    </w:p>
    <w:p>
      <w:pPr>
        <w:spacing w:after="0" w:line="251" w:lineRule="auto"/>
        <w:rPr>
          <w:sz w:val="20"/>
          <w:szCs w:val="20"/>
          <w:color w:val="auto"/>
        </w:rPr>
      </w:pPr>
      <w:r>
        <w:rPr>
          <w:rFonts w:ascii="Arial" w:cs="Arial" w:eastAsia="Arial" w:hAnsi="Arial"/>
          <w:sz w:val="17"/>
          <w:szCs w:val="17"/>
          <w:color w:val="auto"/>
        </w:rPr>
        <w:t>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4" w:lineRule="exact"/>
        <w:rPr>
          <w:sz w:val="20"/>
          <w:szCs w:val="20"/>
          <w:color w:val="auto"/>
        </w:rPr>
      </w:pPr>
    </w:p>
    <w:p>
      <w:pPr>
        <w:ind w:left="980" w:right="200" w:hanging="324"/>
        <w:spacing w:after="0" w:line="277" w:lineRule="auto"/>
        <w:tabs>
          <w:tab w:leader="none" w:pos="9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920" w:hanging="324"/>
        <w:spacing w:after="0" w:line="308" w:lineRule="auto"/>
        <w:tabs>
          <w:tab w:leader="none" w:pos="9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65" w:lineRule="exact"/>
        <w:rPr>
          <w:rFonts w:ascii="Arial" w:cs="Arial" w:eastAsia="Arial" w:hAnsi="Arial"/>
          <w:sz w:val="17"/>
          <w:szCs w:val="17"/>
          <w:color w:val="auto"/>
        </w:rPr>
      </w:pPr>
    </w:p>
    <w:p>
      <w:pPr>
        <w:ind w:left="980" w:right="22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0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102"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or out-license for the further development and potential commercialization of IC-100 and IC-200;</w:t>
      </w:r>
    </w:p>
    <w:p>
      <w:pPr>
        <w:spacing w:after="0" w:line="102" w:lineRule="exact"/>
        <w:rPr>
          <w:rFonts w:ascii="Arial" w:cs="Arial" w:eastAsia="Arial" w:hAnsi="Arial"/>
          <w:sz w:val="18"/>
          <w:szCs w:val="18"/>
          <w:color w:val="auto"/>
        </w:rPr>
      </w:pPr>
    </w:p>
    <w:p>
      <w:pPr>
        <w:ind w:left="980" w:right="94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102"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102" w:lineRule="exact"/>
        <w:rPr>
          <w:rFonts w:ascii="Arial" w:cs="Arial" w:eastAsia="Arial" w:hAnsi="Arial"/>
          <w:sz w:val="18"/>
          <w:szCs w:val="18"/>
          <w:color w:val="auto"/>
        </w:rPr>
      </w:pPr>
    </w:p>
    <w:p>
      <w:pPr>
        <w:ind w:left="980" w:right="900" w:hanging="324"/>
        <w:spacing w:after="0" w:line="308" w:lineRule="auto"/>
        <w:tabs>
          <w:tab w:leader="none" w:pos="9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8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10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10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114"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9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Archemix C5 License Agreement</w:t>
      </w:r>
    </w:p>
    <w:p>
      <w:pPr>
        <w:spacing w:after="0" w:line="158"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C5 License Agreement, for each anti-C5 aptamer product that we may develop under the agreement, including Zimura,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specified non-royalty payments we may receive from any sublicensee of our rights under the C5 License Agreement. We are not obligated to pay Archemix a running royalty based on net product sales in connection with the C5 License Agreement.</w:t>
      </w:r>
    </w:p>
    <w:p>
      <w:pPr>
        <w:spacing w:after="0" w:line="103" w:lineRule="exact"/>
        <w:rPr>
          <w:sz w:val="20"/>
          <w:szCs w:val="20"/>
          <w:color w:val="auto"/>
        </w:rPr>
      </w:pPr>
    </w:p>
    <w:p>
      <w:pPr>
        <w:ind w:right="360" w:firstLine="180"/>
        <w:spacing w:after="0" w:line="277" w:lineRule="auto"/>
        <w:rPr>
          <w:sz w:val="20"/>
          <w:szCs w:val="20"/>
          <w:color w:val="auto"/>
        </w:rPr>
      </w:pPr>
      <w:r>
        <w:rPr>
          <w:rFonts w:ascii="Arial" w:cs="Arial" w:eastAsia="Arial" w:hAnsi="Arial"/>
          <w:sz w:val="18"/>
          <w:szCs w:val="18"/>
          <w:color w:val="auto"/>
        </w:rPr>
        <w:t>For more information about the C5 License Agreement, please see the section entitled "Licensing and Other Arrangements—Zimura - Archemix C5 License Agreement" in Part I, Item 1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Inception 4 Merger Agreement</w:t>
      </w:r>
    </w:p>
    <w:p>
      <w:pPr>
        <w:spacing w:after="0" w:line="158" w:lineRule="exact"/>
        <w:rPr>
          <w:sz w:val="20"/>
          <w:szCs w:val="20"/>
          <w:color w:val="auto"/>
        </w:rPr>
      </w:pPr>
    </w:p>
    <w:p>
      <w:pPr>
        <w:ind w:right="580" w:firstLine="180"/>
        <w:spacing w:after="0" w:line="277" w:lineRule="auto"/>
        <w:rPr>
          <w:sz w:val="20"/>
          <w:szCs w:val="20"/>
          <w:color w:val="auto"/>
        </w:rPr>
      </w:pPr>
      <w:r>
        <w:rPr>
          <w:rFonts w:ascii="Arial" w:cs="Arial" w:eastAsia="Arial" w:hAnsi="Arial"/>
          <w:sz w:val="18"/>
          <w:szCs w:val="18"/>
          <w:color w:val="auto"/>
        </w:rPr>
        <w:t>In October 2018, we and Inception 4 entered into the Inception 4 Merger Agreement, pursuant to which we acquired IC-500 and our other HtrA1 inhibitors through a merger transaction.</w:t>
      </w:r>
    </w:p>
    <w:p>
      <w:pPr>
        <w:spacing w:after="0" w:line="103"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11"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For more information about the Inception 4 Merger Agreement, please see the section entitled "Licensing and Other Arrangements—IC-500 - Inception 4 Merger Agreement" in Part I, Item 1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License Agreement with UFRF and Penn</w:t>
      </w:r>
    </w:p>
    <w:p>
      <w:pPr>
        <w:spacing w:after="0" w:line="158" w:lineRule="exact"/>
        <w:rPr>
          <w:sz w:val="20"/>
          <w:szCs w:val="20"/>
          <w:color w:val="auto"/>
        </w:rPr>
      </w:pPr>
    </w:p>
    <w:p>
      <w:pPr>
        <w:ind w:right="20" w:firstLine="180"/>
        <w:spacing w:after="0" w:line="311" w:lineRule="auto"/>
        <w:rPr>
          <w:sz w:val="20"/>
          <w:szCs w:val="20"/>
          <w:color w:val="auto"/>
        </w:rPr>
      </w:pPr>
      <w:r>
        <w:rPr>
          <w:rFonts w:ascii="Arial" w:cs="Arial" w:eastAsia="Arial" w:hAnsi="Arial"/>
          <w:sz w:val="16"/>
          <w:szCs w:val="16"/>
          <w:color w:val="auto"/>
        </w:rPr>
        <w:t>In June 2018, we entered into the RHO-adRP License Agreement with UFRF and Penn.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8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103"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2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5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81"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03"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103"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For more information about the RHO-adRP License Agreement, please see the section entitled "Licensing and Other Arrangements—License Agreement with UFRF and Penn for IC-100" in Part I, Item 1 of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BEST1 License Agreement with Penn and UFRF</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May 2019, we paid Penn, for the benefit of Penn and UFRF, a $0.2 million upfront license issuance fee in connection with entry into the BEST1 License Agreement,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7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110"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111"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For more information about the BEST1 License Agreement, please see the section entitled "Licensing and Other Arrangements—License Agreement with Penn and UFRF for IC-200" in Part I, Item 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miniCEP290 License Agreement with UMass</w:t>
      </w:r>
    </w:p>
    <w:p>
      <w:pPr>
        <w:spacing w:after="0" w:line="25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July 2019, we issued to UMass 75,000 shares of our common stock following execution of the miniCEP290 License Agreement pursuant to an exemption from registration afforded by Section 4(a)(2) of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21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21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22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97" w:lineRule="exact"/>
        <w:rPr>
          <w:sz w:val="20"/>
          <w:szCs w:val="20"/>
          <w:color w:val="auto"/>
        </w:rPr>
      </w:pPr>
    </w:p>
    <w:p>
      <w:pPr>
        <w:ind w:right="680" w:firstLine="180"/>
        <w:spacing w:after="0" w:line="277" w:lineRule="auto"/>
        <w:rPr>
          <w:sz w:val="20"/>
          <w:szCs w:val="20"/>
          <w:color w:val="auto"/>
        </w:rPr>
      </w:pPr>
      <w:r>
        <w:rPr>
          <w:rFonts w:ascii="Arial" w:cs="Arial" w:eastAsia="Arial" w:hAnsi="Arial"/>
          <w:sz w:val="18"/>
          <w:szCs w:val="18"/>
          <w:color w:val="auto"/>
        </w:rPr>
        <w:t>For more information about the minicCEP290 License Agreement, please see the section entitled "Licensing and Other Arrangements—License Agreement with UMass for miniCEP290 Program" in Part I, Item 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ind w:right="540" w:firstLine="170"/>
        <w:spacing w:after="0" w:line="308" w:lineRule="auto"/>
        <w:rPr>
          <w:sz w:val="20"/>
          <w:szCs w:val="20"/>
          <w:color w:val="auto"/>
        </w:rPr>
      </w:pPr>
      <w:r>
        <w:rPr>
          <w:rFonts w:ascii="Arial" w:cs="Arial" w:eastAsia="Arial" w:hAnsi="Arial"/>
          <w:sz w:val="17"/>
          <w:szCs w:val="17"/>
          <w:color w:val="auto"/>
        </w:rPr>
        <w:t>As of December 31, 2021, we had contractual obligations and commitments to make payments under operating leases, settle obligations related to agreements to purchase goods and services and settle tax and other liabilities. They are summarized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Due Within 1 Year</w:t>
            </w:r>
          </w:p>
        </w:tc>
      </w:tr>
      <w:tr>
        <w:trPr>
          <w:trHeight w:val="187"/>
        </w:trPr>
        <w:tc>
          <w:tcPr>
            <w:tcW w:w="2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8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Manufacture and supply activities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r>
      <w:tr>
        <w:trPr>
          <w:trHeight w:val="248"/>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4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Purchase obligations include agreements and contracts that give the supplier recourse to us for cancellation or nonperformance under the contract or contain terms that would subject us to liquidated damages. Such agreements and contracts may, for example, be related to direct materials and certain of our manufacturing and supply agreements.</w:t>
      </w:r>
    </w:p>
    <w:p>
      <w:pPr>
        <w:spacing w:after="0" w:line="11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table above excludes any milestone payments which may become payable to third parties under license or acquisition agreements as the timing and likelihood of such payments are not known with certainty;</w:t>
      </w:r>
    </w:p>
    <w:p>
      <w:pPr>
        <w:spacing w:after="0" w:line="103"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69"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In addition to the amounts set forth in the table above, we may be required, under the agreements under which we acquired rights to Zimura, IC-100, IC-200, IC-500 and our miniCEP290 program, to make milestone payments and/or pay royalties. These payments are described in further detail in the descriptions of the applicable agreements set forth in this section.</w:t>
      </w:r>
    </w:p>
    <w:p>
      <w:pPr>
        <w:spacing w:after="0" w:line="10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2021 annual meeting of stockholders, as filed with the SEC on April 7, 2021.</w:t>
      </w:r>
    </w:p>
    <w:p>
      <w:pPr>
        <w:spacing w:after="0" w:line="6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and/or long-term commitments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are exposed to market risk related to changes in interest rates. We had cash, cash equivalents and available-for-sale securities of $381.7 million as of December 31, 2021, consisting of cash and investments in money market funds, U.S. Treasury securities, corporate debt securities, asset-based securities and supranational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9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contract with CROs, CDMOs and certain other vendors to perform services outside the United States. We may be subject to fluctuations in foreign currency rates in connection with certain of these agreements. Transactions denominated in currencies other than the U.S. dollar are recorded based on exchange rates at the time such transactions arise. As of December 31, 2021, substantially all of our total liabilities were denominated in the U.S. dollar.</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(PCAOB ID: 42), appear on pages F-4 through F-31 of this Annual Report on Form 10-K.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2021.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updated in 2013. Based on that assessment, our management concluded that, as of December 31, 2021,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Ernst &amp; Young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changes occurred in our internal control over financial reporting (as defined in Rules 13a-15(d) and 15d-15(d) under the Exchange Act) during the quarter ended December 31, 2021 that have materially affected, or are reasonably likely to materially affect, our internal control over financial reporting. Further, we have not experienced any material impact to our internal controls over financial reporting as a result of our employees working remotely due to the COVID-19 pandemic. We are continually monitoring and assessing the impact the COVID-19 pandemic has on the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20" w:firstLine="336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IVERIC bio,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have audited IVERIC bio, Inc.’s internal control over financial reporting as of December 31,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 (the COSO criteria).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IVERIC bio, Inc. (the Company) maintained, in all material respects, effective internal control over financial reporting as of December 31, 2021, based on the COSO criteria</w:t>
      </w:r>
      <w:r>
        <w:rPr>
          <w:rFonts w:ascii="Arial" w:cs="Arial" w:eastAsia="Arial" w:hAnsi="Arial"/>
          <w:sz w:val="18"/>
          <w:szCs w:val="18"/>
          <w:b w:val="1"/>
          <w:bCs w:val="1"/>
          <w:color w:val="auto"/>
        </w:rPr>
        <w:t>.</w:t>
      </w: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and the consolidated statements of operations, comprehensive income (loss), stockholders' equity and cash flows for each of the three years in the period ended December 31, 2021 and the related notes and our report dated February 24,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As previously disclosed, Glenn P. Sblendorio, Chief Executive Officer, intended to and did enter into a pre-arranged stock trading plan in November 2021 pursuant to Exchange Act Rule 10b5-1(c). Mr. Sblendorio’s plan provides for the potential sale between December 21, 2021 and December 21, 2022 of up to 100,000 shares of our common stock owned by Mr. Sblendorio and up to 125,000 shares of common stock issuable upon the exercise of vested stock options, which, in the aggregate represent approximately 11% of Mr. Sblendorio’s combined holdings in our common stock as of November 9, 2021, inclusive of Mr. Sblendorio’s shares of common stock and vested and unvested equity awards and excluding any future equity grants. As of the date of this Annual Report on Form 10-K, Mr. Sblendorio has sold 60,000 shares of our common stock and 59,377 shares of our common stock following the exercise of vested stock options under this plan.</w:t>
      </w:r>
    </w:p>
    <w:p>
      <w:pPr>
        <w:spacing w:after="0" w:line="11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Mr. Sblendorio’s plan is permitted under our Insider Trading Policy and Stock Retention and Ownership Guidelines. The foregoing information is being provided on a voluntary basis. Actual transactions completed under Mr. Sblendorio’s plan have been and will continue to be reported from time to time on Forms 4 filed by Mr. Sblendorio with the Securities and Exchange Commission. Except as may be required by law, we are not undertaking to report modifications, terminations or other activities under Mr. Sblendorio’s plan or the adoption, modification, termination or other activities under any future Rule 10b5-1 trading plans established by Mr. Sblendorio or any other officers or directors.</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Foreign Jurisdictions that Prevent Inspections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adopted a code of business conduct and ethics, or the Code of Ethics, that applies to our directors and officers (including our principal executive officer, principal financial officer, principal accounting officer or controller, or persons performing similar functions) as well as our other employees. In December 2019, we amended our Code of Ethics to better align the Code of Ethics with our stage of development, including, among other things, updates relating to compliance with laws, rules and regulations applicable to pharmaceutical development, interactions with healthcare providers, data privacy and international trade regulations. In early 2020, we provided training to our employees on our amended Code of Ethics and have been providing annual training for all employees on our Code of Ethics.</w:t>
      </w:r>
    </w:p>
    <w:p>
      <w:pPr>
        <w:spacing w:after="0" w:line="1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copy of our Code of Ethics is available on our website. We intend to post on our website all disclosures that are required by applicable law, the rules of the SEC or Nasdaq concerning any amendment to, or waiver of, our Code of Ethics.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2022 Annual Meeting of Shareholders and is incorporated in this Annual Report on Form 10-K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Select Market.</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62" w:lineRule="exact"/>
        <w:rPr>
          <w:sz w:val="20"/>
          <w:szCs w:val="20"/>
          <w:color w:val="auto"/>
        </w:rPr>
      </w:pPr>
    </w:p>
    <w:p>
      <w:pPr>
        <w:ind w:right="160" w:firstLine="18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5"/>
          </w:tcPr>
          <w:p>
            <w:pPr>
              <w:ind w:left="58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05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0500" w:type="dxa"/>
            <w:vAlign w:val="bottom"/>
            <w:gridSpan w:val="9"/>
          </w:tcPr>
          <w:p>
            <w:pPr>
              <w:spacing w:after="0"/>
              <w:rPr>
                <w:sz w:val="20"/>
                <w:szCs w:val="20"/>
                <w:color w:val="auto"/>
              </w:rPr>
            </w:pPr>
            <w:r>
              <w:rPr>
                <w:rFonts w:ascii="Arial" w:cs="Arial" w:eastAsia="Arial" w:hAnsi="Arial"/>
                <w:sz w:val="18"/>
                <w:szCs w:val="18"/>
                <w:b w:val="1"/>
                <w:bCs w:val="1"/>
                <w:color w:val="auto"/>
              </w:rPr>
              <w:t>(1)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0480" w:type="dxa"/>
            <w:vAlign w:val="bottom"/>
            <w:gridSpan w:val="8"/>
          </w:tcPr>
          <w:p>
            <w:pPr>
              <w:ind w:left="64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w:anchor="page162">
              <w:r>
                <w:rPr>
                  <w:rFonts w:ascii="Arial" w:cs="Arial" w:eastAsia="Arial" w:hAnsi="Arial"/>
                  <w:sz w:val="18"/>
                  <w:szCs w:val="18"/>
                  <w:color w:val="0000FF"/>
                  <w:w w:val="91"/>
                </w:rPr>
                <w:t>Report of Independent Registered Public Accounting Firm</w:t>
              </w:r>
            </w:hyperlink>
          </w:p>
        </w:tc>
        <w:tc>
          <w:tcPr>
            <w:tcW w:w="440" w:type="dxa"/>
            <w:vAlign w:val="bottom"/>
            <w:tcBorders>
              <w:bottom w:val="single" w:sz="8" w:color="0000FF"/>
            </w:tcBorders>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0000FF"/>
            </w:tcBorders>
          </w:tcPr>
          <w:p>
            <w:pPr>
              <w:jc w:val="right"/>
              <w:spacing w:after="0" w:line="176" w:lineRule="exact"/>
              <w:rPr>
                <w:rFonts w:ascii="Arial" w:cs="Arial" w:eastAsia="Arial" w:hAnsi="Arial"/>
                <w:sz w:val="18"/>
                <w:szCs w:val="18"/>
                <w:color w:val="0000FF"/>
                <w:w w:val="79"/>
              </w:rPr>
            </w:pPr>
            <w:hyperlink w:anchor="page162">
              <w:r>
                <w:rPr>
                  <w:rFonts w:ascii="Arial" w:cs="Arial" w:eastAsia="Arial" w:hAnsi="Arial"/>
                  <w:sz w:val="18"/>
                  <w:szCs w:val="18"/>
                  <w:color w:val="0000FF"/>
                  <w:w w:val="79"/>
                </w:rPr>
                <w:t>2</w:t>
              </w:r>
            </w:hyperlink>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64">
              <w:r>
                <w:rPr>
                  <w:rFonts w:ascii="Arial" w:cs="Arial" w:eastAsia="Arial" w:hAnsi="Arial"/>
                  <w:sz w:val="18"/>
                  <w:szCs w:val="18"/>
                  <w:color w:val="0000FF"/>
                  <w:w w:val="88"/>
                </w:rPr>
                <w:t xml:space="preserve">Consolidated Balance Sheets as of December 31, 2021 and </w:t>
              </w:r>
            </w:hyperlink>
            <w:r>
              <w:rPr>
                <w:rFonts w:ascii="Arial" w:cs="Arial" w:eastAsia="Arial" w:hAnsi="Arial"/>
                <w:sz w:val="18"/>
                <w:szCs w:val="18"/>
                <w:color w:val="0000FF"/>
                <w:w w:val="88"/>
              </w:rPr>
              <w:t>2020</w:t>
            </w:r>
          </w:p>
        </w:tc>
        <w:tc>
          <w:tcPr>
            <w:tcW w:w="58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64">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480" w:type="dxa"/>
            <w:vAlign w:val="bottom"/>
            <w:gridSpan w:val="8"/>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 xml:space="preserve">Consolidated Statements of Operations for the Years Ended December 31, </w:t>
              </w:r>
            </w:hyperlink>
            <w:r>
              <w:rPr>
                <w:rFonts w:ascii="Arial" w:cs="Arial" w:eastAsia="Arial" w:hAnsi="Arial"/>
                <w:sz w:val="18"/>
                <w:szCs w:val="18"/>
                <w:color w:val="0000FF"/>
              </w:rPr>
              <w:t xml:space="preserve">2021, 2020 </w:t>
            </w:r>
            <w:hyperlink w:anchor="page165">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720" w:type="dxa"/>
            <w:vAlign w:val="bottom"/>
            <w:gridSpan w:val="3"/>
          </w:tcPr>
          <w:p>
            <w:pPr>
              <w:jc w:val="right"/>
              <w:ind w:right="20"/>
              <w:spacing w:after="0"/>
              <w:rPr>
                <w:rFonts w:ascii="Arial" w:cs="Arial" w:eastAsia="Arial" w:hAnsi="Arial"/>
                <w:sz w:val="18"/>
                <w:szCs w:val="18"/>
                <w:color w:val="0000FF"/>
              </w:rPr>
            </w:pPr>
            <w:hyperlink w:anchor="page165">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66">
              <w:r>
                <w:rPr>
                  <w:rFonts w:ascii="Arial" w:cs="Arial" w:eastAsia="Arial" w:hAnsi="Arial"/>
                  <w:sz w:val="18"/>
                  <w:szCs w:val="18"/>
                  <w:color w:val="0000FF"/>
                  <w:w w:val="89"/>
                </w:rPr>
                <w:t xml:space="preserve">Consolidated Statements of Comprehensive Loss for the Years Ended December 31, </w:t>
              </w:r>
            </w:hyperlink>
            <w:r>
              <w:rPr>
                <w:rFonts w:ascii="Arial" w:cs="Arial" w:eastAsia="Arial" w:hAnsi="Arial"/>
                <w:sz w:val="18"/>
                <w:szCs w:val="18"/>
                <w:color w:val="0000FF"/>
                <w:w w:val="89"/>
              </w:rPr>
              <w:t xml:space="preserve">2021, 2020 </w:t>
            </w:r>
            <w:hyperlink w:anchor="page166">
              <w:r>
                <w:rPr>
                  <w:rFonts w:ascii="Arial" w:cs="Arial" w:eastAsia="Arial" w:hAnsi="Arial"/>
                  <w:sz w:val="18"/>
                  <w:szCs w:val="18"/>
                  <w:color w:val="0000FF"/>
                  <w:w w:val="89"/>
                </w:rPr>
                <w:t>and 2019</w:t>
              </w:r>
            </w:hyperlink>
          </w:p>
        </w:tc>
        <w:tc>
          <w:tcPr>
            <w:tcW w:w="28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66">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480" w:type="dxa"/>
            <w:vAlign w:val="bottom"/>
            <w:gridSpan w:val="8"/>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 xml:space="preserve">Consolidated Statements of Changes in Stockholders' Equity for the Years Ended December 31, </w:t>
              </w:r>
            </w:hyperlink>
            <w:r>
              <w:rPr>
                <w:rFonts w:ascii="Arial" w:cs="Arial" w:eastAsia="Arial" w:hAnsi="Arial"/>
                <w:sz w:val="18"/>
                <w:szCs w:val="18"/>
                <w:color w:val="0000FF"/>
              </w:rPr>
              <w:t xml:space="preserve">2021, 2020 </w:t>
            </w:r>
            <w:hyperlink w:anchor="page167">
              <w:r>
                <w:rPr>
                  <w:rFonts w:ascii="Arial" w:cs="Arial" w:eastAsia="Arial" w:hAnsi="Arial"/>
                  <w:sz w:val="18"/>
                  <w:szCs w:val="18"/>
                  <w:color w:val="0000FF"/>
                </w:rPr>
                <w:t>and 2019</w:t>
              </w:r>
            </w:hyperlink>
          </w:p>
        </w:tc>
        <w:tc>
          <w:tcPr>
            <w:tcW w:w="720" w:type="dxa"/>
            <w:vAlign w:val="bottom"/>
            <w:gridSpan w:val="3"/>
          </w:tcPr>
          <w:p>
            <w:pPr>
              <w:jc w:val="right"/>
              <w:ind w:right="20"/>
              <w:spacing w:after="0"/>
              <w:rPr>
                <w:rFonts w:ascii="Arial" w:cs="Arial" w:eastAsia="Arial" w:hAnsi="Arial"/>
                <w:sz w:val="18"/>
                <w:szCs w:val="18"/>
                <w:color w:val="0000FF"/>
              </w:rPr>
            </w:pPr>
            <w:hyperlink w:anchor="page167">
              <w:r>
                <w:rPr>
                  <w:rFonts w:ascii="Arial" w:cs="Arial" w:eastAsia="Arial" w:hAnsi="Arial"/>
                  <w:sz w:val="18"/>
                  <w:szCs w:val="18"/>
                  <w:color w:val="0000FF"/>
                </w:rPr>
                <w:t>7</w:t>
              </w:r>
            </w:hyperlink>
          </w:p>
        </w:tc>
      </w:tr>
      <w:tr>
        <w:trPr>
          <w:trHeight w:val="209"/>
        </w:trPr>
        <w:tc>
          <w:tcPr>
            <w:tcW w:w="20" w:type="dxa"/>
            <w:vAlign w:val="bottom"/>
          </w:tcPr>
          <w:p>
            <w:pPr>
              <w:spacing w:after="0"/>
              <w:rPr>
                <w:sz w:val="18"/>
                <w:szCs w:val="18"/>
                <w:color w:val="auto"/>
              </w:rPr>
            </w:pPr>
          </w:p>
        </w:tc>
        <w:tc>
          <w:tcPr>
            <w:tcW w:w="8460" w:type="dxa"/>
            <w:vAlign w:val="bottom"/>
            <w:tcBorders>
              <w:top w:val="single" w:sz="8" w:color="0000FF"/>
            </w:tcBorders>
            <w:gridSpan w:val="7"/>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 xml:space="preserve">Consolidated Statements of Cash Flows for the Years Ended December 31, </w:t>
              </w:r>
            </w:hyperlink>
            <w:r>
              <w:rPr>
                <w:rFonts w:ascii="Arial" w:cs="Arial" w:eastAsia="Arial" w:hAnsi="Arial"/>
                <w:sz w:val="18"/>
                <w:szCs w:val="18"/>
                <w:color w:val="0000FF"/>
              </w:rPr>
              <w:t xml:space="preserve">2021, 2020 </w:t>
            </w:r>
            <w:hyperlink w:anchor="page168">
              <w:r>
                <w:rPr>
                  <w:rFonts w:ascii="Arial" w:cs="Arial" w:eastAsia="Arial" w:hAnsi="Arial"/>
                  <w:sz w:val="18"/>
                  <w:szCs w:val="18"/>
                  <w:color w:val="0000FF"/>
                </w:rPr>
                <w:t>and 2019</w:t>
              </w:r>
            </w:hyperlink>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168">
              <w:r>
                <w:rPr>
                  <w:rFonts w:ascii="Arial" w:cs="Arial" w:eastAsia="Arial" w:hAnsi="Arial"/>
                  <w:sz w:val="18"/>
                  <w:szCs w:val="18"/>
                  <w:color w:val="0000FF"/>
                  <w:w w:val="79"/>
                </w:rPr>
                <w:t>8</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69">
              <w:r>
                <w:rPr>
                  <w:rFonts w:ascii="Arial" w:cs="Arial" w:eastAsia="Arial" w:hAnsi="Arial"/>
                  <w:sz w:val="18"/>
                  <w:szCs w:val="18"/>
                  <w:color w:val="0000FF"/>
                  <w:w w:val="89"/>
                </w:rPr>
                <w:t>Notes to Consolidated Financial Statements</w:t>
              </w:r>
            </w:hyperlink>
          </w:p>
        </w:tc>
        <w:tc>
          <w:tcPr>
            <w:tcW w:w="3800" w:type="dxa"/>
            <w:vAlign w:val="bottom"/>
            <w:tcBorders>
              <w:top w:val="single" w:sz="8" w:color="0000FF"/>
            </w:tcBorders>
            <w:gridSpan w:val="4"/>
          </w:tcPr>
          <w:p>
            <w:pPr>
              <w:spacing w:after="0"/>
              <w:rPr>
                <w:sz w:val="18"/>
                <w:szCs w:val="18"/>
                <w:color w:val="auto"/>
              </w:rPr>
            </w:pPr>
          </w:p>
        </w:tc>
        <w:tc>
          <w:tcPr>
            <w:tcW w:w="352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69">
              <w:r>
                <w:rPr>
                  <w:rFonts w:ascii="Arial" w:cs="Arial" w:eastAsia="Arial" w:hAnsi="Arial"/>
                  <w:sz w:val="18"/>
                  <w:szCs w:val="18"/>
                  <w:color w:val="0000FF"/>
                  <w:w w:val="79"/>
                </w:rPr>
                <w:t>9</w:t>
              </w:r>
            </w:hyperlink>
          </w:p>
        </w:tc>
        <w:tc>
          <w:tcPr>
            <w:tcW w:w="20" w:type="dxa"/>
            <w:vAlign w:val="bottom"/>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6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8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74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60"/>
        <w:spacing w:after="0" w:line="237" w:lineRule="auto"/>
        <w:rPr>
          <w:rFonts w:ascii="Arial" w:cs="Arial" w:eastAsia="Arial" w:hAnsi="Arial"/>
          <w:sz w:val="17"/>
          <w:szCs w:val="17"/>
          <w:color w:val="0000FF"/>
        </w:rPr>
      </w:pPr>
      <w:hyperlink r:id="rId180">
        <w:r>
          <w:rPr>
            <w:rFonts w:ascii="Arial" w:cs="Arial" w:eastAsia="Arial" w:hAnsi="Arial"/>
            <w:sz w:val="17"/>
            <w:szCs w:val="17"/>
            <w:u w:val="single" w:color="auto"/>
            <w:color w:val="0000FF"/>
          </w:rPr>
          <w:t>2.1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80">
        <w:r>
          <w:rPr>
            <w:rFonts w:ascii="Arial" w:cs="Arial" w:eastAsia="Arial" w:hAnsi="Arial"/>
            <w:sz w:val="17"/>
            <w:szCs w:val="17"/>
            <w:u w:val="single" w:color="auto"/>
            <w:color w:val="0000FF"/>
          </w:rPr>
          <w:t>Agreement and Plan of Merger, dated October 30, 2018, by and among the Registrant, Orion Ophthalmology Merger Sub Inc., Orion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1220" w:right="300" w:hanging="209"/>
        <w:spacing w:after="0" w:line="233" w:lineRule="auto"/>
        <w:tabs>
          <w:tab w:leader="none" w:pos="1220" w:val="left"/>
        </w:tabs>
        <w:numPr>
          <w:ilvl w:val="0"/>
          <w:numId w:val="104"/>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Ophthalmology LLC, Inception 4, Inc., and solely in its capacity as equityholder representative, Fortis Advisors LLC (incorporated by</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reference to Exhibit 2.1 of the Registrant's Current Report on Form 8-K filed on October 31, 2018)</w:t>
        </w:r>
      </w:hyperlink>
    </w:p>
    <w:p>
      <w:pPr>
        <w:spacing w:after="0" w:line="1" w:lineRule="exact"/>
        <w:rPr>
          <w:rFonts w:ascii="Arial" w:cs="Arial" w:eastAsia="Arial" w:hAnsi="Arial"/>
          <w:sz w:val="18"/>
          <w:szCs w:val="18"/>
          <w:color w:val="auto"/>
        </w:rPr>
      </w:pPr>
    </w:p>
    <w:p>
      <w:pPr>
        <w:ind w:left="1220" w:right="400" w:hanging="476"/>
        <w:spacing w:after="0" w:line="234" w:lineRule="auto"/>
        <w:tabs>
          <w:tab w:leader="none" w:pos="1200" w:val="left"/>
        </w:tabs>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82">
        <w:r>
          <w:rPr>
            <w:rFonts w:ascii="Arial" w:cs="Arial" w:eastAsia="Arial" w:hAnsi="Arial"/>
            <w:sz w:val="18"/>
            <w:szCs w:val="18"/>
            <w:u w:val="single" w:color="auto"/>
            <w:color w:val="0000FF"/>
          </w:rPr>
          <w:t>Restated Certificate of Incorporation of the Registrant, as amended on April 16, 2019 (incorporated by reference to Exhibit 3.1 of the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Registrant's Annual Report on Form 10-K filed on March 4, 2021)</w:t>
        </w:r>
      </w:hyperlink>
    </w:p>
    <w:p>
      <w:pPr>
        <w:spacing w:after="0" w:line="1" w:lineRule="exact"/>
        <w:rPr>
          <w:rFonts w:ascii="Arial" w:cs="Arial" w:eastAsia="Arial" w:hAnsi="Arial"/>
          <w:sz w:val="18"/>
          <w:szCs w:val="18"/>
          <w:u w:val="single" w:color="auto"/>
          <w:color w:val="0000FF"/>
        </w:rPr>
      </w:pPr>
    </w:p>
    <w:p>
      <w:pPr>
        <w:ind w:left="1220" w:right="260" w:hanging="476"/>
        <w:spacing w:after="0" w:line="234" w:lineRule="auto"/>
        <w:tabs>
          <w:tab w:leader="none" w:pos="1200" w:val="left"/>
        </w:tabs>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83">
        <w:r>
          <w:rPr>
            <w:rFonts w:ascii="Arial" w:cs="Arial" w:eastAsia="Arial" w:hAnsi="Arial"/>
            <w:sz w:val="18"/>
            <w:szCs w:val="18"/>
            <w:u w:val="single" w:color="auto"/>
            <w:color w:val="0000FF"/>
          </w:rPr>
          <w:t>Amended and Restated Bylaws of the Registrant (incorporated by reference to Exhibit 3.4 of the Registrant's Registration Statement on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Form S-1, as amended (File No. 333-190643))</w:t>
        </w:r>
      </w:hyperlink>
    </w:p>
    <w:p>
      <w:pPr>
        <w:ind w:left="760"/>
        <w:spacing w:after="0"/>
        <w:tabs>
          <w:tab w:leader="none" w:pos="1200" w:val="left"/>
        </w:tabs>
        <w:rPr>
          <w:rFonts w:ascii="Arial" w:cs="Arial" w:eastAsia="Arial" w:hAnsi="Arial"/>
          <w:sz w:val="16"/>
          <w:szCs w:val="16"/>
          <w:u w:val="single" w:color="auto"/>
          <w:color w:val="0000FF"/>
        </w:rPr>
      </w:pPr>
      <w:hyperlink r:id="rId184">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84">
        <w:r>
          <w:rPr>
            <w:rFonts w:ascii="Arial" w:cs="Arial" w:eastAsia="Arial" w:hAnsi="Arial"/>
            <w:sz w:val="16"/>
            <w:szCs w:val="16"/>
            <w:u w:val="single" w:color="auto"/>
            <w:color w:val="0000FF"/>
          </w:rPr>
          <w:t>Description of Registered Securities of the Registrant (incorporated by reference to Exhibit 4.1 of the Registrant's Annual Report on Form</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10-K filed on February 27, 2020)</w:t>
        </w:r>
      </w:hyperlink>
    </w:p>
    <w:p>
      <w:pPr>
        <w:spacing w:after="0" w:line="7" w:lineRule="exact"/>
        <w:rPr>
          <w:sz w:val="20"/>
          <w:szCs w:val="20"/>
          <w:color w:val="auto"/>
        </w:rPr>
      </w:pPr>
    </w:p>
    <w:p>
      <w:pPr>
        <w:ind w:left="1220" w:right="240" w:hanging="476"/>
        <w:spacing w:after="0" w:line="234" w:lineRule="auto"/>
        <w:tabs>
          <w:tab w:leader="none" w:pos="1200" w:val="left"/>
        </w:tabs>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185">
        <w:r>
          <w:rPr>
            <w:rFonts w:ascii="Arial" w:cs="Arial" w:eastAsia="Arial" w:hAnsi="Arial"/>
            <w:sz w:val="18"/>
            <w:szCs w:val="18"/>
            <w:u w:val="single" w:color="auto"/>
            <w:color w:val="0000FF"/>
          </w:rPr>
          <w:t>Specimen Stock Certificate evidencing the shares of common stock (incorporated by reference to Exhibit 4.2 of the Registrant's Annual</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Report on Form 10-K filed on February 27, 2020)</w:t>
        </w:r>
      </w:hyperlink>
    </w:p>
    <w:p>
      <w:pPr>
        <w:spacing w:after="0" w:line="1" w:lineRule="exact"/>
        <w:rPr>
          <w:rFonts w:ascii="Arial" w:cs="Arial" w:eastAsia="Arial" w:hAnsi="Arial"/>
          <w:sz w:val="18"/>
          <w:szCs w:val="18"/>
          <w:u w:val="single" w:color="auto"/>
          <w:color w:val="0000FF"/>
        </w:rPr>
      </w:pPr>
    </w:p>
    <w:p>
      <w:pPr>
        <w:ind w:left="1220" w:right="100" w:hanging="566"/>
        <w:spacing w:after="0" w:line="234"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Amended and Restated 2007 Stock Incentive Plan, as amended (incorporated by reference to Exhibit 10.1 of the Registrant's Registration</w:t>
        </w:r>
      </w:hyperlink>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Statement on Form S-1 (File No. 333-190643))</w:t>
        </w:r>
      </w:hyperlink>
    </w:p>
    <w:p>
      <w:pPr>
        <w:spacing w:after="0" w:line="1"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87">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87">
        <w:r>
          <w:rPr>
            <w:rFonts w:ascii="Arial" w:cs="Arial" w:eastAsia="Arial" w:hAnsi="Arial"/>
            <w:sz w:val="16"/>
            <w:szCs w:val="16"/>
            <w:u w:val="single" w:color="auto"/>
            <w:color w:val="0000FF"/>
          </w:rPr>
          <w:t>Form of Incentive Stock Option Agreement under Amended and Restated 2007 Stock Incentive Plan (incorporated by reference to Exhibit</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10.2 of the Registrant's Registration Statement on Form S-1 (File No. 333-190643))</w:t>
        </w:r>
      </w:hyperlink>
    </w:p>
    <w:p>
      <w:pPr>
        <w:spacing w:after="0" w:line="7" w:lineRule="exact"/>
        <w:rPr>
          <w:sz w:val="20"/>
          <w:szCs w:val="20"/>
          <w:color w:val="auto"/>
        </w:rPr>
      </w:pPr>
    </w:p>
    <w:p>
      <w:pPr>
        <w:ind w:left="1220" w:right="340" w:hanging="566"/>
        <w:spacing w:after="0" w:line="234"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8">
        <w:r>
          <w:rPr>
            <w:rFonts w:ascii="Arial" w:cs="Arial" w:eastAsia="Arial" w:hAnsi="Arial"/>
            <w:sz w:val="18"/>
            <w:szCs w:val="18"/>
            <w:u w:val="single" w:color="auto"/>
            <w:color w:val="0000FF"/>
          </w:rPr>
          <w:t>Form of Nonstatutory Stock Option Agreement under Amended and Restated 2007 Stock Incentive Plan (incorporated by reference to</w:t>
        </w:r>
      </w:hyperlink>
      <w:r>
        <w:rPr>
          <w:rFonts w:ascii="Arial" w:cs="Arial" w:eastAsia="Arial" w:hAnsi="Arial"/>
          <w:sz w:val="18"/>
          <w:szCs w:val="18"/>
          <w:color w:val="0000FF"/>
        </w:rPr>
        <w:t xml:space="preserve"> </w:t>
      </w:r>
      <w:hyperlink r:id="rId188">
        <w:r>
          <w:rPr>
            <w:rFonts w:ascii="Arial" w:cs="Arial" w:eastAsia="Arial" w:hAnsi="Arial"/>
            <w:sz w:val="18"/>
            <w:szCs w:val="18"/>
            <w:u w:val="single" w:color="auto"/>
            <w:color w:val="0000FF"/>
          </w:rPr>
          <w:t>Exhibit 10.3 of the Registrant's Registration Statement on Form S-1 (File No. 333-190643))</w:t>
        </w:r>
      </w:hyperlink>
    </w:p>
    <w:p>
      <w:pPr>
        <w:spacing w:after="0" w:line="1"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89">
        <w:r>
          <w:rPr>
            <w:rFonts w:ascii="Arial" w:cs="Arial" w:eastAsia="Arial" w:hAnsi="Arial"/>
            <w:sz w:val="16"/>
            <w:szCs w:val="16"/>
            <w:u w:val="single" w:color="auto"/>
            <w:color w:val="0000FF"/>
          </w:rPr>
          <w:t>10.4</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89">
        <w:r>
          <w:rPr>
            <w:rFonts w:ascii="Arial" w:cs="Arial" w:eastAsia="Arial" w:hAnsi="Arial"/>
            <w:sz w:val="16"/>
            <w:szCs w:val="16"/>
            <w:u w:val="single" w:color="auto"/>
            <w:color w:val="0000FF"/>
          </w:rPr>
          <w:t>2013 Stock Incentive Plan (incorporated by reference to Exhibit 10.4 of the Registrant's Annual Report on Form 10-K filed on March 2,</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2015)</w:t>
        </w:r>
      </w:hyperlink>
    </w:p>
    <w:p>
      <w:pPr>
        <w:spacing w:after="0" w:line="7" w:lineRule="exact"/>
        <w:rPr>
          <w:sz w:val="20"/>
          <w:szCs w:val="20"/>
          <w:color w:val="auto"/>
        </w:rPr>
      </w:pPr>
    </w:p>
    <w:p>
      <w:pPr>
        <w:ind w:left="1220" w:right="160" w:hanging="566"/>
        <w:spacing w:after="0" w:line="234"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0">
        <w:r>
          <w:rPr>
            <w:rFonts w:ascii="Arial" w:cs="Arial" w:eastAsia="Arial" w:hAnsi="Arial"/>
            <w:sz w:val="18"/>
            <w:szCs w:val="18"/>
            <w:u w:val="single" w:color="auto"/>
            <w:color w:val="0000FF"/>
          </w:rPr>
          <w:t>Amendment No. 1 to Stock Incentive Plan, adopted June 4, 2015 (incorporated by reference to Exhibit 10.1 of the Registrant's Quarterly</w:t>
        </w:r>
      </w:hyperlink>
      <w:r>
        <w:rPr>
          <w:rFonts w:ascii="Arial" w:cs="Arial" w:eastAsia="Arial" w:hAnsi="Arial"/>
          <w:sz w:val="18"/>
          <w:szCs w:val="18"/>
          <w:color w:val="0000FF"/>
        </w:rPr>
        <w:t xml:space="preserve"> </w:t>
      </w:r>
      <w:hyperlink r:id="rId190">
        <w:r>
          <w:rPr>
            <w:rFonts w:ascii="Arial" w:cs="Arial" w:eastAsia="Arial" w:hAnsi="Arial"/>
            <w:sz w:val="18"/>
            <w:szCs w:val="18"/>
            <w:u w:val="single" w:color="auto"/>
            <w:color w:val="0000FF"/>
          </w:rPr>
          <w:t>Report on Form 10-Q filed on August 10, 2015)</w:t>
        </w:r>
      </w:hyperlink>
    </w:p>
    <w:p>
      <w:pPr>
        <w:spacing w:after="0" w:line="1" w:lineRule="exact"/>
        <w:rPr>
          <w:rFonts w:ascii="Arial" w:cs="Arial" w:eastAsia="Arial" w:hAnsi="Arial"/>
          <w:sz w:val="18"/>
          <w:szCs w:val="18"/>
          <w:color w:val="0000FF"/>
        </w:rPr>
      </w:pPr>
    </w:p>
    <w:p>
      <w:pPr>
        <w:ind w:left="1220" w:right="40" w:hanging="566"/>
        <w:spacing w:after="0" w:line="234"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1">
        <w:r>
          <w:rPr>
            <w:rFonts w:ascii="Arial" w:cs="Arial" w:eastAsia="Arial" w:hAnsi="Arial"/>
            <w:sz w:val="18"/>
            <w:szCs w:val="18"/>
            <w:u w:val="single" w:color="auto"/>
            <w:color w:val="0000FF"/>
          </w:rPr>
          <w:t>Form of Incentive Stock Option Agreement under 2013 Stock Incentive Plan (incorporated by reference to Exhibit 10.5 of the Registrant's</w:t>
        </w:r>
      </w:hyperlink>
      <w:r>
        <w:rPr>
          <w:rFonts w:ascii="Arial" w:cs="Arial" w:eastAsia="Arial" w:hAnsi="Arial"/>
          <w:sz w:val="18"/>
          <w:szCs w:val="18"/>
          <w:color w:val="0000FF"/>
        </w:rPr>
        <w:t xml:space="preserve"> </w:t>
      </w:r>
      <w:hyperlink r:id="rId191">
        <w:r>
          <w:rPr>
            <w:rFonts w:ascii="Arial" w:cs="Arial" w:eastAsia="Arial" w:hAnsi="Arial"/>
            <w:sz w:val="18"/>
            <w:szCs w:val="18"/>
            <w:u w:val="single" w:color="auto"/>
            <w:color w:val="0000FF"/>
          </w:rPr>
          <w:t>Registration Statement on Form S-1, as amended (File No. 333-190643))</w:t>
        </w:r>
      </w:hyperlink>
    </w:p>
    <w:p>
      <w:pPr>
        <w:spacing w:after="0" w:line="1" w:lineRule="exact"/>
        <w:rPr>
          <w:rFonts w:ascii="Arial" w:cs="Arial" w:eastAsia="Arial" w:hAnsi="Arial"/>
          <w:sz w:val="18"/>
          <w:szCs w:val="18"/>
          <w:color w:val="0000FF"/>
        </w:rPr>
      </w:pPr>
    </w:p>
    <w:p>
      <w:pPr>
        <w:ind w:left="1220" w:right="640" w:hanging="566"/>
        <w:spacing w:after="0" w:line="234"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2">
        <w:r>
          <w:rPr>
            <w:rFonts w:ascii="Arial" w:cs="Arial" w:eastAsia="Arial" w:hAnsi="Arial"/>
            <w:sz w:val="18"/>
            <w:szCs w:val="18"/>
            <w:u w:val="single" w:color="auto"/>
            <w:color w:val="0000FF"/>
          </w:rPr>
          <w:t>Form of Nonqualified Stock Option Agreement under 2013 Stock Incentive Plan (incorporated by reference to Exhibit 10.6 of the</w:t>
        </w:r>
      </w:hyperlink>
      <w:r>
        <w:rPr>
          <w:rFonts w:ascii="Arial" w:cs="Arial" w:eastAsia="Arial" w:hAnsi="Arial"/>
          <w:sz w:val="18"/>
          <w:szCs w:val="18"/>
          <w:color w:val="0000FF"/>
        </w:rPr>
        <w:t xml:space="preserve"> </w:t>
      </w:r>
      <w:hyperlink r:id="rId192">
        <w:r>
          <w:rPr>
            <w:rFonts w:ascii="Arial" w:cs="Arial" w:eastAsia="Arial" w:hAnsi="Arial"/>
            <w:sz w:val="18"/>
            <w:szCs w:val="18"/>
            <w:u w:val="single" w:color="auto"/>
            <w:color w:val="0000FF"/>
          </w:rPr>
          <w:t>Registrant's Registration Statement on Form S-1, as amended (File No. 333-190643))</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70"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140" w:hanging="566"/>
        <w:spacing w:after="0" w:line="235"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4">
        <w:r>
          <w:rPr>
            <w:rFonts w:ascii="Arial" w:cs="Arial" w:eastAsia="Arial" w:hAnsi="Arial"/>
            <w:sz w:val="18"/>
            <w:szCs w:val="18"/>
            <w:u w:val="single" w:color="auto"/>
            <w:color w:val="0000FF"/>
          </w:rPr>
          <w:t>Form of Restricted Stock Unit Agreement under 2013 Stock Incentive Plan (incorporated by reference to Exhibit 10.7 of the Registrant's</w:t>
        </w:r>
      </w:hyperlink>
      <w:r>
        <w:rPr>
          <w:rFonts w:ascii="Arial" w:cs="Arial" w:eastAsia="Arial" w:hAnsi="Arial"/>
          <w:sz w:val="18"/>
          <w:szCs w:val="18"/>
          <w:color w:val="0000FF"/>
        </w:rPr>
        <w:t xml:space="preserve"> </w:t>
      </w:r>
      <w:hyperlink r:id="rId194">
        <w:r>
          <w:rPr>
            <w:rFonts w:ascii="Arial" w:cs="Arial" w:eastAsia="Arial" w:hAnsi="Arial"/>
            <w:sz w:val="18"/>
            <w:szCs w:val="18"/>
            <w:u w:val="single" w:color="auto"/>
            <w:color w:val="0000FF"/>
          </w:rPr>
          <w:t>Annual Report on Form 10-K filed on March 2, 2015)</w:t>
        </w:r>
      </w:hyperlink>
    </w:p>
    <w:p>
      <w:pPr>
        <w:ind w:left="1220" w:right="260" w:hanging="566"/>
        <w:spacing w:after="0" w:line="234"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5">
        <w:r>
          <w:rPr>
            <w:rFonts w:ascii="Arial" w:cs="Arial" w:eastAsia="Arial" w:hAnsi="Arial"/>
            <w:sz w:val="18"/>
            <w:szCs w:val="18"/>
            <w:u w:val="single" w:color="auto"/>
            <w:color w:val="0000FF"/>
          </w:rPr>
          <w:t>2016 Employee Stock Purchase Plan (incorporated by reference to Exhibit 99.1 of the Registrant's Registration Statement on Form S-8</w:t>
        </w:r>
      </w:hyperlink>
      <w:r>
        <w:rPr>
          <w:rFonts w:ascii="Arial" w:cs="Arial" w:eastAsia="Arial" w:hAnsi="Arial"/>
          <w:sz w:val="18"/>
          <w:szCs w:val="18"/>
          <w:color w:val="0000FF"/>
        </w:rPr>
        <w:t xml:space="preserve"> </w:t>
      </w:r>
      <w:hyperlink r:id="rId195">
        <w:r>
          <w:rPr>
            <w:rFonts w:ascii="Arial" w:cs="Arial" w:eastAsia="Arial" w:hAnsi="Arial"/>
            <w:sz w:val="18"/>
            <w:szCs w:val="18"/>
            <w:u w:val="single" w:color="auto"/>
            <w:color w:val="0000FF"/>
          </w:rPr>
          <w:t>(File No. 333-211916))</w:t>
        </w:r>
      </w:hyperlink>
    </w:p>
    <w:p>
      <w:pPr>
        <w:spacing w:after="0" w:line="1" w:lineRule="exact"/>
        <w:rPr>
          <w:rFonts w:ascii="Arial" w:cs="Arial" w:eastAsia="Arial" w:hAnsi="Arial"/>
          <w:sz w:val="18"/>
          <w:szCs w:val="18"/>
          <w:color w:val="0000FF"/>
        </w:rPr>
      </w:pPr>
    </w:p>
    <w:p>
      <w:pPr>
        <w:jc w:val="center"/>
        <w:ind w:right="20"/>
        <w:spacing w:after="0" w:line="248" w:lineRule="auto"/>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10.10</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96">
        <w:r>
          <w:rPr>
            <w:rFonts w:ascii="Arial" w:cs="Arial" w:eastAsia="Arial" w:hAnsi="Arial"/>
            <w:sz w:val="17"/>
            <w:szCs w:val="17"/>
            <w:u w:val="single" w:color="auto"/>
            <w:color w:val="0000FF"/>
          </w:rPr>
          <w:t>2019 Inducement Stock Incentive Plan of the Registrant (incorporated by reference to Exhibit 99.1 of the Registrant's Registration</w:t>
        </w:r>
      </w:hyperlink>
      <w:r>
        <w:rPr>
          <w:rFonts w:ascii="Arial" w:cs="Arial" w:eastAsia="Arial" w:hAnsi="Arial"/>
          <w:sz w:val="17"/>
          <w:szCs w:val="17"/>
          <w:color w:val="0000FF"/>
        </w:rPr>
        <w:t xml:space="preserve"> </w:t>
      </w:r>
      <w:hyperlink r:id="rId196">
        <w:r>
          <w:rPr>
            <w:rFonts w:ascii="Arial" w:cs="Arial" w:eastAsia="Arial" w:hAnsi="Arial"/>
            <w:sz w:val="17"/>
            <w:szCs w:val="17"/>
            <w:u w:val="single" w:color="auto"/>
            <w:color w:val="0000FF"/>
          </w:rPr>
          <w:t>Statement on Form S-8 (File No. 333-234404) filed with the Securities and Exchange Commission on October 31, 2019)</w:t>
        </w:r>
      </w:hyperlink>
    </w:p>
    <w:p>
      <w:pPr>
        <w:spacing w:after="0" w:line="1" w:lineRule="exact"/>
        <w:rPr>
          <w:rFonts w:ascii="Arial" w:cs="Arial" w:eastAsia="Arial" w:hAnsi="Arial"/>
          <w:sz w:val="17"/>
          <w:szCs w:val="17"/>
          <w:color w:val="0000FF"/>
        </w:rPr>
      </w:pPr>
    </w:p>
    <w:p>
      <w:pPr>
        <w:ind w:left="1220" w:right="840" w:hanging="649"/>
        <w:spacing w:after="0" w:line="234"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10.11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Amendment No. 1 to 2019 Inducement Stock Incentive Plan of the Registrant (incorporated by reference to Exhibit 10.1 of the</w:t>
        </w:r>
      </w:hyperlink>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Registrant's Quarterly Report on Form 10-Q filed on May 7, 2020)</w:t>
        </w:r>
      </w:hyperlink>
    </w:p>
    <w:p>
      <w:pPr>
        <w:spacing w:after="0" w:line="1" w:lineRule="exact"/>
        <w:rPr>
          <w:rFonts w:ascii="Arial" w:cs="Arial" w:eastAsia="Arial" w:hAnsi="Arial"/>
          <w:sz w:val="18"/>
          <w:szCs w:val="18"/>
          <w:color w:val="0000FF"/>
        </w:rPr>
      </w:pPr>
    </w:p>
    <w:p>
      <w:pPr>
        <w:ind w:left="1220" w:right="760" w:hanging="656"/>
        <w:spacing w:after="0" w:line="234"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10.12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8">
        <w:r>
          <w:rPr>
            <w:rFonts w:ascii="Arial" w:cs="Arial" w:eastAsia="Arial" w:hAnsi="Arial"/>
            <w:sz w:val="18"/>
            <w:szCs w:val="18"/>
            <w:u w:val="single" w:color="auto"/>
            <w:color w:val="0000FF"/>
          </w:rPr>
          <w:t>Amendment No. 2 to 2019 Inducement Stock Incentive Plan of the Registrant (incorporated by reference to Exhibit 10.12 of the</w:t>
        </w:r>
      </w:hyperlink>
      <w:r>
        <w:rPr>
          <w:rFonts w:ascii="Arial" w:cs="Arial" w:eastAsia="Arial" w:hAnsi="Arial"/>
          <w:sz w:val="18"/>
          <w:szCs w:val="18"/>
          <w:color w:val="0000FF"/>
        </w:rPr>
        <w:t xml:space="preserve"> </w:t>
      </w:r>
      <w:hyperlink r:id="rId198">
        <w:r>
          <w:rPr>
            <w:rFonts w:ascii="Arial" w:cs="Arial" w:eastAsia="Arial" w:hAnsi="Arial"/>
            <w:sz w:val="18"/>
            <w:szCs w:val="18"/>
            <w:u w:val="single" w:color="auto"/>
            <w:color w:val="0000FF"/>
          </w:rPr>
          <w:t>Registrant's Annual Report on Form 10-K filed on March 4, 2021)</w:t>
        </w:r>
      </w:hyperlink>
    </w:p>
    <w:p>
      <w:pPr>
        <w:spacing w:after="0" w:line="1" w:lineRule="exact"/>
        <w:rPr>
          <w:rFonts w:ascii="Arial" w:cs="Arial" w:eastAsia="Arial" w:hAnsi="Arial"/>
          <w:sz w:val="18"/>
          <w:szCs w:val="18"/>
          <w:color w:val="0000FF"/>
        </w:rPr>
      </w:pPr>
    </w:p>
    <w:p>
      <w:pPr>
        <w:ind w:left="1220" w:right="840" w:hanging="656"/>
        <w:spacing w:after="0" w:line="234"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9">
        <w:r>
          <w:rPr>
            <w:rFonts w:ascii="Arial" w:cs="Arial" w:eastAsia="Arial" w:hAnsi="Arial"/>
            <w:sz w:val="18"/>
            <w:szCs w:val="18"/>
            <w:u w:val="single" w:color="auto"/>
            <w:color w:val="0000FF"/>
          </w:rPr>
          <w:t>Amendment No. 3 to 2019 Inducement Stock Incentive Plan of the Registrant (incorporated by reference to Exhibit 10.3 of the</w:t>
        </w:r>
      </w:hyperlink>
      <w:r>
        <w:rPr>
          <w:rFonts w:ascii="Arial" w:cs="Arial" w:eastAsia="Arial" w:hAnsi="Arial"/>
          <w:sz w:val="18"/>
          <w:szCs w:val="18"/>
          <w:color w:val="0000FF"/>
        </w:rPr>
        <w:t xml:space="preserve"> </w:t>
      </w:r>
      <w:hyperlink r:id="rId199">
        <w:r>
          <w:rPr>
            <w:rFonts w:ascii="Arial" w:cs="Arial" w:eastAsia="Arial" w:hAnsi="Arial"/>
            <w:sz w:val="18"/>
            <w:szCs w:val="18"/>
            <w:u w:val="single" w:color="auto"/>
            <w:color w:val="0000FF"/>
          </w:rPr>
          <w:t>Registrant's Quarterly Report on Form 10-Q filed on November 9, 2021)</w:t>
        </w:r>
      </w:hyperlink>
    </w:p>
    <w:p>
      <w:pPr>
        <w:spacing w:after="0" w:line="1" w:lineRule="exact"/>
        <w:rPr>
          <w:rFonts w:ascii="Arial" w:cs="Arial" w:eastAsia="Arial" w:hAnsi="Arial"/>
          <w:sz w:val="18"/>
          <w:szCs w:val="18"/>
          <w:color w:val="0000FF"/>
        </w:rPr>
      </w:pPr>
    </w:p>
    <w:p>
      <w:pPr>
        <w:ind w:left="580"/>
        <w:spacing w:after="0"/>
        <w:rPr>
          <w:rFonts w:ascii="Arial" w:cs="Arial" w:eastAsia="Arial" w:hAnsi="Arial"/>
          <w:sz w:val="18"/>
          <w:szCs w:val="18"/>
          <w:color w:val="0000FF"/>
        </w:rPr>
      </w:pPr>
      <w:hyperlink w:anchor="page220">
        <w:r>
          <w:rPr>
            <w:rFonts w:ascii="Arial" w:cs="Arial" w:eastAsia="Arial" w:hAnsi="Arial"/>
            <w:sz w:val="18"/>
            <w:szCs w:val="18"/>
            <w:u w:val="single" w:color="auto"/>
            <w:color w:val="0000FF"/>
          </w:rPr>
          <w:t>10.14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220">
        <w:r>
          <w:rPr>
            <w:rFonts w:ascii="Arial" w:cs="Arial" w:eastAsia="Arial" w:hAnsi="Arial"/>
            <w:sz w:val="18"/>
            <w:szCs w:val="18"/>
            <w:u w:val="single" w:color="auto"/>
            <w:color w:val="0000FF"/>
          </w:rPr>
          <w:t>Amendment No. 4 to 2019 Inducement Stock Incentive Plan of the Registrant</w:t>
        </w:r>
      </w:hyperlink>
    </w:p>
    <w:p>
      <w:pPr>
        <w:spacing w:after="0" w:line="23" w:lineRule="exact"/>
        <w:rPr>
          <w:sz w:val="20"/>
          <w:szCs w:val="20"/>
          <w:color w:val="auto"/>
        </w:rPr>
      </w:pPr>
    </w:p>
    <w:p>
      <w:pPr>
        <w:ind w:left="1220" w:right="20" w:hanging="656"/>
        <w:spacing w:after="0" w:line="224"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10.15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Form of Restricted Stock Unit Agreement under the 2019 Inducement Stock Incentive Plan of the Registrant (incorporated by reference to</w:t>
        </w:r>
      </w:hyperlink>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Exhibit 99.2 of the Registrant's Registration Statement on Form S-8 (File No. 333-234404) filed with the Securities and Exchange</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Commission on October 31, 2019)</w:t>
        </w:r>
      </w:hyperlink>
    </w:p>
    <w:p>
      <w:pPr>
        <w:spacing w:after="0" w:line="1" w:lineRule="exact"/>
        <w:rPr>
          <w:rFonts w:ascii="Arial" w:cs="Arial" w:eastAsia="Arial" w:hAnsi="Arial"/>
          <w:sz w:val="18"/>
          <w:szCs w:val="18"/>
          <w:color w:val="0000FF"/>
        </w:rPr>
      </w:pPr>
    </w:p>
    <w:p>
      <w:pPr>
        <w:jc w:val="both"/>
        <w:ind w:left="1220" w:right="460" w:hanging="656"/>
        <w:spacing w:after="0" w:line="224" w:lineRule="auto"/>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10.16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Form of Nonstatutory Stock Option Agreement under the 2019 Inducement Stock Incentive Plan of the Registrant (incorporated by</w:t>
        </w:r>
      </w:hyperlink>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reference to Exhibit 99.3 of the Registrant's Registration Statement on Form S-8 (File No. 333-234404) filed with the Securities and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Exchange Commission on October 31, 2019)</w:t>
        </w:r>
      </w:hyperlink>
    </w:p>
    <w:p>
      <w:pPr>
        <w:spacing w:after="0" w:line="1" w:lineRule="exact"/>
        <w:rPr>
          <w:rFonts w:ascii="Arial" w:cs="Arial" w:eastAsia="Arial" w:hAnsi="Arial"/>
          <w:sz w:val="18"/>
          <w:szCs w:val="18"/>
          <w:color w:val="0000FF"/>
        </w:rPr>
      </w:pPr>
    </w:p>
    <w:p>
      <w:pPr>
        <w:ind w:left="1220" w:right="120" w:hanging="656"/>
        <w:spacing w:after="0" w:line="252" w:lineRule="auto"/>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10.17</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02">
        <w:r>
          <w:rPr>
            <w:rFonts w:ascii="Arial" w:cs="Arial" w:eastAsia="Arial" w:hAnsi="Arial"/>
            <w:sz w:val="16"/>
            <w:szCs w:val="16"/>
            <w:u w:val="single" w:color="auto"/>
            <w:color w:val="0000FF"/>
          </w:rPr>
          <w:t>Amended and Restated Exclusive License Agreement, dated as of September 12, 2011, by and between the Registrant and Archemix</w:t>
        </w:r>
      </w:hyperlink>
      <w:r>
        <w:rPr>
          <w:rFonts w:ascii="Arial" w:cs="Arial" w:eastAsia="Arial" w:hAnsi="Arial"/>
          <w:sz w:val="16"/>
          <w:szCs w:val="16"/>
          <w:color w:val="0000FF"/>
        </w:rPr>
        <w:t xml:space="preserve"> </w:t>
      </w:r>
      <w:hyperlink r:id="rId202">
        <w:r>
          <w:rPr>
            <w:rFonts w:ascii="Arial" w:cs="Arial" w:eastAsia="Arial" w:hAnsi="Arial"/>
            <w:sz w:val="16"/>
            <w:szCs w:val="16"/>
            <w:u w:val="single" w:color="auto"/>
            <w:color w:val="0000FF"/>
          </w:rPr>
          <w:t>Corp., as amended by Amendment No. 1 thereto dated December 20, 2011 and supplemented by a letter agreement, dated as of April 30,</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2012 (incorporated by reference to Exhibit 10.11 of the Registrant's Registration Statement on Form S-1 (File No. 333-190643))</w:t>
        </w:r>
      </w:hyperlink>
    </w:p>
    <w:p>
      <w:pPr>
        <w:spacing w:after="0" w:line="1" w:lineRule="exact"/>
        <w:rPr>
          <w:rFonts w:ascii="Arial" w:cs="Arial" w:eastAsia="Arial" w:hAnsi="Arial"/>
          <w:sz w:val="16"/>
          <w:szCs w:val="16"/>
          <w:color w:val="0000FF"/>
        </w:rPr>
      </w:pPr>
    </w:p>
    <w:p>
      <w:pPr>
        <w:ind w:left="1220" w:hanging="656"/>
        <w:spacing w:after="0" w:line="224"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10.18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Exclusive License Agreement with Know-How by and among The University of Florida Research Foundation, Incorporated, The Trustees</w:t>
        </w:r>
      </w:hyperlink>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of the University of Pennsylvania and the Registrant dated June 6, 2018 (incorporated by reference to Exhibit 10.1 of the Registrant's</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Quarterly Report on Form 10-Q filed on August 1, 2018)</w:t>
        </w:r>
      </w:hyperlink>
    </w:p>
    <w:p>
      <w:pPr>
        <w:spacing w:after="0" w:line="1" w:lineRule="exact"/>
        <w:rPr>
          <w:rFonts w:ascii="Arial" w:cs="Arial" w:eastAsia="Arial" w:hAnsi="Arial"/>
          <w:sz w:val="18"/>
          <w:szCs w:val="18"/>
          <w:color w:val="0000FF"/>
        </w:rPr>
      </w:pPr>
    </w:p>
    <w:p>
      <w:pPr>
        <w:ind w:left="1220" w:right="160" w:hanging="656"/>
        <w:spacing w:after="0" w:line="234" w:lineRule="auto"/>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10.19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93">
        <w:r>
          <w:rPr>
            <w:rFonts w:ascii="Arial" w:cs="Arial" w:eastAsia="Arial" w:hAnsi="Arial"/>
            <w:sz w:val="18"/>
            <w:szCs w:val="18"/>
            <w:u w:val="single" w:color="auto"/>
            <w:color w:val="0000FF"/>
          </w:rPr>
          <w:t>First Amendment to The Exclusive License Agreement with Know-How by and among The University of Florida Research Foundation,</w:t>
        </w:r>
      </w:hyperlink>
      <w:r>
        <w:rPr>
          <w:rFonts w:ascii="Arial" w:cs="Arial" w:eastAsia="Arial" w:hAnsi="Arial"/>
          <w:sz w:val="18"/>
          <w:szCs w:val="18"/>
          <w:color w:val="0000FF"/>
        </w:rPr>
        <w:t xml:space="preserve"> </w:t>
      </w:r>
      <w:hyperlink w:anchor="page193">
        <w:r>
          <w:rPr>
            <w:rFonts w:ascii="Arial" w:cs="Arial" w:eastAsia="Arial" w:hAnsi="Arial"/>
            <w:sz w:val="18"/>
            <w:szCs w:val="18"/>
            <w:u w:val="single" w:color="auto"/>
            <w:color w:val="0000FF"/>
          </w:rPr>
          <w:t>Incorporated, The Trustees of the University of Pennsylvania and the Registrant dated December 13, 2021</w:t>
        </w:r>
      </w:hyperlink>
    </w:p>
    <w:p>
      <w:pPr>
        <w:spacing w:after="0" w:line="1" w:lineRule="exact"/>
        <w:rPr>
          <w:rFonts w:ascii="Arial" w:cs="Arial" w:eastAsia="Arial" w:hAnsi="Arial"/>
          <w:sz w:val="18"/>
          <w:szCs w:val="18"/>
          <w:color w:val="0000FF"/>
        </w:rPr>
      </w:pPr>
    </w:p>
    <w:p>
      <w:pPr>
        <w:jc w:val="both"/>
        <w:ind w:left="1220" w:right="80" w:hanging="656"/>
        <w:spacing w:after="0" w:line="224"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10.20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Exclusive License Agreement with Know-How by and among The Trustees of the University of Pennsylvania, The University of Florida</w:t>
        </w:r>
      </w:hyperlink>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Research Foundation, Incorporated, and the Registrant dated April 10, 2019 (incorporated by reference to Exhibit 10.1 of the Registrant's</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Quarterly Report on Form 10-Q filed on August 1, 2019)</w:t>
        </w:r>
      </w:hyperlink>
    </w:p>
    <w:p>
      <w:pPr>
        <w:spacing w:after="0" w:line="1" w:lineRule="exact"/>
        <w:rPr>
          <w:rFonts w:ascii="Arial" w:cs="Arial" w:eastAsia="Arial" w:hAnsi="Arial"/>
          <w:sz w:val="18"/>
          <w:szCs w:val="18"/>
          <w:color w:val="0000FF"/>
        </w:rPr>
      </w:pPr>
    </w:p>
    <w:p>
      <w:pPr>
        <w:ind w:left="1220" w:right="40" w:hanging="656"/>
        <w:spacing w:after="0" w:line="234"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10.21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5">
        <w:r>
          <w:rPr>
            <w:rFonts w:ascii="Arial" w:cs="Arial" w:eastAsia="Arial" w:hAnsi="Arial"/>
            <w:sz w:val="18"/>
            <w:szCs w:val="18"/>
            <w:u w:val="single" w:color="auto"/>
            <w:color w:val="0000FF"/>
          </w:rPr>
          <w:t>Amendment No. 1 to Exclusive License Agreement with Know-How, dated May 1, 2020 (incorporated by reference to Exhibit 10.3 of the</w:t>
        </w:r>
      </w:hyperlink>
      <w:r>
        <w:rPr>
          <w:rFonts w:ascii="Arial" w:cs="Arial" w:eastAsia="Arial" w:hAnsi="Arial"/>
          <w:sz w:val="18"/>
          <w:szCs w:val="18"/>
          <w:color w:val="0000FF"/>
        </w:rPr>
        <w:t xml:space="preserve"> </w:t>
      </w:r>
      <w:hyperlink r:id="rId205">
        <w:r>
          <w:rPr>
            <w:rFonts w:ascii="Arial" w:cs="Arial" w:eastAsia="Arial" w:hAnsi="Arial"/>
            <w:sz w:val="18"/>
            <w:szCs w:val="18"/>
            <w:u w:val="single" w:color="auto"/>
            <w:color w:val="0000FF"/>
          </w:rPr>
          <w:t>Registrant's Quarterly Report on Form 10-Q filed on May 7, 2020)</w:t>
        </w:r>
      </w:hyperlink>
    </w:p>
    <w:p>
      <w:pPr>
        <w:spacing w:after="0" w:line="1" w:lineRule="exact"/>
        <w:rPr>
          <w:rFonts w:ascii="Arial" w:cs="Arial" w:eastAsia="Arial" w:hAnsi="Arial"/>
          <w:sz w:val="18"/>
          <w:szCs w:val="18"/>
          <w:color w:val="0000FF"/>
        </w:rPr>
      </w:pPr>
    </w:p>
    <w:p>
      <w:pPr>
        <w:ind w:left="1220" w:right="180" w:hanging="656"/>
        <w:spacing w:after="0" w:line="234"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6">
        <w:r>
          <w:rPr>
            <w:rFonts w:ascii="Arial" w:cs="Arial" w:eastAsia="Arial" w:hAnsi="Arial"/>
            <w:sz w:val="18"/>
            <w:szCs w:val="18"/>
            <w:u w:val="single" w:color="auto"/>
            <w:color w:val="0000FF"/>
          </w:rPr>
          <w:t>Exclusive License Agreement by and between The University of Massachusetts and the Registrant dated July 22, 2019 (incorporated by</w:t>
        </w:r>
      </w:hyperlink>
      <w:r>
        <w:rPr>
          <w:rFonts w:ascii="Arial" w:cs="Arial" w:eastAsia="Arial" w:hAnsi="Arial"/>
          <w:sz w:val="18"/>
          <w:szCs w:val="18"/>
          <w:color w:val="0000FF"/>
        </w:rPr>
        <w:t xml:space="preserve"> </w:t>
      </w:r>
      <w:hyperlink r:id="rId206">
        <w:r>
          <w:rPr>
            <w:rFonts w:ascii="Arial" w:cs="Arial" w:eastAsia="Arial" w:hAnsi="Arial"/>
            <w:sz w:val="18"/>
            <w:szCs w:val="18"/>
            <w:u w:val="single" w:color="auto"/>
            <w:color w:val="0000FF"/>
          </w:rPr>
          <w:t>reference to Exhibit 10.1 of the Registrant's Quarterly Report on Form 10-Q filed on November 12, 2019)</w:t>
        </w:r>
      </w:hyperlink>
    </w:p>
    <w:p>
      <w:pPr>
        <w:spacing w:after="0" w:line="1" w:lineRule="exact"/>
        <w:rPr>
          <w:rFonts w:ascii="Arial" w:cs="Arial" w:eastAsia="Arial" w:hAnsi="Arial"/>
          <w:sz w:val="18"/>
          <w:szCs w:val="18"/>
          <w:color w:val="0000FF"/>
        </w:rPr>
      </w:pPr>
    </w:p>
    <w:p>
      <w:pPr>
        <w:ind w:left="1220" w:hanging="656"/>
        <w:spacing w:after="0" w:line="234"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Letter Agreement between the Registrant and Glenn P. Sblendorio, dated January 4, 2016 (incorporated by reference to Exhibit 10.1 of the</w:t>
        </w:r>
      </w:hyperlink>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hanging="656"/>
        <w:spacing w:after="0" w:line="234" w:lineRule="auto"/>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Letter Agreement between the Registrant and Glenn P. Sblendorio, dated January 4, 2016 (incorporated by reference to Exhibit 10.2 of the</w:t>
        </w:r>
      </w:hyperlink>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right="100" w:hanging="656"/>
        <w:spacing w:after="0" w:line="234"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10.25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9">
        <w:r>
          <w:rPr>
            <w:rFonts w:ascii="Arial" w:cs="Arial" w:eastAsia="Arial" w:hAnsi="Arial"/>
            <w:sz w:val="18"/>
            <w:szCs w:val="18"/>
            <w:u w:val="single" w:color="auto"/>
            <w:color w:val="0000FF"/>
          </w:rPr>
          <w:t>Letter Agreement between the Registrant and Glenn P. Sblendorio, dated April 24, 2017 (incorporated by reference to Exhibit 10.2 of the</w:t>
        </w:r>
      </w:hyperlink>
      <w:r>
        <w:rPr>
          <w:rFonts w:ascii="Arial" w:cs="Arial" w:eastAsia="Arial" w:hAnsi="Arial"/>
          <w:sz w:val="18"/>
          <w:szCs w:val="18"/>
          <w:color w:val="0000FF"/>
        </w:rPr>
        <w:t xml:space="preserve"> </w:t>
      </w:r>
      <w:hyperlink r:id="rId209">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80" w:hanging="656"/>
        <w:spacing w:after="0" w:line="234" w:lineRule="auto"/>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10.26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0">
        <w:r>
          <w:rPr>
            <w:rFonts w:ascii="Arial" w:cs="Arial" w:eastAsia="Arial" w:hAnsi="Arial"/>
            <w:sz w:val="18"/>
            <w:szCs w:val="18"/>
            <w:u w:val="single" w:color="auto"/>
            <w:color w:val="0000FF"/>
          </w:rPr>
          <w:t>Letter Agreement between the Registrant and Glenn P. Sblendorio, dated November 3, 2021 (incorporated by reference to Exhibit 10.4 of</w:t>
        </w:r>
      </w:hyperlink>
      <w:r>
        <w:rPr>
          <w:rFonts w:ascii="Arial" w:cs="Arial" w:eastAsia="Arial" w:hAnsi="Arial"/>
          <w:sz w:val="18"/>
          <w:szCs w:val="18"/>
          <w:color w:val="0000FF"/>
        </w:rPr>
        <w:t xml:space="preserve"> </w:t>
      </w:r>
      <w:hyperlink r:id="rId210">
        <w:r>
          <w:rPr>
            <w:rFonts w:ascii="Arial" w:cs="Arial" w:eastAsia="Arial" w:hAnsi="Arial"/>
            <w:sz w:val="18"/>
            <w:szCs w:val="18"/>
            <w:u w:val="single" w:color="auto"/>
            <w:color w:val="0000FF"/>
          </w:rPr>
          <w:t>the Registrant's Quarterly Report on Form 10-Q filed on November 9, 2021)</w:t>
        </w:r>
      </w:hyperlink>
    </w:p>
    <w:p>
      <w:pPr>
        <w:spacing w:after="0" w:line="1" w:lineRule="exact"/>
        <w:rPr>
          <w:rFonts w:ascii="Arial" w:cs="Arial" w:eastAsia="Arial" w:hAnsi="Arial"/>
          <w:sz w:val="18"/>
          <w:szCs w:val="18"/>
          <w:color w:val="0000FF"/>
        </w:rPr>
      </w:pPr>
    </w:p>
    <w:p>
      <w:pPr>
        <w:ind w:left="1220" w:right="380" w:hanging="656"/>
        <w:spacing w:after="0" w:line="234"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10.27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1">
        <w:r>
          <w:rPr>
            <w:rFonts w:ascii="Arial" w:cs="Arial" w:eastAsia="Arial" w:hAnsi="Arial"/>
            <w:sz w:val="18"/>
            <w:szCs w:val="18"/>
            <w:u w:val="single" w:color="auto"/>
            <w:color w:val="0000FF"/>
          </w:rPr>
          <w:t>Letter Agreement between the Registrant and David F. Carroll, dated April 24, 2017 (incorporated by reference to Exhibit 10.3 of the</w:t>
        </w:r>
      </w:hyperlink>
      <w:r>
        <w:rPr>
          <w:rFonts w:ascii="Arial" w:cs="Arial" w:eastAsia="Arial" w:hAnsi="Arial"/>
          <w:sz w:val="18"/>
          <w:szCs w:val="18"/>
          <w:color w:val="0000FF"/>
        </w:rPr>
        <w:t xml:space="preserve"> </w:t>
      </w:r>
      <w:hyperlink r:id="rId211">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200" w:hanging="656"/>
        <w:spacing w:after="0" w:line="234"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10.28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Letter Agreement between the Registrant and David F. Carroll, dated December 11, 2019 (incorporated by reference to Exhibit 10.34 of</w:t>
        </w:r>
      </w:hyperlink>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the Registrant's Annual Report on Form 10-K filed on February 27, 2020)</w:t>
        </w:r>
      </w:hyperlink>
    </w:p>
    <w:p>
      <w:pPr>
        <w:spacing w:after="0" w:line="1" w:lineRule="exact"/>
        <w:rPr>
          <w:rFonts w:ascii="Arial" w:cs="Arial" w:eastAsia="Arial" w:hAnsi="Arial"/>
          <w:sz w:val="18"/>
          <w:szCs w:val="18"/>
          <w:color w:val="0000FF"/>
        </w:rPr>
      </w:pPr>
    </w:p>
    <w:p>
      <w:pPr>
        <w:ind w:left="1220" w:right="440" w:hanging="656"/>
        <w:spacing w:after="0" w:line="234"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10.29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Promotion Letter between the Registrant and Keith Westby, dated January 30, 2017 (incorporated by reference to Exhibit 10.1 of the</w:t>
        </w:r>
      </w:hyperlink>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Registrant's Quarterly Report on Form 10-Q filed on May 3, 2017)</w:t>
        </w:r>
      </w:hyperlink>
    </w:p>
    <w:p>
      <w:pPr>
        <w:spacing w:after="0" w:line="1" w:lineRule="exact"/>
        <w:rPr>
          <w:rFonts w:ascii="Arial" w:cs="Arial" w:eastAsia="Arial" w:hAnsi="Arial"/>
          <w:sz w:val="18"/>
          <w:szCs w:val="18"/>
          <w:color w:val="0000FF"/>
        </w:rPr>
      </w:pPr>
    </w:p>
    <w:p>
      <w:pPr>
        <w:ind w:left="1220" w:right="140" w:hanging="656"/>
        <w:spacing w:after="0" w:line="23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10.30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Letter Agreement between the Registrant and Keith Westby, dated December 11, 2019 (incorporated by reference to Exhibit 10.36 of the</w:t>
        </w:r>
      </w:hyperlink>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Registrant's Annual Report on Form 10-K filed on February 27, 2020)</w:t>
        </w:r>
      </w:hyperlink>
    </w:p>
    <w:p>
      <w:pPr>
        <w:spacing w:after="0" w:line="1" w:lineRule="exact"/>
        <w:rPr>
          <w:rFonts w:ascii="Arial" w:cs="Arial" w:eastAsia="Arial" w:hAnsi="Arial"/>
          <w:sz w:val="18"/>
          <w:szCs w:val="18"/>
          <w:color w:val="0000FF"/>
        </w:rPr>
      </w:pPr>
    </w:p>
    <w:p>
      <w:pPr>
        <w:ind w:left="1220" w:right="740" w:hanging="656"/>
        <w:spacing w:after="0" w:line="234"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Offer Letter between the Registrant and Pravin U. Dugel dated March 11, 2020 (incorporated by reference to Exhibit 10.1 of the</w:t>
        </w:r>
      </w:hyperlink>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Registrant's Quarterly Report on Form 10-Q filed on August 6, 2020)</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4" w:lineRule="exact"/>
        <w:rPr>
          <w:rFonts w:ascii="Arial" w:cs="Arial" w:eastAsia="Arial" w:hAnsi="Arial"/>
          <w:sz w:val="18"/>
          <w:szCs w:val="18"/>
          <w:color w:val="0000FF"/>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240" w:hanging="656"/>
        <w:spacing w:after="0" w:line="235" w:lineRule="auto"/>
        <w:tabs>
          <w:tab w:leader="none" w:pos="1200" w:val="left"/>
        </w:tabs>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10.32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hyperlink r:id="rId217">
        <w:r>
          <w:rPr>
            <w:rFonts w:ascii="Arial" w:cs="Arial" w:eastAsia="Arial" w:hAnsi="Arial"/>
            <w:sz w:val="18"/>
            <w:szCs w:val="18"/>
            <w:u w:val="single" w:color="auto"/>
            <w:color w:val="0000FF"/>
          </w:rPr>
          <w:t>Letter Agreement between the Registrant and Pravin U. Dugel dated March 11, 2020 (incorporated by reference to Exhibit 10.2 of the</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Registrant's Quarterly Report on Form 10-Q filed on August 6, 2020)</w:t>
        </w:r>
      </w:hyperlink>
    </w:p>
    <w:p>
      <w:pPr>
        <w:ind w:left="580"/>
        <w:spacing w:after="0"/>
        <w:rPr>
          <w:rFonts w:ascii="Arial" w:cs="Arial" w:eastAsia="Arial" w:hAnsi="Arial"/>
          <w:sz w:val="18"/>
          <w:szCs w:val="18"/>
          <w:color w:val="0000FF"/>
        </w:rPr>
      </w:pPr>
      <w:hyperlink w:anchor="page196">
        <w:r>
          <w:rPr>
            <w:rFonts w:ascii="Arial" w:cs="Arial" w:eastAsia="Arial" w:hAnsi="Arial"/>
            <w:sz w:val="18"/>
            <w:szCs w:val="18"/>
            <w:u w:val="single" w:color="auto"/>
            <w:color w:val="0000FF"/>
          </w:rPr>
          <w:t>10.33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96">
        <w:r>
          <w:rPr>
            <w:rFonts w:ascii="Arial" w:cs="Arial" w:eastAsia="Arial" w:hAnsi="Arial"/>
            <w:sz w:val="18"/>
            <w:szCs w:val="18"/>
            <w:u w:val="single" w:color="auto"/>
            <w:color w:val="0000FF"/>
          </w:rPr>
          <w:t>Offer Letter between the Registrant and Christopher Simms dated June 16, 2021</w:t>
        </w:r>
      </w:hyperlink>
    </w:p>
    <w:p>
      <w:pPr>
        <w:spacing w:after="0" w:line="23" w:lineRule="exact"/>
        <w:rPr>
          <w:sz w:val="20"/>
          <w:szCs w:val="20"/>
          <w:color w:val="auto"/>
        </w:rPr>
      </w:pPr>
    </w:p>
    <w:p>
      <w:pPr>
        <w:ind w:left="580"/>
        <w:spacing w:after="0"/>
        <w:rPr>
          <w:rFonts w:ascii="Arial" w:cs="Arial" w:eastAsia="Arial" w:hAnsi="Arial"/>
          <w:sz w:val="18"/>
          <w:szCs w:val="18"/>
          <w:color w:val="0000FF"/>
        </w:rPr>
      </w:pPr>
      <w:hyperlink w:anchor="page201">
        <w:r>
          <w:rPr>
            <w:rFonts w:ascii="Arial" w:cs="Arial" w:eastAsia="Arial" w:hAnsi="Arial"/>
            <w:sz w:val="18"/>
            <w:szCs w:val="18"/>
            <w:u w:val="single" w:color="auto"/>
            <w:color w:val="0000FF"/>
          </w:rPr>
          <w:t>10.34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201">
        <w:r>
          <w:rPr>
            <w:rFonts w:ascii="Arial" w:cs="Arial" w:eastAsia="Arial" w:hAnsi="Arial"/>
            <w:sz w:val="18"/>
            <w:szCs w:val="18"/>
            <w:u w:val="single" w:color="auto"/>
            <w:color w:val="0000FF"/>
          </w:rPr>
          <w:t>Letter Agreement between the Registrant and Christopher Simms dated June 16, 2021</w:t>
        </w:r>
      </w:hyperlink>
    </w:p>
    <w:p>
      <w:pPr>
        <w:spacing w:after="0" w:line="23" w:lineRule="exact"/>
        <w:rPr>
          <w:sz w:val="20"/>
          <w:szCs w:val="20"/>
          <w:color w:val="auto"/>
        </w:rPr>
      </w:pPr>
    </w:p>
    <w:p>
      <w:pPr>
        <w:ind w:left="580"/>
        <w:spacing w:after="0"/>
        <w:rPr>
          <w:rFonts w:ascii="Arial" w:cs="Arial" w:eastAsia="Arial" w:hAnsi="Arial"/>
          <w:sz w:val="18"/>
          <w:szCs w:val="18"/>
          <w:color w:val="0000FF"/>
        </w:rPr>
      </w:pPr>
      <w:hyperlink w:anchor="page208">
        <w:r>
          <w:rPr>
            <w:rFonts w:ascii="Arial" w:cs="Arial" w:eastAsia="Arial" w:hAnsi="Arial"/>
            <w:sz w:val="18"/>
            <w:szCs w:val="18"/>
            <w:u w:val="single" w:color="auto"/>
            <w:color w:val="0000FF"/>
          </w:rPr>
          <w:t>10.35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208">
        <w:r>
          <w:rPr>
            <w:rFonts w:ascii="Arial" w:cs="Arial" w:eastAsia="Arial" w:hAnsi="Arial"/>
            <w:sz w:val="18"/>
            <w:szCs w:val="18"/>
            <w:u w:val="single" w:color="auto"/>
            <w:color w:val="0000FF"/>
          </w:rPr>
          <w:t>Offer Letter between the Registrant and Tony Gibney dated November 19, 2021</w:t>
        </w:r>
      </w:hyperlink>
    </w:p>
    <w:p>
      <w:pPr>
        <w:spacing w:after="0" w:line="23" w:lineRule="exact"/>
        <w:rPr>
          <w:sz w:val="20"/>
          <w:szCs w:val="20"/>
          <w:color w:val="auto"/>
        </w:rPr>
      </w:pPr>
    </w:p>
    <w:p>
      <w:pPr>
        <w:ind w:left="580"/>
        <w:spacing w:after="0"/>
        <w:rPr>
          <w:rFonts w:ascii="Arial" w:cs="Arial" w:eastAsia="Arial" w:hAnsi="Arial"/>
          <w:sz w:val="18"/>
          <w:szCs w:val="18"/>
          <w:color w:val="0000FF"/>
        </w:rPr>
      </w:pPr>
      <w:hyperlink w:anchor="page214">
        <w:r>
          <w:rPr>
            <w:rFonts w:ascii="Arial" w:cs="Arial" w:eastAsia="Arial" w:hAnsi="Arial"/>
            <w:sz w:val="18"/>
            <w:szCs w:val="18"/>
            <w:u w:val="single" w:color="auto"/>
            <w:color w:val="0000FF"/>
          </w:rPr>
          <w:t>10.36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214">
        <w:r>
          <w:rPr>
            <w:rFonts w:ascii="Arial" w:cs="Arial" w:eastAsia="Arial" w:hAnsi="Arial"/>
            <w:sz w:val="18"/>
            <w:szCs w:val="18"/>
            <w:u w:val="single" w:color="auto"/>
            <w:color w:val="0000FF"/>
          </w:rPr>
          <w:t>Letter Agreement between the Registrant and Tony Gibney dated November 10, 2021</w:t>
        </w:r>
      </w:hyperlink>
    </w:p>
    <w:p>
      <w:pPr>
        <w:spacing w:after="0" w:line="23" w:lineRule="exact"/>
        <w:rPr>
          <w:sz w:val="20"/>
          <w:szCs w:val="20"/>
          <w:color w:val="auto"/>
        </w:rPr>
      </w:pPr>
    </w:p>
    <w:p>
      <w:pPr>
        <w:ind w:left="580"/>
        <w:spacing w:after="0"/>
        <w:rPr>
          <w:rFonts w:ascii="Arial" w:cs="Arial" w:eastAsia="Arial" w:hAnsi="Arial"/>
          <w:sz w:val="16"/>
          <w:szCs w:val="16"/>
          <w:color w:val="0000FF"/>
        </w:rPr>
      </w:pPr>
      <w:hyperlink r:id="rId218">
        <w:r>
          <w:rPr>
            <w:rFonts w:ascii="Arial" w:cs="Arial" w:eastAsia="Arial" w:hAnsi="Arial"/>
            <w:sz w:val="16"/>
            <w:szCs w:val="16"/>
            <w:u w:val="single" w:color="auto"/>
            <w:color w:val="0000FF"/>
          </w:rPr>
          <w:t>10.37</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18">
        <w:r>
          <w:rPr>
            <w:rFonts w:ascii="Arial" w:cs="Arial" w:eastAsia="Arial" w:hAnsi="Arial"/>
            <w:sz w:val="16"/>
            <w:szCs w:val="16"/>
            <w:u w:val="single" w:color="auto"/>
            <w:color w:val="0000FF"/>
          </w:rPr>
          <w:t>Retirement and Consulting Agreement between the Registrant and David Guyer dated April 5, 2021 (incorporated by reference to Exhibit</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10.1 of the Registrant's Current Report on Form 8-K filed on April 5, 2021)</w:t>
        </w:r>
      </w:hyperlink>
    </w:p>
    <w:p>
      <w:pPr>
        <w:spacing w:after="0" w:line="7" w:lineRule="exact"/>
        <w:rPr>
          <w:sz w:val="20"/>
          <w:szCs w:val="20"/>
          <w:color w:val="auto"/>
        </w:rPr>
      </w:pPr>
    </w:p>
    <w:p>
      <w:pPr>
        <w:ind w:left="1220" w:right="520" w:hanging="656"/>
        <w:spacing w:after="0" w:line="234"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10.38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9">
        <w:r>
          <w:rPr>
            <w:rFonts w:ascii="Arial" w:cs="Arial" w:eastAsia="Arial" w:hAnsi="Arial"/>
            <w:sz w:val="18"/>
            <w:szCs w:val="18"/>
            <w:u w:val="single" w:color="auto"/>
            <w:color w:val="0000FF"/>
          </w:rPr>
          <w:t>Form of Indemnification Agreement between the Registrant and each Director and Executive Officer (incorporated by reference to</w:t>
        </w:r>
      </w:hyperlink>
      <w:r>
        <w:rPr>
          <w:rFonts w:ascii="Arial" w:cs="Arial" w:eastAsia="Arial" w:hAnsi="Arial"/>
          <w:sz w:val="18"/>
          <w:szCs w:val="18"/>
          <w:color w:val="0000FF"/>
        </w:rPr>
        <w:t xml:space="preserve"> </w:t>
      </w:r>
      <w:hyperlink r:id="rId219">
        <w:r>
          <w:rPr>
            <w:rFonts w:ascii="Arial" w:cs="Arial" w:eastAsia="Arial" w:hAnsi="Arial"/>
            <w:sz w:val="18"/>
            <w:szCs w:val="18"/>
            <w:u w:val="single" w:color="auto"/>
            <w:color w:val="0000FF"/>
          </w:rPr>
          <w:t>Exhibit 10.2 of the Registrant's Quarterly Report on Form 10-Q filed on August 5, 2016)</w:t>
        </w:r>
      </w:hyperlink>
    </w:p>
    <w:p>
      <w:pPr>
        <w:spacing w:after="0" w:line="1" w:lineRule="exact"/>
        <w:rPr>
          <w:rFonts w:ascii="Arial" w:cs="Arial" w:eastAsia="Arial" w:hAnsi="Arial"/>
          <w:sz w:val="18"/>
          <w:szCs w:val="18"/>
          <w:color w:val="0000FF"/>
        </w:rPr>
      </w:pPr>
    </w:p>
    <w:p>
      <w:pPr>
        <w:ind w:left="1220" w:right="200" w:hanging="656"/>
        <w:spacing w:after="0" w:line="234"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10.39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20">
        <w:r>
          <w:rPr>
            <w:rFonts w:ascii="Arial" w:cs="Arial" w:eastAsia="Arial" w:hAnsi="Arial"/>
            <w:sz w:val="18"/>
            <w:szCs w:val="18"/>
            <w:u w:val="single" w:color="auto"/>
            <w:color w:val="0000FF"/>
          </w:rPr>
          <w:t>Non-Employee Director Compensation Policy of the Registrant (incorporated by reference to Exhibit 10.3 of the Registrant's Quarterly</w:t>
        </w:r>
      </w:hyperlink>
      <w:r>
        <w:rPr>
          <w:rFonts w:ascii="Arial" w:cs="Arial" w:eastAsia="Arial" w:hAnsi="Arial"/>
          <w:sz w:val="18"/>
          <w:szCs w:val="18"/>
          <w:color w:val="0000FF"/>
        </w:rPr>
        <w:t xml:space="preserve"> </w:t>
      </w:r>
      <w:hyperlink r:id="rId220">
        <w:r>
          <w:rPr>
            <w:rFonts w:ascii="Arial" w:cs="Arial" w:eastAsia="Arial" w:hAnsi="Arial"/>
            <w:sz w:val="18"/>
            <w:szCs w:val="18"/>
            <w:u w:val="single" w:color="auto"/>
            <w:color w:val="0000FF"/>
          </w:rPr>
          <w:t>Report on Form 10-Q filed on August 1, 2019)</w:t>
        </w:r>
      </w:hyperlink>
    </w:p>
    <w:p>
      <w:pPr>
        <w:spacing w:after="0" w:line="1" w:lineRule="exact"/>
        <w:rPr>
          <w:rFonts w:ascii="Arial" w:cs="Arial" w:eastAsia="Arial" w:hAnsi="Arial"/>
          <w:sz w:val="18"/>
          <w:szCs w:val="18"/>
          <w:color w:val="0000FF"/>
        </w:rPr>
      </w:pPr>
    </w:p>
    <w:p>
      <w:pPr>
        <w:ind w:left="1220" w:right="260" w:hanging="656"/>
        <w:spacing w:after="0" w:line="234" w:lineRule="auto"/>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10.40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21">
        <w:r>
          <w:rPr>
            <w:rFonts w:ascii="Arial" w:cs="Arial" w:eastAsia="Arial" w:hAnsi="Arial"/>
            <w:sz w:val="18"/>
            <w:szCs w:val="18"/>
            <w:u w:val="single" w:color="auto"/>
            <w:color w:val="0000FF"/>
          </w:rPr>
          <w:t>Amendment No. 1 to Non-Employee Director Compensation Policy of the Registrant (incorporated by reference to Exhibit 10.1 of the</w:t>
        </w:r>
      </w:hyperlink>
      <w:r>
        <w:rPr>
          <w:rFonts w:ascii="Arial" w:cs="Arial" w:eastAsia="Arial" w:hAnsi="Arial"/>
          <w:sz w:val="18"/>
          <w:szCs w:val="18"/>
          <w:color w:val="0000FF"/>
        </w:rPr>
        <w:t xml:space="preserve"> </w:t>
      </w:r>
      <w:hyperlink r:id="rId221">
        <w:r>
          <w:rPr>
            <w:rFonts w:ascii="Arial" w:cs="Arial" w:eastAsia="Arial" w:hAnsi="Arial"/>
            <w:sz w:val="18"/>
            <w:szCs w:val="18"/>
            <w:u w:val="single" w:color="auto"/>
            <w:color w:val="0000FF"/>
          </w:rPr>
          <w:t>Registrant's Quarterly Report on Form 10-Q filed on November 3, 2020)</w:t>
        </w:r>
      </w:hyperlink>
    </w:p>
    <w:p>
      <w:pPr>
        <w:spacing w:after="0" w:line="1" w:lineRule="exact"/>
        <w:rPr>
          <w:rFonts w:ascii="Arial" w:cs="Arial" w:eastAsia="Arial" w:hAnsi="Arial"/>
          <w:sz w:val="18"/>
          <w:szCs w:val="18"/>
          <w:color w:val="0000FF"/>
        </w:rPr>
      </w:pPr>
    </w:p>
    <w:p>
      <w:pPr>
        <w:ind w:left="1220" w:right="260" w:hanging="656"/>
        <w:spacing w:after="0" w:line="234" w:lineRule="auto"/>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10.41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22">
        <w:r>
          <w:rPr>
            <w:rFonts w:ascii="Arial" w:cs="Arial" w:eastAsia="Arial" w:hAnsi="Arial"/>
            <w:sz w:val="18"/>
            <w:szCs w:val="18"/>
            <w:u w:val="single" w:color="auto"/>
            <w:color w:val="0000FF"/>
          </w:rPr>
          <w:t>Amendment No. 2 to Non-Employee Director Compensation Policy of the Registrant (incorporated by reference to Exhibit 10.2 of the</w:t>
        </w:r>
      </w:hyperlink>
      <w:r>
        <w:rPr>
          <w:rFonts w:ascii="Arial" w:cs="Arial" w:eastAsia="Arial" w:hAnsi="Arial"/>
          <w:sz w:val="18"/>
          <w:szCs w:val="18"/>
          <w:color w:val="0000FF"/>
        </w:rPr>
        <w:t xml:space="preserve"> </w:t>
      </w:r>
      <w:hyperlink r:id="rId222">
        <w:r>
          <w:rPr>
            <w:rFonts w:ascii="Arial" w:cs="Arial" w:eastAsia="Arial" w:hAnsi="Arial"/>
            <w:sz w:val="18"/>
            <w:szCs w:val="18"/>
            <w:u w:val="single" w:color="auto"/>
            <w:color w:val="0000FF"/>
          </w:rPr>
          <w:t>Registrant's Quarterly Report on Form 10-Q filed on May 5, 2021)</w:t>
        </w:r>
      </w:hyperlink>
    </w:p>
    <w:p>
      <w:pPr>
        <w:spacing w:after="0" w:line="1" w:lineRule="exact"/>
        <w:rPr>
          <w:rFonts w:ascii="Arial" w:cs="Arial" w:eastAsia="Arial" w:hAnsi="Arial"/>
          <w:sz w:val="18"/>
          <w:szCs w:val="18"/>
          <w:color w:val="0000FF"/>
        </w:rPr>
      </w:pPr>
    </w:p>
    <w:p>
      <w:pPr>
        <w:ind w:left="1220" w:right="260" w:hanging="656"/>
        <w:spacing w:after="0" w:line="234" w:lineRule="auto"/>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10.42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23">
        <w:r>
          <w:rPr>
            <w:rFonts w:ascii="Arial" w:cs="Arial" w:eastAsia="Arial" w:hAnsi="Arial"/>
            <w:sz w:val="18"/>
            <w:szCs w:val="18"/>
            <w:u w:val="single" w:color="auto"/>
            <w:color w:val="0000FF"/>
          </w:rPr>
          <w:t>Amendment No. 3 to Non-Employee Director Compensation Policy of the Registrant (incorporated by reference to Exhibit 99.1 of the</w:t>
        </w:r>
      </w:hyperlink>
      <w:r>
        <w:rPr>
          <w:rFonts w:ascii="Arial" w:cs="Arial" w:eastAsia="Arial" w:hAnsi="Arial"/>
          <w:sz w:val="18"/>
          <w:szCs w:val="18"/>
          <w:color w:val="0000FF"/>
        </w:rPr>
        <w:t xml:space="preserve"> </w:t>
      </w:r>
      <w:hyperlink r:id="rId223">
        <w:r>
          <w:rPr>
            <w:rFonts w:ascii="Arial" w:cs="Arial" w:eastAsia="Arial" w:hAnsi="Arial"/>
            <w:sz w:val="18"/>
            <w:szCs w:val="18"/>
            <w:u w:val="single" w:color="auto"/>
            <w:color w:val="0000FF"/>
          </w:rPr>
          <w:t>Registrant's Current Report on Form 8-K filed on January 11, 2022)</w:t>
        </w:r>
      </w:hyperlink>
    </w:p>
    <w:tbl>
      <w:tblPr>
        <w:tblLayout w:type="fixed"/>
        <w:tblInd w:w="300" w:type="dxa"/>
        <w:tblCellMar>
          <w:top w:w="0" w:type="dxa"/>
          <w:left w:w="0" w:type="dxa"/>
          <w:bottom w:w="0" w:type="dxa"/>
          <w:right w:w="0" w:type="dxa"/>
        </w:tblCellMar>
      </w:tblPr>
      <w:tr>
        <w:trPr>
          <w:trHeight w:val="190"/>
        </w:trPr>
        <w:tc>
          <w:tcPr>
            <w:tcW w:w="680" w:type="dxa"/>
            <w:vAlign w:val="bottom"/>
            <w:gridSpan w:val="2"/>
          </w:tcPr>
          <w:p>
            <w:pPr>
              <w:jc w:val="right"/>
              <w:spacing w:after="0" w:line="190" w:lineRule="exact"/>
              <w:rPr>
                <w:rFonts w:ascii="Arial" w:cs="Arial" w:eastAsia="Arial" w:hAnsi="Arial"/>
                <w:sz w:val="18"/>
                <w:szCs w:val="18"/>
                <w:color w:val="0000FF"/>
              </w:rPr>
            </w:pPr>
            <w:hyperlink r:id="rId224">
              <w:r>
                <w:rPr>
                  <w:rFonts w:ascii="Arial" w:cs="Arial" w:eastAsia="Arial" w:hAnsi="Arial"/>
                  <w:sz w:val="18"/>
                  <w:szCs w:val="18"/>
                  <w:color w:val="0000FF"/>
                </w:rPr>
                <w:t>14.</w:t>
              </w:r>
              <w:r>
                <w:rPr>
                  <w:rFonts w:ascii="Arial" w:cs="Arial" w:eastAsia="Arial" w:hAnsi="Arial"/>
                  <w:sz w:val="18"/>
                  <w:szCs w:val="18"/>
                  <w:u w:val="single" w:color="auto"/>
                  <w:color w:val="0000FF"/>
                </w:rPr>
                <w:t>1</w:t>
              </w:r>
            </w:hyperlink>
          </w:p>
        </w:tc>
        <w:tc>
          <w:tcPr>
            <w:tcW w:w="240" w:type="dxa"/>
            <w:vAlign w:val="bottom"/>
          </w:tcPr>
          <w:p>
            <w:pPr>
              <w:spacing w:after="0"/>
              <w:rPr>
                <w:sz w:val="16"/>
                <w:szCs w:val="16"/>
                <w:color w:val="auto"/>
              </w:rPr>
            </w:pPr>
          </w:p>
        </w:tc>
        <w:tc>
          <w:tcPr>
            <w:tcW w:w="9900" w:type="dxa"/>
            <w:vAlign w:val="bottom"/>
            <w:gridSpan w:val="9"/>
          </w:tcPr>
          <w:p>
            <w:pPr>
              <w:spacing w:after="0" w:line="190" w:lineRule="exact"/>
              <w:rPr>
                <w:rFonts w:ascii="Arial" w:cs="Arial" w:eastAsia="Arial" w:hAnsi="Arial"/>
                <w:sz w:val="18"/>
                <w:szCs w:val="18"/>
                <w:color w:val="0000FF"/>
                <w:w w:val="92"/>
              </w:rPr>
            </w:pPr>
            <w:hyperlink r:id="rId224">
              <w:r>
                <w:rPr>
                  <w:rFonts w:ascii="Arial" w:cs="Arial" w:eastAsia="Arial" w:hAnsi="Arial"/>
                  <w:sz w:val="18"/>
                  <w:szCs w:val="18"/>
                  <w:color w:val="0000FF"/>
                  <w:w w:val="92"/>
                </w:rPr>
                <w:t>Code of Business Conduct and Ethics of the Registrant (incorporated by reference to Exhibit 14.1 of the Registrant's Annual Report on</w:t>
              </w:r>
            </w:hyperlink>
          </w:p>
        </w:tc>
      </w:tr>
      <w:tr>
        <w:trPr>
          <w:trHeight w:val="156"/>
        </w:trPr>
        <w:tc>
          <w:tcPr>
            <w:tcW w:w="3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Form 10-K filed February 27, 2020)</w:t>
              </w:r>
            </w:hyperlink>
          </w:p>
        </w:tc>
        <w:tc>
          <w:tcPr>
            <w:tcW w:w="710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221">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rPr>
            </w:pPr>
            <w:hyperlink w:anchor="page221">
              <w:r>
                <w:rPr>
                  <w:rFonts w:ascii="Arial" w:cs="Arial" w:eastAsia="Arial" w:hAnsi="Arial"/>
                  <w:sz w:val="18"/>
                  <w:szCs w:val="18"/>
                  <w:color w:val="0000FF"/>
                </w:rPr>
                <w:t>List of Subsidiaries</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222">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rPr>
            </w:pPr>
            <w:hyperlink w:anchor="page222">
              <w:r>
                <w:rPr>
                  <w:rFonts w:ascii="Arial" w:cs="Arial" w:eastAsia="Arial" w:hAnsi="Arial"/>
                  <w:sz w:val="18"/>
                  <w:szCs w:val="18"/>
                  <w:color w:val="0000FF"/>
                </w:rPr>
                <w:t>Consent of Ernst &amp; Young LLP</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22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w w:val="94"/>
              </w:rPr>
            </w:pPr>
            <w:hyperlink w:anchor="page224">
              <w:r>
                <w:rPr>
                  <w:rFonts w:ascii="Arial" w:cs="Arial" w:eastAsia="Arial" w:hAnsi="Arial"/>
                  <w:sz w:val="18"/>
                  <w:szCs w:val="18"/>
                  <w:color w:val="0000FF"/>
                  <w:w w:val="94"/>
                </w:rPr>
                <w:t>Certification of principal executive officer pursuant to Rule 13a-14(a)/15d-14(a) of the Securities Exchange Act of 1934, as amended</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8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22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w w:val="95"/>
              </w:rPr>
            </w:pPr>
            <w:hyperlink w:anchor="page223">
              <w:r>
                <w:rPr>
                  <w:rFonts w:ascii="Arial" w:cs="Arial" w:eastAsia="Arial" w:hAnsi="Arial"/>
                  <w:sz w:val="18"/>
                  <w:szCs w:val="18"/>
                  <w:color w:val="0000FF"/>
                  <w:w w:val="95"/>
                </w:rPr>
                <w:t>Certification of principal financial officer pursuant to Rule 13a-14(a)/15d-14(a) of the Securities Exchange Act of 1934, as amended</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22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w w:val="91"/>
              </w:rPr>
            </w:pPr>
            <w:hyperlink w:anchor="page225">
              <w:r>
                <w:rPr>
                  <w:rFonts w:ascii="Arial" w:cs="Arial" w:eastAsia="Arial" w:hAnsi="Arial"/>
                  <w:sz w:val="18"/>
                  <w:szCs w:val="18"/>
                  <w:color w:val="0000FF"/>
                  <w:w w:val="91"/>
                </w:rPr>
                <w:t>Certification of principal executive officer pursuant to 18 U.S.C. §1350, as adopted pursuant to Section 906 of the Sarbanes-Oxley Act of</w:t>
              </w:r>
            </w:hyperlink>
          </w:p>
        </w:tc>
      </w:tr>
      <w:tr>
        <w:trPr>
          <w:trHeight w:val="155"/>
        </w:trPr>
        <w:tc>
          <w:tcPr>
            <w:tcW w:w="3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25">
              <w:r>
                <w:rPr>
                  <w:rFonts w:ascii="Arial" w:cs="Arial" w:eastAsia="Arial" w:hAnsi="Arial"/>
                  <w:sz w:val="18"/>
                  <w:szCs w:val="18"/>
                  <w:color w:val="0000FF"/>
                  <w:w w:val="79"/>
                </w:rPr>
                <w:t>2002</w:t>
              </w:r>
            </w:hyperlink>
          </w:p>
        </w:tc>
        <w:tc>
          <w:tcPr>
            <w:tcW w:w="10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r>
      <w:tr>
        <w:trPr>
          <w:trHeight w:val="210"/>
        </w:trPr>
        <w:tc>
          <w:tcPr>
            <w:tcW w:w="680" w:type="dxa"/>
            <w:vAlign w:val="bottom"/>
            <w:gridSpan w:val="2"/>
          </w:tcPr>
          <w:p>
            <w:pPr>
              <w:jc w:val="right"/>
              <w:spacing w:after="0"/>
              <w:rPr>
                <w:rFonts w:ascii="Arial" w:cs="Arial" w:eastAsia="Arial" w:hAnsi="Arial"/>
                <w:sz w:val="18"/>
                <w:szCs w:val="18"/>
                <w:color w:val="0000FF"/>
              </w:rPr>
            </w:pPr>
            <w:hyperlink w:anchor="page226">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4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color w:val="0000FF"/>
                <w:w w:val="91"/>
              </w:rPr>
            </w:pPr>
            <w:hyperlink w:anchor="page226">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155"/>
        </w:trPr>
        <w:tc>
          <w:tcPr>
            <w:tcW w:w="3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26">
              <w:r>
                <w:rPr>
                  <w:rFonts w:ascii="Arial" w:cs="Arial" w:eastAsia="Arial" w:hAnsi="Arial"/>
                  <w:sz w:val="18"/>
                  <w:szCs w:val="18"/>
                  <w:color w:val="0000FF"/>
                  <w:w w:val="79"/>
                </w:rPr>
                <w:t>2002</w:t>
              </w:r>
            </w:hyperlink>
          </w:p>
        </w:tc>
        <w:tc>
          <w:tcPr>
            <w:tcW w:w="10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101.INS</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101.SCH</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101.CAL</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101.DEF</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101.LAB</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101.PRE</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69" w:lineRule="exact"/>
        <w:rPr>
          <w:sz w:val="20"/>
          <w:szCs w:val="20"/>
          <w:color w:val="auto"/>
        </w:rPr>
      </w:pPr>
    </w:p>
    <w:p>
      <w:pPr>
        <w:ind w:left="400" w:right="680" w:hanging="374"/>
        <w:spacing w:after="0" w:line="235" w:lineRule="auto"/>
        <w:tabs>
          <w:tab w:leader="none" w:pos="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ind w:left="400" w:hanging="374"/>
        <w:spacing w:after="0"/>
        <w:tabs>
          <w:tab w:leader="none" w:pos="4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46" w:lineRule="exact"/>
        <w:rPr>
          <w:sz w:val="20"/>
          <w:szCs w:val="20"/>
          <w:color w:val="auto"/>
        </w:rPr>
      </w:pPr>
    </w:p>
    <w:p>
      <w:pPr>
        <w:ind w:left="400" w:right="140" w:hanging="374"/>
        <w:spacing w:after="0" w:line="224" w:lineRule="auto"/>
        <w:tabs>
          <w:tab w:leader="none" w:pos="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1" w:lineRule="exact"/>
        <w:rPr>
          <w:sz w:val="20"/>
          <w:szCs w:val="20"/>
          <w:color w:val="auto"/>
        </w:rPr>
      </w:pPr>
    </w:p>
    <w:p>
      <w:pPr>
        <w:ind w:left="400" w:hanging="374"/>
        <w:spacing w:after="0"/>
        <w:tabs>
          <w:tab w:leader="none" w:pos="4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24, 2022</w:t>
      </w:r>
    </w:p>
    <w:p>
      <w:pPr>
        <w:spacing w:after="0" w:line="185" w:lineRule="exact"/>
        <w:rPr>
          <w:sz w:val="20"/>
          <w:szCs w:val="20"/>
          <w:color w:val="auto"/>
        </w:rPr>
      </w:pPr>
    </w:p>
    <w:tbl>
      <w:tblPr>
        <w:tblLayout w:type="fixed"/>
        <w:tblInd w:w="5460" w:type="dxa"/>
        <w:tblCellMar>
          <w:top w:w="0" w:type="dxa"/>
          <w:left w:w="0" w:type="dxa"/>
          <w:bottom w:w="0" w:type="dxa"/>
          <w:right w:w="0" w:type="dxa"/>
        </w:tblCellMar>
      </w:tblPr>
      <w:tr>
        <w:trPr>
          <w:trHeight w:val="229"/>
        </w:trPr>
        <w:tc>
          <w:tcPr>
            <w:tcW w:w="1760" w:type="dxa"/>
            <w:vAlign w:val="bottom"/>
            <w:gridSpan w:val="2"/>
          </w:tcPr>
          <w:p>
            <w:pPr>
              <w:spacing w:after="0"/>
              <w:rPr>
                <w:sz w:val="20"/>
                <w:szCs w:val="20"/>
                <w:color w:val="auto"/>
              </w:rPr>
            </w:pPr>
            <w:r>
              <w:rPr>
                <w:rFonts w:ascii="Arial" w:cs="Arial" w:eastAsia="Arial" w:hAnsi="Arial"/>
                <w:sz w:val="18"/>
                <w:szCs w:val="18"/>
                <w:color w:val="auto"/>
              </w:rPr>
              <w:t>IVERIC bio, Inc.</w:t>
            </w:r>
          </w:p>
        </w:tc>
        <w:tc>
          <w:tcPr>
            <w:tcW w:w="4000" w:type="dxa"/>
            <w:vAlign w:val="bottom"/>
          </w:tcPr>
          <w:p>
            <w:pPr>
              <w:spacing w:after="0"/>
              <w:rPr>
                <w:sz w:val="19"/>
                <w:szCs w:val="19"/>
                <w:color w:val="auto"/>
              </w:rPr>
            </w:pP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650"/>
              <w:spacing w:after="0"/>
              <w:rPr>
                <w:sz w:val="20"/>
                <w:szCs w:val="20"/>
                <w:color w:val="auto"/>
              </w:rPr>
            </w:pPr>
            <w:r>
              <w:rPr>
                <w:rFonts w:ascii="Arial" w:cs="Arial" w:eastAsia="Arial" w:hAnsi="Arial"/>
                <w:sz w:val="18"/>
                <w:szCs w:val="18"/>
                <w:color w:val="auto"/>
                <w:w w:val="94"/>
              </w:rPr>
              <w:t>/s/ GLENN P. SBLENDORIO</w:t>
            </w:r>
          </w:p>
        </w:tc>
      </w:tr>
      <w:tr>
        <w:trPr>
          <w:trHeight w:val="176"/>
        </w:trPr>
        <w:tc>
          <w:tcPr>
            <w:tcW w:w="10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650"/>
              <w:spacing w:after="0" w:line="176" w:lineRule="exact"/>
              <w:rPr>
                <w:sz w:val="20"/>
                <w:szCs w:val="20"/>
                <w:color w:val="auto"/>
              </w:rPr>
            </w:pPr>
            <w:r>
              <w:rPr>
                <w:rFonts w:ascii="Arial" w:cs="Arial" w:eastAsia="Arial" w:hAnsi="Arial"/>
                <w:sz w:val="18"/>
                <w:szCs w:val="18"/>
                <w:color w:val="auto"/>
                <w:w w:val="90"/>
              </w:rPr>
              <w:t>Glenn P. Sblendorio</w:t>
            </w:r>
          </w:p>
        </w:tc>
      </w:tr>
      <w:tr>
        <w:trPr>
          <w:trHeight w:val="230"/>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0" w:type="dxa"/>
            <w:vAlign w:val="bottom"/>
          </w:tcPr>
          <w:p>
            <w:pPr>
              <w:jc w:val="center"/>
              <w:ind w:right="610"/>
              <w:spacing w:after="0"/>
              <w:rPr>
                <w:sz w:val="20"/>
                <w:szCs w:val="20"/>
                <w:color w:val="auto"/>
              </w:rPr>
            </w:pPr>
            <w:r>
              <w:rPr>
                <w:rFonts w:ascii="Arial" w:cs="Arial" w:eastAsia="Arial" w:hAnsi="Arial"/>
                <w:sz w:val="18"/>
                <w:szCs w:val="18"/>
                <w:i w:val="1"/>
                <w:iCs w:val="1"/>
                <w:color w:val="auto"/>
                <w:w w:val="92"/>
              </w:rPr>
              <w:t>Chief Executive Officer</w:t>
            </w:r>
          </w:p>
        </w:tc>
      </w:tr>
    </w:tbl>
    <w:p>
      <w:pPr>
        <w:spacing w:after="0" w:line="13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p>
      <w:pPr>
        <w:ind w:left="1860"/>
        <w:spacing w:after="0"/>
        <w:tabs>
          <w:tab w:leader="none" w:pos="6580" w:val="left"/>
          <w:tab w:leader="none" w:pos="100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27000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Glenn P. Sblendorio</w:t>
      </w:r>
    </w:p>
    <w:p>
      <w:pPr>
        <w:spacing w:after="0" w:line="200" w:lineRule="exact"/>
        <w:rPr>
          <w:sz w:val="20"/>
          <w:szCs w:val="20"/>
          <w:color w:val="auto"/>
        </w:rPr>
      </w:pPr>
    </w:p>
    <w:p>
      <w:pPr>
        <w:spacing w:after="0" w:line="25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David F. Carroll</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Adrienne L. Graves, Ph.D.</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MARK BLUMENKRANZ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Mark Blumenkranz</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Axel Bolte</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Jane P. Henderson</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CHRISTINE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Christine Miller</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CALVIN W.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Calvin W. Roberts, M.D.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20"/>
                <w:szCs w:val="20"/>
                <w:color w:val="auto"/>
              </w:rPr>
            </w:pPr>
            <w:r>
              <w:rPr>
                <w:rFonts w:ascii="Arial" w:cs="Arial" w:eastAsia="Arial" w:hAnsi="Arial"/>
                <w:sz w:val="18"/>
                <w:szCs w:val="18"/>
                <w:color w:val="auto"/>
              </w:rPr>
              <w:t>Chief Executive Officer and Director (principal executive</w:t>
            </w:r>
          </w:p>
        </w:tc>
        <w:tc>
          <w:tcPr>
            <w:tcW w:w="1720" w:type="dxa"/>
            <w:vAlign w:val="bottom"/>
            <w:vMerge w:val="restart"/>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officer)</w:t>
            </w: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4740" w:type="dxa"/>
            <w:vAlign w:val="bottom"/>
          </w:tcPr>
          <w:p>
            <w:pPr>
              <w:spacing w:after="0"/>
              <w:rPr>
                <w:sz w:val="20"/>
                <w:szCs w:val="20"/>
                <w:color w:val="auto"/>
              </w:rPr>
            </w:pPr>
            <w:r>
              <w:rPr>
                <w:rFonts w:ascii="Arial" w:cs="Arial" w:eastAsia="Arial" w:hAnsi="Arial"/>
                <w:sz w:val="18"/>
                <w:szCs w:val="18"/>
                <w:color w:val="auto"/>
              </w:rPr>
              <w:t>Senior Vice President and Chief Financial Officer (principal</w:t>
            </w:r>
          </w:p>
        </w:tc>
        <w:tc>
          <w:tcPr>
            <w:tcW w:w="1720" w:type="dxa"/>
            <w:vAlign w:val="bottom"/>
            <w:vMerge w:val="restart"/>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financial and accounting officer)</w:t>
            </w: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47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756"/>
        </w:trPr>
        <w:tc>
          <w:tcPr>
            <w:tcW w:w="47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756"/>
        </w:trPr>
        <w:tc>
          <w:tcPr>
            <w:tcW w:w="47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756"/>
        </w:trPr>
        <w:tc>
          <w:tcPr>
            <w:tcW w:w="47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756"/>
        </w:trPr>
        <w:tc>
          <w:tcPr>
            <w:tcW w:w="47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756"/>
        </w:trPr>
        <w:tc>
          <w:tcPr>
            <w:tcW w:w="47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3680" w:space="720"/>
            <w:col w:w="68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1120" w:type="dxa"/>
            <w:vAlign w:val="bottom"/>
            <w:gridSpan w:val="1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0" w:type="dxa"/>
            <w:vAlign w:val="bottom"/>
          </w:tcPr>
          <w:p>
            <w:pPr>
              <w:spacing w:after="0"/>
              <w:rPr>
                <w:sz w:val="17"/>
                <w:szCs w:val="17"/>
                <w:color w:val="auto"/>
              </w:rPr>
            </w:pPr>
          </w:p>
        </w:tc>
      </w:tr>
      <w:tr>
        <w:trPr>
          <w:trHeight w:val="93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gridSpan w:val="5"/>
          </w:tcPr>
          <w:p>
            <w:pPr>
              <w:jc w:val="center"/>
              <w:ind w:right="4560"/>
              <w:spacing w:after="0"/>
              <w:rPr>
                <w:sz w:val="20"/>
                <w:szCs w:val="20"/>
                <w:color w:val="auto"/>
              </w:rPr>
            </w:pPr>
            <w:r>
              <w:rPr>
                <w:rFonts w:ascii="Arial" w:cs="Arial" w:eastAsia="Arial" w:hAnsi="Arial"/>
                <w:sz w:val="18"/>
                <w:szCs w:val="18"/>
                <w:b w:val="1"/>
                <w:bCs w:val="1"/>
                <w:color w:val="auto"/>
                <w:w w:val="99"/>
              </w:rPr>
              <w:t>IVERIC bio, Inc.</w:t>
            </w:r>
          </w:p>
        </w:tc>
        <w:tc>
          <w:tcPr>
            <w:tcW w:w="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940" w:type="dxa"/>
            <w:vAlign w:val="bottom"/>
            <w:gridSpan w:val="7"/>
          </w:tcPr>
          <w:p>
            <w:pPr>
              <w:jc w:val="center"/>
              <w:ind w:right="3060"/>
              <w:spacing w:after="0"/>
              <w:rPr>
                <w:sz w:val="20"/>
                <w:szCs w:val="20"/>
                <w:color w:val="auto"/>
              </w:rPr>
            </w:pPr>
            <w:r>
              <w:rPr>
                <w:rFonts w:ascii="Arial" w:cs="Arial" w:eastAsia="Arial" w:hAnsi="Arial"/>
                <w:sz w:val="18"/>
                <w:szCs w:val="18"/>
                <w:b w:val="1"/>
                <w:bCs w:val="1"/>
                <w:color w:val="auto"/>
              </w:rPr>
              <w:t>INDEX TO CONSOLIDATED FINANCIAL STATEMENTS</w:t>
            </w:r>
          </w:p>
        </w:tc>
        <w:tc>
          <w:tcPr>
            <w:tcW w:w="8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4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62">
              <w:r>
                <w:rPr>
                  <w:rFonts w:ascii="Arial" w:cs="Arial" w:eastAsia="Arial" w:hAnsi="Arial"/>
                  <w:sz w:val="18"/>
                  <w:szCs w:val="18"/>
                  <w:color w:val="0000FF"/>
                  <w:w w:val="91"/>
                </w:rPr>
                <w:t>Report of Independent Registered Public Accounting Firm</w:t>
              </w:r>
            </w:hyperlink>
          </w:p>
        </w:tc>
        <w:tc>
          <w:tcPr>
            <w:tcW w:w="6860" w:type="dxa"/>
            <w:vAlign w:val="bottom"/>
            <w:gridSpan w:val="6"/>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62">
              <w:r>
                <w:rPr>
                  <w:rFonts w:ascii="Arial" w:cs="Arial" w:eastAsia="Arial" w:hAnsi="Arial"/>
                  <w:sz w:val="15"/>
                  <w:szCs w:val="15"/>
                  <w:color w:val="0000FF"/>
                  <w:w w:val="71"/>
                </w:rPr>
                <w:t>2</w:t>
              </w:r>
            </w:hyperlink>
          </w:p>
        </w:tc>
      </w:tr>
      <w:tr>
        <w:trPr>
          <w:trHeight w:val="210"/>
        </w:trPr>
        <w:tc>
          <w:tcPr>
            <w:tcW w:w="40" w:type="dxa"/>
            <w:vAlign w:val="bottom"/>
          </w:tcPr>
          <w:p>
            <w:pPr>
              <w:spacing w:after="0"/>
              <w:rPr>
                <w:sz w:val="18"/>
                <w:szCs w:val="18"/>
                <w:color w:val="auto"/>
              </w:rPr>
            </w:pPr>
          </w:p>
        </w:tc>
        <w:tc>
          <w:tcPr>
            <w:tcW w:w="11080" w:type="dxa"/>
            <w:vAlign w:val="bottom"/>
            <w:gridSpan w:val="9"/>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 xml:space="preserve">Consolidated Balance Sheets as of December 31, 2021 and </w:t>
              </w:r>
            </w:hyperlink>
            <w:r>
              <w:rPr>
                <w:rFonts w:ascii="Arial" w:cs="Arial" w:eastAsia="Arial" w:hAnsi="Arial"/>
                <w:sz w:val="18"/>
                <w:szCs w:val="18"/>
                <w:color w:val="0000FF"/>
              </w:rPr>
              <w:t>2020</w:t>
            </w:r>
          </w:p>
        </w:tc>
        <w:tc>
          <w:tcPr>
            <w:tcW w:w="80" w:type="dxa"/>
            <w:vAlign w:val="bottom"/>
          </w:tcPr>
          <w:p>
            <w:pPr>
              <w:jc w:val="right"/>
              <w:spacing w:after="0"/>
              <w:rPr>
                <w:rFonts w:ascii="Arial" w:cs="Arial" w:eastAsia="Arial" w:hAnsi="Arial"/>
                <w:sz w:val="15"/>
                <w:szCs w:val="15"/>
                <w:color w:val="0000FF"/>
                <w:w w:val="71"/>
              </w:rPr>
            </w:pPr>
            <w:hyperlink w:anchor="page164">
              <w:r>
                <w:rPr>
                  <w:rFonts w:ascii="Arial" w:cs="Arial" w:eastAsia="Arial" w:hAnsi="Arial"/>
                  <w:sz w:val="15"/>
                  <w:szCs w:val="15"/>
                  <w:color w:val="0000FF"/>
                  <w:w w:val="71"/>
                </w:rPr>
                <w:t>4</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080" w:type="dxa"/>
            <w:vAlign w:val="bottom"/>
            <w:gridSpan w:val="9"/>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 xml:space="preserve">Consolidated Statements of Operations for the Years Ended December 31, </w:t>
              </w:r>
            </w:hyperlink>
            <w:r>
              <w:rPr>
                <w:rFonts w:ascii="Arial" w:cs="Arial" w:eastAsia="Arial" w:hAnsi="Arial"/>
                <w:sz w:val="18"/>
                <w:szCs w:val="18"/>
                <w:color w:val="0000FF"/>
              </w:rPr>
              <w:t xml:space="preserve">2021, 2020 </w:t>
            </w:r>
            <w:hyperlink w:anchor="page165">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80" w:type="dxa"/>
            <w:vAlign w:val="bottom"/>
          </w:tcPr>
          <w:p>
            <w:pPr>
              <w:jc w:val="right"/>
              <w:spacing w:after="0"/>
              <w:rPr>
                <w:rFonts w:ascii="Arial" w:cs="Arial" w:eastAsia="Arial" w:hAnsi="Arial"/>
                <w:sz w:val="15"/>
                <w:szCs w:val="15"/>
                <w:color w:val="0000FF"/>
                <w:w w:val="71"/>
              </w:rPr>
            </w:pPr>
            <w:hyperlink w:anchor="page165">
              <w:r>
                <w:rPr>
                  <w:rFonts w:ascii="Arial" w:cs="Arial" w:eastAsia="Arial" w:hAnsi="Arial"/>
                  <w:sz w:val="15"/>
                  <w:szCs w:val="15"/>
                  <w:color w:val="0000FF"/>
                  <w:w w:val="71"/>
                </w:rPr>
                <w:t>5</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34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66">
              <w:r>
                <w:rPr>
                  <w:rFonts w:ascii="Arial" w:cs="Arial" w:eastAsia="Arial" w:hAnsi="Arial"/>
                  <w:sz w:val="18"/>
                  <w:szCs w:val="18"/>
                  <w:color w:val="0000FF"/>
                  <w:w w:val="89"/>
                </w:rPr>
                <w:t xml:space="preserve">Consolidated Statements of Comprehensive Income (Loss) for the Years Ended December 31, </w:t>
              </w:r>
            </w:hyperlink>
            <w:r>
              <w:rPr>
                <w:rFonts w:ascii="Arial" w:cs="Arial" w:eastAsia="Arial" w:hAnsi="Arial"/>
                <w:sz w:val="18"/>
                <w:szCs w:val="18"/>
                <w:color w:val="0000FF"/>
                <w:w w:val="89"/>
              </w:rPr>
              <w:t xml:space="preserve">2021, 2020 </w:t>
            </w:r>
            <w:hyperlink w:anchor="page166">
              <w:r>
                <w:rPr>
                  <w:rFonts w:ascii="Arial" w:cs="Arial" w:eastAsia="Arial" w:hAnsi="Arial"/>
                  <w:sz w:val="18"/>
                  <w:szCs w:val="18"/>
                  <w:color w:val="0000FF"/>
                  <w:w w:val="89"/>
                </w:rPr>
                <w:t>and 2019</w:t>
              </w:r>
            </w:hyperlink>
          </w:p>
        </w:tc>
        <w:tc>
          <w:tcPr>
            <w:tcW w:w="2740" w:type="dxa"/>
            <w:vAlign w:val="bottom"/>
            <w:gridSpan w:val="2"/>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66">
              <w:r>
                <w:rPr>
                  <w:rFonts w:ascii="Arial" w:cs="Arial" w:eastAsia="Arial" w:hAnsi="Arial"/>
                  <w:sz w:val="15"/>
                  <w:szCs w:val="15"/>
                  <w:color w:val="0000FF"/>
                  <w:w w:val="71"/>
                </w:rPr>
                <w:t>6</w:t>
              </w:r>
            </w:hyperlink>
          </w:p>
        </w:tc>
      </w:tr>
      <w:tr>
        <w:trPr>
          <w:trHeight w:val="209"/>
        </w:trPr>
        <w:tc>
          <w:tcPr>
            <w:tcW w:w="40" w:type="dxa"/>
            <w:vAlign w:val="bottom"/>
          </w:tcPr>
          <w:p>
            <w:pPr>
              <w:spacing w:after="0"/>
              <w:rPr>
                <w:sz w:val="18"/>
                <w:szCs w:val="18"/>
                <w:color w:val="auto"/>
              </w:rPr>
            </w:pPr>
          </w:p>
        </w:tc>
        <w:tc>
          <w:tcPr>
            <w:tcW w:w="84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67">
              <w:r>
                <w:rPr>
                  <w:rFonts w:ascii="Arial" w:cs="Arial" w:eastAsia="Arial" w:hAnsi="Arial"/>
                  <w:sz w:val="18"/>
                  <w:szCs w:val="18"/>
                  <w:color w:val="0000FF"/>
                  <w:w w:val="89"/>
                </w:rPr>
                <w:t xml:space="preserve">Consolidated Statements of Changes in Stockholders' Equity for the Years Ended December 31, </w:t>
              </w:r>
            </w:hyperlink>
            <w:r>
              <w:rPr>
                <w:rFonts w:ascii="Arial" w:cs="Arial" w:eastAsia="Arial" w:hAnsi="Arial"/>
                <w:sz w:val="18"/>
                <w:szCs w:val="18"/>
                <w:color w:val="0000FF"/>
                <w:w w:val="89"/>
              </w:rPr>
              <w:t xml:space="preserve">2021, 2020 </w:t>
            </w:r>
            <w:hyperlink w:anchor="page167">
              <w:r>
                <w:rPr>
                  <w:rFonts w:ascii="Arial" w:cs="Arial" w:eastAsia="Arial" w:hAnsi="Arial"/>
                  <w:sz w:val="18"/>
                  <w:szCs w:val="18"/>
                  <w:color w:val="0000FF"/>
                  <w:w w:val="89"/>
                </w:rPr>
                <w:t>and 2019</w:t>
              </w:r>
            </w:hyperlink>
          </w:p>
        </w:tc>
        <w:tc>
          <w:tcPr>
            <w:tcW w:w="262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67">
              <w:r>
                <w:rPr>
                  <w:rFonts w:ascii="Arial" w:cs="Arial" w:eastAsia="Arial" w:hAnsi="Arial"/>
                  <w:sz w:val="15"/>
                  <w:szCs w:val="15"/>
                  <w:color w:val="0000FF"/>
                  <w:w w:val="71"/>
                </w:rPr>
                <w:t>7</w:t>
              </w:r>
            </w:hyperlink>
          </w:p>
        </w:tc>
      </w:tr>
      <w:tr>
        <w:trPr>
          <w:trHeight w:val="210"/>
        </w:trPr>
        <w:tc>
          <w:tcPr>
            <w:tcW w:w="40" w:type="dxa"/>
            <w:vAlign w:val="bottom"/>
          </w:tcPr>
          <w:p>
            <w:pPr>
              <w:spacing w:after="0"/>
              <w:rPr>
                <w:sz w:val="18"/>
                <w:szCs w:val="18"/>
                <w:color w:val="auto"/>
              </w:rPr>
            </w:pPr>
          </w:p>
        </w:tc>
        <w:tc>
          <w:tcPr>
            <w:tcW w:w="69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68">
              <w:r>
                <w:rPr>
                  <w:rFonts w:ascii="Arial" w:cs="Arial" w:eastAsia="Arial" w:hAnsi="Arial"/>
                  <w:sz w:val="18"/>
                  <w:szCs w:val="18"/>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2021, 2020 </w:t>
            </w:r>
            <w:hyperlink w:anchor="page168">
              <w:r>
                <w:rPr>
                  <w:rFonts w:ascii="Arial" w:cs="Arial" w:eastAsia="Arial" w:hAnsi="Arial"/>
                  <w:sz w:val="18"/>
                  <w:szCs w:val="18"/>
                  <w:color w:val="0000FF"/>
                  <w:w w:val="89"/>
                </w:rPr>
                <w:t>and 2019</w:t>
              </w:r>
            </w:hyperlink>
          </w:p>
        </w:tc>
        <w:tc>
          <w:tcPr>
            <w:tcW w:w="4120" w:type="dxa"/>
            <w:vAlign w:val="bottom"/>
            <w:gridSpan w:val="3"/>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68">
              <w:r>
                <w:rPr>
                  <w:rFonts w:ascii="Arial" w:cs="Arial" w:eastAsia="Arial" w:hAnsi="Arial"/>
                  <w:sz w:val="15"/>
                  <w:szCs w:val="15"/>
                  <w:color w:val="0000FF"/>
                  <w:w w:val="71"/>
                </w:rPr>
                <w:t>8</w:t>
              </w:r>
            </w:hyperlink>
          </w:p>
        </w:tc>
      </w:tr>
      <w:tr>
        <w:trPr>
          <w:trHeight w:val="210"/>
        </w:trPr>
        <w:tc>
          <w:tcPr>
            <w:tcW w:w="40" w:type="dxa"/>
            <w:vAlign w:val="bottom"/>
          </w:tcPr>
          <w:p>
            <w:pPr>
              <w:spacing w:after="0"/>
              <w:rPr>
                <w:sz w:val="18"/>
                <w:szCs w:val="18"/>
                <w:color w:val="auto"/>
              </w:rPr>
            </w:pPr>
          </w:p>
        </w:tc>
        <w:tc>
          <w:tcPr>
            <w:tcW w:w="11080" w:type="dxa"/>
            <w:vAlign w:val="bottom"/>
            <w:gridSpan w:val="9"/>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Notes to Consolidated Financial Statements</w:t>
              </w:r>
            </w:hyperlink>
          </w:p>
        </w:tc>
        <w:tc>
          <w:tcPr>
            <w:tcW w:w="80" w:type="dxa"/>
            <w:vAlign w:val="bottom"/>
          </w:tcPr>
          <w:p>
            <w:pPr>
              <w:jc w:val="right"/>
              <w:spacing w:after="0"/>
              <w:rPr>
                <w:rFonts w:ascii="Arial" w:cs="Arial" w:eastAsia="Arial" w:hAnsi="Arial"/>
                <w:sz w:val="15"/>
                <w:szCs w:val="15"/>
                <w:color w:val="0000FF"/>
                <w:w w:val="71"/>
              </w:rPr>
            </w:pPr>
            <w:hyperlink w:anchor="page169">
              <w:r>
                <w:rPr>
                  <w:rFonts w:ascii="Arial" w:cs="Arial" w:eastAsia="Arial" w:hAnsi="Arial"/>
                  <w:sz w:val="15"/>
                  <w:szCs w:val="15"/>
                  <w:color w:val="0000FF"/>
                  <w:w w:val="71"/>
                </w:rPr>
                <w:t>9</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60" w:firstLine="3364"/>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IVERIC bio,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have audited the accompanying consolidated balance sheets of IVERIC bio, Inc. (the Company) as of December 31, 2021 and 2020, the related consolidated statements of operations,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February 24, 2022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Accrued research and development costs</w:t>
            </w:r>
          </w:p>
        </w:tc>
        <w:tc>
          <w:tcPr>
            <w:tcW w:w="0" w:type="dxa"/>
            <w:vAlign w:val="bottom"/>
          </w:tcPr>
          <w:p>
            <w:pPr>
              <w:spacing w:after="0"/>
              <w:rPr>
                <w:sz w:val="1"/>
                <w:szCs w:val="1"/>
                <w:color w:val="auto"/>
              </w:rPr>
            </w:pPr>
          </w:p>
        </w:tc>
      </w:tr>
      <w:tr>
        <w:trPr>
          <w:trHeight w:val="378"/>
        </w:trPr>
        <w:tc>
          <w:tcPr>
            <w:tcW w:w="204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9120" w:type="dxa"/>
            <w:vAlign w:val="bottom"/>
            <w:vMerge w:val="restart"/>
          </w:tcPr>
          <w:p>
            <w:pPr>
              <w:ind w:left="200"/>
              <w:spacing w:after="0"/>
              <w:rPr>
                <w:sz w:val="20"/>
                <w:szCs w:val="20"/>
                <w:color w:val="auto"/>
              </w:rPr>
            </w:pPr>
            <w:r>
              <w:rPr>
                <w:rFonts w:ascii="Arial" w:cs="Arial" w:eastAsia="Arial" w:hAnsi="Arial"/>
                <w:sz w:val="18"/>
                <w:szCs w:val="18"/>
                <w:color w:val="auto"/>
                <w:w w:val="97"/>
              </w:rPr>
              <w:t>During 2021, the Company incurred $85 million of research and development expenses and accrued $14 million for</w:t>
            </w: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0"/>
              </w:rPr>
              <w:t>research and development expenses as of December 31, 2021. As described in Note 2 to the Financial Statements, service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0"/>
              </w:rPr>
              <w:t>agreements with third party service providers including contract research organizations (“CROs”) and contract development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1"/>
              </w:rPr>
              <w:t>and manufacturing organizations (“CMOs”) comprise a significant component of the Company’s research and development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2"/>
              </w:rPr>
              <w:t>activities. The timing and the amount of payments required under each individual arrangement are often different from the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1"/>
              </w:rPr>
              <w:t>pattern of costs actually incurred. The Company accrues the cost of the services with these third-party organizations based</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on the extent of activities completed by vendors and measured by internal project managers.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80"/>
        <w:spacing w:after="0" w:line="293" w:lineRule="auto"/>
        <w:rPr>
          <w:sz w:val="20"/>
          <w:szCs w:val="20"/>
          <w:color w:val="auto"/>
        </w:rPr>
      </w:pPr>
      <w:r>
        <w:rPr>
          <w:rFonts w:ascii="Arial" w:cs="Arial" w:eastAsia="Arial" w:hAnsi="Arial"/>
          <w:sz w:val="16"/>
          <w:szCs w:val="16"/>
          <w:color w:val="auto"/>
        </w:rPr>
        <w:t>Auditing management’s accounting for accrued contract research and development expenses is especially challenging because amounts owed to third parties are accrued based upon estimates of the proportion of work completed for each of the individual clinical trial and manufacturing activities in accordance with the unique terms and conditions of each respective CRO and CMO agreement. Estimating the proportion of work completed requires the application of judgments by management that are dependent on inputs, such as the number of sites activated, the number of patients enrolled and the number of patient visits, obtained from clinical personnel and third-party service providers and compiled from multiple sources.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28"/>
          <w:szCs w:val="28"/>
          <w:i w:val="1"/>
          <w:iCs w:val="1"/>
          <w:color w:val="auto"/>
          <w:vertAlign w:val="superscript"/>
        </w:rPr>
        <w:t>How We Addressed the Matter</w:t>
      </w:r>
      <w:r>
        <w:rPr>
          <w:rFonts w:ascii="Arial" w:cs="Arial" w:eastAsia="Arial" w:hAnsi="Arial"/>
          <w:sz w:val="15"/>
          <w:szCs w:val="15"/>
          <w:color w:val="auto"/>
        </w:rPr>
        <w:t xml:space="preserve"> We obtained an understanding, evaluated the design, and tested the operating effectiveness of internal controls over the</w:t>
      </w:r>
    </w:p>
    <w:p>
      <w:pPr>
        <w:ind w:left="20"/>
        <w:spacing w:after="0"/>
        <w:tabs>
          <w:tab w:leader="none" w:pos="2240" w:val="left"/>
        </w:tabs>
        <w:rPr>
          <w:sz w:val="20"/>
          <w:szCs w:val="20"/>
          <w:color w:val="auto"/>
        </w:rPr>
      </w:pPr>
      <w:r>
        <w:rPr>
          <w:rFonts w:ascii="Arial" w:cs="Arial" w:eastAsia="Arial" w:hAnsi="Arial"/>
          <w:sz w:val="31"/>
          <w:szCs w:val="31"/>
          <w:i w:val="1"/>
          <w:iCs w:val="1"/>
          <w:color w:val="auto"/>
          <w:vertAlign w:val="superscript"/>
        </w:rPr>
        <w:t>in Our Audit</w:t>
      </w:r>
      <w:r>
        <w:rPr>
          <w:sz w:val="20"/>
          <w:szCs w:val="20"/>
          <w:color w:val="auto"/>
        </w:rPr>
        <w:tab/>
      </w:r>
      <w:r>
        <w:rPr>
          <w:rFonts w:ascii="Arial" w:cs="Arial" w:eastAsia="Arial" w:hAnsi="Arial"/>
          <w:sz w:val="16"/>
          <w:szCs w:val="16"/>
          <w:color w:val="auto"/>
        </w:rPr>
        <w:t>completeness and valuation of accrued research and development expenses, including controls over the judgments made by</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management and the data obtained from clinical personnel and third-party service providers.</w:t>
      </w:r>
    </w:p>
    <w:p>
      <w:pPr>
        <w:spacing w:after="0" w:line="142"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To test the research and development accrual, our audit procedures included, among others, testing the accuracy and completeness of the underlying data used in the estimates and evaluating the estimated proportion of work completed for each of the individual clinical trial and manufacturing activities used by management to estimate the recorded accruals. We inspected the contracts and any amendments to the contracts with third-party service providers, assessed the progress of clinical trials and other research and development projects with the Company’s research and development personnel that oversee the clinical trials, and obtained information directly from third parties, which included the third parties’ estimates of costs incurred to date. We also inspected subsequent invoices received from third parties.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 liability, current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3"/>
              </w:rPr>
              <w:t>Common stock—0.001 par value, 200,000,000 shares authorized, 115,277,012 and 90,120,797 shares</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issued and outstanding at December 31, 2021 and December 31, 2020, respectively</w:t>
            </w: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(565,073)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7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39,644</w:t>
            </w:r>
          </w:p>
        </w:tc>
      </w:tr>
      <w:tr>
        <w:trPr>
          <w:trHeight w:val="229"/>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23"/>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61,272</w:t>
            </w: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(61,272)</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760" w:type="dxa"/>
            <w:vAlign w:val="bottom"/>
          </w:tcPr>
          <w:p>
            <w:pPr>
              <w:ind w:left="120"/>
              <w:spacing w:after="0"/>
              <w:rPr>
                <w:sz w:val="20"/>
                <w:szCs w:val="20"/>
                <w:color w:val="auto"/>
              </w:rPr>
            </w:pPr>
            <w:r>
              <w:rPr>
                <w:rFonts w:ascii="Arial" w:cs="Arial" w:eastAsia="Arial" w:hAnsi="Arial"/>
                <w:sz w:val="18"/>
                <w:szCs w:val="18"/>
                <w:color w:val="auto"/>
              </w:rPr>
              <w:t>Loss before income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(114,522)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(58,970)</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(114,522)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(84,547)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(58,859)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6760" w:type="dxa"/>
            <w:vAlign w:val="bottom"/>
          </w:tcPr>
          <w:p>
            <w:pPr>
              <w:ind w:left="340"/>
              <w:spacing w:after="0" w:line="202"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42,224</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(loss) on available-for-sale securities,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Junior Series A</w:t>
      </w:r>
    </w:p>
    <w:p>
      <w:pPr>
        <w:ind w:left="3820"/>
        <w:spacing w:after="0"/>
        <w:rPr>
          <w:sz w:val="20"/>
          <w:szCs w:val="20"/>
          <w:color w:val="auto"/>
        </w:rPr>
      </w:pPr>
      <w:r>
        <w:rPr>
          <w:rFonts w:ascii="Arial" w:cs="Arial" w:eastAsia="Arial" w:hAnsi="Arial"/>
          <w:sz w:val="13"/>
          <w:szCs w:val="13"/>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10795</wp:posOffset>
            </wp:positionV>
            <wp:extent cx="9690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5"/>
              </w:rPr>
              <w:t>Issuance of common stock through underwritten offering, net of</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issuance costs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w w:val="93"/>
              </w:rPr>
              <w:t>Issuance of common stock in connection with license acquisition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9"/>
              </w:rPr>
              <w:t>Issuance of common stock and pre-funded warrants through</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underwritten offering, net of issuance costs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w w:val="98"/>
              </w:rPr>
              <w:t>Issuance of common stock in connection with private offering</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3"/>
                <w:szCs w:val="13"/>
                <w:color w:val="auto"/>
              </w:rPr>
              <w:t>Issuance of common stock under the exercise of pre-funded</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warrants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securities, net of tax</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5"/>
              </w:rPr>
              <w:t>Issuance of common stock through underwritten offering, net of</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issuance costs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securities, net of tax</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80" w:type="dxa"/>
            <w:vAlign w:val="bottom"/>
            <w:gridSpan w:val="2"/>
            <w:vMerge w:val="restart"/>
          </w:tcPr>
          <w:p>
            <w:pPr>
              <w:ind w:left="6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41,397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545,585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(421,667)</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96"/>
        </w:trPr>
        <w:tc>
          <w:tcPr>
            <w:tcW w:w="720" w:type="dxa"/>
            <w:vAlign w:val="bottom"/>
          </w:tcPr>
          <w:p>
            <w:pPr>
              <w:jc w:val="right"/>
              <w:spacing w:after="0"/>
              <w:rPr>
                <w:sz w:val="20"/>
                <w:szCs w:val="20"/>
                <w:color w:val="auto"/>
              </w:rPr>
            </w:pPr>
            <w:r>
              <w:rPr>
                <w:rFonts w:ascii="Arial" w:cs="Arial" w:eastAsia="Arial" w:hAnsi="Arial"/>
                <w:sz w:val="13"/>
                <w:szCs w:val="13"/>
                <w:color w:val="auto"/>
              </w:rPr>
              <w:t>7,750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42,557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42,565</w:t>
            </w: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97"/>
        </w:trPr>
        <w:tc>
          <w:tcPr>
            <w:tcW w:w="7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9,180</w:t>
            </w:r>
          </w:p>
        </w:tc>
        <w:tc>
          <w:tcPr>
            <w:tcW w:w="0" w:type="dxa"/>
            <w:vAlign w:val="bottom"/>
          </w:tcPr>
          <w:p>
            <w:pPr>
              <w:spacing w:after="0"/>
              <w:rPr>
                <w:sz w:val="1"/>
                <w:szCs w:val="1"/>
                <w:color w:val="auto"/>
              </w:rPr>
            </w:pP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(58,859)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(58,859)</w:t>
            </w:r>
          </w:p>
        </w:tc>
        <w:tc>
          <w:tcPr>
            <w:tcW w:w="0" w:type="dxa"/>
            <w:vAlign w:val="bottom"/>
          </w:tcPr>
          <w:p>
            <w:pPr>
              <w:spacing w:after="0"/>
              <w:rPr>
                <w:sz w:val="1"/>
                <w:szCs w:val="1"/>
                <w:color w:val="auto"/>
              </w:rPr>
            </w:pPr>
          </w:p>
        </w:tc>
      </w:tr>
      <w:tr>
        <w:trPr>
          <w:trHeight w:val="160"/>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49,627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597,679</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(480,526)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117,203</w:t>
            </w:r>
          </w:p>
        </w:tc>
        <w:tc>
          <w:tcPr>
            <w:tcW w:w="0" w:type="dxa"/>
            <w:vAlign w:val="bottom"/>
          </w:tcPr>
          <w:p>
            <w:pPr>
              <w:spacing w:after="0"/>
              <w:rPr>
                <w:sz w:val="1"/>
                <w:szCs w:val="1"/>
                <w:color w:val="auto"/>
              </w:rPr>
            </w:pPr>
          </w:p>
        </w:tc>
      </w:tr>
      <w:tr>
        <w:trPr>
          <w:trHeight w:val="296"/>
        </w:trPr>
        <w:tc>
          <w:tcPr>
            <w:tcW w:w="720" w:type="dxa"/>
            <w:vAlign w:val="bottom"/>
          </w:tcPr>
          <w:p>
            <w:pPr>
              <w:jc w:val="right"/>
              <w:spacing w:after="0"/>
              <w:rPr>
                <w:sz w:val="20"/>
                <w:szCs w:val="20"/>
                <w:color w:val="auto"/>
              </w:rPr>
            </w:pPr>
            <w:r>
              <w:rPr>
                <w:rFonts w:ascii="Arial" w:cs="Arial" w:eastAsia="Arial" w:hAnsi="Arial"/>
                <w:sz w:val="13"/>
                <w:szCs w:val="13"/>
                <w:color w:val="auto"/>
              </w:rPr>
              <w:t>28,504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116,855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116,883</w:t>
            </w: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Arial" w:cs="Arial" w:eastAsia="Arial" w:hAnsi="Arial"/>
                <w:sz w:val="13"/>
                <w:szCs w:val="13"/>
                <w:color w:val="auto"/>
              </w:rPr>
              <w:t>8,649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33,237</w:t>
            </w:r>
          </w:p>
        </w:tc>
        <w:tc>
          <w:tcPr>
            <w:tcW w:w="0" w:type="dxa"/>
            <w:vAlign w:val="bottom"/>
          </w:tcPr>
          <w:p>
            <w:pPr>
              <w:spacing w:after="0"/>
              <w:rPr>
                <w:sz w:val="1"/>
                <w:szCs w:val="1"/>
                <w:color w:val="auto"/>
              </w:rPr>
            </w:pPr>
          </w:p>
        </w:tc>
      </w:tr>
      <w:tr>
        <w:trPr>
          <w:trHeight w:val="297"/>
        </w:trPr>
        <w:tc>
          <w:tcPr>
            <w:tcW w:w="72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72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7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8,323</w:t>
            </w:r>
          </w:p>
        </w:tc>
        <w:tc>
          <w:tcPr>
            <w:tcW w:w="0" w:type="dxa"/>
            <w:vAlign w:val="bottom"/>
          </w:tcPr>
          <w:p>
            <w:pPr>
              <w:spacing w:after="0"/>
              <w:rPr>
                <w:sz w:val="1"/>
                <w:szCs w:val="1"/>
                <w:color w:val="auto"/>
              </w:rPr>
            </w:pP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(84,547)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(84,547)</w:t>
            </w:r>
          </w:p>
        </w:tc>
        <w:tc>
          <w:tcPr>
            <w:tcW w:w="0" w:type="dxa"/>
            <w:vAlign w:val="bottom"/>
          </w:tcPr>
          <w:p>
            <w:pPr>
              <w:spacing w:after="0"/>
              <w:rPr>
                <w:sz w:val="1"/>
                <w:szCs w:val="1"/>
                <w:color w:val="auto"/>
              </w:rPr>
            </w:pP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90,121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756,543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(565,073)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191,563</w:t>
            </w:r>
          </w:p>
        </w:tc>
        <w:tc>
          <w:tcPr>
            <w:tcW w:w="0" w:type="dxa"/>
            <w:vAlign w:val="bottom"/>
          </w:tcPr>
          <w:p>
            <w:pPr>
              <w:spacing w:after="0"/>
              <w:rPr>
                <w:sz w:val="1"/>
                <w:szCs w:val="1"/>
                <w:color w:val="auto"/>
              </w:rPr>
            </w:pPr>
          </w:p>
        </w:tc>
      </w:tr>
      <w:tr>
        <w:trPr>
          <w:trHeight w:val="296"/>
        </w:trPr>
        <w:tc>
          <w:tcPr>
            <w:tcW w:w="720" w:type="dxa"/>
            <w:vAlign w:val="bottom"/>
          </w:tcPr>
          <w:p>
            <w:pPr>
              <w:jc w:val="right"/>
              <w:spacing w:after="0"/>
              <w:rPr>
                <w:sz w:val="20"/>
                <w:szCs w:val="20"/>
                <w:color w:val="auto"/>
              </w:rPr>
            </w:pPr>
            <w:r>
              <w:rPr>
                <w:rFonts w:ascii="Arial" w:cs="Arial" w:eastAsia="Arial" w:hAnsi="Arial"/>
                <w:sz w:val="13"/>
                <w:szCs w:val="13"/>
                <w:color w:val="auto"/>
              </w:rPr>
              <w:t>23,748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270,295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270,319</w:t>
            </w:r>
          </w:p>
        </w:tc>
        <w:tc>
          <w:tcPr>
            <w:tcW w:w="0" w:type="dxa"/>
            <w:vAlign w:val="bottom"/>
          </w:tcPr>
          <w:p>
            <w:pPr>
              <w:spacing w:after="0"/>
              <w:rPr>
                <w:sz w:val="1"/>
                <w:szCs w:val="1"/>
                <w:color w:val="auto"/>
              </w:rPr>
            </w:pPr>
          </w:p>
        </w:tc>
      </w:tr>
      <w:tr>
        <w:trPr>
          <w:trHeight w:val="297"/>
        </w:trPr>
        <w:tc>
          <w:tcPr>
            <w:tcW w:w="72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7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11,245</w:t>
            </w:r>
          </w:p>
        </w:tc>
        <w:tc>
          <w:tcPr>
            <w:tcW w:w="0" w:type="dxa"/>
            <w:vAlign w:val="bottom"/>
          </w:tcPr>
          <w:p>
            <w:pPr>
              <w:spacing w:after="0"/>
              <w:rPr>
                <w:sz w:val="1"/>
                <w:szCs w:val="1"/>
                <w:color w:val="auto"/>
              </w:rPr>
            </w:pPr>
          </w:p>
        </w:tc>
      </w:tr>
      <w:tr>
        <w:trPr>
          <w:trHeight w:val="17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(114,522)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(114,522)</w:t>
            </w:r>
          </w:p>
        </w:tc>
        <w:tc>
          <w:tcPr>
            <w:tcW w:w="0" w:type="dxa"/>
            <w:vAlign w:val="bottom"/>
          </w:tcPr>
          <w:p>
            <w:pPr>
              <w:spacing w:after="0"/>
              <w:rPr>
                <w:sz w:val="1"/>
                <w:szCs w:val="1"/>
                <w:color w:val="auto"/>
              </w:rPr>
            </w:pP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115,277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1,040,098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(679,595)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360,528</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-2948305</wp:posOffset>
            </wp:positionV>
            <wp:extent cx="713232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-2639695</wp:posOffset>
            </wp:positionV>
            <wp:extent cx="7132320" cy="111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-2339340</wp:posOffset>
            </wp:positionV>
            <wp:extent cx="7132320" cy="111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-2116455</wp:posOffset>
            </wp:positionV>
            <wp:extent cx="713232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-1807845</wp:posOffset>
            </wp:positionV>
            <wp:extent cx="7132320"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-1508125</wp:posOffset>
            </wp:positionV>
            <wp:extent cx="713232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-1207770</wp:posOffset>
            </wp:positionV>
            <wp:extent cx="7132320"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-985520</wp:posOffset>
            </wp:positionV>
            <wp:extent cx="713232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-676910</wp:posOffset>
            </wp:positionV>
            <wp:extent cx="713232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-376555</wp:posOffset>
            </wp:positionV>
            <wp:extent cx="7132320" cy="1111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-153670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00"/>
            <w:col w:w="6120"/>
          </w:cols>
          <w:pgMar w:left="320" w:top="125" w:right="3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86"/>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0"/>
        </w:trPr>
        <w:tc>
          <w:tcPr>
            <w:tcW w:w="7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2019</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(114,522)</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(84,547)</w:t>
            </w:r>
          </w:p>
        </w:tc>
        <w:tc>
          <w:tcPr>
            <w:tcW w:w="1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(58,859)</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premium and discounts on investment securities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Gain on sale of property and equipment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9,180</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Change in working capital</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consideration in connection with license acquisition</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 receivable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w:t>
            </w:r>
          </w:p>
        </w:tc>
      </w:tr>
      <w:tr>
        <w:trPr>
          <w:trHeight w:val="168"/>
        </w:trPr>
        <w:tc>
          <w:tcPr>
            <w:tcW w:w="7440" w:type="dxa"/>
            <w:vAlign w:val="bottom"/>
          </w:tcPr>
          <w:p>
            <w:pPr>
              <w:ind w:left="200"/>
              <w:spacing w:after="0"/>
              <w:rPr>
                <w:sz w:val="20"/>
                <w:szCs w:val="20"/>
                <w:color w:val="auto"/>
              </w:rPr>
            </w:pPr>
            <w:r>
              <w:rPr>
                <w:rFonts w:ascii="Arial" w:cs="Arial" w:eastAsia="Arial" w:hAnsi="Arial"/>
                <w:sz w:val="13"/>
                <w:szCs w:val="13"/>
                <w:color w:val="auto"/>
              </w:rPr>
              <w:t>Other assets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 and other 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8"/>
        </w:trPr>
        <w:tc>
          <w:tcPr>
            <w:tcW w:w="7440" w:type="dxa"/>
            <w:vAlign w:val="bottom"/>
          </w:tcPr>
          <w:p>
            <w:pPr>
              <w:ind w:left="220"/>
              <w:spacing w:after="0"/>
              <w:rPr>
                <w:sz w:val="20"/>
                <w:szCs w:val="20"/>
                <w:color w:val="auto"/>
              </w:rPr>
            </w:pPr>
            <w:r>
              <w:rPr>
                <w:rFonts w:ascii="Arial" w:cs="Arial" w:eastAsia="Arial" w:hAnsi="Arial"/>
                <w:sz w:val="13"/>
                <w:szCs w:val="13"/>
                <w:color w:val="auto"/>
              </w:rPr>
              <w:t>Accrued interest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research and development expenses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r>
      <w:tr>
        <w:trPr>
          <w:trHeight w:val="16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r>
      <w:tr>
        <w:trPr>
          <w:trHeight w:val="176"/>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(98,559)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(48,490)</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marketable securities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(143,810)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Maturities of marketable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164,480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sale of assets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76"/>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21,298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(143,810)</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follow-on public offering,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270,319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116,883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42,565</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issuance of common stock related to private placement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33,237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employee stock plan purchases and stock option exercises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6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cash provided by financing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272,335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150,581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42,838</w:t>
            </w:r>
          </w:p>
        </w:tc>
      </w:tr>
      <w:tr>
        <w:trPr>
          <w:trHeight w:val="175"/>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change in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195,074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(59,326)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(5,502)</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4"/>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125,699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131,201</w:t>
            </w:r>
          </w:p>
        </w:tc>
      </w:tr>
      <w:tr>
        <w:trPr>
          <w:trHeight w:val="1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End of period</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261,447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66,373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125,699</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paid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Income taxes received, net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(1,765)</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(3,327)</w:t>
            </w:r>
          </w:p>
        </w:tc>
        <w:tc>
          <w:tcPr>
            <w:tcW w:w="1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(1,893)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information related to investing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Change in unrealized gain (loss) on available for sale securities, net of tax</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right-of-use assets obtained in exchange for lease obligations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r>
    </w:tbl>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280" w:firstLine="180"/>
        <w:spacing w:after="0" w:line="259" w:lineRule="auto"/>
        <w:rPr>
          <w:sz w:val="20"/>
          <w:szCs w:val="20"/>
          <w:color w:val="auto"/>
        </w:rPr>
      </w:pPr>
      <w:r>
        <w:rPr>
          <w:rFonts w:ascii="Arial" w:cs="Arial" w:eastAsia="Arial" w:hAnsi="Arial"/>
          <w:sz w:val="18"/>
          <w:szCs w:val="18"/>
          <w:color w:val="auto"/>
        </w:rPr>
        <w:t>IVERIC bio, Inc. (“the Company” or “IVERIC”)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retinal diseases, including earlier stages of age-related macular degeneration (“AMD”).</w:t>
      </w:r>
    </w:p>
    <w:p>
      <w:pPr>
        <w:spacing w:after="0" w:line="187" w:lineRule="exact"/>
        <w:rPr>
          <w:sz w:val="20"/>
          <w:szCs w:val="20"/>
          <w:color w:val="auto"/>
        </w:rPr>
      </w:pPr>
    </w:p>
    <w:p>
      <w:pPr>
        <w:ind w:right="2360" w:firstLine="648"/>
        <w:spacing w:after="0" w:line="277" w:lineRule="auto"/>
        <w:rPr>
          <w:sz w:val="20"/>
          <w:szCs w:val="20"/>
          <w:color w:val="auto"/>
        </w:rPr>
      </w:pPr>
      <w:r>
        <w:rPr>
          <w:rFonts w:ascii="Arial" w:cs="Arial" w:eastAsia="Arial" w:hAnsi="Arial"/>
          <w:sz w:val="18"/>
          <w:szCs w:val="18"/>
          <w:color w:val="auto"/>
        </w:rPr>
        <w:t>The Company’s lead asset is its clinical stage product candidate Zimura® (avacincaptad pegol), a complement C5 inhibitor. It is currently targeting the following diseases with Zimura:</w:t>
      </w:r>
    </w:p>
    <w:p>
      <w:pPr>
        <w:spacing w:after="0" w:line="197" w:lineRule="exact"/>
        <w:rPr>
          <w:sz w:val="20"/>
          <w:szCs w:val="20"/>
          <w:color w:val="auto"/>
        </w:rPr>
      </w:pPr>
    </w:p>
    <w:p>
      <w:pPr>
        <w:ind w:left="660" w:right="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AMD and is characterized by marked thinning or atrophy of retinal tissue, leading to irreversible loss of vision;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July 2021, the Company completed patient enrollment for GATHER2, its Phase 3 clinical trial evaluating the safety and efficacy of Zimura for the treatment of GA secondary to AMD. The Company has also received a written agreement from the U.S. Food and Drug Administration (“FDA”) under a Special Protocol Assessment ("SPA") for the overall design of GATHER2. The Company expects topline data from the GATHER2 trial to become available during the second half of 2022, approximately one year after the enrollment of the last patient plus the time needed for database lock and analysis. The Company also plans to initiate a Phase 3 clinical trial evaluating Zimura for patients with intermediate AMD during the second half of 2022.</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Zimura, the Company is developing its preclinical product candidate IC-500, a High temperature requirement A serine peptidase 1 protein (“HtrA1”) inhibitor, for GA and potentially other age-related retinal diseases. Based on current timelines, the Company expects to submit an investigational new drug application to the FDA for IC-500 in mid-2023.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two preclinical stage gene therapy product candidates (IC-100 and IC-200)</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and several ongoing gene therapy research programs, each of which uses adeno-associated virus (“AAV”) for gene delivery. These AAV mediated gene therapy programs are targeting the following orphan inherited retinal diseases (“IRDs”):</w:t>
      </w:r>
    </w:p>
    <w:p>
      <w:pPr>
        <w:spacing w:after="0" w:line="212" w:lineRule="exact"/>
        <w:rPr>
          <w:sz w:val="20"/>
          <w:szCs w:val="20"/>
          <w:color w:val="auto"/>
        </w:rPr>
      </w:pPr>
    </w:p>
    <w:p>
      <w:pPr>
        <w:ind w:left="660" w:right="24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(“Best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ectPr>
          <w:pgSz w:w="11900" w:h="16838" w:orient="portrait"/>
          <w:cols w:equalWidth="0" w:num="1">
            <w:col w:w="11220"/>
          </w:cols>
          <w:pgMar w:left="320" w:top="274"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type w:val="continuous"/>
        </w:sectPr>
      </w:pPr>
    </w:p>
    <w:bookmarkStart w:id="170" w:name="page171"/>
    <w:bookmarkEnd w:id="170"/>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(Continued)</w:t>
      </w:r>
    </w:p>
    <w:p>
      <w:pPr>
        <w:spacing w:after="0" w:line="200" w:lineRule="exact"/>
        <w:rPr>
          <w:sz w:val="20"/>
          <w:szCs w:val="20"/>
          <w:color w:val="auto"/>
        </w:rPr>
      </w:pPr>
    </w:p>
    <w:p>
      <w:pPr>
        <w:spacing w:after="0" w:line="353"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As the Company focuses its efforts on and prioritize the development and potential commercialization of Zimura, it has been considering its development options for IC-100 and IC-200, which the Company has been developing for RHO-adRP and BEST1-related IRDs, respectively. It currently plans to seek a collaborator for the future development and potential commercialization of these product candidates.</w:t>
      </w:r>
    </w:p>
    <w:p>
      <w:pPr>
        <w:spacing w:after="0" w:line="80" w:lineRule="exact"/>
        <w:rPr>
          <w:sz w:val="20"/>
          <w:szCs w:val="20"/>
          <w:color w:val="auto"/>
        </w:rPr>
      </w:pPr>
    </w:p>
    <w:p>
      <w:pPr>
        <w:ind w:right="7640" w:firstLine="8"/>
        <w:spacing w:after="0" w:line="478" w:lineRule="auto"/>
        <w:tabs>
          <w:tab w:leader="none" w:pos="18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ind w:right="120" w:firstLine="177"/>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08" w:lineRule="exact"/>
        <w:rPr>
          <w:sz w:val="20"/>
          <w:szCs w:val="20"/>
          <w:color w:val="auto"/>
        </w:rPr>
      </w:pPr>
    </w:p>
    <w:p>
      <w:pPr>
        <w:ind w:right="580" w:firstLine="1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20" w:firstLine="177"/>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and accounting for share-based compensation.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Available-for-Sale Securities</w:t>
      </w:r>
    </w:p>
    <w:p>
      <w:pPr>
        <w:spacing w:after="0" w:line="162" w:lineRule="exact"/>
        <w:rPr>
          <w:sz w:val="20"/>
          <w:szCs w:val="20"/>
          <w:color w:val="auto"/>
        </w:rPr>
      </w:pPr>
    </w:p>
    <w:p>
      <w:pPr>
        <w:ind w:right="180" w:firstLine="177"/>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90 days or less when purchased to be cash equivalents. The carrying amounts reported in the Company's Consolidated Balance Sheets for cash and cash equivalents are valued at cost, which approximates their fair value.</w:t>
      </w:r>
    </w:p>
    <w:p>
      <w:pPr>
        <w:spacing w:after="0" w:line="4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to be available-for-sale securities. Available-for-sale securities with original maturities of greater than one year are recorded as non-current assets. Available-for-sale securities are recorded at fair value and unrealized gains and losses are recorded within other comprehensive income.</w:t>
      </w:r>
    </w:p>
    <w:p>
      <w:pPr>
        <w:spacing w:after="0" w:line="1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100" w:lineRule="exact"/>
        <w:rPr>
          <w:sz w:val="20"/>
          <w:szCs w:val="20"/>
          <w:color w:val="auto"/>
        </w:rPr>
      </w:pPr>
    </w:p>
    <w:p>
      <w:pPr>
        <w:ind w:right="340" w:firstLine="170"/>
        <w:spacing w:after="0" w:line="311" w:lineRule="auto"/>
        <w:rPr>
          <w:sz w:val="20"/>
          <w:szCs w:val="20"/>
          <w:color w:val="auto"/>
        </w:rPr>
      </w:pPr>
      <w:r>
        <w:rPr>
          <w:rFonts w:ascii="Arial" w:cs="Arial" w:eastAsia="Arial" w:hAnsi="Arial"/>
          <w:sz w:val="16"/>
          <w:szCs w:val="16"/>
          <w:color w:val="auto"/>
        </w:rPr>
        <w:t>As of December 31, 2021, the Company had cash, cash equivalents and available-for-sale securities of approximately $381.7 million. The Company believes that its cash, cash equivalents and available-for-sale securities as of December 31, 2021 will be sufficient to fund its operations and capital expenditure requirements as currently planned for at least the next 12 months from the filing of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right="100" w:firstLine="177"/>
        <w:spacing w:after="0" w:line="301"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cash equivalents and available-for-sale securities. The Company maintains its cash in bank accounts, the balances of which generally exceed federally insured limits. The Company maintains its cash equivalents and available-for-sale securities in investments in money market funds, in U.S. Treasury securities, investment-grade corporate debt securities, asset-backed securities and debt instruments issued by foreign governments with original maturities of 90 days or less.</w:t>
      </w:r>
    </w:p>
    <w:p>
      <w:pPr>
        <w:spacing w:after="0" w:line="90" w:lineRule="exact"/>
        <w:rPr>
          <w:sz w:val="20"/>
          <w:szCs w:val="20"/>
          <w:color w:val="auto"/>
        </w:rPr>
      </w:pPr>
    </w:p>
    <w:p>
      <w:pPr>
        <w:ind w:right="1640" w:firstLine="445"/>
        <w:spacing w:after="0" w:line="434"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available-for-sale securities. </w:t>
      </w:r>
      <w:r>
        <w:rPr>
          <w:rFonts w:ascii="Arial" w:cs="Arial" w:eastAsia="Arial" w:hAnsi="Arial"/>
          <w:sz w:val="18"/>
          <w:szCs w:val="18"/>
          <w:b w:val="1"/>
          <w:bCs w:val="1"/>
          <w:color w:val="auto"/>
        </w:rPr>
        <w:t>Concentration of Suppliers</w:t>
      </w:r>
    </w:p>
    <w:p>
      <w:pPr>
        <w:spacing w:after="0" w:line="3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provide the drug substance for IC-500 for preclinical toxicology studies and early-stage clinical trials and a single third-party contract manufacturer to conduct fill/finish services for IC-500 drug product.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2" w:lineRule="exact"/>
        <w:rPr>
          <w:sz w:val="20"/>
          <w:szCs w:val="20"/>
          <w:color w:val="auto"/>
        </w:rPr>
      </w:pPr>
    </w:p>
    <w:p>
      <w:pPr>
        <w:ind w:right="180" w:firstLine="180"/>
        <w:spacing w:after="0" w:line="308" w:lineRule="auto"/>
        <w:rPr>
          <w:sz w:val="20"/>
          <w:szCs w:val="20"/>
          <w:color w:val="auto"/>
        </w:rPr>
      </w:pPr>
      <w:r>
        <w:rPr>
          <w:rFonts w:ascii="Arial" w:cs="Arial" w:eastAsia="Arial" w:hAnsi="Arial"/>
          <w:sz w:val="17"/>
          <w:szCs w:val="17"/>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65" w:lineRule="exact"/>
        <w:rPr>
          <w:sz w:val="20"/>
          <w:szCs w:val="20"/>
          <w:color w:val="auto"/>
        </w:rPr>
      </w:pPr>
    </w:p>
    <w:p>
      <w:pPr>
        <w:ind w:firstLine="170"/>
        <w:spacing w:after="0" w:line="231"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48"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cash, cash equivalents and available-for-sale financial assets. The market approach uses prices and other relevant information generated by market transactions involving identical or comparable assets. The valuation hierarchy is based upon</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transparency of inputs to the valuation of an asset or liability on the measurement date. The three levels are defined as follows:</w:t>
      </w:r>
    </w:p>
    <w:p>
      <w:pPr>
        <w:spacing w:after="0" w:line="225" w:lineRule="exact"/>
        <w:rPr>
          <w:sz w:val="20"/>
          <w:szCs w:val="20"/>
          <w:color w:val="auto"/>
        </w:rPr>
      </w:pPr>
    </w:p>
    <w:p>
      <w:pPr>
        <w:ind w:left="660" w:right="80" w:hanging="328"/>
        <w:spacing w:after="0" w:line="24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96" w:lineRule="exact"/>
        <w:rPr>
          <w:rFonts w:ascii="Arial" w:cs="Arial" w:eastAsia="Arial" w:hAnsi="Arial"/>
          <w:sz w:val="18"/>
          <w:szCs w:val="18"/>
          <w:color w:val="auto"/>
        </w:rPr>
      </w:pPr>
    </w:p>
    <w:p>
      <w:pPr>
        <w:ind w:left="660" w:right="80" w:hanging="328"/>
        <w:spacing w:after="0" w:line="235"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201" w:lineRule="exact"/>
        <w:rPr>
          <w:rFonts w:ascii="Arial" w:cs="Arial" w:eastAsia="Arial" w:hAnsi="Arial"/>
          <w:sz w:val="18"/>
          <w:szCs w:val="18"/>
          <w:color w:val="auto"/>
        </w:rPr>
      </w:pPr>
    </w:p>
    <w:p>
      <w:pPr>
        <w:ind w:left="660" w:right="700" w:hanging="328"/>
        <w:spacing w:after="0" w:line="24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The Company determines if an arrangement contains a lease at inception. For arrangements where the Company is the lessee, it recognizes a right-of-use ("ROU") asset and operating lease liability on the Company's Consolidated Balance Sheet. ROU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assets include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Property and equipment, which consists mainly of clinical equipment, laboratory equipment, computers, software, other office equipment, automobiles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460" w:firstLine="177"/>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03" w:lineRule="exact"/>
        <w:rPr>
          <w:sz w:val="20"/>
          <w:szCs w:val="20"/>
          <w:color w:val="auto"/>
        </w:rPr>
      </w:pPr>
    </w:p>
    <w:p>
      <w:pPr>
        <w:ind w:left="980" w:right="40" w:hanging="324"/>
        <w:spacing w:after="0" w:line="263" w:lineRule="auto"/>
        <w:tabs>
          <w:tab w:leader="none" w:pos="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210"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100" w:firstLine="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60" w:firstLine="170"/>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right="60" w:firstLine="177"/>
        <w:spacing w:after="0" w:line="290" w:lineRule="auto"/>
        <w:rPr>
          <w:sz w:val="20"/>
          <w:szCs w:val="20"/>
          <w:color w:val="auto"/>
        </w:rPr>
      </w:pPr>
      <w:r>
        <w:rPr>
          <w:rFonts w:ascii="Arial" w:cs="Arial" w:eastAsia="Arial" w:hAnsi="Arial"/>
          <w:sz w:val="16"/>
          <w:szCs w:val="16"/>
          <w:color w:val="auto"/>
        </w:rPr>
        <w:t xml:space="preserve">The Company follows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which requires the measurement and recognition of compensation expense for all share-based payment awards made to employees, non-employee directors and certain other individuals,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98" w:lineRule="exact"/>
        <w:rPr>
          <w:sz w:val="20"/>
          <w:szCs w:val="20"/>
          <w:color w:val="auto"/>
        </w:rPr>
      </w:pPr>
    </w:p>
    <w:p>
      <w:pPr>
        <w:ind w:right="60" w:firstLine="177"/>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80" w:firstLine="177"/>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non-employees and non-employee directors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0" w:lineRule="exact"/>
        <w:rPr>
          <w:sz w:val="20"/>
          <w:szCs w:val="20"/>
          <w:color w:val="auto"/>
        </w:rPr>
      </w:pPr>
    </w:p>
    <w:p>
      <w:pPr>
        <w:ind w:right="100" w:firstLine="177"/>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2021, 2020 and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5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0.31%-1.22%</w:t>
            </w:r>
          </w:p>
        </w:tc>
        <w:tc>
          <w:tcPr>
            <w:tcW w:w="1580" w:type="dxa"/>
            <w:vAlign w:val="bottom"/>
            <w:gridSpan w:val="2"/>
          </w:tcPr>
          <w:p>
            <w:pPr>
              <w:jc w:val="center"/>
              <w:ind w:left="19"/>
              <w:spacing w:after="0"/>
              <w:rPr>
                <w:sz w:val="20"/>
                <w:szCs w:val="20"/>
                <w:color w:val="auto"/>
              </w:rPr>
            </w:pPr>
            <w:r>
              <w:rPr>
                <w:rFonts w:ascii="Arial" w:cs="Arial" w:eastAsia="Arial" w:hAnsi="Arial"/>
                <w:sz w:val="18"/>
                <w:szCs w:val="18"/>
                <w:color w:val="auto"/>
                <w:w w:val="92"/>
              </w:rPr>
              <w:t>0.22%-1.34%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1.38%-2.54%</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95"/>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420" w:firstLine="177"/>
        <w:spacing w:after="0" w:line="277"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52"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214" w:lineRule="exact"/>
        <w:rPr>
          <w:sz w:val="20"/>
          <w:szCs w:val="20"/>
          <w:color w:val="auto"/>
        </w:rPr>
      </w:pPr>
    </w:p>
    <w:p>
      <w:pPr>
        <w:jc w:val="both"/>
        <w:ind w:right="100" w:firstLine="180"/>
        <w:spacing w:after="0" w:line="263"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October 2021 Follow-on Public Offering</w:t>
      </w:r>
    </w:p>
    <w:p>
      <w:pPr>
        <w:spacing w:after="0" w:line="15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In October 2021, the Company completed an underwritten public offering in which the Company sold 10,350,000 shares of its common stock, which included the exercise in full of the underwriters’ option to purchase 1,350,000 shares of the Company’s common stock, at a price to the public of $16.75 per share and at a price to the underwriters of $15.745 per share.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net proceeds from the October 2021 public offering, after deducting underwriting discounts and commissions and other expenses payable by the Company totaling approximately $10.8 million, were approximately $162.6 million.</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July 2021 Follow-on Public Offering</w:t>
      </w:r>
    </w:p>
    <w:p>
      <w:pPr>
        <w:spacing w:after="0" w:line="158"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 July 2021, the Company completed an underwritten public offering in which the Company sold 13,397,500 shares of its common stock, which included the exercise in full of the underwriters’ option to purchase an additional 1,747,500 shares of the Company’s common stock, at a price to the public of $8.60 per share and at a price to the underwriters of $8.084 per share.</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net proceeds from the July 2021 public offering, after deducting underwriting discounts and commissions and other expenses payable by the Company totaling approximately $7.4 million, were approximately $107.8 million.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June 2020 Follow-on Public Offering and Private Placement</w:t>
      </w:r>
    </w:p>
    <w:p>
      <w:pPr>
        <w:spacing w:after="0" w:line="158"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 June 2020, the Company closed an underwritten public offering in which it sold 28,503,220 shares of its common stock, which includes the exercise in full of the underwriters’ option to purchase additional shares of its common stock, at a price to the public of $4.10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 The pre-funded warrants are immediately exercisable with certain restrictions and do not expire.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Concurrently with the June 2020 public offering, the Company completed a private placement exempt from the registration requirements of the Securities Act of 1933, as amended (the "Securities Act"), in which it sold 8,649,453 shares of its common stock to affiliates of Vivo Capital, LLC and Samsara BioCapital, LP (the "Private Placement Purchasers"), at a purchase price equal to $4.10 per share, which is the price to the public in the public offering. The shares in the private placement were issued pursuant to a stock purchase agreement entered into among the Company and the Private Placement Purchasers.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placement agent fees and other offering expenses of approximately $10.1 million, were approximately $150.1 million.</w:t>
      </w:r>
    </w:p>
    <w:p>
      <w:pPr>
        <w:spacing w:after="0" w:line="170"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 xml:space="preserve">The Company evaluated the pre-funded warrants for liability or equity classification in accordance with the provisions of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and ASC 815-40,</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Based on the provisions governing the pre-funded warrants in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Company determined that the pre-funded warrants meet the criteria required to be classified as an equity award subject to the guidance in ASC 815-10 and 815-40 and should effectively be treated as outstanding common shares in both basic and diluted EPS calculations.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Common Share</w:t>
      </w:r>
    </w:p>
    <w:p>
      <w:pPr>
        <w:spacing w:after="0" w:line="1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December 31, 2021 and 2020, the Company had 3,164,280 and 3,164,280 pre-funded warrants outstanding, respectively,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 for the periods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 calculation: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(114,522)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(84,547)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(58,859)</w:t>
            </w:r>
          </w:p>
        </w:tc>
      </w:tr>
      <w:tr>
        <w:trPr>
          <w:trHeight w:val="25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dilutive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60" w:type="dxa"/>
            <w:vAlign w:val="bottom"/>
          </w:tcPr>
          <w:p>
            <w:pPr>
              <w:spacing w:after="0" w:line="203" w:lineRule="exact"/>
              <w:rPr>
                <w:sz w:val="20"/>
                <w:szCs w:val="20"/>
                <w:color w:val="auto"/>
              </w:rPr>
            </w:pPr>
            <w:r>
              <w:rPr>
                <w:rFonts w:ascii="Arial" w:cs="Arial" w:eastAsia="Arial" w:hAnsi="Arial"/>
                <w:sz w:val="18"/>
                <w:szCs w:val="18"/>
                <w:color w:val="auto"/>
              </w:rPr>
              <w:t>Net loss per common share - basic and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1320" w:type="dxa"/>
            <w:vAlign w:val="bottom"/>
            <w:tcBorders>
              <w:bottom w:val="single" w:sz="8" w:color="auto"/>
            </w:tcBorders>
          </w:tcPr>
          <w:p>
            <w:pPr>
              <w:spacing w:after="0"/>
              <w:rPr>
                <w:sz w:val="16"/>
                <w:szCs w:val="16"/>
                <w:color w:val="auto"/>
              </w:rPr>
            </w:pPr>
          </w:p>
        </w:tc>
      </w:tr>
      <w:tr>
        <w:trPr>
          <w:trHeight w:val="187"/>
        </w:trPr>
        <w:tc>
          <w:tcPr>
            <w:tcW w:w="6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6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8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10,861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r>
      <w:tr>
        <w:trPr>
          <w:trHeight w:val="23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r>
      <w:tr>
        <w:trPr>
          <w:trHeight w:val="243"/>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13,107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Available-for-Sale Securities</w:t>
      </w:r>
    </w:p>
    <w:p>
      <w:pPr>
        <w:spacing w:after="0" w:line="148"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As of December 31, 2021 and December 31, 2020 the Company had cash and cash equivalents of approximately $261.4 million and $66.4 million, respectively. Cash and cash equivalents at December 31, 2021 and December 31, 2020 included cash of $9.9 million and $8.4 million, respectively. As of December 31, 2021 and December 31, 2020, cash and cash equivalents also included $251.5 million and $58.0 million, respectively, of investments in money market funds.</w:t>
      </w:r>
    </w:p>
    <w:p>
      <w:pPr>
        <w:spacing w:after="0" w:line="11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As of December 31, 2021 and December 31, 2020, the Company held available-for-sale securities of approximately $120.3 million and $143.7 million, respectively, all of which have maturities of less than one year.</w:t>
      </w:r>
    </w:p>
    <w:p>
      <w:pPr>
        <w:spacing w:after="0" w:line="10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of December 31, 2021, the Company determined that there were no credit losses in fair value of its investments.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07" w:lineRule="exact"/>
        <w:rPr>
          <w:sz w:val="20"/>
          <w:szCs w:val="20"/>
          <w:color w:val="auto"/>
        </w:rPr>
      </w:pPr>
    </w:p>
    <w:p>
      <w:pPr>
        <w:ind w:right="880" w:firstLine="445"/>
        <w:spacing w:after="0" w:line="342" w:lineRule="auto"/>
        <w:rPr>
          <w:sz w:val="20"/>
          <w:szCs w:val="20"/>
          <w:color w:val="auto"/>
        </w:rPr>
      </w:pPr>
      <w:r>
        <w:rPr>
          <w:rFonts w:ascii="Arial" w:cs="Arial" w:eastAsia="Arial" w:hAnsi="Arial"/>
          <w:sz w:val="16"/>
          <w:szCs w:val="16"/>
          <w:color w:val="auto"/>
        </w:rPr>
        <w:t>The Company classifies these securities as available-for-sale. However, the Company has not sold and does not currently intend to sell its investments and the Company believes it is more likely than not that the Company will recover the carrying value of these investments.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including carrying value and estimated fair values,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7"/>
          </w:tcPr>
          <w:p>
            <w:pPr>
              <w:ind w:left="1140"/>
              <w:spacing w:after="0"/>
              <w:rPr>
                <w:sz w:val="20"/>
                <w:szCs w:val="20"/>
                <w:color w:val="auto"/>
              </w:rPr>
            </w:pPr>
            <w:r>
              <w:rPr>
                <w:rFonts w:ascii="Arial" w:cs="Arial" w:eastAsia="Arial" w:hAnsi="Arial"/>
                <w:sz w:val="14"/>
                <w:szCs w:val="14"/>
                <w:b w:val="1"/>
                <w:bCs w:val="1"/>
                <w:color w:val="auto"/>
              </w:rPr>
              <w:t>As of December 31, 2021</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6"/>
                <w:szCs w:val="16"/>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Gross Unrealized Gains</w:t>
            </w:r>
          </w:p>
        </w:tc>
        <w:tc>
          <w:tcPr>
            <w:tcW w:w="16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82,138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82,081</w:t>
            </w: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4"/>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Supranational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4,041</w:t>
            </w:r>
          </w:p>
        </w:tc>
      </w:tr>
      <w:tr>
        <w:trPr>
          <w:trHeight w:val="248"/>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360"/>
        </w:trPr>
        <w:tc>
          <w:tcPr>
            <w:tcW w:w="2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As of As of December 31, 2020</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87"/>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6"/>
                <w:szCs w:val="16"/>
                <w:color w:val="auto"/>
              </w:rPr>
            </w:pPr>
          </w:p>
        </w:tc>
        <w:tc>
          <w:tcPr>
            <w:tcW w:w="1940" w:type="dxa"/>
            <w:vAlign w:val="bottom"/>
            <w:gridSpan w:val="4"/>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16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54,233</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79,282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79,276</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143,671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143,674</w:t>
            </w:r>
          </w:p>
        </w:tc>
      </w:tr>
      <w:tr>
        <w:trPr>
          <w:trHeight w:val="20"/>
        </w:trPr>
        <w:tc>
          <w:tcPr>
            <w:tcW w:w="2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4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Company classifies its marketable debt securities within the fair value hierarchy as Level 2 assets, as it primarily utilizes quoted market prices or rates for similar instruments to value these securities.</w:t>
      </w:r>
    </w:p>
    <w:p>
      <w:pPr>
        <w:spacing w:after="0" w:line="103"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251,488</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82,081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supranational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58,042</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79,275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44"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2021 or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License Agreement with Archemix Corp.</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September 2011, the Company entered into an amended and restated exclusive license agreement with Archemix Corp. ("Archemix") relating to anti-C5 aptamers (as amended, the "C5 License Agreement"). The C5 License Agreement superseded a July 2007 agreement between the Company and Archemix. Under the C5 License Agreement, the Company holds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including Zimura, for the prevention, treatment, cure or control of human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indications, diseases, disorders or conditions of the eye, adnexa of the eye, orbit and optic nerve, other than certain expressly excluded applications.</w:t>
      </w:r>
    </w:p>
    <w:p>
      <w:pPr>
        <w:spacing w:after="0" w:line="26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C5 License Agreement, the Company paid Archemix an upfront licensing fee of $1.0 million and issued to Archemix an aggregate of 2,000,000 shares of its series A-1 preferred stock and 500,000 shares of its series B-1 preferred stock. The Company has paid Archemix an aggregate of $9.0 million in fees based on its achievement of specified clinical milestone events under the C5 License Agreement, including two milestone payments of $1.0 million and $6.0 million, respectively, triggered by the positive 12-month data from, and by completion of, the GATHER1 trial, which the Company paid in March 2020 and October 2020, respectively.</w:t>
      </w:r>
    </w:p>
    <w:p>
      <w:pPr>
        <w:spacing w:after="0" w:line="21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the Company may develop under the agreement, including Zimura, it is obligated to make additional payments to Archemix of up to an aggregate of $50.5 million if it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it is also obligated to make additional payments to Archemix of up to an aggregate of $22.5 million if it achieves specified commercial milestones based on net product sales of all anti-C5 products licensed under the agreement. It is also obligated to pay Archemix a double-digit percentage of specified non-royalty payments it may receive from any sublicensee of its rights under the C5 License Agreement. The Company is not obligated to pay Archemix a running royalty based on net product sales in connection with the C5 License Agreement.</w:t>
      </w:r>
    </w:p>
    <w:p>
      <w:pPr>
        <w:spacing w:after="0" w:line="2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the Company.</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Either the Company or Archemix may terminate the C5 License Agreement if the other party materially breaches the agreement and the breach remains uncured for a specified period. Archemix may also terminate the C5 License Agreement, or may convert the Company's exclusive license under the agreement to a non-exclusive license, if the Company challenges or assists a third party in challenging the validity or enforceability of any of the patents licensed under the agreement. The Company may terminate the agreement at any time and for any or no reason effective at the end of a specified period following its written notice of termination to Archemix.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License Agreement with the University of Florida Research Foundation and the University of Pennsylvania</w:t>
      </w:r>
    </w:p>
    <w:p>
      <w:pPr>
        <w:spacing w:after="0" w:line="144" w:lineRule="exact"/>
        <w:rPr>
          <w:sz w:val="20"/>
          <w:szCs w:val="20"/>
          <w:color w:val="auto"/>
        </w:rPr>
      </w:pPr>
    </w:p>
    <w:p>
      <w:pPr>
        <w:ind w:right="80" w:firstLine="180"/>
        <w:spacing w:after="0" w:line="273" w:lineRule="auto"/>
        <w:rPr>
          <w:sz w:val="20"/>
          <w:szCs w:val="20"/>
          <w:color w:val="auto"/>
        </w:rPr>
      </w:pPr>
      <w:r>
        <w:rPr>
          <w:rFonts w:ascii="Arial" w:cs="Arial" w:eastAsia="Arial" w:hAnsi="Arial"/>
          <w:sz w:val="17"/>
          <w:szCs w:val="17"/>
          <w:color w:val="auto"/>
        </w:rPr>
        <w:t>In June 2018, the Company entered into an exclusive global license agreement (the "RHO-adRP License Agreement") with the University of Florida Research Foundation, Incorporated ("UFRF") and the University of Pennsylvania ("Penn" and collectively with UFRF, the "Licensors"). Under the agreement, the Licensors granted the Company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the Company's novel AAV gene therapy product candidate intended to treat RHO-adRP.</w:t>
      </w:r>
    </w:p>
    <w:p>
      <w:pPr>
        <w:spacing w:after="0" w:line="110" w:lineRule="exact"/>
        <w:rPr>
          <w:sz w:val="20"/>
          <w:szCs w:val="20"/>
          <w:color w:val="auto"/>
        </w:rPr>
      </w:pPr>
    </w:p>
    <w:p>
      <w:pPr>
        <w:jc w:val="both"/>
        <w:ind w:right="40" w:firstLine="225"/>
        <w:spacing w:after="0" w:line="263" w:lineRule="auto"/>
        <w:rPr>
          <w:sz w:val="20"/>
          <w:szCs w:val="20"/>
          <w:color w:val="auto"/>
        </w:rPr>
      </w:pPr>
      <w:r>
        <w:rPr>
          <w:rFonts w:ascii="Arial" w:cs="Arial" w:eastAsia="Arial" w:hAnsi="Arial"/>
          <w:sz w:val="18"/>
          <w:szCs w:val="18"/>
          <w:color w:val="auto"/>
        </w:rPr>
        <w:t>Under the agreement, the Company agreed to pay an annual license maintenance fee in the low double-digit thousands of dollars, which will be payable on an annual basis until the first commercial sale of a licensed product. In addition, the Company agreed to reimburse UFRF for the costs and expenses of patent prosecution and maintenance related to the licensed patent rights.</w:t>
      </w:r>
    </w:p>
    <w:p>
      <w:pPr>
        <w:spacing w:after="0" w:line="116" w:lineRule="exact"/>
        <w:rPr>
          <w:sz w:val="20"/>
          <w:szCs w:val="20"/>
          <w:color w:val="auto"/>
        </w:rPr>
      </w:pPr>
    </w:p>
    <w:p>
      <w:pPr>
        <w:jc w:val="both"/>
        <w:ind w:right="140" w:firstLine="177"/>
        <w:spacing w:after="0" w:line="263" w:lineRule="auto"/>
        <w:rPr>
          <w:sz w:val="20"/>
          <w:szCs w:val="20"/>
          <w:color w:val="auto"/>
        </w:rPr>
      </w:pPr>
      <w:r>
        <w:rPr>
          <w:rFonts w:ascii="Arial" w:cs="Arial" w:eastAsia="Arial" w:hAnsi="Arial"/>
          <w:sz w:val="18"/>
          <w:szCs w:val="18"/>
          <w:color w:val="auto"/>
        </w:rPr>
        <w:t>The Company further agreed to pay UFRF, on behalf of both Licensors, up to an aggregate of $23.5 million if the Company achieves specified clinical, marketing approval and reimbursement approval milestones with respect to a licensed product and additionally, up to an aggregate of $70.0 million if the Company achieves specified commercial sales milestones with respect to a licensed product.</w:t>
      </w:r>
    </w:p>
    <w:p>
      <w:pPr>
        <w:spacing w:after="0" w:line="103" w:lineRule="exact"/>
        <w:rPr>
          <w:sz w:val="20"/>
          <w:szCs w:val="20"/>
          <w:color w:val="auto"/>
        </w:rPr>
      </w:pPr>
    </w:p>
    <w:p>
      <w:pPr>
        <w:ind w:right="360" w:firstLine="177"/>
        <w:spacing w:after="0" w:line="277" w:lineRule="auto"/>
        <w:rPr>
          <w:sz w:val="20"/>
          <w:szCs w:val="20"/>
          <w:color w:val="auto"/>
        </w:rPr>
      </w:pPr>
      <w:r>
        <w:rPr>
          <w:rFonts w:ascii="Arial" w:cs="Arial" w:eastAsia="Arial" w:hAnsi="Arial"/>
          <w:sz w:val="18"/>
          <w:szCs w:val="18"/>
          <w:color w:val="auto"/>
        </w:rPr>
        <w:t>The Company is also obligated to pay UFRF, on behalf of both Licensors, royalties at a low single-digit percentage of net sales of licensed products. Such royalties are subject to customary reductions for lack of patent coverage and loss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regulatory exclusivity. In addition, such royalties with respect to any licensed product in any country may be offset by a specified portion of any royalty payments actually paid by the Company in such country under third-party licenses for patent rights or other intellectual property rights that are necessary to manufacture, develop and commercialize the licensed product in such country. The Company's obligation to pay royalties under the RHO-adRP License Agreement will continue on a licensed product-by-licensed product and country-by-country basis until the latest of:</w:t>
      </w:r>
    </w:p>
    <w:p>
      <w:pPr>
        <w:spacing w:after="0" w:line="90"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Beginning on the earlier of (i) the calendar year following the first commercial sale of a licensed product and (ii) the first business day of 2031, the Company is also obligated to pay certain minimum royalties, not to exceed an amount in the low hundreds of thousands of dollars on an annual basis, which minimum royalties are creditable against the Company's royalty obligation with respect to net sales of licensed products due for the year in which the minimum royalty is paid.</w:t>
      </w:r>
    </w:p>
    <w:p>
      <w:pPr>
        <w:spacing w:after="0" w:line="119" w:lineRule="exact"/>
        <w:rPr>
          <w:sz w:val="20"/>
          <w:szCs w:val="20"/>
          <w:color w:val="auto"/>
        </w:rPr>
      </w:pPr>
    </w:p>
    <w:p>
      <w:pPr>
        <w:ind w:right="40" w:firstLine="180"/>
        <w:spacing w:after="0" w:line="291" w:lineRule="auto"/>
        <w:rPr>
          <w:sz w:val="20"/>
          <w:szCs w:val="20"/>
          <w:color w:val="auto"/>
        </w:rPr>
      </w:pPr>
      <w:r>
        <w:rPr>
          <w:rFonts w:ascii="Arial" w:cs="Arial" w:eastAsia="Arial" w:hAnsi="Arial"/>
          <w:sz w:val="16"/>
          <w:szCs w:val="16"/>
          <w:color w:val="auto"/>
        </w:rPr>
        <w:t>In addition, if the Company or an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marketing approval and commercial sales milestones with respect to such other product candidate. If the Company sells such priority review voucher to a third party, it will be obligated to pay UFRF, on behalf of both licensors, a low double-digit percentage of any consideration received from such third party in connection with such sale.</w:t>
      </w:r>
    </w:p>
    <w:p>
      <w:pPr>
        <w:spacing w:after="0" w:line="99" w:lineRule="exact"/>
        <w:rPr>
          <w:sz w:val="20"/>
          <w:szCs w:val="20"/>
          <w:color w:val="auto"/>
        </w:rPr>
      </w:pPr>
    </w:p>
    <w:p>
      <w:pPr>
        <w:ind w:right="320" w:firstLine="180"/>
        <w:spacing w:after="0" w:line="259" w:lineRule="auto"/>
        <w:rPr>
          <w:sz w:val="20"/>
          <w:szCs w:val="20"/>
          <w:color w:val="auto"/>
        </w:rPr>
      </w:pPr>
      <w:r>
        <w:rPr>
          <w:rFonts w:ascii="Arial" w:cs="Arial" w:eastAsia="Arial" w:hAnsi="Arial"/>
          <w:sz w:val="18"/>
          <w:szCs w:val="18"/>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to UFRF. Penn or UFRF may terminate the RHO-adRP License Agreement in the event of certain breaches by the Company or in the event of certain insolvency events regarding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BEST1 License Agreement with University of Pennsylvania and University of Florida Research Foundation</w:t>
      </w:r>
    </w:p>
    <w:p>
      <w:pPr>
        <w:spacing w:after="0" w:line="252"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 xml:space="preserve">In April 2019, the Company entered into an exclusive global license agreement (the "BEST1 License Agreement") with Penn and UFRF. Under the BEST1 License Agreement, Penn and UFRF granted the Company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May 2019, the Company paid Penn, for the benefit of the Licensors, a $0.2 million upfront license issuance fee, which was recorded as a research and development expense, and the Company paid UFRF accrued patent prosecution expenses of approximately $18 thousand, which was recorded as a general and administrative expense. The Company has also agreed to pay Penn, for the benefit of the Licensors, an annual license maintenance fee in the low double-digit thousands of dollars, which will be payable on an annual basis until the first commercial sale of a licensed product. In addition, the Company have agreed to pay Penn, for the benefit of the Licensors,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the Company. Furthermore, it has agreed to reimburse Penn and UFRF for the costs and expenses of patent prosecution and maintenance related to the licensed patent rights.</w:t>
      </w:r>
    </w:p>
    <w:p>
      <w:pPr>
        <w:spacing w:after="0" w:line="2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further agreed to pay Penn, for the benefit of the Licensors, up to an aggregate of $15.7 million if it achieves specified clinical, marketing approval and reimbursement approval milestones with respect to one licensed product,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and up to an aggregate of an additional $3.1 million if it achieves these same milestones with respect to a different licensed product. In addition, it has agreed to pay Penn, for the benefit of the Licensors, up to an aggregate of $48.0 million if it achieves specified commercial sales milestones with respect to one licensed product, and up to an aggregate of an additional $9.6 million if it achieves these same milestones with respect to a different licensed product.</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is also obligated to pay Penn, for the benefit of the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the Company in such country under third-party licenses to patent rights or other intellectual property rights that are necessary to research, develop, manufacture and commercialize the licensed product in such country. Its obligation to pay royalties under the BEST1 License Agreement will continue on a licensed product-by-licensed product and country-by-country basis until the latest of:</w:t>
      </w:r>
    </w:p>
    <w:p>
      <w:pPr>
        <w:spacing w:after="0" w:line="97"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the Company is also obligated to pay certain minimum royalties, not to exceed an amount in the mid tens of thousands of dollars on an annual basis, which minimum royalties are creditable against its royalty obligation with respect to net sales of licensed products due in the year the minimum royalty is paid.</w:t>
      </w:r>
    </w:p>
    <w:p>
      <w:pPr>
        <w:spacing w:after="0" w:line="9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If the Company or any of its affiliates sublicense any of the licensed patent rights to a third party, it will be obligated to pay Penn, for the benefit of the Licensors, a high single-digit to a mid ten's percentage of the consideration received in exchange for such sublicense, with the applicable percentage based upon the stage of development of the sublicensed product at the time it or the applicable affiliate enters into the sublicense.</w:t>
      </w:r>
    </w:p>
    <w:p>
      <w:pPr>
        <w:spacing w:after="0" w:line="1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BEST1 License Agreement, it will be obligated to pay Penn, for the benefit of the Licensors, aggregate payments in the low double-digit millions of dollars based on certain approval and commercial sales milestones with respect to such other product candidate. In addition, if it sells such a priority review voucher to a third party, it will be obligated to pay Penn, for the benefit of the Licensors, a high single-digit percentage of any consideration received from such third party in connection with such sale.</w:t>
      </w:r>
    </w:p>
    <w:p>
      <w:pPr>
        <w:spacing w:after="0" w:line="21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BEST1 License Agreement, unless earlier terminated by the Company or Penn or UFRF, will expire upon the expiration of the Company's obligation to pay royalties on net sales of licensed products. Before the effectiveness of an IND for a licensed product, the Company may terminate the BEST1 License Agreement with respect to such licensed product or in its entirety, at any time for any reason upon prior written notice to Penn and UFRF. Following the effectiveness of an IND for a licensed product, it may terminate the BEST1 License Agreement with respect to such licensed product by providing Penn prior written notice and a certification that it is ceasing all use, research and development and commercialization of such licensed product, subject to certain limited exceptions. It may also terminate the BEST1 License Agreement if Penn or UFRF materially breaches the BEST1 License Agreement and does not cure such breach within a specified cure period.</w:t>
      </w:r>
    </w:p>
    <w:p>
      <w:pPr>
        <w:spacing w:after="0" w:line="20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Penn or UFRF may terminate the BEST1 License Agreement if the Company materially breaches the BEST1 License Agreement and does not cure such breach within a specified cure period, if it experiences a specified insolvency event, if it ceases to carry on the entirety of its business related to the licensed patent rights, if it ceases for more than four consecutive quarters to make any payment of earned royalties on net sales of licensed products following the commencement of commercialization thereof, unless such cessation is based on safety concerns that the Company is actively attempting to address, or if it, any of its affiliates or any of its sublicensees challenges or assists a third party in challenging the validity, scope, patentability, and/or enforceability of the licensed patent rights. If it materially breaches certain diligence obligations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under the BEST1 License Agreement with respect to only one licensed product, then Penn and UFRF may only terminate its rights and licenses under the BEST1 License Agreement for such licensed product, but not for other licensed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University of Massachusetts for the miniCEP290 Program</w:t>
      </w:r>
    </w:p>
    <w:p>
      <w:pPr>
        <w:spacing w:after="0" w:line="158"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 xml:space="preserve">In July 2019, the Company entered into the miniCEP290 License Agreement with UMass. Under the miniCEP290 License Agreement, UMass granted it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including LCA10.</w:t>
      </w:r>
    </w:p>
    <w:p>
      <w:pPr>
        <w:spacing w:after="0" w:line="214"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In July 2019, the Company issued to UMass 75,000 shares of its common stock following execution of the miniCEP290 License Agreement pursuant to an exemption from registration afforded by Section 4(a)(2) of the Securities Act. In September 2019, it paid UMass a $0.4 million upfront license fee, which was recorded as a research and development expense, and it paid UMass accrued patent prosecution expenses of approximately $18 thousand, which was recorded as a general and administrative expense.</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has also agreed to pay UMass an annual license maintenance fee in the low double-digit thousands of dollars, which will be payable on an annual basis until the expiration of the royalty term for the licensed products. Furthermore, it has agreed to reimburse UMass for the costs and expenses of patent prosecution and maintenance related to the licensed patent rights.</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further agreed to pay UMass up to an aggregate of $14.75 million in cash and issue up to 75,000 shares of its common stock if it achieves specified clinical and regulatory milestones with respect to a licensed product. In addition, the Company has agreed to pay UMass up to an aggregate of $48.0 million if it achieves specified commercial sales milestones with respect to a licensed product.</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is also obligated to pay UMass royalties at a low single-digit percentage of net sales of licensed products. Its obligation to pay royalties under the miniCEP290 License Agreement will continue on a licensed product-by-licensed product and country-by-country basis until the later of:</w:t>
      </w:r>
    </w:p>
    <w:p>
      <w:pPr>
        <w:ind w:right="20" w:firstLine="8"/>
        <w:spacing w:after="0" w:line="253" w:lineRule="auto"/>
        <w:tabs>
          <w:tab w:leader="none" w:pos="2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it is also obligated to pay certain minimum royalties, not to exceed an amount in the mid-double-digit thousands of dollars on an annual basis, which minimum royalties are creditable against its royalty obligation with respect to net sales of licensed products due in the year the minimum royalty is paid.</w:t>
      </w:r>
    </w:p>
    <w:p>
      <w:pPr>
        <w:spacing w:after="0" w:line="21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the Company or any of its affiliates sublicenses any of the licensed patent rights or know-how to a third party, it will be obligated to pay UMass a high single-digit to a mid-tens percentage of the consideration received in exchange for such sublicense, with the applicable percentage based upon the stage of development of the licensed products at the time it or the applicable affiliate enters into the sublicense.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the Company receives a rare pediatric disease priority review voucher from the FDA in connection with obtaining marketing approval for a licensed product, and it subsequently uses such priority review voucher in connection with a different product candidate outside the scope of the miniCEP290 License Agreement, it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it sells such a priority review voucher to a third party, it will be obligated to pay UMass a low-thirties percentage of any consideration received from such third party in connection with such sale.</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miniCEP290 License Agreement, unless earlier terminated by the Company or UMass, will expire upon the expiration of its obligation to pay royalties to UMass on net sales of licensed products. The Company may terminate the miniCEP290 License Agreement at any time for any reason upon prior written notice to UMass. It may also terminate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miniCEP290 License Agreement if UMass materially breaches the miniCEP290 License Agreement and does not cure such breach within a specified cure period.</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UMass may terminate the miniCEP290 License Agreement if the Company materially breaches the miniCEP290 License Agreement and does not cure such breach within a specified cure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2021 and 2020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740" w:type="dxa"/>
            <w:vAlign w:val="bottom"/>
          </w:tcPr>
          <w:p>
            <w:pPr>
              <w:jc w:val="center"/>
              <w:ind w:left="1057"/>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8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1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jc w:val="center"/>
              <w:ind w:left="1057"/>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manufacturing and clinical equipment</w:t>
            </w:r>
          </w:p>
        </w:tc>
        <w:tc>
          <w:tcPr>
            <w:tcW w:w="2740" w:type="dxa"/>
            <w:vAlign w:val="bottom"/>
            <w:shd w:val="clear" w:color="auto" w:fill="CCEEFF"/>
          </w:tcPr>
          <w:p>
            <w:pPr>
              <w:jc w:val="center"/>
              <w:ind w:left="1077"/>
              <w:spacing w:after="0"/>
              <w:rPr>
                <w:sz w:val="20"/>
                <w:szCs w:val="20"/>
                <w:color w:val="auto"/>
              </w:rPr>
            </w:pPr>
            <w:r>
              <w:rPr>
                <w:rFonts w:ascii="Arial" w:cs="Arial" w:eastAsia="Arial" w:hAnsi="Arial"/>
                <w:sz w:val="18"/>
                <w:szCs w:val="18"/>
                <w:color w:val="auto"/>
                <w:w w:val="91"/>
              </w:rPr>
              <w:t>5 - 10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2740" w:type="dxa"/>
            <w:vAlign w:val="bottom"/>
          </w:tcPr>
          <w:p>
            <w:pPr>
              <w:jc w:val="center"/>
              <w:ind w:left="1057"/>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w:t>
            </w:r>
          </w:p>
        </w:tc>
        <w:tc>
          <w:tcPr>
            <w:tcW w:w="2740" w:type="dxa"/>
            <w:vAlign w:val="bottom"/>
            <w:shd w:val="clear" w:color="auto" w:fill="CCEEFF"/>
          </w:tcPr>
          <w:p>
            <w:pPr>
              <w:jc w:val="center"/>
              <w:ind w:left="1057"/>
              <w:spacing w:after="0"/>
              <w:rPr>
                <w:sz w:val="20"/>
                <w:szCs w:val="20"/>
                <w:color w:val="auto"/>
              </w:rPr>
            </w:pPr>
            <w:r>
              <w:rPr>
                <w:rFonts w:ascii="Arial" w:cs="Arial" w:eastAsia="Arial" w:hAnsi="Arial"/>
                <w:sz w:val="18"/>
                <w:szCs w:val="18"/>
                <w:color w:val="auto"/>
                <w:w w:val="79"/>
              </w:rPr>
              <w:t>5</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7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
        </w:trPr>
        <w:tc>
          <w:tcPr>
            <w:tcW w:w="5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2021, 2020 and 2019, depreciation expense was $39 thousand, $143 thousand and $162 thousand,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48" w:lineRule="exact"/>
        <w:rPr>
          <w:sz w:val="20"/>
          <w:szCs w:val="20"/>
          <w:color w:val="auto"/>
        </w:rPr>
      </w:pPr>
    </w:p>
    <w:p>
      <w:pPr>
        <w:jc w:val="both"/>
        <w:ind w:firstLine="196"/>
        <w:spacing w:after="0" w:line="301"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84" w:lineRule="exact"/>
        <w:rPr>
          <w:sz w:val="20"/>
          <w:szCs w:val="20"/>
          <w:color w:val="auto"/>
        </w:rPr>
      </w:pPr>
    </w:p>
    <w:p>
      <w:pPr>
        <w:jc w:val="both"/>
        <w:ind w:firstLine="268"/>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7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state rate changes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6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benefit are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(liabilities) for 2021 and 2020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License and technology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7,479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Lease obligation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Federal and state net operating loss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165,401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130,524</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171,666</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(206,468)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(171,666)</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incurred tax losses in 2021 and 2020. The Company has carried forward its federal and state tax losses due to the inability of carryback claims. Federal NOLs incurred prior to 2018 will begin to expire in 2034 if not utilized. Post 2017 Federal NOLs have an unlimited life. The state NOLs are expected to begin to expire in 2025. Due to the Company's history of losses and lack of other positive evidence to support taxable income, the Company has recorded a valuation allowance against those remaining deferred tax assets that are not expected to be realized. As of December 31, 2021, the Company has federal NOL carryforwards of approximately $562 million.</w:t>
      </w:r>
    </w:p>
    <w:p>
      <w:pPr>
        <w:spacing w:after="0" w:line="215"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For the year ended December 31, 2021, the Company recorded no benefit from income taxes. For the years ended December 31, 2020 and 2019, the Company recorded an income tax benefit of $3.7 million and $0.1 million, respectively, due primarily to reflect the settlements of local tax audits.</w:t>
      </w:r>
    </w:p>
    <w:p>
      <w:pPr>
        <w:spacing w:after="0" w:line="15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March 27, 2020, in response to the COVID-19 pandemic, the U.S. Congress enacted the Coronavirus Aid, Relief, and Economic Security Act ("CARES Act"). The CARES Act provides numerous tax provisions and other stimulus measures,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3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including the immediate refund of minimum tax credits. In April 2021, the Company received the remaining balance, approximately $1.8 million, of its minimum tax credits refund.</w:t>
      </w:r>
    </w:p>
    <w:p>
      <w:pPr>
        <w:spacing w:after="0" w:line="1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With respect to the remaining deferred tax assets, except for the AMT credits previously discussed above, there was no change in the amount of assets realizable at December 31, 2021.</w:t>
      </w:r>
    </w:p>
    <w:p>
      <w:pPr>
        <w:spacing w:after="0" w:line="19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 xml:space="preserve">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routinely evaluates the likelihood of success if challenged on income tax positions claimed on its income tax returns. During the year ended December 31, 2021, there was no change in the Company's uncertain tax liability.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420"/>
              <w:spacing w:after="0"/>
              <w:rPr>
                <w:sz w:val="20"/>
                <w:szCs w:val="20"/>
                <w:color w:val="auto"/>
              </w:rPr>
            </w:pPr>
            <w:r>
              <w:rPr>
                <w:rFonts w:ascii="Arial" w:cs="Arial" w:eastAsia="Arial" w:hAnsi="Arial"/>
                <w:sz w:val="18"/>
                <w:szCs w:val="18"/>
                <w:color w:val="auto"/>
              </w:rPr>
              <w:t>The Company's position with respect to uncertain tax positions is set forth below:</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08"/>
        </w:trPr>
        <w:tc>
          <w:tcPr>
            <w:tcW w:w="9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decreases in unrecognized tax benefits during the period - other</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Closing Balance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21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is currently subject to audit by the U.S. Internal Revenue Service, or IRS, for the years 2018 through 2020, and state tax jurisdictions for the years 2017 through 2020. However, the IRS or state tax authorities may still examine and adjust an NOL or R&amp;D credit arising from a closed year to the extent it is utilized in a year that remains subject to audit. The Company’s previously filed income tax returns are not presently under audit by the IRS or state tax authorities.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Leases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principal executive office was previously at One Penn Plaza, New York, NY. The term of this lease expired in December 2020.</w:t>
      </w:r>
    </w:p>
    <w:p>
      <w:pPr>
        <w:spacing w:after="0" w:line="26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 December 2020, the Company entered into a lease agreement for office space located in Parsippany, New Jersey. The Company recognized a right-to-use asset and lease liability when the term of the lease commenced in April 2021. The term of the lease for the Company's Parsippany office will expire in August 2023.</w:t>
      </w:r>
    </w:p>
    <w:p>
      <w:pPr>
        <w:spacing w:after="0" w:line="21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leases office space located in Cranbury, New Jersey under non-cancelable operating lease arrangements. The lease for the Company's Cranbury office commenced in February 2020 and expires in February 2023.</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is party to an office service agreement with Regus Management Group, LLC for use of office space at Five Penn Plaza, New York,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currently expires in May 2022.</w:t>
      </w:r>
    </w:p>
    <w:p>
      <w:pPr>
        <w:spacing w:after="0" w:line="23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the years ended December 31, 2021, 2020 and 2019, lease and rent expense was $0.7 million, $0.6 million, and $1.0 million, respectively. Cash paid from operating cash flows for amounts included in the measurement of lease liabilities was $0.7 million and $0.6 million for the years ended December 31, 2021 and 2020, respectively. At December 31, 2021, the Company's operating leases had a weighted average remaining lease term of 1.6 years and a weighted average estimated incremental borrowing rate of 3.2% .</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420"/>
              <w:spacing w:after="0"/>
              <w:rPr>
                <w:sz w:val="20"/>
                <w:szCs w:val="20"/>
                <w:color w:val="auto"/>
              </w:rPr>
            </w:pPr>
            <w:r>
              <w:rPr>
                <w:rFonts w:ascii="Arial" w:cs="Arial" w:eastAsia="Arial" w:hAnsi="Arial"/>
                <w:sz w:val="18"/>
                <w:szCs w:val="18"/>
                <w:color w:val="auto"/>
                <w:w w:val="99"/>
              </w:rPr>
              <w:t>The following presents the maturity of the Company's operating lease liabilities as of December 31, 2021:</w:t>
            </w: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108"/>
        </w:trPr>
        <w:tc>
          <w:tcPr>
            <w:tcW w:w="8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30"/>
        </w:trPr>
        <w:tc>
          <w:tcPr>
            <w:tcW w:w="8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December 31, 2021</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licensed products.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Research Foundation and the University of Pennsylvania</w:t>
      </w:r>
    </w:p>
    <w:p>
      <w:pPr>
        <w:spacing w:after="0" w:line="144" w:lineRule="exact"/>
        <w:rPr>
          <w:sz w:val="20"/>
          <w:szCs w:val="20"/>
          <w:color w:val="auto"/>
        </w:rPr>
      </w:pPr>
    </w:p>
    <w:p>
      <w:pPr>
        <w:ind w:right="20" w:firstLine="180"/>
        <w:spacing w:after="0" w:line="287" w:lineRule="auto"/>
        <w:rPr>
          <w:sz w:val="20"/>
          <w:szCs w:val="20"/>
          <w:color w:val="auto"/>
        </w:rPr>
      </w:pPr>
      <w:r>
        <w:rPr>
          <w:rFonts w:ascii="Arial" w:cs="Arial" w:eastAsia="Arial" w:hAnsi="Arial"/>
          <w:sz w:val="16"/>
          <w:szCs w:val="16"/>
          <w:color w:val="auto"/>
        </w:rPr>
        <w:t>Under its exclusive license agreement with UFRF and Penn for rights to IC-100, the Company is obligated to make payments to UFRF, for the benefit of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 Research Foundation</w:t>
      </w:r>
    </w:p>
    <w:p>
      <w:pPr>
        <w:spacing w:after="0" w:line="158"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Under its exclusive license agreement with Penn and UFRF for rights to IC-200, the Company is obligated to make payments to Penn, for the benefit of the Licensors, of up to an aggregate of $15.7 million if the Company achieves specified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6" w:name="page187"/>
    <w:bookmarkEnd w:id="1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clinical, marketing approval and reimbursement approval milestones with respect to one licensed product and up to an aggregate of an additional</w:t>
      </w:r>
    </w:p>
    <w:p>
      <w:pPr>
        <w:spacing w:after="0" w:line="3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mid-ten's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Under the miniCEP290 License Agreement,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8"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Under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including IC-500,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of the Inception 4 Merger,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7" w:name="page188"/>
    <w:bookmarkEnd w:id="1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58" w:lineRule="exact"/>
        <w:rPr>
          <w:sz w:val="20"/>
          <w:szCs w:val="20"/>
          <w:color w:val="auto"/>
        </w:rPr>
      </w:pPr>
    </w:p>
    <w:p>
      <w:pPr>
        <w:jc w:val="both"/>
        <w:ind w:right="400" w:firstLine="177"/>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8"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which has been submitted to the court for approval. Under the terms of the settlement agreement, the Company agreed to pay $29 million, which includes the attorneys' fees and costs and expenses for the plaintiffs' counsel, and the Company expects this settlement amount will be fully covered and paid directly to the plaintiffs by its insurance carriers. The Company does not expect this settlement, if approved in its current form, to have a material impact on its financial condition.</w:t>
      </w:r>
    </w:p>
    <w:p>
      <w:pPr>
        <w:spacing w:after="0" w:line="90" w:lineRule="exact"/>
        <w:rPr>
          <w:sz w:val="20"/>
          <w:szCs w:val="20"/>
          <w:color w:val="auto"/>
        </w:rPr>
      </w:pPr>
    </w:p>
    <w:p>
      <w:pPr>
        <w:ind w:right="20" w:firstLine="405"/>
        <w:spacing w:after="0" w:line="251" w:lineRule="auto"/>
        <w:rPr>
          <w:sz w:val="20"/>
          <w:szCs w:val="20"/>
          <w:color w:val="auto"/>
        </w:rPr>
      </w:pPr>
      <w:r>
        <w:rPr>
          <w:rFonts w:ascii="Arial" w:cs="Arial" w:eastAsia="Arial" w:hAnsi="Arial"/>
          <w:sz w:val="16"/>
          <w:szCs w:val="16"/>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8" w:name="page189"/>
    <w:bookmarkEnd w:id="1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37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defendant directors to December 2022. On October 18, 2021, the parties notified the court overseeing the Pacheco matter that they had reached an agreement in principle to settle the action. . On January 27, 2022, the parties executed a settlement agreement, which has been submitted to the court for approval.</w:t>
      </w:r>
    </w:p>
    <w:p>
      <w:pPr>
        <w:spacing w:after="0" w:line="121"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2022. On January 27, 2022, the parties executed a settlement agreement.</w:t>
      </w:r>
    </w:p>
    <w:p>
      <w:pPr>
        <w:spacing w:after="0" w:line="10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denies any and all allegations of wrongdoing and intends to vigorously defend against these lawsuits. The Company is unable, however, to predict the outcome of these matters, including that of the settlement agreement discussions,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and Compensation Plans</w:t>
      </w:r>
    </w:p>
    <w:p>
      <w:pPr>
        <w:spacing w:after="0" w:line="162"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Following the effectiveness of the 2013 Stock Incentive Plan described below in connection with the closing of the Company's initial public offering, the Company is no longer granting additional awards under the 2007 Plan.</w:t>
      </w:r>
    </w:p>
    <w:p>
      <w:pPr>
        <w:spacing w:after="0" w:line="11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w:t>
      </w:r>
    </w:p>
    <w:p>
      <w:pPr>
        <w:spacing w:after="0" w:line="1" w:lineRule="exact"/>
        <w:rPr>
          <w:sz w:val="20"/>
          <w:szCs w:val="20"/>
          <w:color w:val="auto"/>
        </w:rPr>
      </w:pPr>
    </w:p>
    <w:p>
      <w:pPr>
        <w:ind w:firstLine="8"/>
        <w:spacing w:after="0" w:line="253"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9" w:name="page190"/>
    <w:bookmarkEnd w:id="1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Annual increases under the evergreen provisions of the 2013 Plan have resulted in the addition of an aggregate of approximately 15,624,000 additional shares to the 2013 Plan, including for 2022, an increase of approximately 2,542,000 shares. As of December 31, 2021, the Company had approximately 1,168,000 shares available for grant under the 2013 Plan.</w:t>
      </w:r>
    </w:p>
    <w:p>
      <w:pPr>
        <w:spacing w:after="0" w:line="10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2019, the Company's board of directors adopted the 2019 Inducement Stock Incentive Plan (the “2019 Inducement Plan”) to reserve 1,000,000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In March 2020, the Company's board of directors amended the 2019 Inducement Plan to reserve an additional 1,000,000 shares of its common stock for issuance under the plan and in February 2021, the Company's board of directors further amended the 2019 Inducement Plan to reserve an additional 600,000 shares of its common stock for issuance under the plan. In September 2021 and December 2021, the Company's board of directors further amended the 2019 Inducement Plan to reserve an additional 1,000,000 shares of common stock and an additional 1,000,000 shares of common stock, respectively, for issuance under the plan. The terms and conditions of the 2019 Inducement Plan are substantially similar to those of the 2013 Plan. As of December 31, 2021, the Company had approximately 1,372,000 shares available for grant under the 2019 Inducement Plan.</w:t>
      </w:r>
    </w:p>
    <w:p>
      <w:pPr>
        <w:spacing w:after="0" w:line="9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11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2021, 2020 and 2019 is as follows (in thousands except weighted average exercise price):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98"/>
              <w:spacing w:after="0" w:line="13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7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3,204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Weighted average grant date fair value (per share) of options granted during the period  $</w:t>
            </w:r>
          </w:p>
        </w:tc>
        <w:tc>
          <w:tcPr>
            <w:tcW w:w="54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r>
    </w:tbl>
    <w:p>
      <w:pPr>
        <w:spacing w:after="0" w:line="13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As of December 31, 2021, there were approximately 10,386,000 options outstanding, net of estimated forfeitures, that had vested or are expected to vest. The weighted-average exercise price of these options was $10.98 per option; the weighted-average remaining contractual life of these options was 7.4 years; and the aggregate intrinsic value of these options was approximately $88.8 million. A summary of the stock options outstanding and exercisable as of December 31, 2021 is as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follows (in thousands except exercise prices and weighted average exercise price):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1320" w:type="dxa"/>
            <w:vAlign w:val="bottom"/>
            <w:tcBorders>
              <w:top w:val="single" w:sz="8" w:color="auto"/>
            </w:tcBorders>
          </w:tcPr>
          <w:p>
            <w:pPr>
              <w:jc w:val="center"/>
              <w:ind w:right="28"/>
              <w:spacing w:after="0" w:line="130"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8"/>
              <w:spacing w:after="0" w:line="130"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7"/>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60" w:type="dxa"/>
            <w:vAlign w:val="bottom"/>
          </w:tcPr>
          <w:p>
            <w:pPr>
              <w:spacing w:after="0"/>
              <w:rPr>
                <w:sz w:val="11"/>
                <w:szCs w:val="11"/>
                <w:color w:val="auto"/>
              </w:rPr>
            </w:pPr>
          </w:p>
        </w:tc>
        <w:tc>
          <w:tcPr>
            <w:tcW w:w="10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$1.20-$2.96</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420" w:type="dxa"/>
            <w:vAlign w:val="bottom"/>
            <w:tcBorders>
              <w:top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$2.97-$4.88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1,917</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$4.89-$8.07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$8.08-$15.00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2,079</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$15.01-$73.22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88,821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2021, 2020 and 2019, respectively,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4,997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1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connection with stock option awards granted to employees, non-employees directors and certain other individuals, the Company recognized approximately $6.5 million, $4.7 million and $5.9 million in share-based compensation expense during the years ended December 31, 2021, 2020 and 2019, respectively, net of expected forfeitures. As of December 31, 2021, there were approximately $37.6 million of unrecognized compensation costs, net of estimated forfeitures, related to stock option awards grants, which are expected to be recognized over a remaining weighted average period of 3.4 years.</w:t>
      </w:r>
    </w:p>
    <w:p>
      <w:pPr>
        <w:spacing w:after="0" w:line="90" w:lineRule="exact"/>
        <w:rPr>
          <w:sz w:val="20"/>
          <w:szCs w:val="20"/>
          <w:color w:val="auto"/>
        </w:rPr>
      </w:pPr>
    </w:p>
    <w:p>
      <w:pPr>
        <w:ind w:right="600" w:firstLine="648"/>
        <w:spacing w:after="0" w:line="269" w:lineRule="auto"/>
        <w:rPr>
          <w:sz w:val="20"/>
          <w:szCs w:val="20"/>
          <w:color w:val="auto"/>
        </w:rPr>
      </w:pPr>
      <w:r>
        <w:rPr>
          <w:rFonts w:ascii="Arial" w:cs="Arial" w:eastAsia="Arial" w:hAnsi="Arial"/>
          <w:sz w:val="18"/>
          <w:szCs w:val="18"/>
          <w:color w:val="auto"/>
        </w:rPr>
        <w:t>The following table presents a summary of the Company's outstanding RSU awards granted as of December 31, 2021 (in thousands except weighted average grant-date fair value)</w:t>
      </w:r>
    </w:p>
    <w:tbl>
      <w:tblPr>
        <w:tblLayout w:type="fixed"/>
        <w:tblInd w:w="20" w:type="dxa"/>
        <w:tblCellMar>
          <w:top w:w="0" w:type="dxa"/>
          <w:left w:w="0" w:type="dxa"/>
          <w:bottom w:w="0" w:type="dxa"/>
          <w:right w:w="0" w:type="dxa"/>
        </w:tblCellMar>
      </w:tblPr>
      <w:tr>
        <w:trPr>
          <w:trHeight w:val="144"/>
        </w:trPr>
        <w:tc>
          <w:tcPr>
            <w:tcW w:w="7580" w:type="dxa"/>
            <w:vAlign w:val="bottom"/>
          </w:tcPr>
          <w:p>
            <w:pPr>
              <w:spacing w:after="0"/>
              <w:rPr>
                <w:sz w:val="12"/>
                <w:szCs w:val="12"/>
                <w:color w:val="auto"/>
              </w:rPr>
            </w:pPr>
          </w:p>
        </w:tc>
        <w:tc>
          <w:tcPr>
            <w:tcW w:w="124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w w:val="90"/>
              </w:rPr>
              <w:t>Restricted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7580" w:type="dxa"/>
            <w:vAlign w:val="bottom"/>
          </w:tcPr>
          <w:p>
            <w:pPr>
              <w:spacing w:after="0"/>
              <w:rPr>
                <w:sz w:val="11"/>
                <w:szCs w:val="11"/>
                <w:color w:val="auto"/>
              </w:rPr>
            </w:pPr>
          </w:p>
        </w:tc>
        <w:tc>
          <w:tcPr>
            <w:tcW w:w="1240" w:type="dxa"/>
            <w:vAlign w:val="bottom"/>
          </w:tcPr>
          <w:p>
            <w:pPr>
              <w:jc w:val="center"/>
              <w:ind w:left="468"/>
              <w:spacing w:after="0" w:line="135"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6"/>
              </w:rPr>
              <w:t>Grant-Date</w:t>
            </w:r>
          </w:p>
        </w:tc>
      </w:tr>
      <w:tr>
        <w:trPr>
          <w:trHeight w:val="188"/>
        </w:trPr>
        <w:tc>
          <w:tcPr>
            <w:tcW w:w="7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1,274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30"/>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right="660" w:firstLine="445"/>
        <w:spacing w:after="0" w:line="342" w:lineRule="auto"/>
        <w:rPr>
          <w:sz w:val="20"/>
          <w:szCs w:val="20"/>
          <w:color w:val="auto"/>
        </w:rPr>
      </w:pPr>
      <w:r>
        <w:rPr>
          <w:rFonts w:ascii="Arial" w:cs="Arial" w:eastAsia="Arial" w:hAnsi="Arial"/>
          <w:sz w:val="16"/>
          <w:szCs w:val="16"/>
          <w:color w:val="auto"/>
        </w:rPr>
        <w:t>As of December 31, 2021, there were approximately 2,044,000 RSUs outstanding, net of estimated forfeitures, that are expected to vest. The weighted-average fair value of these RSUs was $9.82 per share; and the aggregate intrinsic value of these RSUs was approximately $34.2 million.</w:t>
      </w:r>
    </w:p>
    <w:p>
      <w:pPr>
        <w:spacing w:after="0" w:line="15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RSUs granted to employees, non-employees directors and certain other individuals, the Company recognized approximately $4.6 million, $3.3 million and $3.0 million in share-based compensation expense during the years ended December 31, 2021, 2020 and 2019, respectively, net of expected forfeitures. As of December 31, 2021, there was approximately $18.8 million of unrecognized compensation costs, net of estimated forfeitures, related to RSU grants, which 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expected to be recognized over a remaining weighted average period of 3.2 years. The total fair value of the RSUs that vested during the year ended December 31, 2021 was $3.7 million.</w:t>
      </w:r>
    </w:p>
    <w:p>
      <w:pPr>
        <w:spacing w:after="0" w:line="19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In connection with the ESPP made available to employees, the Company recognized approximately $0.2 million and $0.1 million of share-based compensation expense during the years ended December 31, 2021 and December 31, 2020, respectively, net of expected forfeitures. As of December 31, 2021, there was a de minimis amount of unrecognized compensation costs, net of estimated forfeitures, related to the ESPP, which are expected to be recognized over 0.2 years. There were 51,951 and 76,402 shares of common stock issued under the ESPP during the year ended December 31, 2021 and 2020, respectively. Cash proceeds from ESPP purchases were approximately $0.3 million and $0.1 million during the year ended December 31, 2021 and 2020, respectively. As of December 31, 2021, 753,410 shares were available for future purchases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56"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$0.6 million, $0.3 million and $0.2 million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125" w:right="479" w:bottom="1440" w:gutter="0" w:footer="0" w:header="0"/>
        </w:sectPr>
      </w:pPr>
    </w:p>
    <w:bookmarkStart w:id="192" w:name="page193"/>
    <w:bookmarkEnd w:id="192"/>
    <w:p>
      <w:pPr>
        <w:jc w:val="center"/>
        <w:ind w:left="340" w:right="400"/>
        <w:spacing w:after="0" w:line="222"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FIRST AMENDMENT TO</w:t>
      </w:r>
    </w:p>
    <w:p>
      <w:pPr>
        <w:jc w:val="center"/>
        <w:ind w:right="-39"/>
        <w:spacing w:after="0"/>
        <w:rPr>
          <w:sz w:val="20"/>
          <w:szCs w:val="20"/>
          <w:color w:val="auto"/>
        </w:rPr>
      </w:pPr>
      <w:r>
        <w:rPr>
          <w:rFonts w:ascii="Arial" w:cs="Arial" w:eastAsia="Arial" w:hAnsi="Arial"/>
          <w:sz w:val="22"/>
          <w:szCs w:val="22"/>
          <w:b w:val="1"/>
          <w:bCs w:val="1"/>
          <w:color w:val="auto"/>
        </w:rPr>
        <w:t>LICENSE AGREEMENT NO. A18025</w:t>
      </w:r>
    </w:p>
    <w:p>
      <w:pPr>
        <w:spacing w:after="0" w:line="179" w:lineRule="exact"/>
        <w:rPr>
          <w:sz w:val="20"/>
          <w:szCs w:val="20"/>
          <w:color w:val="auto"/>
        </w:rPr>
      </w:pPr>
    </w:p>
    <w:p>
      <w:pPr>
        <w:ind w:firstLine="648"/>
        <w:spacing w:after="0" w:line="212" w:lineRule="auto"/>
        <w:rPr>
          <w:sz w:val="20"/>
          <w:szCs w:val="20"/>
          <w:color w:val="auto"/>
        </w:rPr>
      </w:pPr>
      <w:r>
        <w:rPr>
          <w:rFonts w:ascii="Arial" w:cs="Arial" w:eastAsia="Arial" w:hAnsi="Arial"/>
          <w:sz w:val="21"/>
          <w:szCs w:val="21"/>
          <w:color w:val="auto"/>
        </w:rPr>
        <w:t>This First Amendment to License Agreement No. A18025 effective December 13, 2021 (“First Amendment”), is entered into among The University of Florida Research Foundation, Inc., a not-for-profit corporation duly organized and existing under the laws of the State of Florida and having its principal office at 310 Walker Hall, Gainesville, Florida 32611 (“UFRF”), The Trustees of the University of Pennsylvania, a nonprofit corporation with offices located at Penn Center for Innovation, 3600 Civic Center, 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Philadelphia, PA 19104 (“Penn”, together with UFRF, the “Licensors”) and IVERIC Bio Gene Therapy LLC, a Delaware limited liability company having a place of business at Five Penn Plaza, Suite 2372, New York, NY 10001 (hereinafter referred to as “Licensee”).</w:t>
      </w:r>
    </w:p>
    <w:p>
      <w:pPr>
        <w:spacing w:after="0" w:line="201" w:lineRule="exact"/>
        <w:rPr>
          <w:sz w:val="20"/>
          <w:szCs w:val="20"/>
          <w:color w:val="auto"/>
        </w:rPr>
      </w:pPr>
    </w:p>
    <w:p>
      <w:pPr>
        <w:jc w:val="both"/>
        <w:ind w:right="200" w:firstLine="648"/>
        <w:spacing w:after="0" w:line="218" w:lineRule="auto"/>
        <w:rPr>
          <w:sz w:val="20"/>
          <w:szCs w:val="20"/>
          <w:color w:val="auto"/>
        </w:rPr>
      </w:pPr>
      <w:r>
        <w:rPr>
          <w:rFonts w:ascii="Arial" w:cs="Arial" w:eastAsia="Arial" w:hAnsi="Arial"/>
          <w:sz w:val="22"/>
          <w:szCs w:val="22"/>
          <w:color w:val="auto"/>
        </w:rPr>
        <w:t>WHEREAS, the parties entered into and are party to a license agreement effective June 6, 2018 (hereinafter “License Agreement”) Capitalized terms used but not defined herein shall have the meaning ascribed to them in the License Agreement;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wish to amend the License Agreement by this First Amendment;</w:t>
      </w:r>
    </w:p>
    <w:p>
      <w:pPr>
        <w:spacing w:after="0" w:line="179" w:lineRule="exact"/>
        <w:rPr>
          <w:sz w:val="20"/>
          <w:szCs w:val="20"/>
          <w:color w:val="auto"/>
        </w:rPr>
      </w:pPr>
    </w:p>
    <w:p>
      <w:pPr>
        <w:ind w:right="560"/>
        <w:spacing w:after="0" w:line="225" w:lineRule="auto"/>
        <w:rPr>
          <w:sz w:val="20"/>
          <w:szCs w:val="20"/>
          <w:color w:val="auto"/>
        </w:rPr>
      </w:pPr>
      <w:r>
        <w:rPr>
          <w:rFonts w:ascii="Arial" w:cs="Arial" w:eastAsia="Arial" w:hAnsi="Arial"/>
          <w:sz w:val="22"/>
          <w:szCs w:val="22"/>
          <w:color w:val="auto"/>
        </w:rPr>
        <w:t>NOW THEREFORE, in consideration of the premises and mutual covenants contained herein the parties hereto agree as follows:</w:t>
      </w:r>
    </w:p>
    <w:p>
      <w:pPr>
        <w:spacing w:after="0" w:line="174" w:lineRule="exact"/>
        <w:rPr>
          <w:sz w:val="20"/>
          <w:szCs w:val="20"/>
          <w:color w:val="auto"/>
        </w:rPr>
      </w:pPr>
    </w:p>
    <w:p>
      <w:pPr>
        <w:ind w:left="600" w:hanging="592"/>
        <w:spacing w:after="0"/>
        <w:tabs>
          <w:tab w:leader="none" w:pos="6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Section 3.2(a) of the License Agreement is hereby deleted and replaced with the following::</w:t>
      </w:r>
    </w:p>
    <w:p>
      <w:pPr>
        <w:spacing w:after="0" w:line="380" w:lineRule="exact"/>
        <w:rPr>
          <w:rFonts w:ascii="Arial" w:cs="Arial" w:eastAsia="Arial" w:hAnsi="Arial"/>
          <w:sz w:val="22"/>
          <w:szCs w:val="22"/>
          <w:color w:val="auto"/>
        </w:rPr>
      </w:pPr>
    </w:p>
    <w:p>
      <w:pPr>
        <w:jc w:val="both"/>
        <w:ind w:right="560" w:firstLine="224"/>
        <w:spacing w:after="0" w:line="257" w:lineRule="auto"/>
        <w:tabs>
          <w:tab w:leader="none" w:pos="672" w:val="left"/>
        </w:tabs>
        <w:numPr>
          <w:ilvl w:val="2"/>
          <w:numId w:val="119"/>
        </w:numPr>
        <w:rPr>
          <w:rFonts w:ascii="Arial" w:cs="Arial" w:eastAsia="Arial" w:hAnsi="Arial"/>
          <w:sz w:val="19"/>
          <w:szCs w:val="19"/>
          <w:color w:val="auto"/>
        </w:rPr>
      </w:pPr>
      <w:r>
        <w:rPr>
          <w:rFonts w:ascii="Arial" w:cs="Arial" w:eastAsia="Arial" w:hAnsi="Arial"/>
          <w:sz w:val="19"/>
          <w:szCs w:val="19"/>
          <w:color w:val="auto"/>
        </w:rPr>
        <w:t>Licensee agrees that the First Commercial Sale of Licensed Products to a customer shall occur on or before [**]. In addition, if Licensee fails to achieve such First Commercial Sale within such timeframe or to meet the milestones shown in Appendix E (as such dates or milestones may be extended in accordance with Section 3.2(b), Licensors may terminate this Agreement pursuant to Section 9.3. Licensee shall notify Licensors in writing as each milestone is met.</w:t>
      </w:r>
    </w:p>
    <w:p>
      <w:pPr>
        <w:spacing w:after="0" w:line="186" w:lineRule="exact"/>
        <w:rPr>
          <w:rFonts w:ascii="Arial" w:cs="Arial" w:eastAsia="Arial" w:hAnsi="Arial"/>
          <w:sz w:val="19"/>
          <w:szCs w:val="19"/>
          <w:color w:val="auto"/>
        </w:rPr>
      </w:pPr>
    </w:p>
    <w:p>
      <w:pPr>
        <w:ind w:right="720" w:firstLine="62"/>
        <w:spacing w:after="0" w:line="225" w:lineRule="auto"/>
        <w:tabs>
          <w:tab w:leader="none" w:pos="89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Milestones detailed in Appendix E – Milestones of the License Agreement is hereby deleted and replaced with the attached Amended Appendix E - Milestones.</w:t>
      </w:r>
    </w:p>
    <w:p>
      <w:pPr>
        <w:spacing w:after="0" w:line="201" w:lineRule="exact"/>
        <w:rPr>
          <w:sz w:val="20"/>
          <w:szCs w:val="20"/>
          <w:color w:val="auto"/>
        </w:rPr>
      </w:pPr>
    </w:p>
    <w:p>
      <w:pPr>
        <w:ind w:right="160" w:firstLine="8"/>
        <w:spacing w:after="0" w:line="218" w:lineRule="auto"/>
        <w:tabs>
          <w:tab w:leader="none" w:pos="41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This First Amendment, together with the License Agreement, constitute the entire agreement between the parties. All other provisions of the License Agreement, except as expressly amended by this First Amendment, shall remain in full force and effect and unmodified by this First Amendment.</w:t>
      </w:r>
    </w:p>
    <w:p>
      <w:pPr>
        <w:spacing w:after="0" w:line="174" w:lineRule="exact"/>
        <w:rPr>
          <w:rFonts w:ascii="Arial" w:cs="Arial" w:eastAsia="Arial" w:hAnsi="Arial"/>
          <w:sz w:val="22"/>
          <w:szCs w:val="22"/>
          <w:color w:val="auto"/>
        </w:rPr>
      </w:pPr>
    </w:p>
    <w:p>
      <w:pPr>
        <w:ind w:right="400" w:firstLine="8"/>
        <w:spacing w:after="0" w:line="225" w:lineRule="auto"/>
        <w:tabs>
          <w:tab w:leader="none" w:pos="6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Licensors acknowledge Licensee may file a copy of this First Amendment with the securities and exchange commission, in accordance with its rules and regulations.</w:t>
      </w:r>
    </w:p>
    <w:p>
      <w:pPr>
        <w:spacing w:after="0" w:line="200" w:lineRule="exact"/>
        <w:rPr>
          <w:rFonts w:ascii="Arial" w:cs="Arial" w:eastAsia="Arial" w:hAnsi="Arial"/>
          <w:sz w:val="22"/>
          <w:szCs w:val="22"/>
          <w:color w:val="auto"/>
        </w:rPr>
      </w:pPr>
    </w:p>
    <w:p>
      <w:pPr>
        <w:ind w:right="140" w:firstLine="8"/>
        <w:spacing w:after="0" w:line="225" w:lineRule="auto"/>
        <w:tabs>
          <w:tab w:leader="none" w:pos="41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This First Amendment may be executed in two or more counterparts, each of which shall be deemed an original and together shall be deemed one and the same instrument.</w:t>
      </w:r>
    </w:p>
    <w:p>
      <w:pPr>
        <w:sectPr>
          <w:pgSz w:w="11900" w:h="16838" w:orient="portrait"/>
          <w:cols w:equalWidth="0" w:num="1">
            <w:col w:w="11220"/>
          </w:cols>
          <w:pgMar w:left="320" w:top="122" w:right="359" w:bottom="1440" w:gutter="0" w:footer="0" w:header="0"/>
        </w:sectPr>
      </w:pPr>
    </w:p>
    <w:p>
      <w:pPr>
        <w:spacing w:after="0" w:line="148" w:lineRule="exact"/>
        <w:rPr>
          <w:sz w:val="20"/>
          <w:szCs w:val="20"/>
          <w:color w:val="auto"/>
        </w:rPr>
      </w:pPr>
    </w:p>
    <w:p>
      <w:pPr>
        <w:ind w:right="860"/>
        <w:spacing w:after="0" w:line="258" w:lineRule="auto"/>
        <w:rPr>
          <w:sz w:val="20"/>
          <w:szCs w:val="20"/>
          <w:color w:val="auto"/>
        </w:rPr>
      </w:pPr>
      <w:r>
        <w:rPr>
          <w:rFonts w:ascii="Arial" w:cs="Arial" w:eastAsia="Arial" w:hAnsi="Arial"/>
          <w:sz w:val="21"/>
          <w:szCs w:val="21"/>
          <w:b w:val="1"/>
          <w:bCs w:val="1"/>
          <w:color w:val="auto"/>
        </w:rPr>
        <w:t>UNIVERSITY OF FLORIDA RESEARCH FOUNDATION, INC.</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IVERIC Bio Gene Therapy LLC</w:t>
      </w:r>
    </w:p>
    <w:p>
      <w:pPr>
        <w:sectPr>
          <w:pgSz w:w="11900" w:h="16838" w:orient="portrait"/>
          <w:cols w:equalWidth="0" w:num="2">
            <w:col w:w="4120" w:space="720"/>
            <w:col w:w="6380"/>
          </w:cols>
          <w:pgMar w:left="320" w:top="122" w:right="359" w:bottom="1440"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253"/>
        </w:trPr>
        <w:tc>
          <w:tcPr>
            <w:tcW w:w="4340" w:type="dxa"/>
            <w:vAlign w:val="bottom"/>
            <w:gridSpan w:val="5"/>
          </w:tcPr>
          <w:p>
            <w:pPr>
              <w:spacing w:after="0"/>
              <w:rPr>
                <w:sz w:val="20"/>
                <w:szCs w:val="20"/>
                <w:color w:val="auto"/>
              </w:rPr>
            </w:pPr>
            <w:r>
              <w:rPr>
                <w:rFonts w:ascii="Arial" w:cs="Arial" w:eastAsia="Arial" w:hAnsi="Arial"/>
                <w:sz w:val="22"/>
                <w:szCs w:val="22"/>
                <w:color w:val="auto"/>
              </w:rPr>
              <w:t>By: _/s/ Jim O’Connell________________</w:t>
            </w:r>
          </w:p>
        </w:tc>
        <w:tc>
          <w:tcPr>
            <w:tcW w:w="4400" w:type="dxa"/>
            <w:vAlign w:val="bottom"/>
            <w:gridSpan w:val="5"/>
          </w:tcPr>
          <w:p>
            <w:pPr>
              <w:ind w:left="680"/>
              <w:spacing w:after="0"/>
              <w:rPr>
                <w:sz w:val="20"/>
                <w:szCs w:val="20"/>
                <w:color w:val="auto"/>
              </w:rPr>
            </w:pPr>
            <w:r>
              <w:rPr>
                <w:rFonts w:ascii="Arial" w:cs="Arial" w:eastAsia="Arial" w:hAnsi="Arial"/>
                <w:sz w:val="22"/>
                <w:szCs w:val="22"/>
                <w:color w:val="auto"/>
                <w:w w:val="97"/>
              </w:rPr>
              <w:t>By: __/s/ Keith Westby_____________</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23" w:lineRule="exact"/>
              <w:rPr>
                <w:sz w:val="20"/>
                <w:szCs w:val="20"/>
                <w:color w:val="auto"/>
              </w:rPr>
            </w:pPr>
            <w:r>
              <w:rPr>
                <w:rFonts w:ascii="Arial" w:cs="Arial" w:eastAsia="Arial" w:hAnsi="Arial"/>
                <w:sz w:val="22"/>
                <w:szCs w:val="22"/>
                <w:color w:val="auto"/>
                <w:w w:val="74"/>
              </w:rPr>
              <w:t>Name:</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vMerge w:val="continue"/>
          </w:tcPr>
          <w:p>
            <w:pPr>
              <w:spacing w:after="0"/>
              <w:rPr>
                <w:sz w:val="17"/>
                <w:szCs w:val="17"/>
                <w:color w:val="auto"/>
              </w:rPr>
            </w:pPr>
          </w:p>
        </w:tc>
        <w:tc>
          <w:tcPr>
            <w:tcW w:w="1640" w:type="dxa"/>
            <w:vAlign w:val="bottom"/>
            <w:gridSpan w:val="3"/>
          </w:tcPr>
          <w:p>
            <w:pPr>
              <w:ind w:left="200"/>
              <w:spacing w:after="0" w:line="203" w:lineRule="exact"/>
              <w:rPr>
                <w:sz w:val="20"/>
                <w:szCs w:val="20"/>
                <w:color w:val="auto"/>
              </w:rPr>
            </w:pPr>
            <w:r>
              <w:rPr>
                <w:rFonts w:ascii="Arial" w:cs="Arial" w:eastAsia="Arial" w:hAnsi="Arial"/>
                <w:sz w:val="22"/>
                <w:szCs w:val="22"/>
                <w:color w:val="auto"/>
              </w:rPr>
              <w:t>Jim O'Connell</w:t>
            </w:r>
          </w:p>
        </w:tc>
        <w:tc>
          <w:tcPr>
            <w:tcW w:w="2200" w:type="dxa"/>
            <w:vAlign w:val="bottom"/>
            <w:vMerge w:val="continue"/>
          </w:tcPr>
          <w:p>
            <w:pPr>
              <w:spacing w:after="0"/>
              <w:rPr>
                <w:sz w:val="17"/>
                <w:szCs w:val="17"/>
                <w:color w:val="auto"/>
              </w:rPr>
            </w:pPr>
          </w:p>
        </w:tc>
        <w:tc>
          <w:tcPr>
            <w:tcW w:w="2840" w:type="dxa"/>
            <w:vAlign w:val="bottom"/>
            <w:gridSpan w:val="4"/>
          </w:tcPr>
          <w:p>
            <w:pPr>
              <w:ind w:left="280"/>
              <w:spacing w:after="0" w:line="203" w:lineRule="exact"/>
              <w:rPr>
                <w:sz w:val="20"/>
                <w:szCs w:val="20"/>
                <w:color w:val="auto"/>
              </w:rPr>
            </w:pPr>
            <w:r>
              <w:rPr>
                <w:rFonts w:ascii="Arial" w:cs="Arial" w:eastAsia="Arial" w:hAnsi="Arial"/>
                <w:sz w:val="22"/>
                <w:szCs w:val="22"/>
                <w:color w:val="auto"/>
              </w:rPr>
              <w:t>Name: Keith Westby</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340" w:type="dxa"/>
            <w:vAlign w:val="bottom"/>
            <w:gridSpan w:val="5"/>
          </w:tcPr>
          <w:p>
            <w:pPr>
              <w:spacing w:after="0"/>
              <w:rPr>
                <w:sz w:val="20"/>
                <w:szCs w:val="20"/>
                <w:color w:val="auto"/>
              </w:rPr>
            </w:pPr>
            <w:r>
              <w:rPr>
                <w:rFonts w:ascii="Arial" w:cs="Arial" w:eastAsia="Arial" w:hAnsi="Arial"/>
                <w:sz w:val="22"/>
                <w:szCs w:val="22"/>
                <w:color w:val="auto"/>
              </w:rPr>
              <w:t>Title: Director, UF Innovate|Tech Licensing</w:t>
            </w:r>
          </w:p>
        </w:tc>
        <w:tc>
          <w:tcPr>
            <w:tcW w:w="4400" w:type="dxa"/>
            <w:vAlign w:val="bottom"/>
            <w:gridSpan w:val="5"/>
          </w:tcPr>
          <w:p>
            <w:pPr>
              <w:ind w:left="680"/>
              <w:spacing w:after="0"/>
              <w:rPr>
                <w:sz w:val="20"/>
                <w:szCs w:val="20"/>
                <w:color w:val="auto"/>
              </w:rPr>
            </w:pPr>
            <w:r>
              <w:rPr>
                <w:rFonts w:ascii="Arial" w:cs="Arial" w:eastAsia="Arial" w:hAnsi="Arial"/>
                <w:sz w:val="22"/>
                <w:szCs w:val="22"/>
                <w:color w:val="auto"/>
              </w:rPr>
              <w:t>Title: SVP, Chief Operating Officer</w:t>
            </w:r>
          </w:p>
        </w:tc>
        <w:tc>
          <w:tcPr>
            <w:tcW w:w="0" w:type="dxa"/>
            <w:vAlign w:val="bottom"/>
          </w:tcPr>
          <w:p>
            <w:pPr>
              <w:spacing w:after="0"/>
              <w:rPr>
                <w:sz w:val="1"/>
                <w:szCs w:val="1"/>
                <w:color w:val="auto"/>
              </w:rPr>
            </w:pPr>
          </w:p>
        </w:tc>
      </w:tr>
      <w:tr>
        <w:trPr>
          <w:trHeight w:val="382"/>
        </w:trPr>
        <w:tc>
          <w:tcPr>
            <w:tcW w:w="4340" w:type="dxa"/>
            <w:vAlign w:val="bottom"/>
            <w:gridSpan w:val="5"/>
          </w:tcPr>
          <w:p>
            <w:pPr>
              <w:spacing w:after="0"/>
              <w:rPr>
                <w:sz w:val="20"/>
                <w:szCs w:val="20"/>
                <w:color w:val="auto"/>
              </w:rPr>
            </w:pPr>
            <w:r>
              <w:rPr>
                <w:rFonts w:ascii="Arial" w:cs="Arial" w:eastAsia="Arial" w:hAnsi="Arial"/>
                <w:sz w:val="22"/>
                <w:szCs w:val="22"/>
                <w:color w:val="auto"/>
              </w:rPr>
              <w:t>Date: _12/14/2021________________</w:t>
            </w:r>
          </w:p>
        </w:tc>
        <w:tc>
          <w:tcPr>
            <w:tcW w:w="4400" w:type="dxa"/>
            <w:vAlign w:val="bottom"/>
            <w:gridSpan w:val="5"/>
          </w:tcPr>
          <w:p>
            <w:pPr>
              <w:ind w:left="800"/>
              <w:spacing w:after="0"/>
              <w:rPr>
                <w:sz w:val="20"/>
                <w:szCs w:val="20"/>
                <w:color w:val="auto"/>
              </w:rPr>
            </w:pPr>
            <w:r>
              <w:rPr>
                <w:rFonts w:ascii="Arial" w:cs="Arial" w:eastAsia="Arial" w:hAnsi="Arial"/>
                <w:sz w:val="22"/>
                <w:szCs w:val="22"/>
                <w:color w:val="auto"/>
              </w:rPr>
              <w:t>Date: _12/17/2021______________</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TRUSTEES OF THE UNIVERSITY OF</w:t>
      </w:r>
    </w:p>
    <w:p>
      <w:pPr>
        <w:spacing w:after="0"/>
        <w:rPr>
          <w:sz w:val="20"/>
          <w:szCs w:val="20"/>
          <w:color w:val="auto"/>
        </w:rPr>
      </w:pPr>
      <w:r>
        <w:rPr>
          <w:rFonts w:ascii="Arial" w:cs="Arial" w:eastAsia="Arial" w:hAnsi="Arial"/>
          <w:sz w:val="22"/>
          <w:szCs w:val="22"/>
          <w:b w:val="1"/>
          <w:bCs w:val="1"/>
          <w:color w:val="auto"/>
        </w:rPr>
        <w:t>PENNSYLVANIA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Benjamin Dibling</w:t>
      </w:r>
      <w:r>
        <w:rPr>
          <w:rFonts w:ascii="Arial" w:cs="Arial" w:eastAsia="Arial" w:hAnsi="Arial"/>
          <w:sz w:val="22"/>
          <w:szCs w:val="22"/>
          <w:color w:val="auto"/>
        </w:rPr>
        <w:t>____________</w:t>
      </w:r>
    </w:p>
    <w:p>
      <w:pPr>
        <w:spacing w:after="0" w:line="204" w:lineRule="auto"/>
        <w:rPr>
          <w:sz w:val="20"/>
          <w:szCs w:val="20"/>
          <w:color w:val="auto"/>
        </w:rPr>
      </w:pPr>
      <w:r>
        <w:rPr>
          <w:rFonts w:ascii="Arial" w:cs="Arial" w:eastAsia="Arial" w:hAnsi="Arial"/>
          <w:sz w:val="22"/>
          <w:szCs w:val="22"/>
          <w:color w:val="auto"/>
        </w:rPr>
        <w:t>Name: Benjamin Dibling, Ph.D.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Director of Licensing, Penn Center for Innovation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12/13/2021</w:t>
      </w:r>
      <w:r>
        <w:rPr>
          <w:rFonts w:ascii="Arial" w:cs="Arial" w:eastAsia="Arial" w:hAnsi="Arial"/>
          <w:sz w:val="22"/>
          <w:szCs w:val="22"/>
          <w:color w:val="auto"/>
        </w:rPr>
        <w:t>____________________</w:t>
      </w:r>
    </w:p>
    <w:p>
      <w:pPr>
        <w:sectPr>
          <w:pgSz w:w="11900" w:h="16838" w:orient="portrait"/>
          <w:cols w:equalWidth="0" w:num="1">
            <w:col w:w="10139"/>
          </w:cols>
          <w:pgMar w:left="320" w:top="1412" w:right="1440" w:bottom="1440" w:gutter="0" w:footer="0" w:header="0"/>
        </w:sectPr>
      </w:pPr>
    </w:p>
    <w:bookmarkStart w:id="194" w:name="page195"/>
    <w:bookmarkEnd w:id="194"/>
    <w:p>
      <w:pPr>
        <w:spacing w:after="0" w:line="266" w:lineRule="exact"/>
        <w:rPr>
          <w:sz w:val="20"/>
          <w:szCs w:val="20"/>
          <w:color w:val="auto"/>
        </w:rPr>
      </w:pPr>
    </w:p>
    <w:p>
      <w:pPr>
        <w:jc w:val="right"/>
        <w:ind w:right="2639"/>
        <w:spacing w:after="0"/>
        <w:rPr>
          <w:sz w:val="20"/>
          <w:szCs w:val="20"/>
          <w:color w:val="auto"/>
        </w:rPr>
      </w:pPr>
      <w:r>
        <w:rPr>
          <w:rFonts w:ascii="Arial" w:cs="Arial" w:eastAsia="Arial" w:hAnsi="Arial"/>
          <w:sz w:val="20"/>
          <w:szCs w:val="20"/>
          <w:b w:val="1"/>
          <w:bCs w:val="1"/>
          <w:color w:val="auto"/>
        </w:rPr>
        <w:t>AMENDED APPENDIX E – MILESTONES</w:t>
      </w:r>
    </w:p>
    <w:p>
      <w:pPr>
        <w:spacing w:after="0" w:line="200" w:lineRule="exact"/>
        <w:rPr>
          <w:sz w:val="20"/>
          <w:szCs w:val="20"/>
          <w:color w:val="auto"/>
        </w:rPr>
      </w:pPr>
    </w:p>
    <w:p>
      <w:pPr>
        <w:spacing w:after="0" w:line="340" w:lineRule="exact"/>
        <w:rPr>
          <w:sz w:val="20"/>
          <w:szCs w:val="20"/>
          <w:color w:val="auto"/>
        </w:rPr>
      </w:pPr>
    </w:p>
    <w:p>
      <w:pPr>
        <w:spacing w:after="0"/>
        <w:tabs>
          <w:tab w:leader="none" w:pos="2500" w:val="left"/>
        </w:tabs>
        <w:rPr>
          <w:sz w:val="20"/>
          <w:szCs w:val="20"/>
          <w:color w:val="auto"/>
        </w:rPr>
      </w:pPr>
      <w:r>
        <w:rPr>
          <w:rFonts w:ascii="Arial" w:cs="Arial" w:eastAsia="Arial" w:hAnsi="Arial"/>
          <w:sz w:val="20"/>
          <w:szCs w:val="20"/>
          <w:b w:val="1"/>
          <w:bCs w:val="1"/>
          <w:u w:val="single" w:color="auto"/>
          <w:color w:val="auto"/>
        </w:rPr>
        <w:t>Event</w:t>
      </w:r>
      <w:r>
        <w:rPr>
          <w:sz w:val="20"/>
          <w:szCs w:val="20"/>
          <w:color w:val="auto"/>
        </w:rPr>
        <w:tab/>
      </w:r>
      <w:r>
        <w:rPr>
          <w:rFonts w:ascii="Arial" w:cs="Arial" w:eastAsia="Arial" w:hAnsi="Arial"/>
          <w:sz w:val="20"/>
          <w:szCs w:val="20"/>
          <w:b w:val="1"/>
          <w:bCs w:val="1"/>
          <w:u w:val="single" w:color="auto"/>
          <w:color w:val="auto"/>
        </w:rPr>
        <w:t>Time</w:t>
      </w:r>
    </w:p>
    <w:p>
      <w:pPr>
        <w:spacing w:after="0" w:line="200" w:lineRule="exact"/>
        <w:rPr>
          <w:sz w:val="20"/>
          <w:szCs w:val="20"/>
          <w:color w:val="auto"/>
        </w:rPr>
      </w:pPr>
    </w:p>
    <w:p>
      <w:pPr>
        <w:spacing w:after="0" w:line="377" w:lineRule="exact"/>
        <w:rPr>
          <w:sz w:val="20"/>
          <w:szCs w:val="20"/>
          <w:color w:val="auto"/>
        </w:rPr>
      </w:pPr>
    </w:p>
    <w:p>
      <w:pPr>
        <w:spacing w:after="0"/>
        <w:tabs>
          <w:tab w:leader="none" w:pos="2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148" w:lineRule="exact"/>
        <w:rPr>
          <w:sz w:val="20"/>
          <w:szCs w:val="20"/>
          <w:color w:val="auto"/>
        </w:rPr>
      </w:pPr>
    </w:p>
    <w:p>
      <w:pPr>
        <w:spacing w:after="0"/>
        <w:tabs>
          <w:tab w:leader="none" w:pos="2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162" w:lineRule="exact"/>
        <w:rPr>
          <w:sz w:val="20"/>
          <w:szCs w:val="20"/>
          <w:color w:val="auto"/>
        </w:rPr>
      </w:pPr>
    </w:p>
    <w:p>
      <w:pPr>
        <w:spacing w:after="0"/>
        <w:tabs>
          <w:tab w:leader="none" w:pos="2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ectPr>
          <w:pgSz w:w="11900" w:h="16838" w:orient="portrait"/>
          <w:cols w:equalWidth="0" w:num="1">
            <w:col w:w="10139"/>
          </w:cols>
          <w:pgMar w:left="320" w:top="1440" w:right="1440"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88900</wp:posOffset>
            </wp:positionV>
            <wp:extent cx="1482725" cy="9861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June 16, 2021</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On behalf of IVERIC bio, Inc. (the “Company”) it is my pleasure to extend to you this offer of employment with the Company for the position of Senior Vice President &amp; Chief Commercial Officer, reporting to Glenn Sblendorio, Chief Executive Officer</w:t>
      </w:r>
      <w:r>
        <w:rPr>
          <w:rFonts w:ascii="Arial" w:cs="Arial" w:eastAsia="Arial" w:hAnsi="Arial"/>
          <w:sz w:val="25"/>
          <w:szCs w:val="25"/>
          <w:color w:val="auto"/>
        </w:rPr>
        <w:t>.</w:t>
      </w:r>
      <w:r>
        <w:rPr>
          <w:rFonts w:ascii="Arial" w:cs="Arial" w:eastAsia="Arial" w:hAnsi="Arial"/>
          <w:sz w:val="22"/>
          <w:szCs w:val="22"/>
          <w:color w:val="auto"/>
        </w:rPr>
        <w:t xml:space="preserve"> The terms of this offer, which are contingent on you and us determining a mutually agreed upon start date (the “Start Date”) and satisfactory completion of a background investigation, are as follows:</w:t>
      </w:r>
    </w:p>
    <w:p>
      <w:pPr>
        <w:spacing w:after="0" w:line="177" w:lineRule="exact"/>
        <w:rPr>
          <w:sz w:val="20"/>
          <w:szCs w:val="20"/>
          <w:color w:val="auto"/>
        </w:rPr>
      </w:pPr>
    </w:p>
    <w:p>
      <w:pPr>
        <w:jc w:val="both"/>
        <w:ind w:left="860" w:hanging="463"/>
        <w:spacing w:after="0" w:line="287" w:lineRule="auto"/>
        <w:tabs>
          <w:tab w:leader="none" w:pos="852" w:val="left"/>
        </w:tabs>
        <w:numPr>
          <w:ilvl w:val="0"/>
          <w:numId w:val="121"/>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employed on a full-time basis. You will carry out duties and responsibilities consistent with</w:t>
      </w:r>
      <w:r>
        <w:rPr>
          <w:rFonts w:ascii="Arial" w:cs="Arial" w:eastAsia="Arial" w:hAnsi="Arial"/>
          <w:sz w:val="21"/>
          <w:szCs w:val="21"/>
          <w:b w:val="1"/>
          <w:bCs w:val="1"/>
          <w:color w:val="auto"/>
        </w:rPr>
        <w:t xml:space="preserve"> </w:t>
      </w:r>
      <w:r>
        <w:rPr>
          <w:rFonts w:ascii="Arial" w:cs="Arial" w:eastAsia="Arial" w:hAnsi="Arial"/>
          <w:sz w:val="21"/>
          <w:szCs w:val="21"/>
          <w:color w:val="auto"/>
        </w:rPr>
        <w:t>your position and other duties as may from time to time be assigned to you by the Company. The Company reserves the right to change your title and responsibilities at any time, with or without notice. You shall perform and discharge faithfully and diligently your duties and responsibilities hereunder. You agree to devote your full business time, efforts, skill, knowledge, attention and energies to the advancement of the Company’s business and interests and to the performance of your duties and responsibilities as an employee of the Company. You agree to abide by the rules, regulations, instructions, practices and policies of the Company and any changes to these that may be adopted from time to time by the Company.</w:t>
      </w:r>
    </w:p>
    <w:p>
      <w:pPr>
        <w:spacing w:after="0" w:line="308" w:lineRule="exact"/>
        <w:rPr>
          <w:rFonts w:ascii="Arial" w:cs="Arial" w:eastAsia="Arial" w:hAnsi="Arial"/>
          <w:sz w:val="19"/>
          <w:szCs w:val="19"/>
          <w:b w:val="1"/>
          <w:bCs w:val="1"/>
          <w:color w:val="auto"/>
        </w:rPr>
      </w:pPr>
    </w:p>
    <w:p>
      <w:pPr>
        <w:jc w:val="both"/>
        <w:ind w:left="860" w:hanging="463"/>
        <w:spacing w:after="0" w:line="275" w:lineRule="auto"/>
        <w:tabs>
          <w:tab w:leader="none" w:pos="852" w:val="left"/>
        </w:tabs>
        <w:numPr>
          <w:ilvl w:val="0"/>
          <w:numId w:val="1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Your base salary will be at the annual rate of $415,000, less all applicable taxes and withholdings, to be</w:t>
      </w:r>
      <w:r>
        <w:rPr>
          <w:rFonts w:ascii="Arial" w:cs="Arial" w:eastAsia="Arial" w:hAnsi="Arial"/>
          <w:sz w:val="22"/>
          <w:szCs w:val="22"/>
          <w:b w:val="1"/>
          <w:bCs w:val="1"/>
          <w:color w:val="auto"/>
        </w:rPr>
        <w:t xml:space="preserve"> </w:t>
      </w:r>
      <w:r>
        <w:rPr>
          <w:rFonts w:ascii="Arial" w:cs="Arial" w:eastAsia="Arial" w:hAnsi="Arial"/>
          <w:sz w:val="22"/>
          <w:szCs w:val="22"/>
          <w:color w:val="auto"/>
        </w:rPr>
        <w:t>paid in accordance with the Company’s regular payroll practices. Such base salary may be adjusted from time to time in accordance with normal business practices and in the sole discretion of the Company. Your position is classified as “exempt” according to federal wage law which means you are not eligible for overtime pay for hours worked in excess of 40 in a given week.</w:t>
      </w:r>
    </w:p>
    <w:p>
      <w:pPr>
        <w:spacing w:after="0" w:line="319" w:lineRule="exact"/>
        <w:rPr>
          <w:rFonts w:ascii="Arial" w:cs="Arial" w:eastAsia="Arial" w:hAnsi="Arial"/>
          <w:sz w:val="20"/>
          <w:szCs w:val="20"/>
          <w:b w:val="1"/>
          <w:bCs w:val="1"/>
          <w:color w:val="auto"/>
        </w:rPr>
      </w:pPr>
    </w:p>
    <w:p>
      <w:pPr>
        <w:jc w:val="both"/>
        <w:ind w:left="860" w:hanging="463"/>
        <w:spacing w:after="0" w:line="261" w:lineRule="auto"/>
        <w:tabs>
          <w:tab w:leader="none" w:pos="852" w:val="left"/>
        </w:tabs>
        <w:numPr>
          <w:ilvl w:val="0"/>
          <w:numId w:val="1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Discretionary Bonus.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end of each calendar year and subject to the approval of the Company’s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(the “Board”), you will be eligible for a performance bonus of up to 45% of your annualized base salary, based on your personal performance and the Company’s performance during the applicable calendar year, as determined by the Company in its sole discretion. To receive a bonus for the current performance year, you must be an active employee by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and you must be an active employee of the Company on the date the bonus is distributed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704850</wp:posOffset>
            </wp:positionV>
            <wp:extent cx="53492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63"/>
        <w:spacing w:after="0" w:line="331" w:lineRule="auto"/>
        <w:rPr>
          <w:sz w:val="20"/>
          <w:szCs w:val="20"/>
          <w:color w:val="auto"/>
        </w:rPr>
      </w:pPr>
      <w:r>
        <w:rPr>
          <w:rFonts w:ascii="Arial" w:cs="Arial" w:eastAsia="Arial" w:hAnsi="Arial"/>
          <w:sz w:val="19"/>
          <w:szCs w:val="19"/>
          <w:color w:val="auto"/>
        </w:rPr>
        <w:t>order to be eligible for and to earn any bonus award. Provided that you are an active employee of the Company on the date the bonus is distributed, we will guarantee your full bonus payout (based on your 45% target, but subject to the Company’s and your performance) for 2021 and you will be able to participate (on a pro rata basis based on your hire date) to the extent the Company achieves its stretch goals for up to an additional 50% of your target bonus.</w:t>
      </w:r>
    </w:p>
    <w:p>
      <w:pPr>
        <w:spacing w:after="0" w:line="139" w:lineRule="exact"/>
        <w:rPr>
          <w:sz w:val="20"/>
          <w:szCs w:val="20"/>
          <w:color w:val="auto"/>
        </w:rPr>
      </w:pPr>
    </w:p>
    <w:p>
      <w:pPr>
        <w:jc w:val="both"/>
        <w:ind w:left="463" w:hanging="463"/>
        <w:spacing w:after="0" w:line="315" w:lineRule="auto"/>
        <w:tabs>
          <w:tab w:leader="none" w:pos="455" w:val="left"/>
        </w:tabs>
        <w:numPr>
          <w:ilvl w:val="0"/>
          <w:numId w:val="122"/>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commencement of your employment and as an inducement to becoming an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eligible to receive an option to purchase 160,000 shares of the Company’s common stock (the “Option”), subject to approval by the Board (acting in its sole discretion) and contingent upon your execution of the corresponding stock option agreement. The Option would be issued with an exercise price equal to the fair market value of the Company’s common stock (as determined by the Board) as of your Start Date (the “Grant Date”) and would vest over a four-year period, with 25% of the shares vesting on the first anniversary of the Grant Date and the remainder of the shares vesting in equal monthly amounts thereafter until the fourth anniversary of the Grant Date, pursuant to the terms of the stock option agreement and subject to your continued employment with the Company. In addition, in connection with the commencement of your employment and as an inducement to becoming an employee, you will be eligible to receive a restricted stock unit grant for 75,000 shares (the “Joining RSU Grant”) on the Grant Date, subject to approval by the Board (acting in its sole discretion) and contingent upon your execution of a corresponding restricted stock unit agreement. The Joining RSU Grant would vest over a four-year period, with 25% of the shares vesting on each of the first, second, third and fourth anniversaries of the Grant Date, pursuant to the terms of the restricted stock unit agreement and subject to your continued employment with the Company. Subject to Board approval each year, the Company grants additional equity awards annually based on performance. You would be eligible for an annual performance-based equity award for 2021 on a pro-rata basis (pro-rated at 75%).</w:t>
      </w:r>
    </w:p>
    <w:p>
      <w:pPr>
        <w:spacing w:after="0" w:line="190" w:lineRule="exact"/>
        <w:rPr>
          <w:rFonts w:ascii="Arial" w:cs="Arial" w:eastAsia="Arial" w:hAnsi="Arial"/>
          <w:sz w:val="18"/>
          <w:szCs w:val="18"/>
          <w:b w:val="1"/>
          <w:bCs w:val="1"/>
          <w:color w:val="auto"/>
        </w:rPr>
      </w:pPr>
    </w:p>
    <w:p>
      <w:pPr>
        <w:jc w:val="both"/>
        <w:ind w:left="463" w:hanging="463"/>
        <w:spacing w:after="0" w:line="274" w:lineRule="auto"/>
        <w:tabs>
          <w:tab w:leader="none" w:pos="455" w:val="left"/>
        </w:tabs>
        <w:numPr>
          <w:ilvl w:val="0"/>
          <w:numId w:val="1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Sign On Bonus:</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the commencement of your employment and as an inducement to becoming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you will be eligible receive, as a sign-on bonus, a restricted stock unit grant for 15,000 shares of the Company’s common stock (the “Sign-On RSU Grant”) on the Grant Date, subject to approval by the Board (acting in its sole discretion) and contingent upon your execution of a corresponding restricted stock unit agreement. The Sign-On RSU Grant would vest with respect to 100% of the shares underlying the grant on the first anniversary of the Grant Date, pursuant to the</w:t>
      </w:r>
    </w:p>
    <w:p>
      <w:pPr>
        <w:sectPr>
          <w:pgSz w:w="11900" w:h="16838" w:orient="portrait"/>
          <w:cols w:equalWidth="0" w:num="1">
            <w:col w:w="10843"/>
          </w:cols>
          <w:pgMar w:left="717" w:top="1440" w:right="3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3"/>
        <w:spacing w:after="0"/>
        <w:rPr>
          <w:sz w:val="20"/>
          <w:szCs w:val="20"/>
          <w:color w:val="auto"/>
        </w:rPr>
      </w:pPr>
      <w:r>
        <w:rPr>
          <w:rFonts w:ascii="Arial" w:cs="Arial" w:eastAsia="Arial" w:hAnsi="Arial"/>
          <w:sz w:val="22"/>
          <w:szCs w:val="22"/>
          <w:color w:val="auto"/>
        </w:rPr>
        <w:t>terms of the restricted stock unit agreement and subject to your continued employment with the Company.</w:t>
      </w:r>
    </w:p>
    <w:p>
      <w:pPr>
        <w:spacing w:after="0" w:line="376" w:lineRule="exact"/>
        <w:rPr>
          <w:sz w:val="20"/>
          <w:szCs w:val="20"/>
          <w:color w:val="auto"/>
        </w:rPr>
      </w:pPr>
    </w:p>
    <w:p>
      <w:pPr>
        <w:jc w:val="both"/>
        <w:ind w:left="463" w:hanging="463"/>
        <w:spacing w:after="0" w:line="294" w:lineRule="auto"/>
        <w:tabs>
          <w:tab w:leader="none" w:pos="455" w:val="left"/>
        </w:tabs>
        <w:numPr>
          <w:ilvl w:val="0"/>
          <w:numId w:val="123"/>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You may participate in any and all benefit programs that the Company establishes and makes generally</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to similarly situated employees from time to time, provided that you are eligible under (and subject to all provisions of) the plan documents that govern those programs. A summary of current benefits is enclosed with this letter. Benefits are subject to change at any time in the Company’s sole discretion.</w:t>
      </w:r>
    </w:p>
    <w:p>
      <w:pPr>
        <w:spacing w:after="0" w:line="126" w:lineRule="exact"/>
        <w:rPr>
          <w:rFonts w:ascii="Arial" w:cs="Arial" w:eastAsia="Arial" w:hAnsi="Arial"/>
          <w:sz w:val="19"/>
          <w:szCs w:val="19"/>
          <w:b w:val="1"/>
          <w:bCs w:val="1"/>
          <w:color w:val="auto"/>
        </w:rPr>
      </w:pPr>
    </w:p>
    <w:p>
      <w:pPr>
        <w:ind w:left="463" w:right="300" w:hanging="463"/>
        <w:spacing w:after="0" w:line="295" w:lineRule="auto"/>
        <w:tabs>
          <w:tab w:leader="none" w:pos="455"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receive the severance and change in control benefits set forth in a separate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 the Company to be executed contemporaneous herewith.</w:t>
      </w:r>
    </w:p>
    <w:p>
      <w:pPr>
        <w:spacing w:after="0" w:line="188" w:lineRule="exact"/>
        <w:rPr>
          <w:rFonts w:ascii="Arial" w:cs="Arial" w:eastAsia="Arial" w:hAnsi="Arial"/>
          <w:sz w:val="20"/>
          <w:szCs w:val="20"/>
          <w:b w:val="1"/>
          <w:bCs w:val="1"/>
          <w:color w:val="auto"/>
        </w:rPr>
      </w:pPr>
    </w:p>
    <w:p>
      <w:pPr>
        <w:ind w:left="443" w:hanging="443"/>
        <w:spacing w:after="0"/>
        <w:tabs>
          <w:tab w:leader="none" w:pos="443" w:val="left"/>
        </w:tabs>
        <w:numPr>
          <w:ilvl w:val="0"/>
          <w:numId w:val="123"/>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Car Allowance.</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receive a semi-monthly car allowance in the amount of $675 less taxes ($1,350 per month).</w:t>
      </w:r>
    </w:p>
    <w:p>
      <w:pPr>
        <w:spacing w:after="0" w:line="281" w:lineRule="exact"/>
        <w:rPr>
          <w:rFonts w:ascii="Arial" w:cs="Arial" w:eastAsia="Arial" w:hAnsi="Arial"/>
          <w:sz w:val="18"/>
          <w:szCs w:val="18"/>
          <w:b w:val="1"/>
          <w:bCs w:val="1"/>
          <w:color w:val="auto"/>
        </w:rPr>
      </w:pPr>
    </w:p>
    <w:p>
      <w:pPr>
        <w:ind w:left="463" w:hanging="463"/>
        <w:spacing w:after="0" w:line="295" w:lineRule="auto"/>
        <w:tabs>
          <w:tab w:leader="none" w:pos="455"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Vacation.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entitled to vacation time as set forth in the Employee Handbook, as such vacation policy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the Company from time to time.</w:t>
      </w:r>
    </w:p>
    <w:p>
      <w:pPr>
        <w:spacing w:after="0" w:line="161" w:lineRule="exact"/>
        <w:rPr>
          <w:rFonts w:ascii="Arial" w:cs="Arial" w:eastAsia="Arial" w:hAnsi="Arial"/>
          <w:sz w:val="20"/>
          <w:szCs w:val="20"/>
          <w:b w:val="1"/>
          <w:bCs w:val="1"/>
          <w:color w:val="auto"/>
        </w:rPr>
      </w:pPr>
    </w:p>
    <w:p>
      <w:pPr>
        <w:ind w:left="463" w:right="20" w:hanging="463"/>
        <w:spacing w:after="0" w:line="295" w:lineRule="auto"/>
        <w:tabs>
          <w:tab w:leader="none" w:pos="459"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Fair Competition &amp; Confidentiality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As a condition of employment, you will be required to execute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Fair Competition &amp; Confidentiality Agreement.</w:t>
      </w:r>
    </w:p>
    <w:p>
      <w:pPr>
        <w:spacing w:after="0" w:line="161" w:lineRule="exact"/>
        <w:rPr>
          <w:rFonts w:ascii="Arial" w:cs="Arial" w:eastAsia="Arial" w:hAnsi="Arial"/>
          <w:sz w:val="20"/>
          <w:szCs w:val="20"/>
          <w:b w:val="1"/>
          <w:bCs w:val="1"/>
          <w:color w:val="auto"/>
        </w:rPr>
      </w:pPr>
    </w:p>
    <w:p>
      <w:pPr>
        <w:jc w:val="both"/>
        <w:ind w:left="463" w:hanging="463"/>
        <w:spacing w:after="0" w:line="282" w:lineRule="auto"/>
        <w:tabs>
          <w:tab w:leader="none" w:pos="449"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 Conflict.</w:t>
      </w:r>
      <w:r>
        <w:rPr>
          <w:rFonts w:ascii="Arial" w:cs="Arial" w:eastAsia="Arial" w:hAnsi="Arial"/>
          <w:sz w:val="22"/>
          <w:szCs w:val="22"/>
          <w:b w:val="1"/>
          <w:bCs w:val="1"/>
          <w:color w:val="auto"/>
        </w:rPr>
        <w:t xml:space="preserve"> </w:t>
      </w:r>
      <w:r>
        <w:rPr>
          <w:rFonts w:ascii="Arial" w:cs="Arial" w:eastAsia="Arial" w:hAnsi="Arial"/>
          <w:sz w:val="22"/>
          <w:szCs w:val="22"/>
          <w:color w:val="auto"/>
        </w:rPr>
        <w:t>You represent that you are not bound by any employment contract, restrictive covenant or other restriction</w:t>
      </w:r>
      <w:r>
        <w:rPr>
          <w:rFonts w:ascii="Arial" w:cs="Arial" w:eastAsia="Arial" w:hAnsi="Arial"/>
          <w:sz w:val="22"/>
          <w:szCs w:val="22"/>
          <w:b w:val="1"/>
          <w:bCs w:val="1"/>
          <w:color w:val="auto"/>
        </w:rPr>
        <w:t xml:space="preserve"> </w:t>
      </w:r>
      <w:r>
        <w:rPr>
          <w:rFonts w:ascii="Arial" w:cs="Arial" w:eastAsia="Arial" w:hAnsi="Arial"/>
          <w:sz w:val="22"/>
          <w:szCs w:val="22"/>
          <w:color w:val="auto"/>
        </w:rPr>
        <w:t>preventing you from entering into employment with or carrying out your responsibilities for the Company, or which is in any way inconsistent with the terms of this offer letter.</w:t>
      </w:r>
    </w:p>
    <w:p>
      <w:pPr>
        <w:spacing w:after="0" w:line="174" w:lineRule="exact"/>
        <w:rPr>
          <w:rFonts w:ascii="Arial" w:cs="Arial" w:eastAsia="Arial" w:hAnsi="Arial"/>
          <w:sz w:val="20"/>
          <w:szCs w:val="20"/>
          <w:b w:val="1"/>
          <w:bCs w:val="1"/>
          <w:color w:val="auto"/>
        </w:rPr>
      </w:pPr>
    </w:p>
    <w:p>
      <w:pPr>
        <w:jc w:val="both"/>
        <w:ind w:left="463" w:hanging="463"/>
        <w:spacing w:after="0" w:line="277" w:lineRule="auto"/>
        <w:tabs>
          <w:tab w:leader="none" w:pos="459"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Proof of Legal Right to Work.</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required to complete an Employment Eligibility Verification Form and</w:t>
      </w:r>
      <w:r>
        <w:rPr>
          <w:rFonts w:ascii="Arial" w:cs="Arial" w:eastAsia="Arial" w:hAnsi="Arial"/>
          <w:sz w:val="22"/>
          <w:szCs w:val="22"/>
          <w:b w:val="1"/>
          <w:bCs w:val="1"/>
          <w:color w:val="auto"/>
        </w:rPr>
        <w:t xml:space="preserve"> </w:t>
      </w:r>
      <w:r>
        <w:rPr>
          <w:rFonts w:ascii="Arial" w:cs="Arial" w:eastAsia="Arial" w:hAnsi="Arial"/>
          <w:sz w:val="22"/>
          <w:szCs w:val="22"/>
          <w:color w:val="auto"/>
        </w:rPr>
        <w:t>submit an original document or documents that establish identity and employment eligibility within 3 business days of starting employment. Your employment with the Company is contingent on your satisfactory completion of this requirement.</w:t>
      </w:r>
    </w:p>
    <w:p>
      <w:pPr>
        <w:spacing w:after="0" w:line="182" w:lineRule="exact"/>
        <w:rPr>
          <w:rFonts w:ascii="Arial" w:cs="Arial" w:eastAsia="Arial" w:hAnsi="Arial"/>
          <w:sz w:val="20"/>
          <w:szCs w:val="20"/>
          <w:b w:val="1"/>
          <w:bCs w:val="1"/>
          <w:color w:val="auto"/>
        </w:rPr>
      </w:pPr>
    </w:p>
    <w:p>
      <w:pPr>
        <w:jc w:val="both"/>
        <w:ind w:left="463" w:hanging="463"/>
        <w:spacing w:after="0" w:line="282" w:lineRule="auto"/>
        <w:tabs>
          <w:tab w:leader="none" w:pos="459" w:val="left"/>
        </w:tabs>
        <w:numPr>
          <w:ilvl w:val="0"/>
          <w:numId w:val="1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shall not be construed as an agreement, either express or implied, to employ you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stated term, and shall in no way alter the Company’s policy of employment at-will, under which both the Company and you</w:t>
      </w:r>
    </w:p>
    <w:p>
      <w:pPr>
        <w:sectPr>
          <w:pgSz w:w="11900" w:h="16838" w:orient="portrait"/>
          <w:cols w:equalWidth="0" w:num="1">
            <w:col w:w="10843"/>
          </w:cols>
          <w:pgMar w:left="717" w:top="1440"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63"/>
        <w:spacing w:after="0" w:line="321" w:lineRule="auto"/>
        <w:rPr>
          <w:sz w:val="20"/>
          <w:szCs w:val="20"/>
          <w:color w:val="auto"/>
        </w:rPr>
      </w:pPr>
      <w:r>
        <w:rPr>
          <w:rFonts w:ascii="Arial" w:cs="Arial" w:eastAsia="Arial" w:hAnsi="Arial"/>
          <w:sz w:val="19"/>
          <w:szCs w:val="19"/>
          <w:color w:val="auto"/>
        </w:rPr>
        <w:t>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the Company’s Chief Executive Officer that expressly states the intention to modify the at-will nature of your employment. Similarly, nothing in this letter shall be construed as an agreement, either express or implied, to pay you any compensation or grant you any benefit beyond the end of your employment with the Company. This letter supersedes all prior understandings, whether written or oral, relating to the terms of your employment.</w:t>
      </w:r>
    </w:p>
    <w:p>
      <w:pPr>
        <w:spacing w:after="0" w:line="149" w:lineRule="exact"/>
        <w:rPr>
          <w:sz w:val="20"/>
          <w:szCs w:val="20"/>
          <w:color w:val="auto"/>
        </w:rPr>
      </w:pPr>
    </w:p>
    <w:p>
      <w:pPr>
        <w:jc w:val="both"/>
        <w:ind w:left="463" w:hanging="463"/>
        <w:spacing w:after="0" w:line="282" w:lineRule="auto"/>
        <w:tabs>
          <w:tab w:leader="none" w:pos="459" w:val="left"/>
        </w:tabs>
        <w:numPr>
          <w:ilvl w:val="0"/>
          <w:numId w:val="124"/>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Background Investigation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required notices and forms for our background investigation are enclosed herewith.</w:t>
      </w:r>
      <w:r>
        <w:rPr>
          <w:rFonts w:ascii="Arial" w:cs="Arial" w:eastAsia="Arial" w:hAnsi="Arial"/>
          <w:sz w:val="22"/>
          <w:szCs w:val="22"/>
          <w:b w:val="1"/>
          <w:bCs w:val="1"/>
          <w:color w:val="auto"/>
        </w:rPr>
        <w:t xml:space="preserve"> </w:t>
      </w:r>
      <w:r>
        <w:rPr>
          <w:rFonts w:ascii="Arial" w:cs="Arial" w:eastAsia="Arial" w:hAnsi="Arial"/>
          <w:sz w:val="22"/>
          <w:szCs w:val="22"/>
          <w:color w:val="auto"/>
        </w:rPr>
        <w:t>You must submit a completed form with your signed offer letter. Employment is contingent upon successful completion of the background check.</w:t>
      </w:r>
    </w:p>
    <w:p>
      <w:pPr>
        <w:sectPr>
          <w:pgSz w:w="11900" w:h="16838" w:orient="portrait"/>
          <w:cols w:equalWidth="0" w:num="1">
            <w:col w:w="10843"/>
          </w:cols>
          <w:pgMar w:left="717" w:top="1440" w:right="33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If you decide to accept this offer, and agree to the employment terms set forth in this letter, please sign the letter in the space provided below and return it to me. If you do not accept this offer by Thursday, June 24, 2021, the offer will be deemed withdrawn.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Amy Sheehan</w:t>
      </w:r>
      <w:r>
        <w:rPr>
          <w:rFonts w:ascii="Arial" w:cs="Arial" w:eastAsia="Arial" w:hAnsi="Arial"/>
          <w:sz w:val="22"/>
          <w:szCs w:val="22"/>
          <w:color w:val="auto"/>
        </w:rPr>
        <w:t>_______________________</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Amy R. Sheehan</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Senior Vice President &amp; Chief HR Officer</w:t>
      </w:r>
    </w:p>
    <w:p>
      <w:pPr>
        <w:spacing w:after="0" w:line="274" w:lineRule="exact"/>
        <w:rPr>
          <w:sz w:val="20"/>
          <w:szCs w:val="20"/>
          <w:color w:val="auto"/>
        </w:rPr>
      </w:pPr>
    </w:p>
    <w:p>
      <w:pPr>
        <w:ind w:right="140"/>
        <w:spacing w:after="0" w:line="279" w:lineRule="auto"/>
        <w:rPr>
          <w:sz w:val="20"/>
          <w:szCs w:val="20"/>
          <w:color w:val="auto"/>
        </w:rPr>
      </w:pPr>
      <w:r>
        <w:rPr>
          <w:rFonts w:ascii="Arial" w:cs="Arial" w:eastAsia="Arial" w:hAnsi="Arial"/>
          <w:sz w:val="22"/>
          <w:szCs w:val="22"/>
          <w:color w:val="auto"/>
        </w:rPr>
        <w:t>The foregoing letter correctly sets forth the terms of my at-will employment with IVERIC bio, Inc., which I hereby accept. Nothing contained in this letter abrogates the at-will status of my proposed employment. I am not relying on any representations other than those set forth above.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gridSpan w:val="3"/>
          </w:tcPr>
          <w:p>
            <w:pPr>
              <w:spacing w:after="0"/>
              <w:rPr>
                <w:sz w:val="20"/>
                <w:szCs w:val="20"/>
                <w:color w:val="auto"/>
              </w:rPr>
            </w:pPr>
            <w:r>
              <w:rPr>
                <w:rFonts w:ascii="Arial" w:cs="Arial" w:eastAsia="Arial" w:hAnsi="Arial"/>
                <w:sz w:val="22"/>
                <w:szCs w:val="22"/>
                <w:color w:val="auto"/>
                <w:w w:val="94"/>
              </w:rPr>
              <w:t>/s/ Chris Simms_________________</w:t>
            </w:r>
          </w:p>
        </w:tc>
        <w:tc>
          <w:tcPr>
            <w:tcW w:w="2800" w:type="dxa"/>
            <w:vAlign w:val="bottom"/>
          </w:tcPr>
          <w:p>
            <w:pPr>
              <w:jc w:val="right"/>
              <w:spacing w:after="0"/>
              <w:rPr>
                <w:sz w:val="20"/>
                <w:szCs w:val="20"/>
                <w:color w:val="auto"/>
              </w:rPr>
            </w:pPr>
            <w:r>
              <w:rPr>
                <w:rFonts w:ascii="Arial" w:cs="Arial" w:eastAsia="Arial" w:hAnsi="Arial"/>
                <w:sz w:val="22"/>
                <w:szCs w:val="22"/>
                <w:color w:val="auto"/>
                <w:w w:val="94"/>
              </w:rPr>
              <w:t>________________________</w:t>
            </w:r>
          </w:p>
        </w:tc>
      </w:tr>
      <w:tr>
        <w:trPr>
          <w:trHeight w:val="20"/>
        </w:trPr>
        <w:tc>
          <w:tcPr>
            <w:tcW w:w="1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14"/>
        </w:trPr>
        <w:tc>
          <w:tcPr>
            <w:tcW w:w="2220" w:type="dxa"/>
            <w:vAlign w:val="bottom"/>
            <w:gridSpan w:val="2"/>
          </w:tcPr>
          <w:p>
            <w:pPr>
              <w:spacing w:after="0"/>
              <w:rPr>
                <w:sz w:val="20"/>
                <w:szCs w:val="20"/>
                <w:color w:val="auto"/>
              </w:rPr>
            </w:pPr>
            <w:r>
              <w:rPr>
                <w:rFonts w:ascii="Arial" w:cs="Arial" w:eastAsia="Arial" w:hAnsi="Arial"/>
                <w:sz w:val="22"/>
                <w:szCs w:val="22"/>
                <w:color w:val="auto"/>
              </w:rPr>
              <w:t>Christopher Simms</w:t>
            </w:r>
          </w:p>
        </w:tc>
        <w:tc>
          <w:tcPr>
            <w:tcW w:w="1220" w:type="dxa"/>
            <w:vAlign w:val="bottom"/>
          </w:tcPr>
          <w:p>
            <w:pPr>
              <w:ind w:left="540"/>
              <w:spacing w:after="0"/>
              <w:rPr>
                <w:sz w:val="20"/>
                <w:szCs w:val="20"/>
                <w:color w:val="auto"/>
              </w:rPr>
            </w:pPr>
            <w:r>
              <w:rPr>
                <w:rFonts w:ascii="Arial" w:cs="Arial" w:eastAsia="Arial" w:hAnsi="Arial"/>
                <w:sz w:val="22"/>
                <w:szCs w:val="22"/>
                <w:color w:val="auto"/>
              </w:rPr>
              <w:t>Date</w:t>
            </w:r>
          </w:p>
        </w:tc>
        <w:tc>
          <w:tcPr>
            <w:tcW w:w="28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911860</wp:posOffset>
            </wp:positionV>
            <wp:extent cx="1482725" cy="9861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June 16,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Mr. Christopher Simms</w:t>
      </w:r>
    </w:p>
    <w:p>
      <w:pPr>
        <w:spacing w:after="0" w:line="238" w:lineRule="auto"/>
        <w:rPr>
          <w:sz w:val="20"/>
          <w:szCs w:val="20"/>
          <w:color w:val="auto"/>
        </w:rPr>
      </w:pPr>
      <w:r>
        <w:rPr>
          <w:rFonts w:ascii="Arial" w:cs="Arial" w:eastAsia="Arial" w:hAnsi="Arial"/>
          <w:sz w:val="22"/>
          <w:szCs w:val="22"/>
          <w:color w:val="auto"/>
        </w:rPr>
        <w:t>c/o IVERIC bio, Inc.</w:t>
      </w:r>
    </w:p>
    <w:p>
      <w:pPr>
        <w:spacing w:after="0" w:line="230" w:lineRule="auto"/>
        <w:rPr>
          <w:sz w:val="20"/>
          <w:szCs w:val="20"/>
          <w:color w:val="auto"/>
        </w:rPr>
      </w:pPr>
      <w:r>
        <w:rPr>
          <w:rFonts w:ascii="Arial" w:cs="Arial" w:eastAsia="Arial" w:hAnsi="Arial"/>
          <w:sz w:val="22"/>
          <w:szCs w:val="22"/>
          <w:color w:val="auto"/>
        </w:rPr>
        <w:t>5 Penn Plaza, Suite 2372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3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IVERIC bio, Inc. (the “Company”) will provide for the following severance benefits for you in the event of your termination of employment with the Company, on the terms and conditions set forth herein.</w:t>
      </w:r>
    </w:p>
    <w:p>
      <w:pPr>
        <w:spacing w:after="0" w:line="196" w:lineRule="exact"/>
        <w:rPr>
          <w:sz w:val="20"/>
          <w:szCs w:val="20"/>
          <w:color w:val="auto"/>
        </w:rPr>
      </w:pPr>
    </w:p>
    <w:p>
      <w:pPr>
        <w:ind w:left="1260" w:hanging="928"/>
        <w:spacing w:after="0"/>
        <w:tabs>
          <w:tab w:leader="none" w:pos="1260" w:val="left"/>
        </w:tabs>
        <w:numPr>
          <w:ilvl w:val="1"/>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firstLine="8"/>
        <w:spacing w:after="0" w:line="270" w:lineRule="auto"/>
        <w:tabs>
          <w:tab w:leader="none" w:pos="61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Subject to Section 1(b), if your employment is terminated (1) at any time by the Company without Cause or by you for Good Reason (as such terms are herein defined) or (2) within one year following a Change in Control Event (as defined in the Company’s 2013 Stock Incentive Plan), by the Company, or its successor, without Cause or by you for Good Reason, the Company or its successor will (i) pay you in a lump sum on the Payment Date (as herein defined) (A) an amount equal to twelve (12) months of your then-current base salary, less standard employment-related withholdings and deductions and (B) an amount equal to a pro-rated portion of your then-current target bonus for the year in which your employment terminates, provided, however, that if your employment is terminated under the circumstances described in (2) of this Section 1(a), the Company or its successor will instead pay you an amount equal to your then-current target bonus for the year in which your employment terminates, in either case, without regard to whether the performance goals with respect to such target bonus have been established or met and less standard employment-related withholdings and deductions, and (ii) provided you elect to continue your and your eligible dependents’ participation in the Company’s medical and dental benefit plans pursuant to the Consolidated Omnibus Budget Reconciliation Act of 1986 (“COBRA”), reimburse you for the monthly premium to continue such coverage for the lesser of the twelve (12) full calendar months immediately following the month in which the termination of your employment occurs and the end of the calendar month in which you become eligible to receive group health plan coverage under another employee benefit plan. Notwithstanding the foregoing, if the reimbursement of monthly premiums would otherwise violate the nondiscrimination rules or cause the reimbursement of claims to be taxable under the Patient Protection and Affordable Care Act of 2010, together with the Health Care and Education Reconciliation Act of 2010 (collectively, the “Healthcare Reform Act”) or Section 105(h)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IVERIC bio, Inc.</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Five Penn Plaza Suite 2372 New York, New York 10001 • 212-845-8200 • www.ivericbio.com</w:t>
      </w:r>
    </w:p>
    <w:p>
      <w:pPr>
        <w:sectPr>
          <w:pgSz w:w="11900" w:h="16838" w:orient="portrait"/>
          <w:cols w:equalWidth="0" w:num="1">
            <w:col w:w="11200"/>
          </w:cols>
          <w:pgMar w:left="320" w:top="1440" w:right="379" w:bottom="1440" w:gutter="0" w:footer="0" w:header="0"/>
        </w:sectPr>
      </w:pPr>
    </w:p>
    <w:bookmarkStart w:id="201" w:name="page202"/>
    <w:bookmarkEnd w:id="201"/>
    <w:p>
      <w:pPr>
        <w:jc w:val="both"/>
        <w:ind w:right="280"/>
        <w:spacing w:after="0"/>
        <w:rPr>
          <w:sz w:val="20"/>
          <w:szCs w:val="20"/>
          <w:color w:val="auto"/>
        </w:rPr>
      </w:pPr>
      <w:r>
        <w:rPr>
          <w:rFonts w:ascii="Arial" w:cs="Arial" w:eastAsia="Arial" w:hAnsi="Arial"/>
          <w:sz w:val="22"/>
          <w:szCs w:val="22"/>
          <w:color w:val="auto"/>
        </w:rPr>
        <w:t>Internal Revenue Code of 1986, as amended (the “Code”), these payments shall be treated as taxable payments to you and you shall be subject to imputed income tax treatment to the extent necessary to eliminate any discriminatory treatment or taxation under the Act or Section 105(h).</w:t>
      </w:r>
    </w:p>
    <w:p>
      <w:pPr>
        <w:spacing w:after="0" w:line="213" w:lineRule="exact"/>
        <w:rPr>
          <w:sz w:val="20"/>
          <w:szCs w:val="20"/>
          <w:color w:val="auto"/>
        </w:rPr>
      </w:pPr>
    </w:p>
    <w:p>
      <w:pPr>
        <w:ind w:right="20" w:firstLine="656"/>
        <w:spacing w:after="0" w:line="273" w:lineRule="auto"/>
        <w:tabs>
          <w:tab w:leader="none" w:pos="122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Notwithstanding the foregoing, (i) the Company shall not be obligated to pay you the severance payments provided for herein unless you have timely executed (and not revoked) a separation agreement in a form to be provided by the Company. Such separation agreement must be executed and become binding and enforceable within sixty (60) calendar days after the effective date of your termination of employment (such 60th day, the “Payment Date”); provided however, that if the 60th day following the date of termination occurs in the next calendar year following the date of termination, then the Payment Date shall be no earlier than January 1 of such following calendar year and (ii) the severance payments provided for herein shall be reduced by any payments to which you may be entitled as a result of any applicable laws regarding plant closings or mass layoffs which require notice prior to termination or pay or benefits following termination, such that the amount of the payments made to you pursuant to such laws (whether such payments are made to you during any notice period prior to termination (regardless of whether the Company requires you to work during such notice period) or any period following termination), will reduce the severance payments otherwise due to you under Section 1(a).</w:t>
      </w:r>
    </w:p>
    <w:p>
      <w:pPr>
        <w:spacing w:after="0" w:line="182" w:lineRule="exact"/>
        <w:rPr>
          <w:rFonts w:ascii="Arial" w:cs="Arial" w:eastAsia="Arial" w:hAnsi="Arial"/>
          <w:sz w:val="19"/>
          <w:szCs w:val="19"/>
          <w:color w:val="auto"/>
        </w:rPr>
      </w:pPr>
    </w:p>
    <w:p>
      <w:pPr>
        <w:ind w:firstLine="656"/>
        <w:spacing w:after="0" w:line="270" w:lineRule="auto"/>
        <w:tabs>
          <w:tab w:leader="none" w:pos="132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For purposes hereof, “Cause” shall mean that: (i) you failed to attempt in good faith, refused or willfully neglected to perform and discharge your material duties and responsibilities; (ii) you have been convicted of, or pled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other crime involving fraud or moral turpitude; (iii) you breached your fiduciary duty of loyalty to the Company, or acted fraudulently or with material dishonesty in discharging your duties to the Company; (iv) you undertook an intentional act or omission of misconduct that materially harmed or was reasonably likely to materially harm the business, interests, or reputation of the Company; (v) you materially breached any material provision of this letter or any other agreement with the Company; or</w:t>
      </w:r>
    </w:p>
    <w:p>
      <w:pPr>
        <w:spacing w:after="0" w:line="1" w:lineRule="exact"/>
        <w:rPr>
          <w:rFonts w:ascii="Arial" w:cs="Arial" w:eastAsia="Arial" w:hAnsi="Arial"/>
          <w:sz w:val="19"/>
          <w:szCs w:val="19"/>
          <w:color w:val="auto"/>
        </w:rPr>
      </w:pPr>
    </w:p>
    <w:p>
      <w:pPr>
        <w:ind w:right="260" w:firstLine="8"/>
        <w:spacing w:after="0" w:line="266" w:lineRule="auto"/>
        <w:tabs>
          <w:tab w:leader="none" w:pos="36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you materially breached any material provision of any Company code of conduct or ethics policy. Notwithstanding the foregoing, “Cause” shall not be deemed to have occurred unless: (A) the Company provides you with written notice that it intends to terminate your employment hereunder for one of the grounds set forth in subsections (i), (v) or (vi) within sixty (60) days of such reason(s) occurring, (B) if such ground is capable of being cured, you have failed to cure such ground within a period of thirty (30) days from the date of such written notice, and (C) the Company terminates your employment within six</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 months from the date that Cause first occurs.</w:t>
      </w:r>
    </w:p>
    <w:p>
      <w:pPr>
        <w:spacing w:after="0" w:line="215" w:lineRule="exact"/>
        <w:rPr>
          <w:rFonts w:ascii="Arial" w:cs="Arial" w:eastAsia="Arial" w:hAnsi="Arial"/>
          <w:sz w:val="19"/>
          <w:szCs w:val="19"/>
          <w:color w:val="auto"/>
        </w:rPr>
      </w:pPr>
    </w:p>
    <w:p>
      <w:pPr>
        <w:ind w:right="80" w:firstLine="656"/>
        <w:spacing w:after="0" w:line="277" w:lineRule="auto"/>
        <w:tabs>
          <w:tab w:leader="none" w:pos="122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For purposes hereof, “Good Reason” shall mean, without your written consent: (i) any change in your position or reporting relationship with the Company that diminishes in any material respect your authority, duties or responsibilities; (ii) any material reduction in your base compensation; (iii) a material change in the primary geographic location at which services are to be performed by you (unless the new location is closer to your primary residence than the prior location); or (iv) a material breach of any provision hereof by the Company or any successor or assign. Notwithstanding the foregoing, “Good Reason” shall not be deemed to have occurred unless: (A) you provide the Company with written notice that you intend to terminate your employment hereunder for one of the grounds set forth in subsections (i), (ii), (iii) or (iv) of the</w:t>
      </w:r>
    </w:p>
    <w:p>
      <w:pPr>
        <w:sectPr>
          <w:pgSz w:w="11900" w:h="16838" w:orient="portrait"/>
          <w:cols w:equalWidth="0" w:num="1">
            <w:col w:w="11220"/>
          </w:cols>
          <w:pgMar w:left="320" w:top="1414" w:right="359" w:bottom="1440" w:gutter="0" w:footer="0" w:header="0"/>
        </w:sectPr>
      </w:pPr>
    </w:p>
    <w:bookmarkStart w:id="202" w:name="page203"/>
    <w:bookmarkEnd w:id="202"/>
    <w:p>
      <w:pPr>
        <w:jc w:val="both"/>
        <w:ind w:right="40"/>
        <w:spacing w:after="0" w:line="282" w:lineRule="auto"/>
        <w:rPr>
          <w:sz w:val="20"/>
          <w:szCs w:val="20"/>
          <w:color w:val="auto"/>
        </w:rPr>
      </w:pPr>
      <w:r>
        <w:rPr>
          <w:rFonts w:ascii="Arial" w:cs="Arial" w:eastAsia="Arial" w:hAnsi="Arial"/>
          <w:sz w:val="19"/>
          <w:szCs w:val="19"/>
          <w:color w:val="auto"/>
        </w:rPr>
        <w:t>immediately preceding sentence within sixty (60) days of such reason(s) occurring, (B) if such ground is capable of being cured, the Company has failed to cure such ground within a period of thirty (30) days from the date of such written notice, and (C) you terminate your employment within six (6) months from the date that Good Reason first occurs. For purposes of clarification, the above-listed conditions shall apply separately to each occurrence of Good Reason and failure to adhere to such conditions in the event of Good Reason shall not disqualify you from asserting Good Reason for any subsequent occurrence of Good Reason.</w:t>
      </w:r>
    </w:p>
    <w:p>
      <w:pPr>
        <w:spacing w:after="0" w:line="168" w:lineRule="exact"/>
        <w:rPr>
          <w:sz w:val="20"/>
          <w:szCs w:val="20"/>
          <w:color w:val="auto"/>
        </w:rPr>
      </w:pPr>
    </w:p>
    <w:p>
      <w:pPr>
        <w:jc w:val="both"/>
        <w:ind w:right="100" w:firstLine="332"/>
        <w:spacing w:after="0" w:line="289" w:lineRule="auto"/>
        <w:tabs>
          <w:tab w:leader="none" w:pos="1242"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Acceleration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your employment with the Company, or its successor, is terminated by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such successor without Cause or by you for Good Reason within the one (1) year period following a Change in Control Event, then the then-unvested portion of any equity awards held by you that vest solely based on the passage of time shall immediately vest in full and become exercisable or free from forfeiture or repurchase, as applicable, as of the date of such termination.</w:t>
      </w:r>
    </w:p>
    <w:p>
      <w:pPr>
        <w:spacing w:after="0" w:line="162" w:lineRule="exact"/>
        <w:rPr>
          <w:rFonts w:ascii="Arial" w:cs="Arial" w:eastAsia="Arial" w:hAnsi="Arial"/>
          <w:sz w:val="19"/>
          <w:szCs w:val="19"/>
          <w:color w:val="auto"/>
        </w:rPr>
      </w:pPr>
    </w:p>
    <w:p>
      <w:pPr>
        <w:ind w:left="1260" w:hanging="928"/>
        <w:spacing w:after="0"/>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Modified Cutback</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firstLine="656"/>
        <w:spacing w:after="0" w:line="275" w:lineRule="auto"/>
        <w:tabs>
          <w:tab w:leader="none" w:pos="1266" w:val="left"/>
        </w:tabs>
        <w:numPr>
          <w:ilvl w:val="1"/>
          <w:numId w:val="129"/>
        </w:numPr>
        <w:rPr>
          <w:rFonts w:ascii="Arial" w:cs="Arial" w:eastAsia="Arial" w:hAnsi="Arial"/>
          <w:sz w:val="19"/>
          <w:szCs w:val="19"/>
          <w:color w:val="auto"/>
        </w:rPr>
      </w:pPr>
      <w:r>
        <w:rPr>
          <w:rFonts w:ascii="Arial" w:cs="Arial" w:eastAsia="Arial" w:hAnsi="Arial"/>
          <w:sz w:val="19"/>
          <w:szCs w:val="19"/>
          <w:color w:val="auto"/>
        </w:rPr>
        <w:t>Notwithstanding any other provision of this letter agreement, the letter agreement evidencing your offer of employment with us, or any other agreements between you and us, except as set forth in Section 3(b) hereof, in the event that the Company undergoes a “Change in Ownership or Control” (as defined below), the Company shall not be obligated to provide you a portion of any “Contingent Compensation Payments” (as defined below) that you would otherwise be entitled to receive to the extent necessary to eliminate any “excess parachute payments” (as defined in Section 280G(b)(l) of the Code) for you. For purposes of this Section 3(a),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84" w:lineRule="exact"/>
        <w:rPr>
          <w:rFonts w:ascii="Arial" w:cs="Arial" w:eastAsia="Arial" w:hAnsi="Arial"/>
          <w:sz w:val="19"/>
          <w:szCs w:val="19"/>
          <w:color w:val="auto"/>
        </w:rPr>
      </w:pPr>
    </w:p>
    <w:p>
      <w:pPr>
        <w:ind w:right="20" w:firstLine="656"/>
        <w:spacing w:after="0" w:line="273" w:lineRule="auto"/>
        <w:tabs>
          <w:tab w:leader="none" w:pos="122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Notwithstanding the provisions of Section 3(a),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you if the Eliminated Payments (determined without regard to this sentence) were paid to you (including, state and federal income taxes on the Eliminated Payments, the excise tax imposed by Section 4999 of the Code payable with respect to all of the Contingent Compensation Payments in excess of your “base amount” (as defined in Section 280G(b)(3) of the Code), and any withholding taxes). The override of such reduction in Contingent Compensation Payments pursuant to this Section 3(b) shall be referred to as a “Section 3(b)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280" w:hanging="624"/>
        <w:spacing w:after="0"/>
        <w:tabs>
          <w:tab w:leader="none" w:pos="12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For purposes of this Section 3 the following terms shall have the following respective meanings:</w:t>
      </w:r>
    </w:p>
    <w:p>
      <w:pPr>
        <w:sectPr>
          <w:pgSz w:w="11900" w:h="16838" w:orient="portrait"/>
          <w:cols w:equalWidth="0" w:num="1">
            <w:col w:w="11160"/>
          </w:cols>
          <w:pgMar w:left="320" w:top="1414" w:right="419" w:bottom="1440" w:gutter="0" w:footer="0" w:header="0"/>
        </w:sectPr>
      </w:pPr>
    </w:p>
    <w:bookmarkStart w:id="203" w:name="page204"/>
    <w:bookmarkEnd w:id="203"/>
    <w:p>
      <w:pPr>
        <w:spacing w:after="0" w:line="218" w:lineRule="exact"/>
        <w:rPr>
          <w:sz w:val="20"/>
          <w:szCs w:val="20"/>
          <w:color w:val="auto"/>
        </w:rPr>
      </w:pPr>
    </w:p>
    <w:p>
      <w:pPr>
        <w:ind w:left="660" w:right="680" w:firstLine="644"/>
        <w:spacing w:after="0"/>
        <w:tabs>
          <w:tab w:leader="none" w:pos="183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213" w:lineRule="exact"/>
        <w:rPr>
          <w:rFonts w:ascii="Arial" w:cs="Arial" w:eastAsia="Arial" w:hAnsi="Arial"/>
          <w:sz w:val="22"/>
          <w:szCs w:val="22"/>
          <w:color w:val="auto"/>
        </w:rPr>
      </w:pPr>
    </w:p>
    <w:p>
      <w:pPr>
        <w:ind w:left="660" w:right="40" w:firstLine="644"/>
        <w:spacing w:after="0" w:line="276" w:lineRule="auto"/>
        <w:tabs>
          <w:tab w:leader="none" w:pos="1734" w:val="left"/>
        </w:tabs>
        <w:numPr>
          <w:ilvl w:val="1"/>
          <w:numId w:val="130"/>
        </w:numPr>
        <w:rPr>
          <w:rFonts w:ascii="Arial" w:cs="Arial" w:eastAsia="Arial" w:hAnsi="Arial"/>
          <w:sz w:val="19"/>
          <w:szCs w:val="19"/>
          <w:color w:val="auto"/>
        </w:rPr>
      </w:pPr>
      <w:r>
        <w:rPr>
          <w:rFonts w:ascii="Arial" w:cs="Arial" w:eastAsia="Arial" w:hAnsi="Arial"/>
          <w:sz w:val="19"/>
          <w:szCs w:val="19"/>
          <w:color w:val="auto"/>
        </w:rPr>
        <w:t>“Contingent Compensation Payment” shall mean any payment (or benefit) in the nature of compensation that is made or made available (under this Agreement or otherwise) to a “disqualified individual” (as defined in</w:t>
      </w:r>
    </w:p>
    <w:p>
      <w:pPr>
        <w:spacing w:after="0" w:line="1" w:lineRule="exact"/>
        <w:rPr>
          <w:rFonts w:ascii="Arial" w:cs="Arial" w:eastAsia="Arial" w:hAnsi="Arial"/>
          <w:sz w:val="19"/>
          <w:szCs w:val="19"/>
          <w:color w:val="auto"/>
        </w:rPr>
      </w:pPr>
    </w:p>
    <w:p>
      <w:pPr>
        <w:ind w:left="660" w:right="280"/>
        <w:spacing w:after="0" w:line="236" w:lineRule="auto"/>
        <w:rPr>
          <w:rFonts w:ascii="Arial" w:cs="Arial" w:eastAsia="Arial" w:hAnsi="Arial"/>
          <w:sz w:val="19"/>
          <w:szCs w:val="19"/>
          <w:color w:val="auto"/>
        </w:rPr>
      </w:pPr>
      <w:r>
        <w:rPr>
          <w:rFonts w:ascii="Arial" w:cs="Arial" w:eastAsia="Arial" w:hAnsi="Arial"/>
          <w:sz w:val="22"/>
          <w:szCs w:val="22"/>
          <w:color w:val="auto"/>
        </w:rPr>
        <w:t>Section 280G(c) of the Code) and that is contingent (within the meaning of Section 280G(b)(2)(A)(i) of the Code) on a Change in Ownership or Control of the Company.</w:t>
      </w:r>
    </w:p>
    <w:p>
      <w:pPr>
        <w:spacing w:after="0" w:line="213" w:lineRule="exact"/>
        <w:rPr>
          <w:rFonts w:ascii="Arial" w:cs="Arial" w:eastAsia="Arial" w:hAnsi="Arial"/>
          <w:sz w:val="19"/>
          <w:szCs w:val="19"/>
          <w:color w:val="auto"/>
        </w:rPr>
      </w:pPr>
    </w:p>
    <w:p>
      <w:pPr>
        <w:ind w:right="20" w:firstLine="656"/>
        <w:spacing w:after="0" w:line="270" w:lineRule="auto"/>
        <w:tabs>
          <w:tab w:leader="none" w:pos="121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Any payments or other benefits otherwise due to you following a Change in Ownership or Control that could reasonably be characterized (as determined by the Company) as Contingent Compensation Payments (the “Potential Payments”) shall not be made until the dates provided for in this Section 3(d). Within 30 days after each date on which you first become entitled to receive (whether or not then due) a Contingent Compensation Payment relating to such Change in Ownership or Control, the Company shall determine and notify you (with reasonable detail regarding the basis for its determinations) (1) which Potential Payments constitute Contingent Compensation Payments, (2) the Eliminated Amount and (3) whether the</w:t>
      </w:r>
    </w:p>
    <w:p>
      <w:pPr>
        <w:spacing w:after="0" w:line="1" w:lineRule="exact"/>
        <w:rPr>
          <w:rFonts w:ascii="Arial" w:cs="Arial" w:eastAsia="Arial" w:hAnsi="Arial"/>
          <w:sz w:val="19"/>
          <w:szCs w:val="19"/>
          <w:color w:val="auto"/>
        </w:rPr>
      </w:pPr>
    </w:p>
    <w:p>
      <w:pPr>
        <w:spacing w:after="0" w:line="269" w:lineRule="auto"/>
        <w:rPr>
          <w:rFonts w:ascii="Arial" w:cs="Arial" w:eastAsia="Arial" w:hAnsi="Arial"/>
          <w:sz w:val="19"/>
          <w:szCs w:val="19"/>
          <w:color w:val="auto"/>
        </w:rPr>
      </w:pPr>
      <w:r>
        <w:rPr>
          <w:rFonts w:ascii="Arial" w:cs="Arial" w:eastAsia="Arial" w:hAnsi="Arial"/>
          <w:sz w:val="19"/>
          <w:szCs w:val="19"/>
          <w:color w:val="auto"/>
        </w:rPr>
        <w:t>Section 3(b) Override is applicable. Within 30 days after delivery of such notice to you, you shall deliver a response to the Company (the “Executive Response”) stating either (A) that you agree with the Company’s determination pursuant to the preceding sentence or (B) that you disagree with such determination, in which case you shall set forth (x) which Potential Payments should be characterized as Contingent Compensation Payments, (y) the Eliminated Amount, and (z) whether the Section 3(b) Override is applicable. In the event that you fail to deliver an Executive Response on or before the required date, the Company’s initial determination shall be final. If you state in the Executive Response that you agree with the Company’s determination, the Company shall make the Potential Payments to you within three business days following delivery to the Company of the Executive Response (except for any Potential Payments which are not due to be made until after such date, which Potential Payments shall be made on the date on which they are due). If you state in the Executive Response that you disagree with the Company’s determination, then, for a period of 60 days following delivery of the Executive Response, you and the Company shall use good faith efforts to resolve such dispute. If such dispute is not resolved within such 60-day period, such dispute shall be settled exclusively by arbitration in New York, New York,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you those Potential Payments as to which there is no dispute between the Company and you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120" w:firstLine="656"/>
        <w:spacing w:after="0"/>
        <w:tabs>
          <w:tab w:leader="none" w:pos="126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Contingent Compensation Payments to be treated as Eliminated Payments shall be determined by the Company by determining the “Contingent Compensation Payment Ratio” (as defined below) for each Contingent Compensation Payment and then reducing the</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271" w:lineRule="auto"/>
        <w:rPr>
          <w:sz w:val="20"/>
          <w:szCs w:val="20"/>
          <w:color w:val="auto"/>
        </w:rPr>
      </w:pPr>
      <w:r>
        <w:rPr>
          <w:rFonts w:ascii="Arial" w:cs="Arial" w:eastAsia="Arial" w:hAnsi="Arial"/>
          <w:sz w:val="19"/>
          <w:szCs w:val="19"/>
          <w:color w:val="auto"/>
        </w:rPr>
        <w:t>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you for purposes of Section 4999(a) of the Code, and the denominator of which is the actual amount to be received by you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200" w:lineRule="exact"/>
        <w:rPr>
          <w:sz w:val="20"/>
          <w:szCs w:val="20"/>
          <w:color w:val="auto"/>
        </w:rPr>
      </w:pPr>
    </w:p>
    <w:p>
      <w:pPr>
        <w:spacing w:after="0" w:line="238" w:lineRule="exact"/>
        <w:rPr>
          <w:sz w:val="20"/>
          <w:szCs w:val="20"/>
          <w:color w:val="auto"/>
        </w:rPr>
      </w:pPr>
    </w:p>
    <w:p>
      <w:pPr>
        <w:ind w:right="180" w:firstLine="656"/>
        <w:spacing w:after="0"/>
        <w:tabs>
          <w:tab w:leader="none" w:pos="1346"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provisions of this Section 3 are intended to apply to any and all payments or benefits available to you under this letter agreement or any other agreement or plan of the Company under which you receive Contingent Compensation Payments.</w:t>
      </w:r>
    </w:p>
    <w:p>
      <w:pPr>
        <w:spacing w:after="0" w:line="207" w:lineRule="exact"/>
        <w:rPr>
          <w:rFonts w:ascii="Arial" w:cs="Arial" w:eastAsia="Arial" w:hAnsi="Arial"/>
          <w:sz w:val="22"/>
          <w:szCs w:val="22"/>
          <w:color w:val="auto"/>
        </w:rPr>
      </w:pPr>
    </w:p>
    <w:p>
      <w:pPr>
        <w:ind w:left="1260" w:hanging="928"/>
        <w:spacing w:after="0"/>
        <w:tabs>
          <w:tab w:leader="none" w:pos="1260" w:val="left"/>
        </w:tabs>
        <w:numPr>
          <w:ilvl w:val="0"/>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firstLine="656"/>
        <w:spacing w:after="0" w:line="271" w:lineRule="auto"/>
        <w:tabs>
          <w:tab w:leader="none" w:pos="1266"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intent of the parties is that payments and benefits under this letter comply with, or be exempt from, Internal Revenue Code Section 409A and the regulations and guidance promulgated thereunder (collectively “Code Section 409A”). Accordingly, if any provision of this letter is ambiguous, such that one interpretation would subject a payment or benefit to the excise tax imposed by Code Section 409A and an alternative interpretation would not so subject the payment or benefit, the parties intend the interpretation that would not so subject the payment or benefit to apply.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Section 105(a) of the Code solely because such expenses are subject to a limit related to the period the arrangement is in effect, and (iii) such payments shall be made on or before the last day of your taxable year following the taxable year in which the expense occurred, provided that any tax gross-ups may be reimbursed by the end of the calendar year following the calendar year in which such taxes are remitted to the taxing authorities. For purposes of Code Section 409A, each payment hereunder shall be treated as a separate payment and your right to receive any installment payments pursuant to this Agreement shall be treated as a right to receive a series of separate and distinct payments. In no event may you, directly or</w:t>
      </w:r>
    </w:p>
    <w:p>
      <w:pPr>
        <w:sectPr>
          <w:pgSz w:w="11900" w:h="16838" w:orient="portrait"/>
          <w:cols w:equalWidth="0" w:num="1">
            <w:col w:w="11220"/>
          </w:cols>
          <w:pgMar w:left="320" w:top="1414" w:right="359" w:bottom="1440" w:gutter="0" w:footer="0" w:header="0"/>
        </w:sectPr>
      </w:pPr>
    </w:p>
    <w:bookmarkStart w:id="205" w:name="page206"/>
    <w:bookmarkEnd w:id="205"/>
    <w:p>
      <w:pPr>
        <w:spacing w:after="0" w:line="282" w:lineRule="auto"/>
        <w:rPr>
          <w:sz w:val="20"/>
          <w:szCs w:val="20"/>
          <w:color w:val="auto"/>
        </w:rPr>
      </w:pPr>
      <w:r>
        <w:rPr>
          <w:rFonts w:ascii="Arial" w:cs="Arial" w:eastAsia="Arial" w:hAnsi="Arial"/>
          <w:sz w:val="19"/>
          <w:szCs w:val="19"/>
          <w:color w:val="auto"/>
        </w:rPr>
        <w:t>indirectly, designate the calendar year of any payment to be made under this letter that is considered nonqualified deferred compensation. Termination of employment as used herein shall mean separation from service within the meaning of Code Section 409A. In the event at the time of any separation from service you are a “specified employee” within the meaning of Code Section 409A, any deferred compensation subject to Code Section 409A payable as a result of such termination shall not be paid prior to the earlier of six (6) months after such termination and your death and shall be paid immediately thereafter.</w:t>
      </w:r>
    </w:p>
    <w:p>
      <w:pPr>
        <w:spacing w:after="0" w:line="174" w:lineRule="exact"/>
        <w:rPr>
          <w:sz w:val="20"/>
          <w:szCs w:val="20"/>
          <w:color w:val="auto"/>
        </w:rPr>
      </w:pPr>
    </w:p>
    <w:p>
      <w:pPr>
        <w:ind w:right="200" w:firstLine="656"/>
        <w:spacing w:after="0" w:line="248" w:lineRule="auto"/>
        <w:tabs>
          <w:tab w:leader="none" w:pos="1224"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letter shall be governed by and construed in accordance with the laws of the State of New York (without reference to the conflicts of laws provisions thereof). Any action, suit, or other legal proceeding which is commenced to resolve any matter arising under or relating to any provision of this letter shall be commenced only in a court of the State of New York (or, if appropriate, a federal court located within New York), and the Company and you each consents to the jurisdiction of such a court. The Company and you each hereby irrevocably waive any right to a trial by jury in any action, suit or other legal proceeding arising under or relating to any provision hereof.</w:t>
      </w:r>
    </w:p>
    <w:p>
      <w:pPr>
        <w:spacing w:after="0" w:line="203" w:lineRule="exact"/>
        <w:rPr>
          <w:rFonts w:ascii="Arial" w:cs="Arial" w:eastAsia="Arial" w:hAnsi="Arial"/>
          <w:sz w:val="21"/>
          <w:szCs w:val="21"/>
          <w:color w:val="auto"/>
        </w:rPr>
      </w:pPr>
    </w:p>
    <w:p>
      <w:pPr>
        <w:ind w:right="60" w:firstLine="656"/>
        <w:spacing w:after="0" w:line="275" w:lineRule="auto"/>
        <w:tabs>
          <w:tab w:leader="none" w:pos="126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Conflict; Amendment: Counterparts</w:t>
      </w:r>
      <w:r>
        <w:rPr>
          <w:rFonts w:ascii="Arial" w:cs="Arial" w:eastAsia="Arial" w:hAnsi="Arial"/>
          <w:sz w:val="19"/>
          <w:szCs w:val="19"/>
          <w:color w:val="auto"/>
        </w:rPr>
        <w:t>. This letter agreement sets forth the Company’s sole obligation, subject to the terms and conditions set forth herein, to provide severance benefits to you. The severance benefits set forth in this letter agreement are therefore in lieu of, and not in addition to, any severance benefits that may be described in the letter agreement evidencing your offer of employment with us, or any other agreement or arrangement between you and us. Except as modified hereby, the terms of the letter agreement evidencing your offer of employment with us remain in full force and effect. The Prior Agreement is superseded by this agreement and shall be of no further force or effect. This agreement may only be modified in a document signed by both the Company and you. This agreement may be executed in counterparts, each of which will be deemed an original, but all of which will be deemed one and the same instrument.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200"/>
          </w:cols>
          <w:pgMar w:left="320" w:top="1414" w:right="379" w:bottom="1440" w:gutter="0" w:footer="0" w:header="0"/>
        </w:sectPr>
      </w:pPr>
    </w:p>
    <w:bookmarkStart w:id="206" w:name="page207"/>
    <w:bookmarkEnd w:id="206"/>
    <w:p>
      <w:pPr>
        <w:ind w:firstLine="648"/>
        <w:spacing w:after="0" w:line="250" w:lineRule="auto"/>
        <w:rPr>
          <w:sz w:val="20"/>
          <w:szCs w:val="20"/>
          <w:color w:val="auto"/>
        </w:rPr>
      </w:pPr>
      <w:r>
        <w:rPr>
          <w:rFonts w:ascii="Arial" w:cs="Arial" w:eastAsia="Arial" w:hAnsi="Arial"/>
          <w:sz w:val="22"/>
          <w:szCs w:val="22"/>
          <w:color w:val="auto"/>
        </w:rPr>
        <w:t>If the provisions of this agreement are acceptable to you, please sign and date this agreement below and return the signed and dated agreement to me on or before Thursday, June 24, 2021.</w:t>
      </w:r>
    </w:p>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IVERIC bio, Inc.</w:t>
      </w:r>
    </w:p>
    <w:p>
      <w:pPr>
        <w:spacing w:after="0" w:line="341"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Amy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24130</wp:posOffset>
            </wp:positionV>
            <wp:extent cx="32658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Amy R. Sheehan</w:t>
      </w:r>
    </w:p>
    <w:p>
      <w:pPr>
        <w:spacing w:after="0" w:line="4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Senior Vice President &amp; Chief HR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Chris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5915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Christopher Simms</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24130</wp:posOffset>
            </wp:positionV>
            <wp:extent cx="31972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88900</wp:posOffset>
            </wp:positionV>
            <wp:extent cx="1482725" cy="986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86155"/>
                    </a:xfrm>
                    <a:prstGeom prst="rect">
                      <a:avLst/>
                    </a:prstGeom>
                    <a:noFill/>
                  </pic:spPr>
                </pic:pic>
              </a:graphicData>
            </a:graphic>
          </wp:anchor>
        </w:drawing>
      </w:r>
    </w:p>
    <w:p>
      <w:pPr>
        <w:spacing w:after="0" w:line="333" w:lineRule="exact"/>
        <w:rPr>
          <w:sz w:val="20"/>
          <w:szCs w:val="20"/>
          <w:color w:val="auto"/>
        </w:rPr>
      </w:pPr>
    </w:p>
    <w:p>
      <w:pPr>
        <w:ind w:right="840"/>
        <w:spacing w:after="0" w:line="275"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November 19, 2021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Mr. Anthony Gibney</w:t>
      </w: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Tony:</w:t>
      </w:r>
    </w:p>
    <w:p>
      <w:pPr>
        <w:spacing w:after="0" w:line="17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On behalf of IVERIC bio, Inc. (the “Company”) it is my pleasure to extend to you this offer of employment with the Company for the position of Executive Vice President &amp; Chief Business &amp; Strategy Officer, reporting directly to Glenn Sblendorio, Chief Executive Officer. The terms of this offer, which are contingent on you and us determining a mutually agreed upon start date, which is expected to be no later than January 3, 2022 (the “Start Date”) and satisfactory completion of a background investigation, are as follows:</w:t>
      </w:r>
    </w:p>
    <w:p>
      <w:pPr>
        <w:spacing w:after="0" w:line="152" w:lineRule="exact"/>
        <w:rPr>
          <w:sz w:val="20"/>
          <w:szCs w:val="20"/>
          <w:color w:val="auto"/>
        </w:rPr>
      </w:pPr>
    </w:p>
    <w:p>
      <w:pPr>
        <w:jc w:val="both"/>
        <w:ind w:left="860" w:hanging="463"/>
        <w:spacing w:after="0" w:line="241" w:lineRule="auto"/>
        <w:tabs>
          <w:tab w:leader="none" w:pos="852" w:val="left"/>
        </w:tabs>
        <w:numPr>
          <w:ilvl w:val="0"/>
          <w:numId w:val="135"/>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employed on a full-time basis. You will carry out duties and responsibilities consistent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your position and such other duties as may from time to time be assigned to you by the Company. The Company reserves the right to change your title and responsibilities at any time, with or without notice, provided that such change in title and responsibilities is in connection with the addition of responsibilities and/or a more senior position. You shall perform and discharge faithfully and diligently your duties and responsibilities hereunder. You agree to devote your full business time, efforts, skill, knowledge, attention and energies to the advancement of the Company’s business and interests and to the performance of your duties and responsibilities as an employee of the Company. Notwithstanding the foregoing, you may (i) manage your personal financial affairs, (ii) engage in civic and charitable activities, and (iii) continue to serve on the board of directors of the company on which you currently serve as a board member and, with the prior approval of the Board (not to be unreasonably withheld), serve on one additional board of directors, provided that such activities described in (i), (ii) and (iii) do not, individually or in the aggregate, unreasonably interfere with your duties and responsibilities hereunder or create a conflict of interests. You will be indemnified for your services to and on behalf of the Company to the extent provided for under the Company’s certificate of incorporation and standard form of director and executive officer indemnification agreement (which the Company will execute and deliver to you) and you shall be covered by directors’ and officers’ or other third-party liability insurance on a basis no less favorable than other senior executives of the Company are so covered. You agree to abide by the rules, regulations, instructions, practices and policies of the Company and any changes to these that may be adopted from time to time by the Company.</w:t>
      </w: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jc w:val="both"/>
        <w:ind w:left="860" w:hanging="463"/>
        <w:spacing w:after="0" w:line="230" w:lineRule="auto"/>
        <w:tabs>
          <w:tab w:leader="none" w:pos="852" w:val="left"/>
        </w:tabs>
        <w:numPr>
          <w:ilvl w:val="0"/>
          <w:numId w:val="135"/>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Your base salary will be at the annual rate of $420,000, less all applicable taxes and withholdings, to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accordance with the Company’s regular payroll practices. Such base salary may be adjusted for possible increase, but not decrease, from time to time in accordance with normal business practices and in the sole discretion of the Company. Your position is classified as “exempt” according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424180</wp:posOffset>
            </wp:positionV>
            <wp:extent cx="53492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60"/>
        <w:spacing w:after="0"/>
        <w:rPr>
          <w:sz w:val="20"/>
          <w:szCs w:val="20"/>
          <w:color w:val="auto"/>
        </w:rPr>
      </w:pPr>
      <w:r>
        <w:rPr>
          <w:rFonts w:ascii="Arial" w:cs="Arial" w:eastAsia="Arial" w:hAnsi="Arial"/>
          <w:sz w:val="16"/>
          <w:szCs w:val="16"/>
          <w:color w:val="44546A"/>
        </w:rPr>
        <w:t>www.ivericbio.com</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3"/>
        <w:spacing w:after="0"/>
        <w:rPr>
          <w:sz w:val="20"/>
          <w:szCs w:val="20"/>
          <w:color w:val="auto"/>
        </w:rPr>
      </w:pPr>
      <w:r>
        <w:rPr>
          <w:rFonts w:ascii="Arial" w:cs="Arial" w:eastAsia="Arial" w:hAnsi="Arial"/>
          <w:sz w:val="19"/>
          <w:szCs w:val="19"/>
          <w:color w:val="auto"/>
        </w:rPr>
        <w:t>federal wage law which means you are not eligible for overtime pay for hours worked in excess of 40 in a given week.</w:t>
      </w:r>
    </w:p>
    <w:p>
      <w:pPr>
        <w:spacing w:after="0" w:line="343" w:lineRule="exact"/>
        <w:rPr>
          <w:sz w:val="20"/>
          <w:szCs w:val="20"/>
          <w:color w:val="auto"/>
        </w:rPr>
      </w:pPr>
    </w:p>
    <w:p>
      <w:pPr>
        <w:jc w:val="both"/>
        <w:ind w:left="463" w:hanging="463"/>
        <w:spacing w:after="0" w:line="215" w:lineRule="auto"/>
        <w:tabs>
          <w:tab w:leader="none" w:pos="455" w:val="left"/>
        </w:tabs>
        <w:numPr>
          <w:ilvl w:val="0"/>
          <w:numId w:val="136"/>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Discretionary Bonus.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end of each calendar year beginning with 2022 and subject to the approval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Board of Directors (the “Board”), you will be eligible for a target performance bonus of 45% of your annualized base salary, based on your personal performance and the Company’s performance during the applicable calendar year, as determined by the Company in good faith based on your and the Company’s achievement of performance objectives communicated to you at the beginning of each calendar year during the term of your employment.</w:t>
      </w:r>
    </w:p>
    <w:p>
      <w:pPr>
        <w:spacing w:after="0" w:line="152" w:lineRule="exact"/>
        <w:rPr>
          <w:rFonts w:ascii="Arial" w:cs="Arial" w:eastAsia="Arial" w:hAnsi="Arial"/>
          <w:sz w:val="20"/>
          <w:szCs w:val="20"/>
          <w:b w:val="1"/>
          <w:bCs w:val="1"/>
          <w:color w:val="auto"/>
        </w:rPr>
      </w:pPr>
    </w:p>
    <w:p>
      <w:pPr>
        <w:jc w:val="both"/>
        <w:ind w:left="463" w:hanging="463"/>
        <w:spacing w:after="0" w:line="241" w:lineRule="auto"/>
        <w:tabs>
          <w:tab w:leader="none" w:pos="455" w:val="left"/>
        </w:tabs>
        <w:numPr>
          <w:ilvl w:val="0"/>
          <w:numId w:val="136"/>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commencement of your employment and as an inducement to becoming an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receive an option to purchase 200,000 shares of the Company’s common stock (the “Option”), subject to approval by the Board (acting in its sole discretion) and contingent upon your execution of the corresponding stock option agreement. The Option would be issued with an exercise price per share equal to the closing sale price (for the primary trading session) of the Company’s common stock on the Nasdaq Global Select Market on your Start Date (the “Grant Date”) and would vest over a four-year period, with 25% of the shares vesting on the first anniversary of the Grant Date and the remainder of the shares vesting in equal monthly amounts thereafter until the fourth anniversary of the Grant Date, pursuant to the terms of the stock option agreement and subject to your continued employment with the Company. In addition, in connection with the commencement of your employment and as an inducement to becoming an employee, you will be receive, on the Grant Date, two separate restricted stock unit grants consisting of (a) a grant for 100,000 shares of the Company’s common stock (the “Joining RSU Grant”) and (b) a grant for 75,000 shares of the Company’s common stock (the “Performance RSU Grant”), in each case, subject to approval by the Board (acting in its sole discretion) and contingent upon your execution of a corresponding restricted stock unit agreements. The Joining RSU Grant would vest over a four-year period, with 25% of the shares vesting on each of the first, second, third and fourth anniversaries of the Grant Date and the Performance RSU Grant would vest based on key performance milestones as set forth on Exhibit A attached hereto, in each case, pursuant to the terms of the applicable restricted stock unit agreement and subject to your continued employment with the Company except as provided herein. Subject to Board approval each year, the Company grants additional equity awards annually based on performance and you will be eligible for such grants beginning with those awarded based on 2022 performance.</w:t>
      </w:r>
    </w:p>
    <w:p>
      <w:pPr>
        <w:spacing w:after="0" w:line="178" w:lineRule="exact"/>
        <w:rPr>
          <w:rFonts w:ascii="Arial" w:cs="Arial" w:eastAsia="Arial" w:hAnsi="Arial"/>
          <w:sz w:val="18"/>
          <w:szCs w:val="18"/>
          <w:b w:val="1"/>
          <w:bCs w:val="1"/>
          <w:color w:val="auto"/>
        </w:rPr>
      </w:pPr>
    </w:p>
    <w:p>
      <w:pPr>
        <w:jc w:val="both"/>
        <w:ind w:left="463" w:hanging="463"/>
        <w:spacing w:after="0" w:line="217" w:lineRule="auto"/>
        <w:tabs>
          <w:tab w:leader="none" w:pos="455" w:val="left"/>
        </w:tabs>
        <w:numPr>
          <w:ilvl w:val="0"/>
          <w:numId w:val="136"/>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Sign On Bonus:</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your employment, the Company will award you a sign-on bonus in the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$50,000, less applicable taxes, that will be included in your first paycheck. Should you voluntarily resign from the Company (excluding for this purpose, your termination with Good Reason as such term is defined in your severance agreement with the Company to be executed contemporaneous herewith (the “Severance Agreement”)) within your first year of employment you would be required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843"/>
          </w:cols>
          <w:pgMar w:left="717" w:top="1440" w:right="33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463"/>
        <w:spacing w:after="0" w:line="244" w:lineRule="auto"/>
        <w:rPr>
          <w:sz w:val="20"/>
          <w:szCs w:val="20"/>
          <w:color w:val="auto"/>
        </w:rPr>
      </w:pPr>
      <w:r>
        <w:rPr>
          <w:rFonts w:ascii="Arial" w:cs="Arial" w:eastAsia="Arial" w:hAnsi="Arial"/>
          <w:sz w:val="19"/>
          <w:szCs w:val="19"/>
          <w:color w:val="auto"/>
        </w:rPr>
        <w:t>to repay to the Company 100% of the sign-on bonus awarded to you (including any taxes deducted through payroll). For the avoidance of doubt, no repayment will be due upon your involuntary termination without Cause (as such term is defined in the Severance Agreement) or upon your termination of employment due to death or disability. In addition, in connection with the commencement of your employment and as an inducement to becoming an employee, you will receive, as a sign-on bonus on the Grant Date, a restricted stock unit grant for 6,000 shares of the Company’s common stock (the “Sign-On RSU Grant”), subject to approval by the Board (acting in its sole discretion) and contingent upon your execution of a corresponding restricted stock unit agreement. The Sign-On RSU Grant would vest with respect to 100% of the shares underlying the grant on the first anniversary of the Grant Date, pursuant to the terms of the restricted stock unit agreement and subject to your continued employment with the Company.</w:t>
      </w:r>
    </w:p>
    <w:p>
      <w:pPr>
        <w:spacing w:after="0" w:line="182" w:lineRule="exact"/>
        <w:rPr>
          <w:sz w:val="20"/>
          <w:szCs w:val="20"/>
          <w:color w:val="auto"/>
        </w:rPr>
      </w:pPr>
    </w:p>
    <w:p>
      <w:pPr>
        <w:jc w:val="both"/>
        <w:ind w:left="463" w:hanging="463"/>
        <w:spacing w:after="0" w:line="230" w:lineRule="auto"/>
        <w:tabs>
          <w:tab w:leader="none" w:pos="455" w:val="left"/>
        </w:tabs>
        <w:numPr>
          <w:ilvl w:val="0"/>
          <w:numId w:val="137"/>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You may participate in any and all benefit programs that the Company establishes and makes generally</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to similarly situated employees from time to time, provided that you are eligible under (and subject to all provisions of) the plan documents that govern those programs. A summary of current benefits is enclosed with this letter. Benefits are subject to change at any time in the Company’s sole discretion.</w:t>
      </w:r>
    </w:p>
    <w:p>
      <w:pPr>
        <w:spacing w:after="0" w:line="113" w:lineRule="exact"/>
        <w:rPr>
          <w:rFonts w:ascii="Arial" w:cs="Arial" w:eastAsia="Arial" w:hAnsi="Arial"/>
          <w:sz w:val="19"/>
          <w:szCs w:val="19"/>
          <w:b w:val="1"/>
          <w:bCs w:val="1"/>
          <w:color w:val="auto"/>
        </w:rPr>
      </w:pPr>
    </w:p>
    <w:p>
      <w:pPr>
        <w:ind w:left="463" w:right="620" w:hanging="463"/>
        <w:spacing w:after="0" w:line="235" w:lineRule="auto"/>
        <w:tabs>
          <w:tab w:leader="none" w:pos="455"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receive the severance and change in control benefits set forth in the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79" w:lineRule="exact"/>
        <w:rPr>
          <w:rFonts w:ascii="Arial" w:cs="Arial" w:eastAsia="Arial" w:hAnsi="Arial"/>
          <w:sz w:val="20"/>
          <w:szCs w:val="20"/>
          <w:b w:val="1"/>
          <w:bCs w:val="1"/>
          <w:color w:val="auto"/>
        </w:rPr>
      </w:pPr>
    </w:p>
    <w:p>
      <w:pPr>
        <w:ind w:left="463" w:hanging="463"/>
        <w:spacing w:after="0" w:line="235" w:lineRule="auto"/>
        <w:tabs>
          <w:tab w:leader="none" w:pos="455"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Vacation.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entitled to vacation time as set forth in the Employee Handbook, as such vacation policy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the Company from time to time.</w:t>
      </w:r>
    </w:p>
    <w:p>
      <w:pPr>
        <w:spacing w:after="0" w:line="152" w:lineRule="exact"/>
        <w:rPr>
          <w:rFonts w:ascii="Arial" w:cs="Arial" w:eastAsia="Arial" w:hAnsi="Arial"/>
          <w:sz w:val="20"/>
          <w:szCs w:val="20"/>
          <w:b w:val="1"/>
          <w:bCs w:val="1"/>
          <w:color w:val="auto"/>
        </w:rPr>
      </w:pPr>
    </w:p>
    <w:p>
      <w:pPr>
        <w:ind w:left="463" w:hanging="463"/>
        <w:spacing w:after="0" w:line="235" w:lineRule="auto"/>
        <w:tabs>
          <w:tab w:leader="none" w:pos="455"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Fair Competition &amp; Confidentiality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As a condition of employment, you will be required to execute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Fair Competition &amp; Confidentiality Agreement.</w:t>
      </w:r>
    </w:p>
    <w:p>
      <w:pPr>
        <w:spacing w:after="0" w:line="152" w:lineRule="exact"/>
        <w:rPr>
          <w:rFonts w:ascii="Arial" w:cs="Arial" w:eastAsia="Arial" w:hAnsi="Arial"/>
          <w:sz w:val="20"/>
          <w:szCs w:val="20"/>
          <w:b w:val="1"/>
          <w:bCs w:val="1"/>
          <w:color w:val="auto"/>
        </w:rPr>
      </w:pPr>
    </w:p>
    <w:p>
      <w:pPr>
        <w:jc w:val="both"/>
        <w:ind w:left="463" w:hanging="463"/>
        <w:spacing w:after="0" w:line="225" w:lineRule="auto"/>
        <w:tabs>
          <w:tab w:leader="none" w:pos="459"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 Conflict.</w:t>
      </w:r>
      <w:r>
        <w:rPr>
          <w:rFonts w:ascii="Arial" w:cs="Arial" w:eastAsia="Arial" w:hAnsi="Arial"/>
          <w:sz w:val="22"/>
          <w:szCs w:val="22"/>
          <w:b w:val="1"/>
          <w:bCs w:val="1"/>
          <w:color w:val="auto"/>
        </w:rPr>
        <w:t xml:space="preserve"> </w:t>
      </w:r>
      <w:r>
        <w:rPr>
          <w:rFonts w:ascii="Arial" w:cs="Arial" w:eastAsia="Arial" w:hAnsi="Arial"/>
          <w:sz w:val="22"/>
          <w:szCs w:val="22"/>
          <w:color w:val="auto"/>
        </w:rPr>
        <w:t>You represent that you are not bound by any employment contract, restrictive covenant or other restriction</w:t>
      </w:r>
      <w:r>
        <w:rPr>
          <w:rFonts w:ascii="Arial" w:cs="Arial" w:eastAsia="Arial" w:hAnsi="Arial"/>
          <w:sz w:val="22"/>
          <w:szCs w:val="22"/>
          <w:b w:val="1"/>
          <w:bCs w:val="1"/>
          <w:color w:val="auto"/>
        </w:rPr>
        <w:t xml:space="preserve"> </w:t>
      </w:r>
      <w:r>
        <w:rPr>
          <w:rFonts w:ascii="Arial" w:cs="Arial" w:eastAsia="Arial" w:hAnsi="Arial"/>
          <w:sz w:val="22"/>
          <w:szCs w:val="22"/>
          <w:color w:val="auto"/>
        </w:rPr>
        <w:t>preventing you from entering into employment with or carrying out your responsibilities for the Company, or which is in any way inconsistent with the terms of this offer letter.</w:t>
      </w:r>
    </w:p>
    <w:p>
      <w:pPr>
        <w:spacing w:after="0" w:line="152" w:lineRule="exact"/>
        <w:rPr>
          <w:rFonts w:ascii="Arial" w:cs="Arial" w:eastAsia="Arial" w:hAnsi="Arial"/>
          <w:sz w:val="20"/>
          <w:szCs w:val="20"/>
          <w:b w:val="1"/>
          <w:bCs w:val="1"/>
          <w:color w:val="auto"/>
        </w:rPr>
      </w:pPr>
    </w:p>
    <w:p>
      <w:pPr>
        <w:jc w:val="both"/>
        <w:ind w:left="463" w:hanging="463"/>
        <w:spacing w:after="0" w:line="220" w:lineRule="auto"/>
        <w:tabs>
          <w:tab w:leader="none" w:pos="449"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Proof of Legal Right to Work.</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required to complete an Employment Eligibility Verification Form and</w:t>
      </w:r>
      <w:r>
        <w:rPr>
          <w:rFonts w:ascii="Arial" w:cs="Arial" w:eastAsia="Arial" w:hAnsi="Arial"/>
          <w:sz w:val="22"/>
          <w:szCs w:val="22"/>
          <w:b w:val="1"/>
          <w:bCs w:val="1"/>
          <w:color w:val="auto"/>
        </w:rPr>
        <w:t xml:space="preserve"> </w:t>
      </w:r>
      <w:r>
        <w:rPr>
          <w:rFonts w:ascii="Arial" w:cs="Arial" w:eastAsia="Arial" w:hAnsi="Arial"/>
          <w:sz w:val="22"/>
          <w:szCs w:val="22"/>
          <w:color w:val="auto"/>
        </w:rPr>
        <w:t>submit an original document or documents that establish identity and employment eligibility within 3 business days of starting employment. Your employment with the Company is contingent on your satisfactory completion of this requirement.</w:t>
      </w:r>
    </w:p>
    <w:p>
      <w:pPr>
        <w:spacing w:after="0" w:line="152" w:lineRule="exact"/>
        <w:rPr>
          <w:rFonts w:ascii="Arial" w:cs="Arial" w:eastAsia="Arial" w:hAnsi="Arial"/>
          <w:sz w:val="20"/>
          <w:szCs w:val="20"/>
          <w:b w:val="1"/>
          <w:bCs w:val="1"/>
          <w:color w:val="auto"/>
        </w:rPr>
      </w:pPr>
    </w:p>
    <w:p>
      <w:pPr>
        <w:jc w:val="both"/>
        <w:ind w:left="463" w:hanging="463"/>
        <w:spacing w:after="0" w:line="225" w:lineRule="auto"/>
        <w:tabs>
          <w:tab w:leader="none" w:pos="459" w:val="left"/>
        </w:tabs>
        <w:numPr>
          <w:ilvl w:val="0"/>
          <w:numId w:val="13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shall not be construed as an agreement, either express or implied, to employ you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stated term, and shall in no way alter the Company’s policy of employment at-will, under which both the Company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43"/>
          </w:cols>
          <w:pgMar w:left="717" w:top="1440" w:right="339" w:bottom="1440" w:gutter="0" w:footer="0" w:header="0"/>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463"/>
        <w:spacing w:after="0" w:line="247" w:lineRule="auto"/>
        <w:rPr>
          <w:sz w:val="20"/>
          <w:szCs w:val="20"/>
          <w:color w:val="auto"/>
        </w:rPr>
      </w:pPr>
      <w:r>
        <w:rPr>
          <w:rFonts w:ascii="Arial" w:cs="Arial" w:eastAsia="Arial" w:hAnsi="Arial"/>
          <w:sz w:val="19"/>
          <w:szCs w:val="19"/>
          <w:color w:val="auto"/>
        </w:rPr>
        <w:t>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the Company’s Chief Executive Officer that expressly states the intention to modify the at-will nature of your employment. Similarly, nothing in this letter shall be construed as an agreement, either express or implied, to pay you any compensation or grant you any benefit beyond the end of your employment with the Company. This letter supersedes all prior understandings, whether written or oral, relating to the terms of your employment.</w:t>
      </w:r>
    </w:p>
    <w:p>
      <w:pPr>
        <w:spacing w:after="0" w:line="148" w:lineRule="exact"/>
        <w:rPr>
          <w:sz w:val="20"/>
          <w:szCs w:val="20"/>
          <w:color w:val="auto"/>
        </w:rPr>
      </w:pPr>
    </w:p>
    <w:p>
      <w:pPr>
        <w:jc w:val="both"/>
        <w:ind w:left="463" w:hanging="463"/>
        <w:spacing w:after="0" w:line="225" w:lineRule="auto"/>
        <w:tabs>
          <w:tab w:leader="none" w:pos="459" w:val="left"/>
        </w:tabs>
        <w:numPr>
          <w:ilvl w:val="0"/>
          <w:numId w:val="13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Background Investigation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required notices and forms for our background investigation are enclosed herewith.</w:t>
      </w:r>
      <w:r>
        <w:rPr>
          <w:rFonts w:ascii="Arial" w:cs="Arial" w:eastAsia="Arial" w:hAnsi="Arial"/>
          <w:sz w:val="22"/>
          <w:szCs w:val="22"/>
          <w:b w:val="1"/>
          <w:bCs w:val="1"/>
          <w:color w:val="auto"/>
        </w:rPr>
        <w:t xml:space="preserve"> </w:t>
      </w:r>
      <w:r>
        <w:rPr>
          <w:rFonts w:ascii="Arial" w:cs="Arial" w:eastAsia="Arial" w:hAnsi="Arial"/>
          <w:sz w:val="22"/>
          <w:szCs w:val="22"/>
          <w:color w:val="auto"/>
        </w:rPr>
        <w:t>You must submit a completed form with your signed offer letter. Employment is contingent upon successful completion of the background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43"/>
          </w:cols>
          <w:pgMar w:left="717" w:top="1440"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you decide to accept this offer and agree to the employment terms set forth in this letter, please sign the letter in the space provided below, together with the enclosed documents, and return them to me. If you do not accept this offer by November 22, 2021, the offer will be deemed withdrawn.</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Amy R. Sheehan</w:t>
      </w:r>
    </w:p>
    <w:p>
      <w:pPr>
        <w:ind w:left="1140"/>
        <w:spacing w:after="0" w:line="204" w:lineRule="auto"/>
        <w:rPr>
          <w:sz w:val="20"/>
          <w:szCs w:val="20"/>
          <w:color w:val="auto"/>
        </w:rPr>
      </w:pPr>
      <w:r>
        <w:rPr>
          <w:rFonts w:ascii="Arial" w:cs="Arial" w:eastAsia="Arial" w:hAnsi="Arial"/>
          <w:sz w:val="22"/>
          <w:szCs w:val="22"/>
          <w:color w:val="auto"/>
        </w:rPr>
        <w:t>Amy R. Sheehan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Senior Vice President &amp; Chief HR Officer</w:t>
      </w:r>
    </w:p>
    <w:p>
      <w:pPr>
        <w:spacing w:after="0" w:line="188" w:lineRule="exact"/>
        <w:rPr>
          <w:sz w:val="20"/>
          <w:szCs w:val="20"/>
          <w:color w:val="auto"/>
        </w:rPr>
      </w:pPr>
    </w:p>
    <w:p>
      <w:pPr>
        <w:ind w:right="140"/>
        <w:spacing w:after="0" w:line="223" w:lineRule="auto"/>
        <w:rPr>
          <w:sz w:val="20"/>
          <w:szCs w:val="20"/>
          <w:color w:val="auto"/>
        </w:rPr>
      </w:pPr>
      <w:r>
        <w:rPr>
          <w:rFonts w:ascii="Arial" w:cs="Arial" w:eastAsia="Arial" w:hAnsi="Arial"/>
          <w:sz w:val="22"/>
          <w:szCs w:val="22"/>
          <w:color w:val="auto"/>
        </w:rPr>
        <w:t>The foregoing letter correctly sets forth the terms of my at-will employment with IVERIC bio, Inc., which I hereby accept. Nothing contained in this letter abrogates the at-will status of my proposed employment. I am not relying on any representations other than those set forth above.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Anthony Gibney</w:t>
            </w:r>
          </w:p>
        </w:tc>
        <w:tc>
          <w:tcPr>
            <w:tcW w:w="420" w:type="dxa"/>
            <w:vAlign w:val="bottom"/>
          </w:tcPr>
          <w:p>
            <w:pPr>
              <w:spacing w:after="0"/>
              <w:rPr>
                <w:sz w:val="21"/>
                <w:szCs w:val="21"/>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87"/>
              </w:rPr>
              <w:t>November 19, 2021</w:t>
            </w:r>
          </w:p>
        </w:tc>
      </w:tr>
      <w:tr>
        <w:trPr>
          <w:trHeight w:val="268"/>
        </w:trPr>
        <w:tc>
          <w:tcPr>
            <w:tcW w:w="2200" w:type="dxa"/>
            <w:vAlign w:val="bottom"/>
          </w:tcPr>
          <w:p>
            <w:pPr>
              <w:spacing w:after="0"/>
              <w:rPr>
                <w:sz w:val="20"/>
                <w:szCs w:val="20"/>
                <w:color w:val="auto"/>
              </w:rPr>
            </w:pPr>
            <w:r>
              <w:rPr>
                <w:rFonts w:ascii="Arial" w:cs="Arial" w:eastAsia="Arial" w:hAnsi="Arial"/>
                <w:sz w:val="22"/>
                <w:szCs w:val="22"/>
                <w:color w:val="auto"/>
              </w:rPr>
              <w:t>Anthony Gibney</w:t>
            </w:r>
          </w:p>
        </w:tc>
        <w:tc>
          <w:tcPr>
            <w:tcW w:w="420" w:type="dxa"/>
            <w:vAlign w:val="bottom"/>
          </w:tcPr>
          <w:p>
            <w:pPr>
              <w:spacing w:after="0"/>
              <w:rPr>
                <w:sz w:val="23"/>
                <w:szCs w:val="23"/>
                <w:color w:val="auto"/>
              </w:rPr>
            </w:pPr>
          </w:p>
        </w:tc>
        <w:tc>
          <w:tcPr>
            <w:tcW w:w="1780" w:type="dxa"/>
            <w:vAlign w:val="bottom"/>
          </w:tcPr>
          <w:p>
            <w:pPr>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w:t>
      </w:r>
    </w:p>
    <w:p>
      <w:pPr>
        <w:sectPr>
          <w:pgSz w:w="11900" w:h="16838" w:orient="portrait"/>
          <w:cols w:equalWidth="0" w:num="1">
            <w:col w:w="9019"/>
          </w:cols>
          <w:pgMar w:left="1440" w:top="144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911860</wp:posOffset>
            </wp:positionV>
            <wp:extent cx="1482725" cy="9861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November 10, 2021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Mr. Anthony Gibney</w:t>
      </w:r>
    </w:p>
    <w:p>
      <w:pPr>
        <w:spacing w:after="0" w:line="204" w:lineRule="auto"/>
        <w:rPr>
          <w:sz w:val="20"/>
          <w:szCs w:val="20"/>
          <w:color w:val="auto"/>
        </w:rPr>
      </w:pPr>
      <w:r>
        <w:rPr>
          <w:rFonts w:ascii="Arial" w:cs="Arial" w:eastAsia="Arial" w:hAnsi="Arial"/>
          <w:sz w:val="22"/>
          <w:szCs w:val="22"/>
          <w:color w:val="auto"/>
        </w:rPr>
        <w:t>c/o IVERIC bio, Inc.</w:t>
      </w:r>
    </w:p>
    <w:p>
      <w:pPr>
        <w:spacing w:after="0" w:line="205" w:lineRule="auto"/>
        <w:rPr>
          <w:sz w:val="20"/>
          <w:szCs w:val="20"/>
          <w:color w:val="auto"/>
        </w:rPr>
      </w:pPr>
      <w:r>
        <w:rPr>
          <w:rFonts w:ascii="Arial" w:cs="Arial" w:eastAsia="Arial" w:hAnsi="Arial"/>
          <w:sz w:val="22"/>
          <w:szCs w:val="22"/>
          <w:color w:val="auto"/>
        </w:rPr>
        <w:t>Five Penn Plaza, Suite 2372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Dear Tony:</w:t>
      </w:r>
    </w:p>
    <w:p>
      <w:pPr>
        <w:spacing w:after="0" w:line="206" w:lineRule="exact"/>
        <w:rPr>
          <w:sz w:val="20"/>
          <w:szCs w:val="20"/>
          <w:color w:val="auto"/>
        </w:rPr>
      </w:pPr>
    </w:p>
    <w:p>
      <w:pPr>
        <w:ind w:firstLine="324"/>
        <w:spacing w:after="0" w:line="298" w:lineRule="auto"/>
        <w:rPr>
          <w:sz w:val="20"/>
          <w:szCs w:val="20"/>
          <w:color w:val="auto"/>
        </w:rPr>
      </w:pPr>
      <w:r>
        <w:rPr>
          <w:rFonts w:ascii="Arial" w:cs="Arial" w:eastAsia="Arial" w:hAnsi="Arial"/>
          <w:sz w:val="19"/>
          <w:szCs w:val="19"/>
          <w:color w:val="auto"/>
        </w:rPr>
        <w:t>The board of directors of IVERIC bio, Inc. (the “Company”) has provided for the following severance benefits to be provided to you in the event of your termination of employment with the Company, on the terms and conditions set forth herein.</w:t>
      </w:r>
    </w:p>
    <w:p>
      <w:pPr>
        <w:spacing w:after="0" w:line="99" w:lineRule="exact"/>
        <w:rPr>
          <w:sz w:val="20"/>
          <w:szCs w:val="20"/>
          <w:color w:val="auto"/>
        </w:rPr>
      </w:pPr>
    </w:p>
    <w:p>
      <w:pPr>
        <w:ind w:left="1260" w:hanging="928"/>
        <w:spacing w:after="0"/>
        <w:tabs>
          <w:tab w:leader="none" w:pos="1260" w:val="left"/>
        </w:tabs>
        <w:numPr>
          <w:ilvl w:val="1"/>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color w:val="auto"/>
        </w:rPr>
        <w:t>.</w:t>
      </w:r>
    </w:p>
    <w:p>
      <w:pPr>
        <w:spacing w:after="0" w:line="185" w:lineRule="exact"/>
        <w:rPr>
          <w:rFonts w:ascii="Arial" w:cs="Arial" w:eastAsia="Arial" w:hAnsi="Arial"/>
          <w:sz w:val="22"/>
          <w:szCs w:val="22"/>
          <w:color w:val="auto"/>
        </w:rPr>
      </w:pPr>
    </w:p>
    <w:p>
      <w:pPr>
        <w:ind w:firstLine="8"/>
        <w:spacing w:after="0"/>
        <w:tabs>
          <w:tab w:leader="none" w:pos="61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Subject to Section 1(b), if your employment is terminated (1) at any time by the Company without Cause or by you for Good Reason (as such terms are herein defined) or (2) within one year following a Change in Control Event (as defined in the Company’s 2013 Stock Incentive Plan), by the Company, or its successor, without Cause or by you for Good Reason, the Company or its successor will (i) pay you in a lump sum on the Payment Date (as herein defined) (A) an amount equal to twelve (12) months of your then-current base salary, less standard employment-related withholdings and deductions and (B) an amount equal to a pro-rated portion of your then-current target bonus for the year in which your employment terminates, provided, however, that if your employment is terminated under the circumstances described in (2) of this Section 1(a), the Company or its successor will instead pay you an amount equal to your then-current target bonus for the year in which your employment terminates, in either case, without regard to whether the performance goals with respect to such target bonus have been established or met and less standard employment-related withholdings and deductions, and (ii) provided you elect to continue your and your eligible dependents’ participation in the Company’s medical and dental benefit plans pursuant to the Consolidated Omnibus Budget Reconciliation Act of 1986 (“COBRA”), reimburse you for the monthly premium to continue such coverage for the lesser of the twelve (12) full calendar months immediately following the month in which the termination of your employment occurs and the end of the calendar month in which you become eligible to receive group health plan coverage under another employee benefit plan. Notwithstanding the foregoing, if the reimbursement of monthly premiums would otherwise violate the nondiscrimination rules or cause the reimbursement of claims to be taxable under the Patient Protection and Affordable Care Act of 2010, together with the Health Care and Education Reconciliation Act of 2010 (collectively, the “Healthcare Reform Act”) or Section 105(h) of the Internal Revenue Code of 1986, as amended (the “Code”), these payments shall be treated as taxable payments to you and you shall be subject to imputed income tax treatment to the extent necessary to eliminate any discriminatory treatment or taxation under the Act or Section 105(h).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IVERIC bio, Inc.</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Five Penn Plaza Suite 2372 New York, New York 10001 • 212-845-8200 • www.ivericbio.com</w:t>
      </w:r>
    </w:p>
    <w:p>
      <w:pPr>
        <w:sectPr>
          <w:pgSz w:w="11900" w:h="16838" w:orient="portrait"/>
          <w:cols w:equalWidth="0" w:num="1">
            <w:col w:w="11200"/>
          </w:cols>
          <w:pgMar w:left="320" w:top="1440" w:right="379" w:bottom="1440" w:gutter="0" w:footer="0" w:header="0"/>
        </w:sectPr>
      </w:pPr>
    </w:p>
    <w:bookmarkStart w:id="214" w:name="page215"/>
    <w:bookmarkEnd w:id="214"/>
    <w:p>
      <w:pPr>
        <w:ind w:right="20" w:firstLine="656"/>
        <w:spacing w:after="0" w:line="243" w:lineRule="auto"/>
        <w:tabs>
          <w:tab w:leader="none" w:pos="1224" w:val="left"/>
        </w:tabs>
        <w:numPr>
          <w:ilvl w:val="2"/>
          <w:numId w:val="141"/>
        </w:numPr>
        <w:rPr>
          <w:rFonts w:ascii="Arial" w:cs="Arial" w:eastAsia="Arial" w:hAnsi="Arial"/>
          <w:sz w:val="19"/>
          <w:szCs w:val="19"/>
          <w:color w:val="auto"/>
        </w:rPr>
      </w:pPr>
      <w:r>
        <w:rPr>
          <w:rFonts w:ascii="Arial" w:cs="Arial" w:eastAsia="Arial" w:hAnsi="Arial"/>
          <w:sz w:val="19"/>
          <w:szCs w:val="19"/>
          <w:color w:val="auto"/>
        </w:rPr>
        <w:t>Notwithstanding the foregoing, (i) the Company shall not be obligated to pay you the severance payments provided for herein unless you have timely executed (and not revoked) a separation agreement in a form to be provided by the Company. Such separation agreement must be executed and become binding and enforceable within sixty (60) calendar days after the effective date of your termination of employment (such 60th day, the “Payment Date”); provided however, that if the 60th day following the date of termination occurs in the next calendar year following the date of termination, then the Payment Date shall be no earlier than January 1 of such following calendar year and (ii) the severance payments provided for herein shall be reduced by any payments to which you may be entitled as a result of any applicable laws regarding plant closings or mass layoffs which require notice prior to termination or pay or benefits following termination, such that the amount of the payments made to you pursuant to such laws (whether such payments are made to you during any notice period prior to termination (regardless of whether the Company requires you to work during such notice period) or any period following termination), will reduce the severance payments otherwise due to you under Section 1(a).</w:t>
      </w:r>
    </w:p>
    <w:p>
      <w:pPr>
        <w:spacing w:after="0" w:line="158" w:lineRule="exact"/>
        <w:rPr>
          <w:rFonts w:ascii="Arial" w:cs="Arial" w:eastAsia="Arial" w:hAnsi="Arial"/>
          <w:sz w:val="19"/>
          <w:szCs w:val="19"/>
          <w:color w:val="auto"/>
        </w:rPr>
      </w:pPr>
    </w:p>
    <w:p>
      <w:pPr>
        <w:ind w:firstLine="656"/>
        <w:spacing w:after="0"/>
        <w:tabs>
          <w:tab w:leader="none" w:pos="1320" w:val="left"/>
        </w:tabs>
        <w:numPr>
          <w:ilvl w:val="2"/>
          <w:numId w:val="141"/>
        </w:numPr>
        <w:rPr>
          <w:rFonts w:ascii="Arial" w:cs="Arial" w:eastAsia="Arial" w:hAnsi="Arial"/>
          <w:sz w:val="19"/>
          <w:szCs w:val="19"/>
          <w:color w:val="auto"/>
        </w:rPr>
      </w:pPr>
      <w:r>
        <w:rPr>
          <w:rFonts w:ascii="Arial" w:cs="Arial" w:eastAsia="Arial" w:hAnsi="Arial"/>
          <w:sz w:val="19"/>
          <w:szCs w:val="19"/>
          <w:color w:val="auto"/>
        </w:rPr>
        <w:t xml:space="preserve">For purposes hereof, “Cause” shall mean that: (i) you failed to attempt in good faith, refused or willfully neglected to perform and discharge your material duties and responsibilities; (ii) you have been convicted of, or pled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other crime involving fraud or moral turpitude; (iii) you breached your fiduciary duty of loyalty to the Company, or acted fraudulently or with material dishonesty in discharging your duties to the Company; (iv) you undertook an intentional act or omission of misconduct that materially harmed or was reasonably likely to materially harm the business, interests, or reputation of the Company; (v) you materially breached any material provision of this letter or any other agreement with the Company; or</w:t>
      </w:r>
    </w:p>
    <w:p>
      <w:pPr>
        <w:spacing w:after="0" w:line="3" w:lineRule="exact"/>
        <w:rPr>
          <w:rFonts w:ascii="Arial" w:cs="Arial" w:eastAsia="Arial" w:hAnsi="Arial"/>
          <w:sz w:val="19"/>
          <w:szCs w:val="19"/>
          <w:color w:val="auto"/>
        </w:rPr>
      </w:pPr>
    </w:p>
    <w:p>
      <w:pPr>
        <w:ind w:right="260" w:firstLine="8"/>
        <w:spacing w:after="0" w:line="237" w:lineRule="auto"/>
        <w:tabs>
          <w:tab w:leader="none" w:pos="36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you materially breached any material provision of any Company code of conduct or ethics policy. Notwithstanding the foregoing, “Cause” shall not be deemed to have occurred unless: (A) the Company provides you with written notice that it intends to terminate your employment hereunder for one of the grounds set forth in subsections (i), (v) or (vi) within sixty (60) days of such reason(s) occurring, (B) if such ground is capable of being cured, you have failed to cure such ground within a period of thirty (30) days from the date of such written notice, and (C) the Company terminates your employment within six</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 months from the date that Cause first occurs.</w:t>
      </w:r>
    </w:p>
    <w:p>
      <w:pPr>
        <w:spacing w:after="0" w:line="161" w:lineRule="exact"/>
        <w:rPr>
          <w:rFonts w:ascii="Arial" w:cs="Arial" w:eastAsia="Arial" w:hAnsi="Arial"/>
          <w:sz w:val="19"/>
          <w:szCs w:val="19"/>
          <w:color w:val="auto"/>
        </w:rPr>
      </w:pPr>
    </w:p>
    <w:p>
      <w:pPr>
        <w:ind w:right="80" w:firstLine="656"/>
        <w:spacing w:after="0" w:line="242" w:lineRule="auto"/>
        <w:tabs>
          <w:tab w:leader="none" w:pos="1224" w:val="left"/>
        </w:tabs>
        <w:numPr>
          <w:ilvl w:val="2"/>
          <w:numId w:val="142"/>
        </w:numPr>
        <w:rPr>
          <w:rFonts w:ascii="Arial" w:cs="Arial" w:eastAsia="Arial" w:hAnsi="Arial"/>
          <w:sz w:val="19"/>
          <w:szCs w:val="19"/>
          <w:color w:val="auto"/>
        </w:rPr>
      </w:pPr>
      <w:r>
        <w:rPr>
          <w:rFonts w:ascii="Arial" w:cs="Arial" w:eastAsia="Arial" w:hAnsi="Arial"/>
          <w:sz w:val="19"/>
          <w:szCs w:val="19"/>
          <w:color w:val="auto"/>
        </w:rPr>
        <w:t>For purposes hereof, “Good Reason” shall mean, without your written consent: (i) any change in your position or reporting relationship with the Company that diminishes in any material respect your authority, duties or responsibilities; (ii) any material reduction in your base compensation; (iii) a material change in the primary geographic location at which services are to be performed by you (unless the new location is closer to your primary residence than the prior location); or (iv) a material breach of any provision hereof by the Company or any successor or assign. Notwithstanding the foregoing, “Good Reason” shall not be deemed to have occurred unless: (A) you provide the Company with written notice that you intend to terminate your employment hereunder for one of the grounds set forth in subsections (i), (ii), (iii) or (iv) of the immediately preceding sentence within sixty (60) days of such reason(s) occurring, (B) if such ground is capable of being cured, the Company has failed to cure such ground within a period of thirty (30) days from the date of such written notice, and (C) you terminate your employment within six (6) months from the date that Good Reason first occurs. For purposes of clarification, the above-listed conditions shall apply separately to each occurrence of Good Reason and failure to adhere to such conditions in the event of Good Reason shall not disqualify you from asserting Good Reason for any subsequent occurrence of Good Reason.</w:t>
      </w:r>
    </w:p>
    <w:p>
      <w:pPr>
        <w:spacing w:after="0" w:line="185" w:lineRule="exact"/>
        <w:rPr>
          <w:rFonts w:ascii="Arial" w:cs="Arial" w:eastAsia="Arial" w:hAnsi="Arial"/>
          <w:sz w:val="19"/>
          <w:szCs w:val="19"/>
          <w:color w:val="auto"/>
        </w:rPr>
      </w:pPr>
    </w:p>
    <w:p>
      <w:pPr>
        <w:jc w:val="both"/>
        <w:ind w:right="300" w:firstLine="332"/>
        <w:spacing w:after="0" w:line="225" w:lineRule="auto"/>
        <w:tabs>
          <w:tab w:leader="none" w:pos="1242" w:val="left"/>
        </w:tabs>
        <w:numPr>
          <w:ilvl w:val="1"/>
          <w:numId w:val="142"/>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Acceleration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your employment with the Company, or its successor, is terminated by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such successor without Cause or by you for Good Reason within the one (1) year period following a Change in Control Event, then the then-unvested portion of</w:t>
      </w:r>
    </w:p>
    <w:p>
      <w:pPr>
        <w:sectPr>
          <w:pgSz w:w="11900" w:h="16838" w:orient="portrait"/>
          <w:cols w:equalWidth="0" w:num="1">
            <w:col w:w="11220"/>
          </w:cols>
          <w:pgMar w:left="320" w:top="1401" w:right="359" w:bottom="1440" w:gutter="0" w:footer="0" w:header="0"/>
        </w:sectPr>
      </w:pPr>
    </w:p>
    <w:bookmarkStart w:id="215" w:name="page216"/>
    <w:bookmarkEnd w:id="215"/>
    <w:p>
      <w:pPr>
        <w:spacing w:after="0" w:line="232" w:lineRule="auto"/>
        <w:rPr>
          <w:sz w:val="20"/>
          <w:szCs w:val="20"/>
          <w:color w:val="auto"/>
        </w:rPr>
      </w:pPr>
      <w:r>
        <w:rPr>
          <w:rFonts w:ascii="Arial" w:cs="Arial" w:eastAsia="Arial" w:hAnsi="Arial"/>
          <w:sz w:val="22"/>
          <w:szCs w:val="22"/>
          <w:color w:val="auto"/>
        </w:rPr>
        <w:t>any equity awards held by you that vest solely based on the passage of time shall immediately vest in full and become exercisable or free from forfeiture or repurchase, as applicable, as of the date of such termination.</w:t>
      </w:r>
    </w:p>
    <w:p>
      <w:pPr>
        <w:spacing w:after="0" w:line="153" w:lineRule="exact"/>
        <w:rPr>
          <w:sz w:val="20"/>
          <w:szCs w:val="20"/>
          <w:color w:val="auto"/>
        </w:rPr>
      </w:pPr>
    </w:p>
    <w:p>
      <w:pPr>
        <w:ind w:left="1260" w:hanging="928"/>
        <w:spacing w:after="0"/>
        <w:tabs>
          <w:tab w:leader="none" w:pos="1260"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Modified Cutback</w:t>
      </w:r>
      <w:r>
        <w:rPr>
          <w:rFonts w:ascii="Arial" w:cs="Arial" w:eastAsia="Arial" w:hAnsi="Arial"/>
          <w:sz w:val="22"/>
          <w:szCs w:val="22"/>
          <w:b w:val="1"/>
          <w:bCs w:val="1"/>
          <w:color w:val="auto"/>
        </w:rPr>
        <w:t>.</w:t>
      </w:r>
    </w:p>
    <w:p>
      <w:pPr>
        <w:spacing w:after="0" w:line="185" w:lineRule="exact"/>
        <w:rPr>
          <w:rFonts w:ascii="Arial" w:cs="Arial" w:eastAsia="Arial" w:hAnsi="Arial"/>
          <w:sz w:val="22"/>
          <w:szCs w:val="22"/>
          <w:color w:val="auto"/>
        </w:rPr>
      </w:pPr>
    </w:p>
    <w:p>
      <w:pPr>
        <w:ind w:right="60" w:firstLine="656"/>
        <w:spacing w:after="0" w:line="246" w:lineRule="auto"/>
        <w:tabs>
          <w:tab w:leader="none" w:pos="126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Notwithstanding any other provision of this letter agreement, the letter agreement evidencing your offer of employment with us, or any other agreements between you and us, except as set forth in Section 3(b) hereof, in the event that the Company undergoes a “Change in Ownership or Control” (as defined below), the Company shall not be obligated to provide you a portion of any “Contingent Compensation Payments” (as defined below) that you would otherwise be entitled to receive to the extent necessary to eliminate any “excess parachute payments” (as defined in Section 280G(b)(l) of the Code) for you. For purposes of this Section 3(a),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52" w:lineRule="exact"/>
        <w:rPr>
          <w:rFonts w:ascii="Arial" w:cs="Arial" w:eastAsia="Arial" w:hAnsi="Arial"/>
          <w:sz w:val="19"/>
          <w:szCs w:val="19"/>
          <w:color w:val="auto"/>
        </w:rPr>
      </w:pPr>
    </w:p>
    <w:p>
      <w:pPr>
        <w:ind w:right="80" w:firstLine="656"/>
        <w:spacing w:after="0" w:line="243" w:lineRule="auto"/>
        <w:tabs>
          <w:tab w:leader="none" w:pos="122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Notwithstanding the provisions of Section 3(a),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you if the Eliminated Payments (determined without regard to this sentence) were paid to you (including, state and federal income taxes on the Eliminated Payments, the excise tax imposed by Section 4999 of the Code payable with respect to all of the Contingent Compensation Payments in excess of your “base amount” (as defined in Section 280G(b)(3) of the Code), and any withholding taxes). The override of such reduction in Contingent Compensation Payments pursuant to this Section 3(b) shall be referred to as a “Section 3(b)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379" w:lineRule="exact"/>
        <w:rPr>
          <w:rFonts w:ascii="Arial" w:cs="Arial" w:eastAsia="Arial" w:hAnsi="Arial"/>
          <w:sz w:val="19"/>
          <w:szCs w:val="19"/>
          <w:color w:val="auto"/>
        </w:rPr>
      </w:pPr>
    </w:p>
    <w:p>
      <w:pPr>
        <w:ind w:left="1280" w:hanging="624"/>
        <w:spacing w:after="0"/>
        <w:tabs>
          <w:tab w:leader="none" w:pos="12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For purposes of this Section 3 the following terms shall have the following respective meanings:</w:t>
      </w:r>
    </w:p>
    <w:p>
      <w:pPr>
        <w:spacing w:after="0" w:line="179" w:lineRule="exact"/>
        <w:rPr>
          <w:rFonts w:ascii="Arial" w:cs="Arial" w:eastAsia="Arial" w:hAnsi="Arial"/>
          <w:sz w:val="22"/>
          <w:szCs w:val="22"/>
          <w:color w:val="auto"/>
        </w:rPr>
      </w:pPr>
    </w:p>
    <w:p>
      <w:pPr>
        <w:ind w:left="660" w:right="680" w:firstLine="644"/>
        <w:spacing w:after="0" w:line="223" w:lineRule="auto"/>
        <w:tabs>
          <w:tab w:leader="none" w:pos="1836" w:val="left"/>
        </w:tabs>
        <w:numPr>
          <w:ilvl w:val="2"/>
          <w:numId w:val="143"/>
        </w:numPr>
        <w:rPr>
          <w:rFonts w:ascii="Arial" w:cs="Arial" w:eastAsia="Arial" w:hAnsi="Arial"/>
          <w:sz w:val="22"/>
          <w:szCs w:val="22"/>
          <w:color w:val="auto"/>
        </w:rPr>
      </w:pPr>
      <w:r>
        <w:rPr>
          <w:rFonts w:ascii="Arial" w:cs="Arial" w:eastAsia="Arial" w:hAnsi="Arial"/>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58" w:lineRule="exact"/>
        <w:rPr>
          <w:rFonts w:ascii="Arial" w:cs="Arial" w:eastAsia="Arial" w:hAnsi="Arial"/>
          <w:sz w:val="22"/>
          <w:szCs w:val="22"/>
          <w:color w:val="auto"/>
        </w:rPr>
      </w:pPr>
    </w:p>
    <w:p>
      <w:pPr>
        <w:ind w:left="660" w:right="40" w:firstLine="644"/>
        <w:spacing w:after="0" w:line="247" w:lineRule="auto"/>
        <w:tabs>
          <w:tab w:leader="none" w:pos="1734" w:val="left"/>
        </w:tabs>
        <w:numPr>
          <w:ilvl w:val="2"/>
          <w:numId w:val="143"/>
        </w:numPr>
        <w:rPr>
          <w:rFonts w:ascii="Arial" w:cs="Arial" w:eastAsia="Arial" w:hAnsi="Arial"/>
          <w:sz w:val="19"/>
          <w:szCs w:val="19"/>
          <w:color w:val="auto"/>
        </w:rPr>
      </w:pPr>
      <w:r>
        <w:rPr>
          <w:rFonts w:ascii="Arial" w:cs="Arial" w:eastAsia="Arial" w:hAnsi="Arial"/>
          <w:sz w:val="19"/>
          <w:szCs w:val="19"/>
          <w:color w:val="auto"/>
        </w:rPr>
        <w:t>“Contingent Compensation Payment” shall mean any payment (or benefit) in the nature of compensation that is made or made available (under this Agreement or otherwise) to a “disqualified individual” (as defined in</w:t>
      </w:r>
    </w:p>
    <w:p>
      <w:pPr>
        <w:ind w:left="660" w:right="280"/>
        <w:spacing w:after="0" w:line="224" w:lineRule="auto"/>
        <w:rPr>
          <w:rFonts w:ascii="Arial" w:cs="Arial" w:eastAsia="Arial" w:hAnsi="Arial"/>
          <w:sz w:val="19"/>
          <w:szCs w:val="19"/>
          <w:color w:val="auto"/>
        </w:rPr>
      </w:pPr>
      <w:r>
        <w:rPr>
          <w:rFonts w:ascii="Arial" w:cs="Arial" w:eastAsia="Arial" w:hAnsi="Arial"/>
          <w:sz w:val="22"/>
          <w:szCs w:val="22"/>
          <w:color w:val="auto"/>
        </w:rPr>
        <w:t>Section 280G(c) of the Code) and that is contingent (within the meaning of Section 280G(b)(2)(A)(i) of the Code) on a Change in Ownership or Control of the Company.</w:t>
      </w:r>
    </w:p>
    <w:p>
      <w:pPr>
        <w:spacing w:after="0" w:line="157" w:lineRule="exact"/>
        <w:rPr>
          <w:rFonts w:ascii="Arial" w:cs="Arial" w:eastAsia="Arial" w:hAnsi="Arial"/>
          <w:sz w:val="19"/>
          <w:szCs w:val="19"/>
          <w:color w:val="auto"/>
        </w:rPr>
      </w:pPr>
    </w:p>
    <w:p>
      <w:pPr>
        <w:ind w:right="20" w:firstLine="656"/>
        <w:spacing w:after="0" w:line="214" w:lineRule="auto"/>
        <w:tabs>
          <w:tab w:leader="none" w:pos="121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payments or other benefits otherwise due to you following a Change in Ownership or Control that could reasonably be characterized (as determined by the Company) as Contingent Compensation Payments (the “Potential Payments”) shall not be made until the dates provided for in this Section 3(d). Within 30 days after each date on which you first become entitled to receive (whether or not then due) a Contingent Compensation Payment relating to such Change in Ownership or Control, the Company shall determine and notify you (with reasonable detail regarding the basis for its determinations) (1) which Potential Payments</w:t>
      </w:r>
    </w:p>
    <w:p>
      <w:pPr>
        <w:sectPr>
          <w:pgSz w:w="11900" w:h="16838" w:orient="portrait"/>
          <w:cols w:equalWidth="0" w:num="1">
            <w:col w:w="11220"/>
          </w:cols>
          <w:pgMar w:left="320" w:top="1401" w:right="35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constitute Contingent Compensation Payments, (2) the Eliminated Amount and (3) whether the Section 3(b) Override is applicable. Within 30 days after delivery of such notice to you, you shall deliver a response to the Company (the “Executive Response”) stating either (A) that you agree with the Company’s determination pursuant to the preceding sentence or (B) that you disagree with such determination, in which case you shall set forth (x) which Potential Payments should be characterized as Contingent Compensation Payments, (y) the Eliminated Amount, and (z) whether the Section 3(b) Override is applicable. In the event that you fail to deliver an Executive Response on or before the required date, the Company’s initial determination shall be final. If you state in the Executive Response that you agree with the Company’s determination, the Company shall make the Potential Payments to you within three business days following delivery to the Company of the Executive Response (except for any Potential Payments which are not due to be made until after such date, which Potential Payments shall be made on the date on which they are due). If you state in the Executive Response that you disagree with the Company’s determination, then, for a period of 60 days following delivery of the Executive Response, you and the Company shall use good faith efforts to resolve such dispute. If such dispute is not resolved within such 60-day period, such dispute shall be settled exclusively by arbitration in New York, New York,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you those Potential Payments as to which there is no dispute between the Company and you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171" w:lineRule="exact"/>
        <w:rPr>
          <w:sz w:val="20"/>
          <w:szCs w:val="20"/>
          <w:color w:val="auto"/>
        </w:rPr>
      </w:pPr>
    </w:p>
    <w:p>
      <w:pPr>
        <w:ind w:right="20" w:firstLine="656"/>
        <w:spacing w:after="0" w:line="241" w:lineRule="auto"/>
        <w:tabs>
          <w:tab w:leader="none" w:pos="126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you for purposes of Section 4999(a) of the Code, and the denominator of which is the actual amount to be received by you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381" w:lineRule="exact"/>
        <w:rPr>
          <w:rFonts w:ascii="Arial" w:cs="Arial" w:eastAsia="Arial" w:hAnsi="Arial"/>
          <w:sz w:val="19"/>
          <w:szCs w:val="19"/>
          <w:color w:val="auto"/>
        </w:rPr>
      </w:pPr>
    </w:p>
    <w:p>
      <w:pPr>
        <w:ind w:right="200" w:firstLine="656"/>
        <w:spacing w:after="0" w:line="223" w:lineRule="auto"/>
        <w:tabs>
          <w:tab w:leader="none" w:pos="1346"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provisions of this Section 3 are intended to apply to any and all payments or benefits available to you under this letter agreement or any other agreement or plan of the Company under which you receive Contingent Compensation Payments.</w:t>
      </w:r>
    </w:p>
    <w:p>
      <w:pPr>
        <w:spacing w:after="0" w:line="152" w:lineRule="exact"/>
        <w:rPr>
          <w:rFonts w:ascii="Arial" w:cs="Arial" w:eastAsia="Arial" w:hAnsi="Arial"/>
          <w:sz w:val="22"/>
          <w:szCs w:val="22"/>
          <w:color w:val="auto"/>
        </w:rPr>
      </w:pPr>
    </w:p>
    <w:p>
      <w:pPr>
        <w:ind w:left="1260" w:hanging="928"/>
        <w:spacing w:after="0"/>
        <w:tabs>
          <w:tab w:leader="none" w:pos="1260"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ectPr>
          <w:pgSz w:w="11900" w:h="16838" w:orient="portrait"/>
          <w:cols w:equalWidth="0" w:num="1">
            <w:col w:w="11240"/>
          </w:cols>
          <w:pgMar w:left="320" w:top="1401" w:right="339" w:bottom="1440" w:gutter="0" w:footer="0" w:header="0"/>
        </w:sectPr>
      </w:pPr>
    </w:p>
    <w:bookmarkStart w:id="217" w:name="page218"/>
    <w:bookmarkEnd w:id="217"/>
    <w:p>
      <w:pPr>
        <w:ind w:left="-20" w:firstLine="656"/>
        <w:spacing w:after="0"/>
        <w:tabs>
          <w:tab w:leader="none" w:pos="124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intent of the parties is that payments and benefits under this letter comply with, or be exempt from, Internal Revenue Code Section 409A and the regulations and guidance promulgated thereunder (collectively “Code Section 409A”). Accordingly, if any provision of this letter is ambiguous, such that one interpretation would subject a payment or benefit to the excise tax imposed by Code Section 409A and an alternative interpretation would not so subject the payment or benefit, the parties intend the interpretation that would not so subject the payment or benefit to apply.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Section 105(a) of the Code solely because such expenses are subject to a limit related to the period the arrangement is in effect, and (iii) such payments shall be made on or before the last day of your taxable year following the taxable year in which the expense occurred, provided that any tax gross-ups may be reimbursed by the end of the calendar year following the calendar year in which such taxes are remitted to the taxing authorities. For purposes of Code Section 409A, each payment hereunder shall be treated as a separate payment and your right to receive any installment payments pursuant to this Agreement shall be treated as a right to receive a series of separate and distinct payments. In no event may you, directly or indirectly, designate the calendar year of any payment to be made under this letter that is considered nonqualified deferred compensation. Termination of employment as used herein shall mean separation from service within the meaning of Code Section 409A. In the event at the time of any separation from service you are a “specified employee” within the meaning of Code Section 409A, any deferred compensation subject to Code Section 409A payable as a result of such termination shall not be paid prior to the earlier of six (6) months after such termination and your death and shall be paid immediately thereafter.</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0" w:right="220" w:firstLine="656"/>
        <w:spacing w:after="0" w:line="224" w:lineRule="auto"/>
        <w:tabs>
          <w:tab w:leader="none" w:pos="1204"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letter shall be governed by and construed in accordance with the laws of the State of New York (without reference to the conflicts of laws provisions thereof). Any action, suit, or other legal proceeding which is commenced to resolve any matter arising under or relating to any provision of this letter shall be commenced only in a court of the State of New York (or, if appropriate, a federal court located within New York), and the Company and you each consents to the jurisdiction of such a court. The Company and you each hereby irrevocably waive any right to a trial by jury in any action, suit or other legal proceeding arising under or relating to any provision hereof.</w:t>
      </w:r>
    </w:p>
    <w:p>
      <w:pPr>
        <w:spacing w:after="0" w:line="159" w:lineRule="exact"/>
        <w:rPr>
          <w:rFonts w:ascii="Arial" w:cs="Arial" w:eastAsia="Arial" w:hAnsi="Arial"/>
          <w:sz w:val="21"/>
          <w:szCs w:val="21"/>
          <w:color w:val="auto"/>
        </w:rPr>
      </w:pPr>
    </w:p>
    <w:p>
      <w:pPr>
        <w:ind w:left="-20" w:right="80" w:firstLine="656"/>
        <w:spacing w:after="0" w:line="247" w:lineRule="auto"/>
        <w:tabs>
          <w:tab w:leader="none" w:pos="124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Conflict; Amendment: Counterparts</w:t>
      </w:r>
      <w:r>
        <w:rPr>
          <w:rFonts w:ascii="Arial" w:cs="Arial" w:eastAsia="Arial" w:hAnsi="Arial"/>
          <w:sz w:val="19"/>
          <w:szCs w:val="19"/>
          <w:color w:val="auto"/>
        </w:rPr>
        <w:t>. This letter agreement sets forth the Company’s sole obligation, subject to the terms and conditions set forth herein, to provide severance benefits to you. The severance benefits set forth in this letter agreement are therefore in lieu of, and not in addition to, any severance benefits that may be described in the letter agreement evidencing your offer of employment with us, or any other agreement or arrangement between you and us. Except as modified hereby, the terms of the letter agreement evidencing your offer of employment with us remain in full force and effect. This agreement may only be modified in a document signed by both the Company and you. This agreement may be executed in counterparts, each of which will be deemed an original, but all of which will be deemed one and the same instrument.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200"/>
          </w:cols>
          <w:pgMar w:left="340" w:top="1401" w:right="359" w:bottom="1440" w:gutter="0" w:footer="0" w:header="0"/>
        </w:sectPr>
      </w:pPr>
    </w:p>
    <w:bookmarkStart w:id="218" w:name="page219"/>
    <w:bookmarkEnd w:id="218"/>
    <w:p>
      <w:pPr>
        <w:ind w:firstLine="648"/>
        <w:spacing w:after="0" w:line="232" w:lineRule="auto"/>
        <w:rPr>
          <w:sz w:val="20"/>
          <w:szCs w:val="20"/>
          <w:color w:val="auto"/>
        </w:rPr>
      </w:pPr>
      <w:r>
        <w:rPr>
          <w:rFonts w:ascii="Arial" w:cs="Arial" w:eastAsia="Arial" w:hAnsi="Arial"/>
          <w:sz w:val="22"/>
          <w:szCs w:val="22"/>
          <w:color w:val="auto"/>
        </w:rPr>
        <w:t>If the provisions of this agreement are acceptable to you, please sign and date this agreement below and return the signed and dated agreement to me no later than Thursday, November 18, 2021.</w:t>
      </w:r>
    </w:p>
    <w:p>
      <w:pPr>
        <w:spacing w:after="0" w:line="200" w:lineRule="exact"/>
        <w:rPr>
          <w:sz w:val="20"/>
          <w:szCs w:val="20"/>
          <w:color w:val="auto"/>
        </w:rPr>
      </w:pPr>
    </w:p>
    <w:p>
      <w:pPr>
        <w:spacing w:after="0" w:line="256"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Sincerely,</w:t>
      </w:r>
    </w:p>
    <w:p>
      <w:pPr>
        <w:spacing w:after="0" w:line="287"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IVERIC bio, Inc.</w:t>
      </w:r>
    </w:p>
    <w:p>
      <w:pPr>
        <w:spacing w:after="0" w:line="287"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/s/ Amy R. Sheehan</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Amy R.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-157480</wp:posOffset>
            </wp:positionV>
            <wp:extent cx="32658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Senior Vice President &amp; Chief HR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91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Anthony Gibney</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15875</wp:posOffset>
            </wp:positionV>
            <wp:extent cx="3197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ectPr>
          <w:pgSz w:w="11900" w:h="16838" w:orient="portrait"/>
          <w:cols w:equalWidth="0" w:num="1">
            <w:col w:w="11120"/>
          </w:cols>
          <w:pgMar w:left="320" w:top="1401" w:right="45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22"/>
          <w:szCs w:val="22"/>
          <w:b w:val="1"/>
          <w:bCs w:val="1"/>
          <w:color w:val="auto"/>
        </w:rPr>
        <w:t>Amendment No. 4 to 2019 Inducement Stock Incentive Plan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AMENDMENT NO. 4 TO</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2019 INDUCEMENT STOCK INCENTIVE PLAN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IVERIC BIO, INC.</w:t>
      </w:r>
    </w:p>
    <w:p>
      <w:pPr>
        <w:spacing w:after="0" w:line="206" w:lineRule="exact"/>
        <w:rPr>
          <w:sz w:val="20"/>
          <w:szCs w:val="20"/>
          <w:color w:val="auto"/>
        </w:rPr>
      </w:pPr>
    </w:p>
    <w:p>
      <w:pPr>
        <w:ind w:firstLine="441"/>
        <w:spacing w:after="0" w:line="298" w:lineRule="auto"/>
        <w:rPr>
          <w:sz w:val="20"/>
          <w:szCs w:val="20"/>
          <w:color w:val="auto"/>
        </w:rPr>
      </w:pPr>
      <w:r>
        <w:rPr>
          <w:rFonts w:ascii="Arial" w:cs="Arial" w:eastAsia="Arial" w:hAnsi="Arial"/>
          <w:sz w:val="19"/>
          <w:szCs w:val="19"/>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32" w:lineRule="exact"/>
        <w:rPr>
          <w:sz w:val="20"/>
          <w:szCs w:val="20"/>
          <w:color w:val="auto"/>
        </w:rPr>
      </w:pPr>
    </w:p>
    <w:p>
      <w:pPr>
        <w:ind w:left="440" w:hanging="432"/>
        <w:spacing w:after="0"/>
        <w:tabs>
          <w:tab w:leader="none" w:pos="4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Section 4(a)(1) of the Plan be and hereby is deleted in its entirety and the following is inserted in lieu thereof:</w:t>
      </w:r>
    </w:p>
    <w:p>
      <w:pPr>
        <w:spacing w:after="0" w:line="179" w:lineRule="exact"/>
        <w:rPr>
          <w:rFonts w:ascii="Arial" w:cs="Arial" w:eastAsia="Arial" w:hAnsi="Arial"/>
          <w:sz w:val="22"/>
          <w:szCs w:val="22"/>
          <w:color w:val="auto"/>
        </w:rPr>
      </w:pPr>
    </w:p>
    <w:p>
      <w:pPr>
        <w:jc w:val="both"/>
        <w:ind w:left="1300" w:right="40" w:firstLine="328"/>
        <w:spacing w:after="0" w:line="268" w:lineRule="auto"/>
        <w:tabs>
          <w:tab w:leader="none" w:pos="1930"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Authorized Number of Shares</w:t>
      </w:r>
      <w:r>
        <w:rPr>
          <w:rFonts w:ascii="Arial" w:cs="Arial" w:eastAsia="Arial" w:hAnsi="Arial"/>
          <w:sz w:val="19"/>
          <w:szCs w:val="19"/>
          <w:color w:val="auto"/>
        </w:rPr>
        <w:t>. Subject to adjustment under Section 9, Awards may be made under the Plan for up to 4,600,000 shares of common stock, $0.001 par value per share, of the Company (the “Common Stock”). Shares issued under the Plan may consist in whole or in part of authorized but unissued shares or treasury shares.</w:t>
      </w:r>
    </w:p>
    <w:p>
      <w:pPr>
        <w:spacing w:after="0" w:line="159" w:lineRule="exact"/>
        <w:rPr>
          <w:sz w:val="20"/>
          <w:szCs w:val="20"/>
          <w:color w:val="auto"/>
        </w:rPr>
      </w:pPr>
    </w:p>
    <w:p>
      <w:pPr>
        <w:ind w:left="440" w:hanging="432"/>
        <w:spacing w:after="0"/>
        <w:tabs>
          <w:tab w:leader="none" w:pos="4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Except as set forth herein, the Plan shall remain in full force and effect.</w:t>
      </w:r>
    </w:p>
    <w:p>
      <w:pPr>
        <w:spacing w:after="0" w:line="179" w:lineRule="exact"/>
        <w:rPr>
          <w:rFonts w:ascii="Arial" w:cs="Arial" w:eastAsia="Arial" w:hAnsi="Arial"/>
          <w:sz w:val="22"/>
          <w:szCs w:val="22"/>
          <w:color w:val="auto"/>
        </w:rPr>
      </w:pPr>
    </w:p>
    <w:p>
      <w:pPr>
        <w:ind w:left="54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Approved by the Board of Directors on December 2, 2021.</w:t>
      </w:r>
    </w:p>
    <w:p>
      <w:pPr>
        <w:sectPr>
          <w:pgSz w:w="11900" w:h="16838" w:orient="portrait"/>
          <w:cols w:equalWidth="0" w:num="1">
            <w:col w:w="11220"/>
          </w:cols>
          <w:pgMar w:left="320" w:top="1395" w:right="35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IVERIC bio, Inc.</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IVERIC bio Gene Therapy LLC, a Delaware limited liability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Orion Ophthalmology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Exhibit 23.1</w:t>
      </w:r>
    </w:p>
    <w:p>
      <w:pPr>
        <w:spacing w:after="0" w:line="23" w:lineRule="exact"/>
        <w:rPr>
          <w:sz w:val="20"/>
          <w:szCs w:val="20"/>
          <w:color w:val="auto"/>
        </w:rPr>
      </w:pPr>
    </w:p>
    <w:p>
      <w:pPr>
        <w:ind w:right="2760" w:firstLine="2444"/>
        <w:spacing w:after="0" w:line="257"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213" w:lineRule="exact"/>
        <w:rPr>
          <w:sz w:val="20"/>
          <w:szCs w:val="20"/>
          <w:color w:val="auto"/>
        </w:rPr>
      </w:pPr>
    </w:p>
    <w:p>
      <w:pPr>
        <w:ind w:left="340" w:hanging="328"/>
        <w:spacing w:after="0"/>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Registration Statement (Form S-8 No. 333-2560917) pertaining to the 2019 Inducement Stock Incentive Plan of IVERIC bio, Inc. effective November 9, 2021,</w:t>
      </w:r>
    </w:p>
    <w:p>
      <w:pPr>
        <w:spacing w:after="0" w:line="259" w:lineRule="exact"/>
        <w:rPr>
          <w:rFonts w:ascii="Arial" w:cs="Arial" w:eastAsia="Arial" w:hAnsi="Arial"/>
          <w:sz w:val="15"/>
          <w:szCs w:val="15"/>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S-3ASR No. 333-260406) of IVERIC bio, Inc. effective October 21, 2021,</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S-3 and S-3/A No. 333-253897) of IVERIC bio, Inc. effective April 9, 2021,</w:t>
      </w:r>
    </w:p>
    <w:p>
      <w:pPr>
        <w:spacing w:after="0" w:line="248" w:lineRule="exact"/>
        <w:rPr>
          <w:rFonts w:ascii="Arial" w:cs="Arial" w:eastAsia="Arial" w:hAnsi="Arial"/>
          <w:sz w:val="16"/>
          <w:szCs w:val="16"/>
          <w:color w:val="auto"/>
        </w:rPr>
      </w:pPr>
    </w:p>
    <w:p>
      <w:pPr>
        <w:ind w:left="340" w:right="240" w:hanging="328"/>
        <w:spacing w:after="0" w:line="275"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333-253896) pertaining to the 2013 Stock Incentive Plan and the 2019 Inducement Stock Incentive Plan of IVERIC bio, Inc. effective March 5, 2021,</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S-3MEF No. 333-239247) of IVERIC bio, Inc. effective June 17, 2020,</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Registration Statement (Form S-8 No. 333-238065) pertaining to the 2019 Inducement Stock Incentive Plan of IVERIC bio, Inc. effective May 7, 2020,</w:t>
      </w:r>
    </w:p>
    <w:p>
      <w:pPr>
        <w:spacing w:after="0" w:line="259" w:lineRule="exact"/>
        <w:rPr>
          <w:rFonts w:ascii="Arial" w:cs="Arial" w:eastAsia="Arial" w:hAnsi="Arial"/>
          <w:sz w:val="15"/>
          <w:szCs w:val="15"/>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333-236720) pertaining to the 2013 Stock Incentive Plan of IVERIC bio, Inc. effective February 27, 2020,</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Registration Statement (Form S-8 No. 333-234404) pertaining to the 2019 Inducement Stock Incentive Plan of IVERIC bio, Inc. effective October 31, 2019,</w:t>
      </w:r>
    </w:p>
    <w:p>
      <w:pPr>
        <w:spacing w:after="0" w:line="259" w:lineRule="exact"/>
        <w:rPr>
          <w:rFonts w:ascii="Arial" w:cs="Arial" w:eastAsia="Arial" w:hAnsi="Arial"/>
          <w:sz w:val="15"/>
          <w:szCs w:val="15"/>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333-229982) pertaining to the 2013 Stock Incentive Plan of IVERIC bio, Inc. effective March 1, 2019,</w:t>
      </w:r>
    </w:p>
    <w:p>
      <w:pPr>
        <w:spacing w:after="0" w:line="261" w:lineRule="exact"/>
        <w:rPr>
          <w:rFonts w:ascii="Arial" w:cs="Arial" w:eastAsia="Arial" w:hAnsi="Arial"/>
          <w:sz w:val="16"/>
          <w:szCs w:val="16"/>
          <w:color w:val="auto"/>
        </w:rPr>
      </w:pPr>
    </w:p>
    <w:p>
      <w:pPr>
        <w:ind w:left="320" w:hanging="308"/>
        <w:spacing w:after="0"/>
        <w:tabs>
          <w:tab w:leader="none" w:pos="320" w:val="left"/>
        </w:tabs>
        <w:numPr>
          <w:ilvl w:val="0"/>
          <w:numId w:val="149"/>
        </w:numPr>
        <w:rPr>
          <w:rFonts w:ascii="Arial" w:cs="Arial" w:eastAsia="Arial" w:hAnsi="Arial"/>
          <w:sz w:val="17"/>
          <w:szCs w:val="17"/>
          <w:color w:val="auto"/>
        </w:rPr>
      </w:pPr>
      <w:r>
        <w:rPr>
          <w:rFonts w:ascii="Arial" w:cs="Arial" w:eastAsia="Arial" w:hAnsi="Arial"/>
          <w:sz w:val="15"/>
          <w:szCs w:val="15"/>
          <w:color w:val="auto"/>
        </w:rPr>
        <w:t>Registration Statement (Form S-3 and S-3/A No. 333-229978) of IVERIC bio, Inc. effective April 25, 2019,</w:t>
      </w:r>
    </w:p>
    <w:p>
      <w:pPr>
        <w:spacing w:after="0" w:line="250" w:lineRule="exact"/>
        <w:rPr>
          <w:rFonts w:ascii="Arial" w:cs="Arial" w:eastAsia="Arial" w:hAnsi="Arial"/>
          <w:sz w:val="17"/>
          <w:szCs w:val="17"/>
          <w:color w:val="auto"/>
        </w:rPr>
      </w:pPr>
    </w:p>
    <w:p>
      <w:pPr>
        <w:ind w:left="320" w:hanging="308"/>
        <w:spacing w:after="0"/>
        <w:tabs>
          <w:tab w:leader="none" w:pos="3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S-3 No. 333-226497) of IVERIC bio, Inc. effective August 15, 2018,</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333-223537) pertaining to the 2013 Stock Incentive Plan of IVERIC bio, Inc. effective March 9, 2018,</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333-219656) pertaining to the 2013 Stock Incentive Plan of IVERIC bio, Inc. effective August 3, 2017,</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333-211916) pertaining to the 2016 Employee Stock Purchase Plan of IVERIC bio, Inc. effective June 8, 2016,</w:t>
      </w:r>
    </w:p>
    <w:p>
      <w:pPr>
        <w:spacing w:after="0" w:line="248" w:lineRule="exact"/>
        <w:rPr>
          <w:rFonts w:ascii="Arial" w:cs="Arial" w:eastAsia="Arial" w:hAnsi="Arial"/>
          <w:sz w:val="16"/>
          <w:szCs w:val="16"/>
          <w:color w:val="auto"/>
        </w:rPr>
      </w:pPr>
    </w:p>
    <w:p>
      <w:pPr>
        <w:ind w:left="340" w:right="20" w:hanging="328"/>
        <w:spacing w:after="0" w:line="275"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grants of IVERIC bio, Inc., effective January 6, 2016,</w:t>
      </w:r>
    </w:p>
    <w:p>
      <w:pPr>
        <w:spacing w:after="0" w:line="199" w:lineRule="exact"/>
        <w:rPr>
          <w:rFonts w:ascii="Arial" w:cs="Arial" w:eastAsia="Arial" w:hAnsi="Arial"/>
          <w:sz w:val="16"/>
          <w:szCs w:val="16"/>
          <w:color w:val="auto"/>
        </w:rPr>
      </w:pPr>
    </w:p>
    <w:p>
      <w:pPr>
        <w:ind w:left="340" w:right="20" w:hanging="328"/>
        <w:spacing w:after="0" w:line="275"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 grants of IVERIC bio, Inc., effective March 2, 2015,</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IVERIC bio, Inc., effective January 31, 2014,</w:t>
      </w:r>
    </w:p>
    <w:p>
      <w:pPr>
        <w:spacing w:after="0" w:line="248" w:lineRule="exact"/>
        <w:rPr>
          <w:rFonts w:ascii="Arial" w:cs="Arial" w:eastAsia="Arial" w:hAnsi="Arial"/>
          <w:sz w:val="16"/>
          <w:szCs w:val="16"/>
          <w:color w:val="auto"/>
        </w:rPr>
      </w:pPr>
    </w:p>
    <w:p>
      <w:pPr>
        <w:ind w:left="340" w:right="560" w:hanging="328"/>
        <w:spacing w:after="0" w:line="275"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as amended, of IVERIC bio, Inc., effective October 16, 2013,</w:t>
      </w:r>
    </w:p>
    <w:p>
      <w:pPr>
        <w:spacing w:after="0" w:line="199" w:lineRule="exact"/>
        <w:rPr>
          <w:rFonts w:ascii="Arial" w:cs="Arial" w:eastAsia="Arial" w:hAnsi="Arial"/>
          <w:sz w:val="16"/>
          <w:szCs w:val="16"/>
          <w:color w:val="auto"/>
        </w:rPr>
      </w:pPr>
    </w:p>
    <w:p>
      <w:pPr>
        <w:ind w:left="340" w:right="260"/>
        <w:spacing w:after="0" w:line="310" w:lineRule="auto"/>
        <w:rPr>
          <w:rFonts w:ascii="Arial" w:cs="Arial" w:eastAsia="Arial" w:hAnsi="Arial"/>
          <w:sz w:val="16"/>
          <w:szCs w:val="16"/>
          <w:color w:val="auto"/>
        </w:rPr>
      </w:pPr>
      <w:r>
        <w:rPr>
          <w:rFonts w:ascii="Arial" w:cs="Arial" w:eastAsia="Arial" w:hAnsi="Arial"/>
          <w:sz w:val="15"/>
          <w:szCs w:val="15"/>
          <w:color w:val="auto"/>
        </w:rPr>
        <w:t>of our reports dated February 24, 2022, with respect to the consolidated financial statements of IVERIC bio, Inc., and the effectiveness of internal control over financial reporting of IVERIC bio, Inc. included in this Annual Report (Form 10-K) of IVERIC bio, Inc. for the year ended December 31, 2021.</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Iselin, New Jersey</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77470</wp:posOffset>
            </wp:positionV>
            <wp:extent cx="711517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0880"/>
          </w:cols>
          <w:pgMar w:left="640" w:top="895" w:right="379" w:bottom="1440" w:gutter="0" w:footer="0" w:header="0"/>
        </w:sectPr>
      </w:pPr>
    </w:p>
    <w:bookmarkStart w:id="222" w:name="page223"/>
    <w:bookmarkEnd w:id="222"/>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2021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5260" w:val="left"/>
          <w:tab w:leader="none" w:pos="602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2829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F. Carroll</w:t>
      </w:r>
    </w:p>
    <w:p>
      <w:pPr>
        <w:ind w:left="6040"/>
        <w:spacing w:after="0" w:line="203" w:lineRule="auto"/>
        <w:rPr>
          <w:sz w:val="20"/>
          <w:szCs w:val="20"/>
          <w:color w:val="auto"/>
        </w:rPr>
      </w:pPr>
      <w:r>
        <w:rPr>
          <w:rFonts w:ascii="Arial" w:cs="Arial" w:eastAsia="Arial" w:hAnsi="Arial"/>
          <w:sz w:val="18"/>
          <w:szCs w:val="18"/>
          <w:color w:val="auto"/>
        </w:rPr>
        <w:t>Chief Financial Officer</w:t>
      </w: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3" w:name="page224"/>
    <w:bookmarkEnd w:id="223"/>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34"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2021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00" w:hanging="320"/>
        <w:spacing w:after="0" w:line="252"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320"/>
        <w:spacing w:after="0" w:line="257" w:lineRule="auto"/>
        <w:tabs>
          <w:tab w:leader="none" w:pos="129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6"/>
          <w:szCs w:val="16"/>
          <w:color w:val="auto"/>
        </w:rPr>
      </w:pPr>
    </w:p>
    <w:p>
      <w:pPr>
        <w:ind w:left="1300" w:right="200" w:hanging="320"/>
        <w:spacing w:after="0" w:line="261"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80" w:hanging="320"/>
        <w:spacing w:after="0" w:line="275" w:lineRule="auto"/>
        <w:tabs>
          <w:tab w:leader="none" w:pos="129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2021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003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Glenn P. Sblendorio</w:t>
      </w:r>
    </w:p>
    <w:p>
      <w:pPr>
        <w:ind w:left="6460"/>
        <w:spacing w:after="0" w:line="203" w:lineRule="auto"/>
        <w:rPr>
          <w:sz w:val="20"/>
          <w:szCs w:val="20"/>
          <w:color w:val="auto"/>
        </w:rPr>
      </w:pPr>
      <w:r>
        <w:rPr>
          <w:rFonts w:ascii="Arial" w:cs="Arial" w:eastAsia="Arial" w:hAnsi="Arial"/>
          <w:sz w:val="18"/>
          <w:szCs w:val="18"/>
          <w:color w:val="auto"/>
        </w:rPr>
        <w:t>Chief Executive Officer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2021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30003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F. Carroll</w:t>
      </w:r>
    </w:p>
    <w:p>
      <w:pPr>
        <w:ind w:left="6500"/>
        <w:spacing w:after="0" w:line="203" w:lineRule="auto"/>
        <w:rPr>
          <w:sz w:val="20"/>
          <w:szCs w:val="20"/>
          <w:color w:val="auto"/>
        </w:rPr>
      </w:pPr>
      <w:r>
        <w:rPr>
          <w:rFonts w:ascii="Arial" w:cs="Arial" w:eastAsia="Arial" w:hAnsi="Arial"/>
          <w:sz w:val="18"/>
          <w:szCs w:val="18"/>
          <w:color w:val="auto"/>
        </w:rPr>
        <w:t>Chief Financial Officer</w:t>
      </w:r>
    </w:p>
    <w:p>
      <w:pPr>
        <w:ind w:left="65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15175"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1."/>
      <w:numFmt w:val="decimal"/>
      <w:start w:val="14"/>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lvl w:ilvl="1">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1)"/>
      <w:numFmt w:val="lowerLetter"/>
      <w:start w:val="1"/>
    </w:lvl>
  </w:abstractNum>
  <w:abstractNum w:abstractNumId="16">
    <w:nsid w:val="6EB5BD4"/>
    <w:multiLevelType w:val="hybridMultilevel"/>
    <w:lvl w:ilvl="0">
      <w:lvlJc w:val="left"/>
      <w:lvlText w:val="(%1)"/>
      <w:numFmt w:val="lowerLetter"/>
      <w:start w:val="1"/>
    </w:lvl>
  </w:abstractNum>
  <w:abstractNum w:abstractNumId="17">
    <w:nsid w:val="6F6DD9AC"/>
    <w:multiLevelType w:val="hybridMultilevel"/>
    <w:lvl w:ilvl="0">
      <w:lvlJc w:val="left"/>
      <w:lvlText w:val="(%1)"/>
      <w:numFmt w:val="lowerLetter"/>
      <w:start w:val="1"/>
    </w:lvl>
  </w:abstractNum>
  <w:abstractNum w:abstractNumId="18">
    <w:nsid w:val="94211F2"/>
    <w:multiLevelType w:val="hybridMultilevel"/>
    <w:lvl w:ilvl="0">
      <w:lvlJc w:val="left"/>
      <w:lvlText w:val="(%1)"/>
      <w:numFmt w:val="lowerLetter"/>
      <w:start w:val="1"/>
    </w:lvl>
  </w:abstractNum>
  <w:abstractNum w:abstractNumId="19">
    <w:nsid w:val="885E1B"/>
    <w:multiLevelType w:val="hybridMultilevel"/>
    <w:lvl w:ilvl="0">
      <w:lvlJc w:val="left"/>
      <w:lvlText w:val="(%1)"/>
      <w:numFmt w:val="lowerLetter"/>
      <w:start w:val="1"/>
    </w:lvl>
  </w:abstractNum>
  <w:abstractNum w:abstractNumId="20">
    <w:nsid w:val="76272110"/>
    <w:multiLevelType w:val="hybridMultilevel"/>
    <w:lvl w:ilvl="0">
      <w:lvlJc w:val="left"/>
      <w:lvlText w:val="(%1)"/>
      <w:numFmt w:val="lowerLetter"/>
      <w:start w:val="1"/>
    </w:lvl>
  </w:abstractNum>
  <w:abstractNum w:abstractNumId="21">
    <w:nsid w:val="4C04A8AF"/>
    <w:multiLevelType w:val="hybridMultilevel"/>
    <w:lvl w:ilvl="0">
      <w:lvlJc w:val="left"/>
      <w:lvlText w:val="(%1)"/>
      <w:numFmt w:val="lowerLetter"/>
      <w:start w:val="1"/>
    </w:lvl>
  </w:abstractNum>
  <w:abstractNum w:abstractNumId="22">
    <w:nsid w:val="1716703B"/>
    <w:multiLevelType w:val="hybridMultilevel"/>
    <w:lvl w:ilvl="0">
      <w:lvlJc w:val="left"/>
      <w:lvlText w:val="(%1)"/>
      <w:numFmt w:val="lowerLetter"/>
      <w:start w:val="1"/>
    </w:lvl>
  </w:abstractNum>
  <w:abstractNum w:abstractNumId="23">
    <w:nsid w:val="14E17E33"/>
    <w:multiLevelType w:val="hybridMultilevel"/>
    <w:lvl w:ilvl="0">
      <w:lvlJc w:val="left"/>
      <w:lvlText w:val="(%1)"/>
      <w:numFmt w:val="lowerLetter"/>
      <w:start w:val="1"/>
    </w:lvl>
  </w:abstractNum>
  <w:abstractNum w:abstractNumId="24">
    <w:nsid w:val="3222E7CD"/>
    <w:multiLevelType w:val="hybridMultilevel"/>
    <w:lvl w:ilvl="0">
      <w:lvlJc w:val="left"/>
      <w:lvlText w:val="(%1)"/>
      <w:numFmt w:val="lowerLetter"/>
      <w:start w:val="1"/>
    </w:lvl>
  </w:abstractNum>
  <w:abstractNum w:abstractNumId="25">
    <w:nsid w:val="74DE0EE3"/>
    <w:multiLevelType w:val="hybridMultilevel"/>
    <w:lvl w:ilvl="0">
      <w:lvlJc w:val="left"/>
      <w:lvlText w:val="(%1)"/>
      <w:numFmt w:val="lowerLetter"/>
      <w:start w:val="1"/>
    </w:lvl>
  </w:abstractNum>
  <w:abstractNum w:abstractNumId="26">
    <w:nsid w:val="68EBC550"/>
    <w:multiLevelType w:val="hybridMultilevel"/>
    <w:lvl w:ilvl="0">
      <w:lvlJc w:val="left"/>
      <w:lvlText w:val="(%1)"/>
      <w:numFmt w:val="lowerLetter"/>
      <w:start w:val="1"/>
    </w:lvl>
  </w:abstractNum>
  <w:abstractNum w:abstractNumId="27">
    <w:nsid w:val="2DF6D648"/>
    <w:multiLevelType w:val="hybridMultilevel"/>
    <w:lvl w:ilvl="0">
      <w:lvlJc w:val="left"/>
      <w:lvlText w:val="(%1)"/>
      <w:numFmt w:val="lowerLetter"/>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1)"/>
      <w:numFmt w:val="lowerLetter"/>
      <w:start w:val="1"/>
    </w:lvl>
  </w:abstractNum>
  <w:abstractNum w:abstractNumId="30">
    <w:nsid w:val="39EE015C"/>
    <w:multiLevelType w:val="hybridMultilevel"/>
    <w:lvl w:ilvl="0">
      <w:lvlJc w:val="left"/>
      <w:lvlText w:val="(%1)"/>
      <w:numFmt w:val="lowerLetter"/>
      <w:start w:val="1"/>
    </w:lvl>
  </w:abstractNum>
  <w:abstractNum w:abstractNumId="31">
    <w:nsid w:val="57FC4FBB"/>
    <w:multiLevelType w:val="hybridMultilevel"/>
    <w:lvl w:ilvl="0">
      <w:lvlJc w:val="left"/>
      <w:lvlText w:val="%1."/>
      <w:numFmt w:val="decimal"/>
      <w:start w:val="12"/>
    </w:lvl>
  </w:abstractNum>
  <w:abstractNum w:abstractNumId="32">
    <w:nsid w:val="CC1016F"/>
    <w:multiLevelType w:val="hybridMultilevel"/>
    <w:lvl w:ilvl="0">
      <w:lvlJc w:val="left"/>
      <w:lvlText w:val="%1"/>
      <w:numFmt w:val="decimal"/>
      <w:start w:val="24"/>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lvl w:ilvl="1">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1."/>
      <w:numFmt w:val="decimal"/>
      <w:start w:val="200"/>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
      <w:numFmt w:val="bullet"/>
      <w:start w:val="1"/>
    </w:lvl>
    <w:lvl w:ilvl="1">
      <w:lvlJc w:val="left"/>
      <w:lvlText w:val="•"/>
      <w:numFmt w:val="bullet"/>
      <w:start w:val="1"/>
    </w:lvl>
  </w:abstractNum>
  <w:abstractNum w:abstractNumId="48">
    <w:nsid w:val="5F3534A4"/>
    <w:multiLevelType w:val="hybridMultilevel"/>
    <w:lvl w:ilvl="0">
      <w:lvlJc w:val="left"/>
      <w:lvlText w:val="•"/>
      <w:numFmt w:val="bullet"/>
      <w:start w:val="1"/>
    </w:lvl>
    <w:lvl w:ilvl="1">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
      <w:numFmt w:val="bullet"/>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
      <w:numFmt w:val="bullet"/>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
      <w:numFmt w:val="bullet"/>
      <w:start w:val="1"/>
    </w:lvl>
  </w:abstractNum>
  <w:abstractNum w:abstractNumId="83">
    <w:nsid w:val="2C27173B"/>
    <w:multiLevelType w:val="hybridMultilevel"/>
    <w:lvl w:ilvl="0">
      <w:lvlJc w:val="left"/>
      <w:lvlText w:val="§"/>
      <w:numFmt w:val="bullet"/>
      <w:start w:val="1"/>
    </w:lvl>
  </w:abstractNum>
  <w:abstractNum w:abstractNumId="84">
    <w:nsid w:val="4C9B0904"/>
    <w:multiLevelType w:val="hybridMultilevel"/>
    <w:lvl w:ilvl="0">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
      <w:numFmt w:val="bullet"/>
      <w:start w:val="1"/>
    </w:lvl>
  </w:abstractNum>
  <w:abstractNum w:abstractNumId="89">
    <w:nsid w:val="3DB012B3"/>
    <w:multiLevelType w:val="hybridMultilevel"/>
    <w:lvl w:ilvl="0">
      <w:lvlJc w:val="left"/>
      <w:lvlText w:val="%1."/>
      <w:numFmt w:val="decimal"/>
      <w:start w:val="12"/>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
      <w:numFmt w:val="bullet"/>
      <w:start w:val="1"/>
    </w:lvl>
  </w:abstractNum>
  <w:abstractNum w:abstractNumId="92">
    <w:nsid w:val="175DFCF0"/>
    <w:multiLevelType w:val="hybridMultilevel"/>
    <w:lvl w:ilvl="0">
      <w:lvlJc w:val="left"/>
      <w:lvlText w:val="•"/>
      <w:numFmt w:val="bullet"/>
      <w:start w:val="1"/>
    </w:lvl>
  </w:abstractNum>
  <w:abstractNum w:abstractNumId="93">
    <w:nsid w:val="4F97E3E4"/>
    <w:multiLevelType w:val="hybridMultilevel"/>
    <w:lvl w:ilvl="0">
      <w:lvlJc w:val="left"/>
      <w:lvlText w:val="•"/>
      <w:numFmt w:val="bullet"/>
      <w:start w:val="1"/>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
      <w:numFmt w:val="bullet"/>
      <w:start w:val="1"/>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
      <w:numFmt w:val="bullet"/>
      <w:start w:val="1"/>
    </w:lvl>
  </w:abstractNum>
  <w:abstractNum w:abstractNumId="100">
    <w:nsid w:val="17A1B582"/>
    <w:multiLevelType w:val="hybridMultilevel"/>
    <w:lvl w:ilvl="0">
      <w:lvlJc w:val="left"/>
      <w:lvlText w:val="•"/>
      <w:numFmt w:val="bullet"/>
      <w:start w:val="1"/>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
      <w:numFmt w:val="bullet"/>
      <w:start w:val="1"/>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
      <w:numFmt w:val="bullet"/>
      <w:start w:val="1"/>
    </w:lvl>
  </w:abstractNum>
  <w:abstractNum w:abstractNumId="108">
    <w:nsid w:val="57A61A29"/>
    <w:multiLevelType w:val="hybridMultilevel"/>
    <w:lvl w:ilvl="0">
      <w:lvlJc w:val="left"/>
      <w:lvlText w:val="•"/>
      <w:numFmt w:val="bullet"/>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1."/>
      <w:numFmt w:val="decimal"/>
      <w:start w:val="2"/>
    </w:lvl>
  </w:abstractNum>
  <w:abstractNum w:abstractNumId="111">
    <w:nsid w:val="4427069A"/>
    <w:multiLevelType w:val="hybridMultilevel"/>
    <w:lvl w:ilvl="0">
      <w:lvlJc w:val="left"/>
      <w:lvlText w:val="•"/>
      <w:numFmt w:val="bullet"/>
      <w:start w:val="1"/>
    </w:lvl>
  </w:abstractNum>
  <w:abstractNum w:abstractNumId="112">
    <w:nsid w:val="B37E80A"/>
    <w:multiLevelType w:val="hybridMultilevel"/>
    <w:lvl w:ilvl="0">
      <w:lvlJc w:val="left"/>
      <w:lvlText w:val="•"/>
      <w:numFmt w:val="bullet"/>
      <w:start w:val="1"/>
    </w:lvl>
  </w:abstractNum>
  <w:abstractNum w:abstractNumId="113">
    <w:nsid w:val="2157F6BC"/>
    <w:multiLevelType w:val="hybridMultilevel"/>
    <w:lvl w:ilvl="0">
      <w:lvlJc w:val="left"/>
      <w:lvlText w:val="*"/>
      <w:numFmt w:val="bullet"/>
      <w:start w:val="1"/>
    </w:lvl>
  </w:abstractNum>
  <w:abstractNum w:abstractNumId="114">
    <w:nsid w:val="704E1DD5"/>
    <w:multiLevelType w:val="hybridMultilevel"/>
    <w:lvl w:ilvl="0">
      <w:lvlJc w:val="left"/>
      <w:lvlText w:val="•"/>
      <w:numFmt w:val="bullet"/>
      <w:start w:val="1"/>
    </w:lvl>
  </w:abstractNum>
  <w:abstractNum w:abstractNumId="115">
    <w:nsid w:val="57D2F10E"/>
    <w:multiLevelType w:val="hybridMultilevel"/>
    <w:lvl w:ilvl="0">
      <w:lvlJc w:val="left"/>
      <w:lvlText w:val="•"/>
      <w:numFmt w:val="bullet"/>
      <w:start w:val="1"/>
    </w:lvl>
  </w:abstractNum>
  <w:abstractNum w:abstractNumId="116">
    <w:nsid w:val="BFFAE18"/>
    <w:multiLevelType w:val="hybridMultilevel"/>
    <w:lvl w:ilvl="0">
      <w:lvlJc w:val="left"/>
      <w:lvlText w:val="(%1)"/>
      <w:numFmt w:val="lowerLetter"/>
      <w:start w:val="1"/>
    </w:lvl>
  </w:abstractNum>
  <w:abstractNum w:abstractNumId="117">
    <w:nsid w:val="E3E47A8"/>
    <w:multiLevelType w:val="hybridMultilevel"/>
    <w:lvl w:ilvl="0">
      <w:lvlJc w:val="left"/>
      <w:lvlText w:val="(%1)"/>
      <w:numFmt w:val="decimal"/>
      <w:start w:val="2"/>
    </w:lvl>
  </w:abstractNum>
  <w:abstractNum w:abstractNumId="118">
    <w:nsid w:val="2E48F04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9">
    <w:nsid w:val="49D0FEAC"/>
    <w:multiLevelType w:val="hybridMultilevel"/>
    <w:lvl w:ilvl="0">
      <w:lvlJc w:val="left"/>
      <w:lvlText w:val="%1."/>
      <w:numFmt w:val="decimal"/>
      <w:start w:val="3"/>
    </w:lvl>
  </w:abstractNum>
  <w:abstractNum w:abstractNumId="120">
    <w:nsid w:val="4BEE5A5B"/>
    <w:multiLevelType w:val="hybridMultilevel"/>
    <w:lvl w:ilvl="0">
      <w:lvlJc w:val="left"/>
      <w:lvlText w:val="%1."/>
      <w:numFmt w:val="decimal"/>
      <w:start w:val="1"/>
    </w:lvl>
  </w:abstractNum>
  <w:abstractNum w:abstractNumId="121">
    <w:nsid w:val="5551B9F3"/>
    <w:multiLevelType w:val="hybridMultilevel"/>
    <w:lvl w:ilvl="0">
      <w:lvlJc w:val="left"/>
      <w:lvlText w:val="%1."/>
      <w:numFmt w:val="decimal"/>
      <w:start w:val="4"/>
    </w:lvl>
  </w:abstractNum>
  <w:abstractNum w:abstractNumId="122">
    <w:nsid w:val="24F6AB8E"/>
    <w:multiLevelType w:val="hybridMultilevel"/>
    <w:lvl w:ilvl="0">
      <w:lvlJc w:val="left"/>
      <w:lvlText w:val="%1."/>
      <w:numFmt w:val="decimal"/>
      <w:start w:val="6"/>
    </w:lvl>
  </w:abstractNum>
  <w:abstractNum w:abstractNumId="123">
    <w:nsid w:val="634C574C"/>
    <w:multiLevelType w:val="hybridMultilevel"/>
    <w:lvl w:ilvl="0">
      <w:lvlJc w:val="left"/>
      <w:lvlText w:val="%1."/>
      <w:numFmt w:val="decimal"/>
      <w:start w:val="14"/>
    </w:lvl>
  </w:abstractNum>
  <w:abstractNum w:abstractNumId="124">
    <w:nsid w:val="24E99DD7"/>
    <w:multiLevelType w:val="hybridMultilevel"/>
    <w:lvl w:ilvl="0">
      <w:lvlJc w:val="left"/>
      <w:lvlText w:val="%1"/>
      <w:numFmt w:val="lowerLetter"/>
      <w:start w:val="1"/>
    </w:lvl>
    <w:lvl w:ilvl="1">
      <w:lvlJc w:val="left"/>
      <w:lvlText w:val="%2."/>
      <w:numFmt w:val="decimal"/>
      <w:start w:val="1"/>
    </w:lvl>
  </w:abstractNum>
  <w:abstractNum w:abstractNumId="125">
    <w:nsid w:val="2A31B62D"/>
    <w:multiLevelType w:val="hybridMultilevel"/>
    <w:lvl w:ilvl="0">
      <w:lvlJc w:val="left"/>
      <w:lvlText w:val="(%1)"/>
      <w:numFmt w:val="lowerLetter"/>
      <w:start w:val="1"/>
    </w:lvl>
    <w:lvl w:ilvl="1">
      <w:lvlJc w:val="left"/>
      <w:lvlText w:val="%2"/>
      <w:numFmt w:val="decimal"/>
      <w:start w:val="1"/>
    </w:lvl>
  </w:abstractNum>
  <w:abstractNum w:abstractNumId="126">
    <w:nsid w:val="1849C29B"/>
    <w:multiLevelType w:val="hybridMultilevel"/>
    <w:lvl w:ilvl="0">
      <w:lvlJc w:val="left"/>
      <w:lvlText w:val="%1"/>
      <w:numFmt w:val="lowerRoman"/>
      <w:start w:val="1"/>
    </w:lvl>
    <w:lvl w:ilvl="1">
      <w:lvlJc w:val="left"/>
      <w:lvlText w:val="(%2)"/>
      <w:numFmt w:val="lowerLetter"/>
      <w:start w:val="2"/>
    </w:lvl>
  </w:abstractNum>
  <w:abstractNum w:abstractNumId="127">
    <w:nsid w:val="7DFF9D09"/>
    <w:multiLevelType w:val="hybridMultilevel"/>
    <w:lvl w:ilvl="0">
      <w:lvlJc w:val="left"/>
      <w:lvlText w:val="(%1)"/>
      <w:numFmt w:val="lowerRoman"/>
      <w:start w:val="6"/>
    </w:lvl>
    <w:lvl w:ilvl="1">
      <w:lvlJc w:val="left"/>
      <w:lvlText w:val="(%2)"/>
      <w:numFmt w:val="lowerLetter"/>
      <w:start w:val="4"/>
    </w:lvl>
  </w:abstractNum>
  <w:abstractNum w:abstractNumId="128">
    <w:nsid w:val="754342"/>
    <w:multiLevelType w:val="hybridMultilevel"/>
    <w:lvl w:ilvl="0">
      <w:lvlJc w:val="left"/>
      <w:lvlText w:val="%1."/>
      <w:numFmt w:val="decimal"/>
      <w:start w:val="2"/>
    </w:lvl>
    <w:lvl w:ilvl="1">
      <w:lvlJc w:val="left"/>
      <w:lvlText w:val="(%2)"/>
      <w:numFmt w:val="lowerLetter"/>
      <w:start w:val="1"/>
    </w:lvl>
  </w:abstractNum>
  <w:abstractNum w:abstractNumId="129">
    <w:nsid w:val="69E7F3E5"/>
    <w:multiLevelType w:val="hybridMultilevel"/>
    <w:lvl w:ilvl="0">
      <w:lvlJc w:val="left"/>
      <w:lvlText w:val="%1"/>
      <w:numFmt w:val="lowerLetter"/>
      <w:start w:val="1"/>
    </w:lvl>
    <w:lvl w:ilvl="1">
      <w:lvlJc w:val="left"/>
      <w:lvlText w:val="(%2)"/>
      <w:numFmt w:val="lowerRoman"/>
      <w:start w:val="1"/>
    </w:lvl>
  </w:abstractNum>
  <w:abstractNum w:abstractNumId="130">
    <w:nsid w:val="2A6DE806"/>
    <w:multiLevelType w:val="hybridMultilevel"/>
    <w:lvl w:ilvl="0">
      <w:lvlJc w:val="left"/>
      <w:lvlText w:val="(%1)"/>
      <w:numFmt w:val="lowerLetter"/>
      <w:start w:val="4"/>
    </w:lvl>
    <w:lvl w:ilvl="1">
      <w:lvlJc w:val="left"/>
      <w:lvlText w:val="%2"/>
      <w:numFmt w:val="lowerRoman"/>
      <w:start w:val="1"/>
    </w:lvl>
  </w:abstractNum>
  <w:abstractNum w:abstractNumId="131">
    <w:nsid w:val="1816F8C4"/>
    <w:multiLevelType w:val="hybridMultilevel"/>
    <w:lvl w:ilvl="0">
      <w:lvlJc w:val="left"/>
      <w:lvlText w:val="%1"/>
      <w:numFmt w:val="decimal"/>
      <w:start w:val="1"/>
    </w:lvl>
    <w:lvl w:ilvl="1">
      <w:lvlJc w:val="left"/>
      <w:lvlText w:val="(%2)"/>
      <w:numFmt w:val="lowerLetter"/>
      <w:start w:val="6"/>
    </w:lvl>
  </w:abstractNum>
  <w:abstractNum w:abstractNumId="132">
    <w:nsid w:val="37DF2233"/>
    <w:multiLevelType w:val="hybridMultilevel"/>
    <w:lvl w:ilvl="0">
      <w:lvlJc w:val="left"/>
      <w:lvlText w:val="%1."/>
      <w:numFmt w:val="decimal"/>
      <w:start w:val="4"/>
    </w:lvl>
    <w:lvl w:ilvl="1">
      <w:lvlJc w:val="left"/>
      <w:lvlText w:val="(%2)"/>
      <w:numFmt w:val="lowerLetter"/>
      <w:start w:val="1"/>
    </w:lvl>
  </w:abstractNum>
  <w:abstractNum w:abstractNumId="133">
    <w:nsid w:val="7AB49DAF"/>
    <w:multiLevelType w:val="hybridMultilevel"/>
    <w:lvl w:ilvl="0">
      <w:lvlJc w:val="left"/>
      <w:lvlText w:val="(%1)"/>
      <w:numFmt w:val="lowerLetter"/>
      <w:start w:val="2"/>
    </w:lvl>
  </w:abstractNum>
  <w:abstractNum w:abstractNumId="134">
    <w:nsid w:val="759F82CD"/>
    <w:multiLevelType w:val="hybridMultilevel"/>
    <w:lvl w:ilvl="0">
      <w:lvlJc w:val="left"/>
      <w:lvlText w:val="%1."/>
      <w:numFmt w:val="decimal"/>
      <w:start w:val="1"/>
    </w:lvl>
  </w:abstractNum>
  <w:abstractNum w:abstractNumId="135">
    <w:nsid w:val="61E74EA3"/>
    <w:multiLevelType w:val="hybridMultilevel"/>
    <w:lvl w:ilvl="0">
      <w:lvlJc w:val="left"/>
      <w:lvlText w:val="%1."/>
      <w:numFmt w:val="decimal"/>
      <w:start w:val="3"/>
    </w:lvl>
  </w:abstractNum>
  <w:abstractNum w:abstractNumId="136">
    <w:nsid w:val="597B4D84"/>
    <w:multiLevelType w:val="hybridMultilevel"/>
    <w:lvl w:ilvl="0">
      <w:lvlJc w:val="left"/>
      <w:lvlText w:val="%1."/>
      <w:numFmt w:val="decimal"/>
      <w:start w:val="6"/>
    </w:lvl>
  </w:abstractNum>
  <w:abstractNum w:abstractNumId="137">
    <w:nsid w:val="F819E7F"/>
    <w:multiLevelType w:val="hybridMultilevel"/>
    <w:lvl w:ilvl="0">
      <w:lvlJc w:val="left"/>
      <w:lvlText w:val="%1."/>
      <w:numFmt w:val="decimal"/>
      <w:start w:val="13"/>
    </w:lvl>
  </w:abstractNum>
  <w:abstractNum w:abstractNumId="138">
    <w:nsid w:val="57C7D42D"/>
    <w:multiLevelType w:val="hybridMultilevel"/>
    <w:lvl w:ilvl="0">
      <w:lvlJc w:val="left"/>
      <w:lvlText w:val="%1"/>
      <w:numFmt w:val="lowerLetter"/>
      <w:start w:val="1"/>
    </w:lvl>
    <w:lvl w:ilvl="1">
      <w:lvlJc w:val="left"/>
      <w:lvlText w:val="%2."/>
      <w:numFmt w:val="decimal"/>
      <w:start w:val="1"/>
    </w:lvl>
  </w:abstractNum>
  <w:abstractNum w:abstractNumId="139">
    <w:nsid w:val="312167AD"/>
    <w:multiLevelType w:val="hybridMultilevel"/>
    <w:lvl w:ilvl="0">
      <w:lvlJc w:val="left"/>
      <w:lvlText w:val="(%1)"/>
      <w:numFmt w:val="lowerLetter"/>
      <w:start w:val="1"/>
    </w:lvl>
    <w:lvl w:ilvl="1">
      <w:lvlJc w:val="left"/>
      <w:lvlText w:val="%2"/>
      <w:numFmt w:val="decimal"/>
      <w:start w:val="1"/>
    </w:lvl>
  </w:abstractNum>
  <w:abstractNum w:abstractNumId="140">
    <w:nsid w:val="631B64D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41">
    <w:nsid w:val="78B5E776"/>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4"/>
    </w:lvl>
  </w:abstractNum>
  <w:abstractNum w:abstractNumId="142">
    <w:nsid w:val="75486E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3">
    <w:nsid w:val="6E534CDE"/>
    <w:multiLevelType w:val="hybridMultilevel"/>
    <w:lvl w:ilvl="0">
      <w:lvlJc w:val="left"/>
      <w:lvlText w:val="%1"/>
      <w:numFmt w:val="decimal"/>
      <w:start w:val="1"/>
    </w:lvl>
    <w:lvl w:ilvl="1">
      <w:lvlJc w:val="left"/>
      <w:lvlText w:val="(%2)"/>
      <w:numFmt w:val="lowerLetter"/>
      <w:start w:val="5"/>
    </w:lvl>
  </w:abstractNum>
  <w:abstractNum w:abstractNumId="144">
    <w:nsid w:val="1A0DDE32"/>
    <w:multiLevelType w:val="hybridMultilevel"/>
    <w:lvl w:ilvl="0">
      <w:lvlJc w:val="left"/>
      <w:lvlText w:val="%1."/>
      <w:numFmt w:val="decimal"/>
      <w:start w:val="4"/>
    </w:lvl>
    <w:lvl w:ilvl="1">
      <w:lvlJc w:val="left"/>
      <w:lvlText w:val="%2"/>
      <w:numFmt w:val="lowerLetter"/>
      <w:start w:val="1"/>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decimal"/>
      <w:start w:val="1"/>
    </w:lvl>
    <w:lvl w:ilvl="1">
      <w:lvlJc w:val="left"/>
      <w:lvlText w:val="(%2)"/>
      <w:numFmt w:val="decimal"/>
      <w:start w:val="1"/>
    </w:lvl>
  </w:abstractNum>
  <w:abstractNum w:abstractNumId="147">
    <w:nsid w:val="260D8C4A"/>
    <w:multiLevelType w:val="hybridMultilevel"/>
    <w:lvl w:ilvl="0">
      <w:lvlJc w:val="left"/>
      <w:lvlText w:val="%1."/>
      <w:numFmt w:val="decimal"/>
      <w:start w:val="3"/>
    </w:lvl>
    <w:lvl w:ilvl="1">
      <w:lvlJc w:val="left"/>
      <w:lvlText w:val="*"/>
      <w:numFmt w:val="bullet"/>
      <w:start w:val="1"/>
    </w:lvl>
  </w:abstractNum>
  <w:abstractNum w:abstractNumId="148">
    <w:nsid w:val="73D4D3C4"/>
    <w:multiLevelType w:val="hybridMultilevel"/>
    <w:lvl w:ilvl="0">
      <w:lvlJc w:val="left"/>
      <w:lvlText w:val="(%1)"/>
      <w:numFmt w:val="decimal"/>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1" Type="http://schemas.openxmlformats.org/officeDocument/2006/relationships/image" Target="media/image173.png"/><Relationship Id="rId193" Type="http://schemas.openxmlformats.org/officeDocument/2006/relationships/image" Target="media/image174.png"/><Relationship Id="rId216"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jpeg"/><Relationship Id="rId278" Type="http://schemas.openxmlformats.org/officeDocument/2006/relationships/image" Target="media/image229.jpeg"/><Relationship Id="rId279" Type="http://schemas.openxmlformats.org/officeDocument/2006/relationships/image" Target="media/image230.jpe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jpeg"/><Relationship Id="rId284" Type="http://schemas.openxmlformats.org/officeDocument/2006/relationships/image" Target="media/image235.jpeg"/><Relationship Id="rId285" Type="http://schemas.openxmlformats.org/officeDocument/2006/relationships/image" Target="media/image236.jpe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180" Type="http://schemas.openxmlformats.org/officeDocument/2006/relationships/hyperlink" Target="http://www.sec.gov/Archives/edgar/data/1410939/000110465918064869/a18-38248_1ex2d1.htm" TargetMode="External"/><Relationship Id="rId182" Type="http://schemas.openxmlformats.org/officeDocument/2006/relationships/hyperlink" Target="https://www.sec.gov/Archives/edgar/data/1410939/000141093921000007/isee12312020exhibit31.htm" TargetMode="External"/><Relationship Id="rId183" Type="http://schemas.openxmlformats.org/officeDocument/2006/relationships/hyperlink" Target="http://www.sec.gov/Archives/edgar/data/1410939/000119312513360785/d560505dex34.htm" TargetMode="External"/><Relationship Id="rId184" Type="http://schemas.openxmlformats.org/officeDocument/2006/relationships/hyperlink" Target="https://www.sec.gov/Archives/edgar/data/1410939/000141093920000009/exhibit41.htm" TargetMode="External"/><Relationship Id="rId185" Type="http://schemas.openxmlformats.org/officeDocument/2006/relationships/hyperlink" Target="https://www.sec.gov/Archives/edgar/data/1410939/000141093920000009/iseestockcertificate.htm" TargetMode="External"/><Relationship Id="rId186" Type="http://schemas.openxmlformats.org/officeDocument/2006/relationships/hyperlink" Target="http://www.sec.gov/Archives/edgar/data/1410939/000119312513336689/d560505dex101.htm" TargetMode="External"/><Relationship Id="rId187" Type="http://schemas.openxmlformats.org/officeDocument/2006/relationships/hyperlink" Target="http://www.sec.gov/Archives/edgar/data/1410939/000119312513336689/d560505dex102.htm" TargetMode="External"/><Relationship Id="rId188" Type="http://schemas.openxmlformats.org/officeDocument/2006/relationships/hyperlink" Target="http://www.sec.gov/Archives/edgar/data/1410939/000119312513336689/d560505dex103.htm" TargetMode="External"/><Relationship Id="rId189" Type="http://schemas.openxmlformats.org/officeDocument/2006/relationships/hyperlink" Target="http://www.sec.gov/Archives/edgar/data/1410939/000104746915001507/a2223280zex-10_4.htm" TargetMode="External"/><Relationship Id="rId190" Type="http://schemas.openxmlformats.org/officeDocument/2006/relationships/hyperlink" Target="http://www.sec.gov/Archives/edgar/data/1410939/000110465915058291/a15-11945_1ex10d1.htm" TargetMode="External"/><Relationship Id="rId191" Type="http://schemas.openxmlformats.org/officeDocument/2006/relationships/hyperlink" Target="http://www.sec.gov/Archives/edgar/data/1410939/000119312513360785/d560505dex105.htm" TargetMode="External"/><Relationship Id="rId192" Type="http://schemas.openxmlformats.org/officeDocument/2006/relationships/hyperlink" Target="http://www.sec.gov/Archives/edgar/data/1410939/000119312513360785/d560505dex106.htm" TargetMode="External"/><Relationship Id="rId194" Type="http://schemas.openxmlformats.org/officeDocument/2006/relationships/hyperlink" Target="http://www.sec.gov/Archives/edgar/data/1410939/000104746915001507/a2223280zex-10_7.htm" TargetMode="External"/><Relationship Id="rId195" Type="http://schemas.openxmlformats.org/officeDocument/2006/relationships/hyperlink" Target="http://www.sec.gov/Archives/edgar/data/1410939/000110465916126161/a16-13043_1ex99d1.htm" TargetMode="External"/><Relationship Id="rId196" Type="http://schemas.openxmlformats.org/officeDocument/2006/relationships/hyperlink" Target="http://www.sec.gov/Archives/edgar/data/1410939/000141093919000057/iveric-2019inducementstock.htm" TargetMode="External"/><Relationship Id="rId197" Type="http://schemas.openxmlformats.org/officeDocument/2006/relationships/hyperlink" Target="https://www.sec.gov/Archives/edgar/data/1410939/000141093920000023/inducementplanamendment.htm" TargetMode="External"/><Relationship Id="rId198" Type="http://schemas.openxmlformats.org/officeDocument/2006/relationships/hyperlink" Target="https://www.sec.gov/Archives/edgar/data/1410939/000141093921000007/isee12312020exhibit1012.htm" TargetMode="External"/><Relationship Id="rId199" Type="http://schemas.openxmlformats.org/officeDocument/2006/relationships/hyperlink" Target="https://www.sec.gov/Archives/edgar/data/1410939/000141093921000051/isee9302021exhibit103.htm" TargetMode="External"/><Relationship Id="rId200" Type="http://schemas.openxmlformats.org/officeDocument/2006/relationships/hyperlink" Target="http://www.sec.gov/Archives/edgar/data/1410939/000141093919000057/formofinducementrsuagreeme.htm" TargetMode="External"/><Relationship Id="rId201" Type="http://schemas.openxmlformats.org/officeDocument/2006/relationships/hyperlink" Target="http://www.sec.gov/Archives/edgar/data/1410939/000141093919000057/formofinducementoptionagre.htm" TargetMode="External"/><Relationship Id="rId202" Type="http://schemas.openxmlformats.org/officeDocument/2006/relationships/hyperlink" Target="http://www.sec.gov/Archives/edgar/data/1410939/000119312513336689/d560505dex1011.htm" TargetMode="External"/><Relationship Id="rId203" Type="http://schemas.openxmlformats.org/officeDocument/2006/relationships/hyperlink" Target="http://www.sec.gov/Archives/edgar/data/1410939/000141093918000047/a101ophthotechuniversityof.htm" TargetMode="External"/><Relationship Id="rId204" Type="http://schemas.openxmlformats.org/officeDocument/2006/relationships/hyperlink" Target="http://www.sec.gov/Archives/edgar/data/1410939/000141093919000045/a101_ivericxbest1xlicensex.htm" TargetMode="External"/><Relationship Id="rId205" Type="http://schemas.openxmlformats.org/officeDocument/2006/relationships/hyperlink" Target="https://www.sec.gov/Archives/edgar/data/1410939/000141093920000023/ivericbioamendmenttobe.htm" TargetMode="External"/><Relationship Id="rId206" Type="http://schemas.openxmlformats.org/officeDocument/2006/relationships/hyperlink" Target="http://www.sec.gov/Archives/edgar/data/1410939/000141093919000061/cep290license.htm" TargetMode="External"/><Relationship Id="rId207" Type="http://schemas.openxmlformats.org/officeDocument/2006/relationships/hyperlink" Target="http://www.sec.gov/Archives/edgar/data/1410939/000110465916119294/a16-6529_1ex10d1.htm" TargetMode="External"/><Relationship Id="rId208" Type="http://schemas.openxmlformats.org/officeDocument/2006/relationships/hyperlink" Target="http://www.sec.gov/Archives/edgar/data/1410939/000110465916119294/a16-6529_1ex10d2.htm" TargetMode="External"/><Relationship Id="rId209" Type="http://schemas.openxmlformats.org/officeDocument/2006/relationships/hyperlink" Target="http://www.sec.gov/Archives/edgar/data/1410939/000141093917000011/sblendorioamendment-102.htm" TargetMode="External"/><Relationship Id="rId210" Type="http://schemas.openxmlformats.org/officeDocument/2006/relationships/hyperlink" Target="https://www.sec.gov/Archives/edgar/data/1410939/000141093921000051/isee9302021exhibit104.htm" TargetMode="External"/><Relationship Id="rId211" Type="http://schemas.openxmlformats.org/officeDocument/2006/relationships/hyperlink" Target="https://www.sec.gov/Archives/edgar/data/1410939/000141093917000011/davidcarrollfinalagreement.htm" TargetMode="External"/><Relationship Id="rId212" Type="http://schemas.openxmlformats.org/officeDocument/2006/relationships/hyperlink" Target="https://www.sec.gov/Archives/edgar/data/1410939/000141093920000009/davidcarrollletter1219.htm" TargetMode="External"/><Relationship Id="rId213" Type="http://schemas.openxmlformats.org/officeDocument/2006/relationships/hyperlink" Target="http://www.sec.gov/Archives/edgar/data/1410939/000162828017004784/opht-03312017xex101.htm" TargetMode="External"/><Relationship Id="rId214" Type="http://schemas.openxmlformats.org/officeDocument/2006/relationships/hyperlink" Target="https://www.sec.gov/Archives/edgar/data/1410939/000141093920000009/keithwestbyletter1219.htm" TargetMode="External"/><Relationship Id="rId215" Type="http://schemas.openxmlformats.org/officeDocument/2006/relationships/hyperlink" Target="https://www.sec.gov/Archives/edgar/data/1410939/000141093920000037/pdugelofferv2.htm" TargetMode="External"/><Relationship Id="rId217" Type="http://schemas.openxmlformats.org/officeDocument/2006/relationships/hyperlink" Target="https://www.sec.gov/Archives/edgar/data/1410939/000141093920000037/pdugelseveranceagreement.htm" TargetMode="External"/><Relationship Id="rId218" Type="http://schemas.openxmlformats.org/officeDocument/2006/relationships/hyperlink" Target="https://www.sec.gov/Archives/edgar/data/0001410939/000110465921046289/tm2112090d1_ex10-1.htm" TargetMode="External"/><Relationship Id="rId219" Type="http://schemas.openxmlformats.org/officeDocument/2006/relationships/hyperlink" Target="http://www.sec.gov/Archives/edgar/data/1410939/000110465916137636/a16-11623_1ex10d2.htm" TargetMode="External"/><Relationship Id="rId220" Type="http://schemas.openxmlformats.org/officeDocument/2006/relationships/hyperlink" Target="http://www.sec.gov/Archives/edgar/data/1410939/000141093919000045/non-employeedirectorcomppl.htm" TargetMode="External"/><Relationship Id="rId221" Type="http://schemas.openxmlformats.org/officeDocument/2006/relationships/hyperlink" Target="https://www.sec.gov/Archives/edgar/data/1410939/000141093920000032/amendmentno1tonedcp.htm" TargetMode="External"/><Relationship Id="rId222" Type="http://schemas.openxmlformats.org/officeDocument/2006/relationships/hyperlink" Target="https://www.sec.gov/Archives/edgar/data/1410939/000141093921000018/exhibit102-amendmentno2ton.htm" TargetMode="External"/><Relationship Id="rId223" Type="http://schemas.openxmlformats.org/officeDocument/2006/relationships/hyperlink" Target="https://www.sec.gov/Archives/edgar/data/1410939/000141093922000005/amendment3tonedcp.htm" TargetMode="External"/><Relationship Id="rId224" Type="http://schemas.openxmlformats.org/officeDocument/2006/relationships/hyperlink" Target="https://www.sec.gov/Archives/edgar/data/1410939/000141093920000009/ivericbiocodeofbusines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2022-02-24T16:35:17Z</dcterms:created>
  <dcterms:modified xsi:type="dcterms:W3CDTF">2022-02-24T16:35:17Z</dcterms:modified>
</cp:coreProperties>
</file>