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457200</wp:posOffset>
            </wp:positionV>
            <wp:extent cx="71348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78740</wp:posOffset>
            </wp:positionV>
            <wp:extent cx="1312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2545" cy="1714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37"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(Mark One)</w:t>
      </w:r>
    </w:p>
    <w:p>
      <w:pPr>
        <w:spacing w:after="0" w:line="51" w:lineRule="exact"/>
        <w:rPr>
          <w:sz w:val="24"/>
          <w:szCs w:val="24"/>
          <w:color w:val="auto"/>
        </w:rPr>
      </w:pPr>
    </w:p>
    <w:p>
      <w:pPr>
        <w:ind w:left="4080" w:right="1460" w:hanging="2385"/>
        <w:spacing w:after="0" w:line="424" w:lineRule="auto"/>
        <w:tabs>
          <w:tab w:leader="none" w:pos="2601"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1" w:lineRule="exact"/>
        <w:rPr>
          <w:sz w:val="24"/>
          <w:szCs w:val="24"/>
          <w:color w:val="auto"/>
        </w:rPr>
      </w:pPr>
    </w:p>
    <w:p>
      <w:pPr>
        <w:ind w:left="2580" w:hanging="891"/>
        <w:spacing w:after="0"/>
        <w:tabs>
          <w:tab w:leader="none" w:pos="2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1080" w:type="dxa"/>
        <w:tblCellMar>
          <w:top w:w="0" w:type="dxa"/>
          <w:left w:w="0" w:type="dxa"/>
          <w:bottom w:w="0" w:type="dxa"/>
          <w:right w:w="0" w:type="dxa"/>
        </w:tblCellMar>
      </w:tblPr>
      <w:tr>
        <w:trPr>
          <w:trHeight w:val="184"/>
        </w:trPr>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tcPr>
          <w:p>
            <w:pPr>
              <w:ind w:left="700"/>
              <w:spacing w:after="0"/>
              <w:rPr>
                <w:sz w:val="20"/>
                <w:szCs w:val="20"/>
                <w:color w:val="auto"/>
              </w:rPr>
            </w:pPr>
            <w:r>
              <w:rPr>
                <w:rFonts w:ascii="Arial" w:cs="Arial" w:eastAsia="Arial" w:hAnsi="Arial"/>
                <w:sz w:val="14"/>
                <w:szCs w:val="14"/>
                <w:b w:val="1"/>
                <w:bCs w:val="1"/>
                <w:color w:val="auto"/>
                <w:w w:val="99"/>
              </w:rPr>
              <w:t>For the transition period from</w:t>
            </w:r>
          </w:p>
        </w:tc>
        <w:tc>
          <w:tcPr>
            <w:tcW w:w="2780" w:type="dxa"/>
            <w:vAlign w:val="bottom"/>
            <w:gridSpan w:val="2"/>
          </w:tcPr>
          <w:p>
            <w:pPr>
              <w:ind w:left="280"/>
              <w:spacing w:after="0"/>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530"/>
        </w:trPr>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6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1"/>
              </w:rPr>
              <w:t>Commission file number: 001-36080</w:t>
            </w:r>
          </w:p>
        </w:tc>
        <w:tc>
          <w:tcPr>
            <w:tcW w:w="0" w:type="dxa"/>
            <w:vAlign w:val="bottom"/>
          </w:tcPr>
          <w:p>
            <w:pPr>
              <w:spacing w:after="0"/>
              <w:rPr>
                <w:sz w:val="1"/>
                <w:szCs w:val="1"/>
                <w:color w:val="auto"/>
              </w:rPr>
            </w:pPr>
          </w:p>
        </w:tc>
      </w:tr>
      <w:tr>
        <w:trPr>
          <w:trHeight w:val="416"/>
        </w:trPr>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60" w:type="dxa"/>
            <w:vAlign w:val="bottom"/>
            <w:gridSpan w:val="3"/>
          </w:tcPr>
          <w:p>
            <w:pPr>
              <w:jc w:val="center"/>
              <w:ind w:right="1380"/>
              <w:spacing w:after="0"/>
              <w:rPr>
                <w:sz w:val="20"/>
                <w:szCs w:val="20"/>
                <w:color w:val="auto"/>
              </w:rPr>
            </w:pPr>
            <w:r>
              <w:rPr>
                <w:rFonts w:ascii="Arial" w:cs="Arial" w:eastAsia="Arial" w:hAnsi="Arial"/>
                <w:sz w:val="28"/>
                <w:szCs w:val="28"/>
                <w:b w:val="1"/>
                <w:bCs w:val="1"/>
                <w:color w:val="auto"/>
              </w:rPr>
              <w:t>IVERIC bio, Inc.</w:t>
            </w: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60" w:type="dxa"/>
            <w:vAlign w:val="bottom"/>
            <w:gridSpan w:val="3"/>
          </w:tcPr>
          <w:p>
            <w:pPr>
              <w:jc w:val="center"/>
              <w:ind w:right="1380"/>
              <w:spacing w:after="0"/>
              <w:rPr>
                <w:sz w:val="20"/>
                <w:szCs w:val="20"/>
                <w:color w:val="auto"/>
              </w:rPr>
            </w:pPr>
            <w:r>
              <w:rPr>
                <w:rFonts w:ascii="Arial" w:cs="Arial" w:eastAsia="Arial" w:hAnsi="Arial"/>
                <w:sz w:val="14"/>
                <w:szCs w:val="14"/>
                <w:color w:val="auto"/>
                <w:w w:val="91"/>
              </w:rPr>
              <w:t>(Exact name of registrant as specified in its charter)</w:t>
            </w:r>
          </w:p>
        </w:tc>
        <w:tc>
          <w:tcPr>
            <w:tcW w:w="0" w:type="dxa"/>
            <w:vAlign w:val="bottom"/>
          </w:tcPr>
          <w:p>
            <w:pPr>
              <w:spacing w:after="0"/>
              <w:rPr>
                <w:sz w:val="1"/>
                <w:szCs w:val="1"/>
                <w:color w:val="auto"/>
              </w:rPr>
            </w:pPr>
          </w:p>
        </w:tc>
      </w:tr>
      <w:tr>
        <w:trPr>
          <w:trHeight w:val="358"/>
        </w:trPr>
        <w:tc>
          <w:tcPr>
            <w:tcW w:w="1520" w:type="dxa"/>
            <w:vAlign w:val="bottom"/>
          </w:tcPr>
          <w:p>
            <w:pPr>
              <w:spacing w:after="0"/>
              <w:rPr>
                <w:sz w:val="24"/>
                <w:szCs w:val="24"/>
                <w:color w:val="auto"/>
              </w:rPr>
            </w:pPr>
          </w:p>
        </w:tc>
        <w:tc>
          <w:tcPr>
            <w:tcW w:w="3660" w:type="dxa"/>
            <w:vAlign w:val="bottom"/>
            <w:gridSpan w:val="2"/>
          </w:tcPr>
          <w:p>
            <w:pPr>
              <w:jc w:val="center"/>
              <w:ind w:right="1581"/>
              <w:spacing w:after="0"/>
              <w:rPr>
                <w:sz w:val="20"/>
                <w:szCs w:val="20"/>
                <w:color w:val="auto"/>
              </w:rPr>
            </w:pPr>
            <w:r>
              <w:rPr>
                <w:rFonts w:ascii="Arial" w:cs="Arial" w:eastAsia="Arial" w:hAnsi="Arial"/>
                <w:sz w:val="14"/>
                <w:szCs w:val="14"/>
                <w:b w:val="1"/>
                <w:bCs w:val="1"/>
                <w:color w:val="auto"/>
                <w:w w:val="91"/>
              </w:rPr>
              <w:t>Delaware</w:t>
            </w:r>
          </w:p>
        </w:tc>
        <w:tc>
          <w:tcPr>
            <w:tcW w:w="278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20-8185347</w:t>
            </w:r>
          </w:p>
        </w:tc>
        <w:tc>
          <w:tcPr>
            <w:tcW w:w="0" w:type="dxa"/>
            <w:vAlign w:val="bottom"/>
          </w:tcPr>
          <w:p>
            <w:pPr>
              <w:spacing w:after="0"/>
              <w:rPr>
                <w:sz w:val="1"/>
                <w:szCs w:val="1"/>
                <w:color w:val="auto"/>
              </w:rPr>
            </w:pPr>
          </w:p>
        </w:tc>
      </w:tr>
      <w:tr>
        <w:trPr>
          <w:trHeight w:val="212"/>
        </w:trPr>
        <w:tc>
          <w:tcPr>
            <w:tcW w:w="5180" w:type="dxa"/>
            <w:vAlign w:val="bottom"/>
            <w:gridSpan w:val="3"/>
          </w:tcPr>
          <w:p>
            <w:pPr>
              <w:jc w:val="center"/>
              <w:ind w:right="41"/>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278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(I.R.S. Employer Identification No.)</w:t>
            </w:r>
          </w:p>
        </w:tc>
        <w:tc>
          <w:tcPr>
            <w:tcW w:w="0" w:type="dxa"/>
            <w:vAlign w:val="bottom"/>
          </w:tcPr>
          <w:p>
            <w:pPr>
              <w:spacing w:after="0"/>
              <w:rPr>
                <w:sz w:val="1"/>
                <w:szCs w:val="1"/>
                <w:color w:val="auto"/>
              </w:rPr>
            </w:pPr>
          </w:p>
        </w:tc>
      </w:tr>
      <w:tr>
        <w:trPr>
          <w:trHeight w:val="265"/>
        </w:trPr>
        <w:tc>
          <w:tcPr>
            <w:tcW w:w="1520" w:type="dxa"/>
            <w:vAlign w:val="bottom"/>
          </w:tcPr>
          <w:p>
            <w:pPr>
              <w:spacing w:after="0"/>
              <w:rPr>
                <w:sz w:val="23"/>
                <w:szCs w:val="23"/>
                <w:color w:val="auto"/>
              </w:rPr>
            </w:pPr>
          </w:p>
        </w:tc>
        <w:tc>
          <w:tcPr>
            <w:tcW w:w="3660" w:type="dxa"/>
            <w:vAlign w:val="bottom"/>
            <w:gridSpan w:val="2"/>
          </w:tcPr>
          <w:p>
            <w:pPr>
              <w:ind w:left="20"/>
              <w:spacing w:after="0"/>
              <w:rPr>
                <w:sz w:val="20"/>
                <w:szCs w:val="20"/>
                <w:color w:val="auto"/>
              </w:rPr>
            </w:pPr>
            <w:r>
              <w:rPr>
                <w:rFonts w:ascii="Arial" w:cs="Arial" w:eastAsia="Arial" w:hAnsi="Arial"/>
                <w:sz w:val="14"/>
                <w:szCs w:val="14"/>
                <w:b w:val="1"/>
                <w:bCs w:val="1"/>
                <w:color w:val="auto"/>
              </w:rPr>
              <w:t>Five Penn Plaza Suite 2372</w:t>
            </w:r>
          </w:p>
        </w:tc>
        <w:tc>
          <w:tcPr>
            <w:tcW w:w="278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10001</w:t>
            </w:r>
          </w:p>
        </w:tc>
        <w:tc>
          <w:tcPr>
            <w:tcW w:w="0" w:type="dxa"/>
            <w:vAlign w:val="bottom"/>
          </w:tcPr>
          <w:p>
            <w:pPr>
              <w:spacing w:after="0"/>
              <w:rPr>
                <w:sz w:val="1"/>
                <w:szCs w:val="1"/>
                <w:color w:val="auto"/>
              </w:rPr>
            </w:pPr>
          </w:p>
        </w:tc>
      </w:tr>
      <w:tr>
        <w:trPr>
          <w:trHeight w:val="212"/>
        </w:trPr>
        <w:tc>
          <w:tcPr>
            <w:tcW w:w="1520" w:type="dxa"/>
            <w:vAlign w:val="bottom"/>
          </w:tcPr>
          <w:p>
            <w:pPr>
              <w:spacing w:after="0"/>
              <w:rPr>
                <w:sz w:val="18"/>
                <w:szCs w:val="18"/>
                <w:color w:val="auto"/>
              </w:rPr>
            </w:pPr>
          </w:p>
        </w:tc>
        <w:tc>
          <w:tcPr>
            <w:tcW w:w="3660" w:type="dxa"/>
            <w:vAlign w:val="bottom"/>
            <w:gridSpan w:val="2"/>
          </w:tcPr>
          <w:p>
            <w:pPr>
              <w:ind w:left="360"/>
              <w:spacing w:after="0"/>
              <w:rPr>
                <w:sz w:val="20"/>
                <w:szCs w:val="20"/>
                <w:color w:val="auto"/>
              </w:rPr>
            </w:pPr>
            <w:r>
              <w:rPr>
                <w:rFonts w:ascii="Arial" w:cs="Arial" w:eastAsia="Arial" w:hAnsi="Arial"/>
                <w:sz w:val="14"/>
                <w:szCs w:val="14"/>
                <w:b w:val="1"/>
                <w:bCs w:val="1"/>
                <w:color w:val="auto"/>
              </w:rPr>
              <w:t>New York, NY</w:t>
            </w:r>
          </w:p>
        </w:tc>
        <w:tc>
          <w:tcPr>
            <w:tcW w:w="278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12"/>
        </w:trPr>
        <w:tc>
          <w:tcPr>
            <w:tcW w:w="5180" w:type="dxa"/>
            <w:vAlign w:val="bottom"/>
            <w:gridSpan w:val="3"/>
          </w:tcPr>
          <w:p>
            <w:pPr>
              <w:jc w:val="center"/>
              <w:ind w:right="61"/>
              <w:spacing w:after="0"/>
              <w:rPr>
                <w:sz w:val="20"/>
                <w:szCs w:val="20"/>
                <w:color w:val="auto"/>
              </w:rPr>
            </w:pPr>
            <w:r>
              <w:rPr>
                <w:rFonts w:ascii="Arial" w:cs="Arial" w:eastAsia="Arial" w:hAnsi="Arial"/>
                <w:sz w:val="14"/>
                <w:szCs w:val="14"/>
                <w:color w:val="auto"/>
                <w:w w:val="93"/>
              </w:rPr>
              <w:t>(Address of principal executive offices)</w:t>
            </w: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20" w:type="dxa"/>
            <w:vAlign w:val="bottom"/>
          </w:tcPr>
          <w:p>
            <w:pPr>
              <w:spacing w:after="0"/>
              <w:rPr>
                <w:sz w:val="24"/>
                <w:szCs w:val="24"/>
                <w:color w:val="auto"/>
              </w:rPr>
            </w:pPr>
          </w:p>
        </w:tc>
        <w:tc>
          <w:tcPr>
            <w:tcW w:w="3660" w:type="dxa"/>
            <w:vAlign w:val="bottom"/>
            <w:gridSpan w:val="2"/>
          </w:tcPr>
          <w:p>
            <w:pPr>
              <w:jc w:val="center"/>
              <w:ind w:left="2309"/>
              <w:spacing w:after="0"/>
              <w:rPr>
                <w:sz w:val="20"/>
                <w:szCs w:val="20"/>
                <w:color w:val="auto"/>
              </w:rPr>
            </w:pPr>
            <w:r>
              <w:rPr>
                <w:rFonts w:ascii="Arial" w:cs="Arial" w:eastAsia="Arial" w:hAnsi="Arial"/>
                <w:sz w:val="14"/>
                <w:szCs w:val="14"/>
                <w:b w:val="1"/>
                <w:bCs w:val="1"/>
                <w:color w:val="auto"/>
                <w:w w:val="91"/>
              </w:rPr>
              <w:t>(212) 845-8200</w:t>
            </w: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60" w:type="dxa"/>
            <w:vAlign w:val="bottom"/>
            <w:gridSpan w:val="3"/>
          </w:tcPr>
          <w:p>
            <w:pPr>
              <w:jc w:val="center"/>
              <w:ind w:right="1360"/>
              <w:spacing w:after="0"/>
              <w:rPr>
                <w:sz w:val="20"/>
                <w:szCs w:val="20"/>
                <w:color w:val="auto"/>
              </w:rPr>
            </w:pPr>
            <w:r>
              <w:rPr>
                <w:rFonts w:ascii="Arial" w:cs="Arial" w:eastAsia="Arial" w:hAnsi="Arial"/>
                <w:sz w:val="14"/>
                <w:szCs w:val="14"/>
                <w:color w:val="auto"/>
                <w:w w:val="90"/>
              </w:rPr>
              <w:t>(Registrant's telephone number, including area code)</w:t>
            </w:r>
          </w:p>
        </w:tc>
        <w:tc>
          <w:tcPr>
            <w:tcW w:w="0" w:type="dxa"/>
            <w:vAlign w:val="bottom"/>
          </w:tcPr>
          <w:p>
            <w:pPr>
              <w:spacing w:after="0"/>
              <w:rPr>
                <w:sz w:val="1"/>
                <w:szCs w:val="1"/>
                <w:color w:val="auto"/>
              </w:rPr>
            </w:pPr>
          </w:p>
        </w:tc>
      </w:tr>
      <w:tr>
        <w:trPr>
          <w:trHeight w:val="57"/>
        </w:trPr>
        <w:tc>
          <w:tcPr>
            <w:tcW w:w="1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120" w:type="dxa"/>
            <w:vAlign w:val="bottom"/>
            <w:tcBorders>
              <w:bottom w:val="single" w:sz="8" w:color="auto"/>
            </w:tcBorders>
            <w:gridSpan w:val="2"/>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9"/>
        </w:trPr>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60" w:type="dxa"/>
            <w:vAlign w:val="bottom"/>
            <w:gridSpan w:val="3"/>
          </w:tcPr>
          <w:p>
            <w:pPr>
              <w:jc w:val="center"/>
              <w:ind w:right="1360"/>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0" w:type="dxa"/>
            <w:vAlign w:val="bottom"/>
          </w:tcPr>
          <w:p>
            <w:pPr>
              <w:spacing w:after="0"/>
              <w:rPr>
                <w:sz w:val="1"/>
                <w:szCs w:val="1"/>
                <w:color w:val="auto"/>
              </w:rPr>
            </w:pPr>
          </w:p>
        </w:tc>
      </w:tr>
      <w:tr>
        <w:trPr>
          <w:trHeight w:val="278"/>
        </w:trPr>
        <w:tc>
          <w:tcPr>
            <w:tcW w:w="1520" w:type="dxa"/>
            <w:vAlign w:val="bottom"/>
          </w:tcPr>
          <w:p>
            <w:pPr>
              <w:jc w:val="center"/>
              <w:ind w:left="309"/>
              <w:spacing w:after="0"/>
              <w:rPr>
                <w:sz w:val="20"/>
                <w:szCs w:val="20"/>
                <w:color w:val="auto"/>
              </w:rPr>
            </w:pPr>
            <w:r>
              <w:rPr>
                <w:rFonts w:ascii="Arial" w:cs="Arial" w:eastAsia="Arial" w:hAnsi="Arial"/>
                <w:sz w:val="14"/>
                <w:szCs w:val="14"/>
                <w:b w:val="1"/>
                <w:bCs w:val="1"/>
                <w:color w:val="auto"/>
                <w:w w:val="87"/>
              </w:rPr>
              <w:t>Title of each class</w:t>
            </w:r>
          </w:p>
        </w:tc>
        <w:tc>
          <w:tcPr>
            <w:tcW w:w="980" w:type="dxa"/>
            <w:vAlign w:val="bottom"/>
          </w:tcPr>
          <w:p>
            <w:pPr>
              <w:spacing w:after="0"/>
              <w:rPr>
                <w:sz w:val="24"/>
                <w:szCs w:val="24"/>
                <w:color w:val="auto"/>
              </w:rPr>
            </w:pPr>
          </w:p>
        </w:tc>
        <w:tc>
          <w:tcPr>
            <w:tcW w:w="2680" w:type="dxa"/>
            <w:vAlign w:val="bottom"/>
          </w:tcPr>
          <w:p>
            <w:pPr>
              <w:jc w:val="center"/>
              <w:ind w:right="1481"/>
              <w:spacing w:after="0"/>
              <w:rPr>
                <w:sz w:val="20"/>
                <w:szCs w:val="20"/>
                <w:color w:val="auto"/>
              </w:rPr>
            </w:pPr>
            <w:r>
              <w:rPr>
                <w:rFonts w:ascii="Arial" w:cs="Arial" w:eastAsia="Arial" w:hAnsi="Arial"/>
                <w:sz w:val="14"/>
                <w:szCs w:val="14"/>
                <w:b w:val="1"/>
                <w:bCs w:val="1"/>
                <w:color w:val="auto"/>
                <w:w w:val="91"/>
              </w:rPr>
              <w:t>Trading Symbol(s)</w:t>
            </w:r>
          </w:p>
        </w:tc>
        <w:tc>
          <w:tcPr>
            <w:tcW w:w="2780" w:type="dxa"/>
            <w:vAlign w:val="bottom"/>
            <w:gridSpan w:val="2"/>
          </w:tcPr>
          <w:p>
            <w:pPr>
              <w:jc w:val="center"/>
              <w:ind w:left="89"/>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144"/>
        </w:trPr>
        <w:tc>
          <w:tcPr>
            <w:tcW w:w="5180" w:type="dxa"/>
            <w:vAlign w:val="bottom"/>
            <w:gridSpan w:val="3"/>
          </w:tcPr>
          <w:p>
            <w:pPr>
              <w:jc w:val="center"/>
              <w:ind w:right="3201"/>
              <w:spacing w:after="0" w:line="143" w:lineRule="exact"/>
              <w:rPr>
                <w:sz w:val="20"/>
                <w:szCs w:val="20"/>
                <w:color w:val="auto"/>
              </w:rPr>
            </w:pPr>
            <w:r>
              <w:rPr>
                <w:rFonts w:ascii="Arial" w:cs="Arial" w:eastAsia="Arial" w:hAnsi="Arial"/>
                <w:sz w:val="14"/>
                <w:szCs w:val="14"/>
                <w:color w:val="auto"/>
                <w:w w:val="91"/>
              </w:rPr>
              <w:t>Common Stock, $0.001 par value</w:t>
            </w:r>
          </w:p>
        </w:tc>
        <w:tc>
          <w:tcPr>
            <w:tcW w:w="2780" w:type="dxa"/>
            <w:vAlign w:val="bottom"/>
            <w:gridSpan w:val="2"/>
            <w:vMerge w:val="restart"/>
          </w:tcPr>
          <w:p>
            <w:pPr>
              <w:jc w:val="center"/>
              <w:ind w:left="109"/>
              <w:spacing w:after="0"/>
              <w:rPr>
                <w:sz w:val="20"/>
                <w:szCs w:val="20"/>
                <w:color w:val="auto"/>
              </w:rPr>
            </w:pPr>
            <w:r>
              <w:rPr>
                <w:rFonts w:ascii="Arial" w:cs="Arial" w:eastAsia="Arial" w:hAnsi="Arial"/>
                <w:sz w:val="14"/>
                <w:szCs w:val="14"/>
                <w:color w:val="auto"/>
                <w:w w:val="91"/>
              </w:rPr>
              <w:t>The Nasdaq Global Select Market</w:t>
            </w:r>
          </w:p>
        </w:tc>
        <w:tc>
          <w:tcPr>
            <w:tcW w:w="0" w:type="dxa"/>
            <w:vAlign w:val="bottom"/>
          </w:tcPr>
          <w:p>
            <w:pPr>
              <w:spacing w:after="0"/>
              <w:rPr>
                <w:sz w:val="1"/>
                <w:szCs w:val="1"/>
                <w:color w:val="auto"/>
              </w:rPr>
            </w:pPr>
          </w:p>
        </w:tc>
      </w:tr>
      <w:tr>
        <w:trPr>
          <w:trHeight w:val="180"/>
        </w:trPr>
        <w:tc>
          <w:tcPr>
            <w:tcW w:w="1520" w:type="dxa"/>
            <w:vAlign w:val="bottom"/>
          </w:tcPr>
          <w:p>
            <w:pPr>
              <w:jc w:val="center"/>
              <w:ind w:left="309"/>
              <w:spacing w:after="0"/>
              <w:rPr>
                <w:sz w:val="20"/>
                <w:szCs w:val="20"/>
                <w:color w:val="auto"/>
              </w:rPr>
            </w:pPr>
            <w:r>
              <w:rPr>
                <w:rFonts w:ascii="Arial" w:cs="Arial" w:eastAsia="Arial" w:hAnsi="Arial"/>
                <w:sz w:val="14"/>
                <w:szCs w:val="14"/>
                <w:color w:val="auto"/>
                <w:w w:val="84"/>
              </w:rPr>
              <w:t>per share</w:t>
            </w:r>
          </w:p>
        </w:tc>
        <w:tc>
          <w:tcPr>
            <w:tcW w:w="980" w:type="dxa"/>
            <w:vAlign w:val="bottom"/>
          </w:tcPr>
          <w:p>
            <w:pPr>
              <w:spacing w:after="0"/>
              <w:rPr>
                <w:sz w:val="15"/>
                <w:szCs w:val="15"/>
                <w:color w:val="auto"/>
              </w:rPr>
            </w:pPr>
          </w:p>
        </w:tc>
        <w:tc>
          <w:tcPr>
            <w:tcW w:w="2680" w:type="dxa"/>
            <w:vAlign w:val="bottom"/>
          </w:tcPr>
          <w:p>
            <w:pPr>
              <w:jc w:val="center"/>
              <w:ind w:right="1501"/>
              <w:spacing w:after="0"/>
              <w:rPr>
                <w:sz w:val="20"/>
                <w:szCs w:val="20"/>
                <w:color w:val="auto"/>
              </w:rPr>
            </w:pPr>
            <w:r>
              <w:rPr>
                <w:rFonts w:ascii="Arial" w:cs="Arial" w:eastAsia="Arial" w:hAnsi="Arial"/>
                <w:sz w:val="14"/>
                <w:szCs w:val="14"/>
                <w:color w:val="auto"/>
                <w:w w:val="93"/>
              </w:rPr>
              <w:t>ISEE</w:t>
            </w:r>
          </w:p>
        </w:tc>
        <w:tc>
          <w:tcPr>
            <w:tcW w:w="2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6" w:lineRule="exact"/>
        <w:rPr>
          <w:sz w:val="24"/>
          <w:szCs w:val="24"/>
          <w:color w:val="auto"/>
        </w:rPr>
      </w:pPr>
    </w:p>
    <w:p>
      <w:pPr>
        <w:ind w:right="12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96" w:lineRule="exact"/>
        <w:rPr>
          <w:sz w:val="24"/>
          <w:szCs w:val="24"/>
          <w:color w:val="auto"/>
        </w:rPr>
      </w:pPr>
    </w:p>
    <w:p>
      <w:pPr>
        <w:ind w:right="30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09" w:lineRule="exact"/>
        <w:rPr>
          <w:sz w:val="24"/>
          <w:szCs w:val="24"/>
          <w:color w:val="auto"/>
        </w:rPr>
      </w:pPr>
    </w:p>
    <w:p>
      <w:pPr>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5" w:lineRule="exact"/>
        <w:rPr>
          <w:sz w:val="24"/>
          <w:szCs w:val="24"/>
          <w:color w:val="auto"/>
        </w:rPr>
      </w:pPr>
    </w:p>
    <w:p>
      <w:pPr>
        <w:ind w:left="720"/>
        <w:spacing w:after="0" w:line="161" w:lineRule="exact"/>
        <w:tabs>
          <w:tab w:leader="none" w:pos="3260" w:val="left"/>
          <w:tab w:leader="none" w:pos="5260" w:val="left"/>
          <w:tab w:leader="none" w:pos="7140" w:val="left"/>
          <w:tab w:leader="none" w:pos="93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48" w:lineRule="exact"/>
        <w:rPr>
          <w:sz w:val="24"/>
          <w:szCs w:val="24"/>
          <w:color w:val="auto"/>
        </w:rPr>
      </w:pPr>
    </w:p>
    <w:p>
      <w:pPr>
        <w:ind w:right="20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7" w:lineRule="exact"/>
        <w:rPr>
          <w:sz w:val="24"/>
          <w:szCs w:val="24"/>
          <w:color w:val="auto"/>
        </w:rPr>
      </w:pPr>
    </w:p>
    <w:p>
      <w:pPr>
        <w:ind w:right="3940"/>
        <w:spacing w:after="0" w:line="25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As of November 5, 2021 there were 114,641,279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431800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20" w:type="dxa"/>
            <w:vAlign w:val="bottom"/>
            <w:gridSpan w:val="11"/>
          </w:tcPr>
          <w:p>
            <w:pPr>
              <w:jc w:val="center"/>
              <w:ind w:right="4020"/>
              <w:spacing w:after="0"/>
              <w:rPr>
                <w:sz w:val="20"/>
                <w:szCs w:val="20"/>
                <w:color w:val="auto"/>
              </w:rPr>
            </w:pPr>
            <w:r>
              <w:rPr>
                <w:rFonts w:ascii="Arial" w:cs="Arial" w:eastAsia="Arial" w:hAnsi="Arial"/>
                <w:sz w:val="18"/>
                <w:szCs w:val="18"/>
                <w:b w:val="1"/>
                <w:bCs w:val="1"/>
                <w:color w:val="auto"/>
                <w:w w:val="96"/>
              </w:rPr>
              <w:t>TABLE OF CONTENTS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9"/>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20" w:type="dxa"/>
            <w:vAlign w:val="bottom"/>
            <w:gridSpan w:val="13"/>
          </w:tcPr>
          <w:p>
            <w:pPr>
              <w:jc w:val="center"/>
              <w:ind w:right="2900"/>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500" w:type="dxa"/>
            <w:vAlign w:val="bottom"/>
          </w:tcPr>
          <w:p>
            <w:pPr>
              <w:spacing w:after="0" w:line="205" w:lineRule="exact"/>
              <w:rPr>
                <w:rFonts w:ascii="Arial" w:cs="Arial" w:eastAsia="Arial" w:hAnsi="Arial"/>
                <w:sz w:val="18"/>
                <w:szCs w:val="18"/>
                <w:color w:val="0000FF"/>
                <w:w w:val="87"/>
              </w:rPr>
            </w:pPr>
            <w:hyperlink w:anchor="page7">
              <w:r>
                <w:rPr>
                  <w:rFonts w:ascii="Arial" w:cs="Arial" w:eastAsia="Arial" w:hAnsi="Arial"/>
                  <w:sz w:val="18"/>
                  <w:szCs w:val="18"/>
                  <w:color w:val="0000FF"/>
                  <w:w w:val="87"/>
                </w:rPr>
                <w:t>Item 1.</w:t>
              </w:r>
            </w:hyperlink>
          </w:p>
        </w:tc>
        <w:tc>
          <w:tcPr>
            <w:tcW w:w="840" w:type="dxa"/>
            <w:vAlign w:val="bottom"/>
            <w:gridSpan w:val="2"/>
          </w:tcPr>
          <w:p>
            <w:pPr>
              <w:spacing w:after="0"/>
              <w:rPr>
                <w:sz w:val="17"/>
                <w:szCs w:val="17"/>
                <w:color w:val="auto"/>
              </w:rPr>
            </w:pPr>
          </w:p>
        </w:tc>
        <w:tc>
          <w:tcPr>
            <w:tcW w:w="2700" w:type="dxa"/>
            <w:vAlign w:val="bottom"/>
            <w:gridSpan w:val="9"/>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Financial Statements</w:t>
              </w:r>
            </w:hyperlink>
          </w:p>
        </w:tc>
        <w:tc>
          <w:tcPr>
            <w:tcW w:w="3100" w:type="dxa"/>
            <w:vAlign w:val="bottom"/>
            <w:tcBorders>
              <w:top w:val="single" w:sz="8" w:color="0000FF"/>
            </w:tcBorders>
            <w:gridSpan w:val="9"/>
          </w:tcPr>
          <w:p>
            <w:pPr>
              <w:spacing w:after="0"/>
              <w:rPr>
                <w:sz w:val="17"/>
                <w:szCs w:val="17"/>
                <w:color w:val="auto"/>
              </w:rPr>
            </w:pPr>
          </w:p>
        </w:tc>
        <w:tc>
          <w:tcPr>
            <w:tcW w:w="3860" w:type="dxa"/>
            <w:vAlign w:val="bottom"/>
            <w:gridSpan w:val="3"/>
          </w:tcPr>
          <w:p>
            <w:pPr>
              <w:spacing w:after="0"/>
              <w:rPr>
                <w:sz w:val="17"/>
                <w:szCs w:val="17"/>
                <w:color w:val="auto"/>
              </w:rPr>
            </w:pPr>
          </w:p>
        </w:tc>
        <w:tc>
          <w:tcPr>
            <w:tcW w:w="180" w:type="dxa"/>
            <w:vAlign w:val="bottom"/>
            <w:gridSpan w:val="2"/>
          </w:tcPr>
          <w:p>
            <w:pPr>
              <w:jc w:val="right"/>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00" w:type="dxa"/>
            <w:vAlign w:val="bottom"/>
            <w:gridSpan w:val="20"/>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Condensed Unaudited Consolidated Balance Sheets</w:t>
              </w:r>
            </w:hyperlink>
          </w:p>
        </w:tc>
        <w:tc>
          <w:tcPr>
            <w:tcW w:w="180" w:type="dxa"/>
            <w:vAlign w:val="bottom"/>
            <w:gridSpan w:val="2"/>
          </w:tcPr>
          <w:p>
            <w:pPr>
              <w:jc w:val="right"/>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00" w:type="dxa"/>
            <w:vAlign w:val="bottom"/>
            <w:gridSpan w:val="20"/>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Condensed Unaudited Consolidated Statements of Operations and Comprehensive Loss</w:t>
              </w:r>
            </w:hyperlink>
          </w:p>
        </w:tc>
        <w:tc>
          <w:tcPr>
            <w:tcW w:w="180" w:type="dxa"/>
            <w:vAlign w:val="bottom"/>
            <w:gridSpan w:val="2"/>
          </w:tcPr>
          <w:p>
            <w:pPr>
              <w:jc w:val="right"/>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80" w:type="dxa"/>
            <w:vAlign w:val="bottom"/>
            <w:tcBorders>
              <w:top w:val="single" w:sz="8" w:color="0000FF"/>
              <w:bottom w:val="single" w:sz="8" w:color="0000FF"/>
            </w:tcBorders>
            <w:gridSpan w:val="15"/>
          </w:tcPr>
          <w:p>
            <w:pPr>
              <w:spacing w:after="0" w:line="205" w:lineRule="exact"/>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Unaudited Consolidated Statements of Stockholders' Equity</w:t>
              </w:r>
            </w:hyperlink>
          </w:p>
        </w:tc>
        <w:tc>
          <w:tcPr>
            <w:tcW w:w="1120" w:type="dxa"/>
            <w:vAlign w:val="bottom"/>
            <w:tcBorders>
              <w:top w:val="single" w:sz="8" w:color="0000FF"/>
            </w:tcBorders>
            <w:gridSpan w:val="4"/>
          </w:tcPr>
          <w:p>
            <w:pPr>
              <w:spacing w:after="0"/>
              <w:rPr>
                <w:sz w:val="17"/>
                <w:szCs w:val="17"/>
                <w:color w:val="auto"/>
              </w:rPr>
            </w:pPr>
          </w:p>
        </w:tc>
        <w:tc>
          <w:tcPr>
            <w:tcW w:w="3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right"/>
              <w:spacing w:after="0" w:line="205"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40" w:type="dxa"/>
            <w:vAlign w:val="bottom"/>
            <w:tcBorders>
              <w:bottom w:val="single" w:sz="8" w:color="0000FF"/>
            </w:tcBorders>
            <w:gridSpan w:val="13"/>
          </w:tcPr>
          <w:p>
            <w:pPr>
              <w:spacing w:after="0" w:line="205" w:lineRule="exact"/>
              <w:rPr>
                <w:rFonts w:ascii="Arial" w:cs="Arial" w:eastAsia="Arial" w:hAnsi="Arial"/>
                <w:sz w:val="18"/>
                <w:szCs w:val="18"/>
                <w:color w:val="0000FF"/>
                <w:w w:val="87"/>
              </w:rPr>
            </w:pPr>
            <w:hyperlink w:anchor="page9">
              <w:r>
                <w:rPr>
                  <w:rFonts w:ascii="Arial" w:cs="Arial" w:eastAsia="Arial" w:hAnsi="Arial"/>
                  <w:sz w:val="18"/>
                  <w:szCs w:val="18"/>
                  <w:color w:val="0000FF"/>
                  <w:w w:val="87"/>
                </w:rPr>
                <w:t>Condensed Unaudited Consolidated Statements of Cash Flows</w:t>
              </w:r>
            </w:hyperlink>
          </w:p>
        </w:tc>
        <w:tc>
          <w:tcPr>
            <w:tcW w:w="506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line="205"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00" w:type="dxa"/>
            <w:vAlign w:val="bottom"/>
            <w:gridSpan w:val="20"/>
          </w:tcPr>
          <w:p>
            <w:pPr>
              <w:spacing w:after="0" w:line="205" w:lineRule="exact"/>
              <w:rPr>
                <w:rFonts w:ascii="Arial" w:cs="Arial" w:eastAsia="Arial" w:hAnsi="Arial"/>
                <w:sz w:val="18"/>
                <w:szCs w:val="18"/>
                <w:color w:val="0000FF"/>
              </w:rPr>
            </w:pPr>
            <w:hyperlink w:anchor="page10">
              <w:r>
                <w:rPr>
                  <w:rFonts w:ascii="Arial" w:cs="Arial" w:eastAsia="Arial" w:hAnsi="Arial"/>
                  <w:sz w:val="18"/>
                  <w:szCs w:val="18"/>
                  <w:color w:val="0000FF"/>
                </w:rPr>
                <w:t>Notes to Condensed Unaudited Consolidated Financial Statements</w:t>
              </w:r>
            </w:hyperlink>
          </w:p>
        </w:tc>
        <w:tc>
          <w:tcPr>
            <w:tcW w:w="180" w:type="dxa"/>
            <w:vAlign w:val="bottom"/>
            <w:gridSpan w:val="2"/>
          </w:tcPr>
          <w:p>
            <w:pPr>
              <w:jc w:val="right"/>
              <w:spacing w:after="0" w:line="205" w:lineRule="exact"/>
              <w:rPr>
                <w:rFonts w:ascii="Arial" w:cs="Arial" w:eastAsia="Arial" w:hAnsi="Arial"/>
                <w:sz w:val="18"/>
                <w:szCs w:val="18"/>
                <w:color w:val="0000FF"/>
              </w:rPr>
            </w:pPr>
            <w:hyperlink w:anchor="page10">
              <w:r>
                <w:rPr>
                  <w:rFonts w:ascii="Arial" w:cs="Arial" w:eastAsia="Arial" w:hAnsi="Arial"/>
                  <w:sz w:val="18"/>
                  <w:szCs w:val="18"/>
                  <w:color w:val="0000FF"/>
                </w:rPr>
                <w:t>9</w:t>
              </w:r>
            </w:hyperlink>
          </w:p>
        </w:tc>
      </w:tr>
      <w:tr>
        <w:trPr>
          <w:trHeight w:val="20"/>
        </w:trPr>
        <w:tc>
          <w:tcPr>
            <w:tcW w:w="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5"/>
        </w:trPr>
        <w:tc>
          <w:tcPr>
            <w:tcW w:w="620" w:type="dxa"/>
            <w:vAlign w:val="bottom"/>
            <w:gridSpan w:val="2"/>
          </w:tcPr>
          <w:p>
            <w:pPr>
              <w:spacing w:after="0" w:line="205" w:lineRule="exact"/>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720" w:type="dxa"/>
            <w:vAlign w:val="bottom"/>
          </w:tcPr>
          <w:p>
            <w:pPr>
              <w:spacing w:after="0"/>
              <w:rPr>
                <w:sz w:val="17"/>
                <w:szCs w:val="17"/>
                <w:color w:val="auto"/>
              </w:rPr>
            </w:pPr>
          </w:p>
        </w:tc>
        <w:tc>
          <w:tcPr>
            <w:tcW w:w="9660" w:type="dxa"/>
            <w:vAlign w:val="bottom"/>
            <w:gridSpan w:val="21"/>
          </w:tcPr>
          <w:p>
            <w:pPr>
              <w:spacing w:after="0" w:line="205" w:lineRule="exact"/>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line="205" w:lineRule="exact"/>
              <w:rPr>
                <w:rFonts w:ascii="Arial" w:cs="Arial" w:eastAsia="Arial" w:hAnsi="Arial"/>
                <w:sz w:val="18"/>
                <w:szCs w:val="18"/>
                <w:color w:val="0000FF"/>
                <w:w w:val="79"/>
              </w:rPr>
            </w:pPr>
            <w:hyperlink w:anchor="page23">
              <w:r>
                <w:rPr>
                  <w:rFonts w:ascii="Arial" w:cs="Arial" w:eastAsia="Arial" w:hAnsi="Arial"/>
                  <w:sz w:val="18"/>
                  <w:szCs w:val="18"/>
                  <w:color w:val="0000FF"/>
                  <w:w w:val="79"/>
                </w:rPr>
                <w:t>22</w:t>
              </w:r>
            </w:hyperlink>
          </w:p>
        </w:tc>
      </w:tr>
      <w:tr>
        <w:trPr>
          <w:trHeight w:val="205"/>
        </w:trPr>
        <w:tc>
          <w:tcPr>
            <w:tcW w:w="500" w:type="dxa"/>
            <w:vAlign w:val="bottom"/>
            <w:tcBorders>
              <w:top w:val="single" w:sz="8" w:color="0000FF"/>
              <w:bottom w:val="single" w:sz="8" w:color="0000FF"/>
            </w:tcBorders>
          </w:tcPr>
          <w:p>
            <w:pPr>
              <w:spacing w:after="0" w:line="205" w:lineRule="exact"/>
              <w:rPr>
                <w:rFonts w:ascii="Arial" w:cs="Arial" w:eastAsia="Arial" w:hAnsi="Arial"/>
                <w:sz w:val="18"/>
                <w:szCs w:val="18"/>
                <w:color w:val="0000FF"/>
                <w:w w:val="87"/>
              </w:rPr>
            </w:pPr>
            <w:hyperlink w:anchor="page40">
              <w:r>
                <w:rPr>
                  <w:rFonts w:ascii="Arial" w:cs="Arial" w:eastAsia="Arial" w:hAnsi="Arial"/>
                  <w:sz w:val="18"/>
                  <w:szCs w:val="18"/>
                  <w:color w:val="0000FF"/>
                  <w:w w:val="87"/>
                </w:rPr>
                <w:t>Item 3.</w:t>
              </w:r>
            </w:hyperlink>
          </w:p>
        </w:tc>
        <w:tc>
          <w:tcPr>
            <w:tcW w:w="12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4300" w:type="dxa"/>
            <w:vAlign w:val="bottom"/>
            <w:tcBorders>
              <w:top w:val="single" w:sz="8" w:color="0000FF"/>
              <w:bottom w:val="single" w:sz="8" w:color="0000FF"/>
            </w:tcBorders>
            <w:gridSpan w:val="13"/>
          </w:tcPr>
          <w:p>
            <w:pPr>
              <w:spacing w:after="0" w:line="205" w:lineRule="exact"/>
              <w:rPr>
                <w:rFonts w:ascii="Arial" w:cs="Arial" w:eastAsia="Arial" w:hAnsi="Arial"/>
                <w:sz w:val="18"/>
                <w:szCs w:val="18"/>
                <w:color w:val="0000FF"/>
                <w:w w:val="90"/>
              </w:rPr>
            </w:pPr>
            <w:hyperlink w:anchor="page40">
              <w:r>
                <w:rPr>
                  <w:rFonts w:ascii="Arial" w:cs="Arial" w:eastAsia="Arial" w:hAnsi="Arial"/>
                  <w:sz w:val="18"/>
                  <w:szCs w:val="18"/>
                  <w:color w:val="0000FF"/>
                  <w:w w:val="90"/>
                </w:rPr>
                <w:t>Quantitative and Qualitative Disclosures About Market Risk</w:t>
              </w:r>
            </w:hyperlink>
          </w:p>
        </w:tc>
        <w:tc>
          <w:tcPr>
            <w:tcW w:w="2040" w:type="dxa"/>
            <w:vAlign w:val="bottom"/>
            <w:tcBorders>
              <w:top w:val="single" w:sz="8" w:color="0000FF"/>
            </w:tcBorders>
            <w:gridSpan w:val="6"/>
          </w:tcPr>
          <w:p>
            <w:pPr>
              <w:spacing w:after="0"/>
              <w:rPr>
                <w:sz w:val="17"/>
                <w:szCs w:val="17"/>
                <w:color w:val="auto"/>
              </w:rPr>
            </w:pPr>
          </w:p>
        </w:tc>
        <w:tc>
          <w:tcPr>
            <w:tcW w:w="332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0">
              <w:r>
                <w:rPr>
                  <w:rFonts w:ascii="Arial" w:cs="Arial" w:eastAsia="Arial" w:hAnsi="Arial"/>
                  <w:sz w:val="18"/>
                  <w:szCs w:val="18"/>
                  <w:color w:val="0000FF"/>
                  <w:w w:val="79"/>
                </w:rPr>
                <w:t>38</w:t>
              </w:r>
            </w:hyperlink>
          </w:p>
        </w:tc>
      </w:tr>
      <w:tr>
        <w:trPr>
          <w:trHeight w:val="205"/>
        </w:trPr>
        <w:tc>
          <w:tcPr>
            <w:tcW w:w="1340" w:type="dxa"/>
            <w:vAlign w:val="bottom"/>
            <w:gridSpan w:val="3"/>
          </w:tcPr>
          <w:p>
            <w:pPr>
              <w:spacing w:after="0" w:line="205" w:lineRule="exact"/>
              <w:rPr>
                <w:rFonts w:ascii="Arial" w:cs="Arial" w:eastAsia="Arial" w:hAnsi="Arial"/>
                <w:sz w:val="18"/>
                <w:szCs w:val="18"/>
                <w:color w:val="0000FF"/>
              </w:rPr>
            </w:pPr>
            <w:hyperlink w:anchor="page41">
              <w:r>
                <w:rPr>
                  <w:rFonts w:ascii="Arial" w:cs="Arial" w:eastAsia="Arial" w:hAnsi="Arial"/>
                  <w:sz w:val="18"/>
                  <w:szCs w:val="18"/>
                  <w:color w:val="0000FF"/>
                </w:rPr>
                <w:t>Item 4.</w:t>
              </w:r>
            </w:hyperlink>
          </w:p>
        </w:tc>
        <w:tc>
          <w:tcPr>
            <w:tcW w:w="9660" w:type="dxa"/>
            <w:vAlign w:val="bottom"/>
            <w:gridSpan w:val="21"/>
          </w:tcPr>
          <w:p>
            <w:pPr>
              <w:spacing w:after="0" w:line="205" w:lineRule="exact"/>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180" w:type="dxa"/>
            <w:vAlign w:val="bottom"/>
            <w:gridSpan w:val="2"/>
          </w:tcPr>
          <w:p>
            <w:pPr>
              <w:jc w:val="right"/>
              <w:spacing w:after="0" w:line="205" w:lineRule="exact"/>
              <w:rPr>
                <w:rFonts w:ascii="Arial" w:cs="Arial" w:eastAsia="Arial" w:hAnsi="Arial"/>
                <w:sz w:val="18"/>
                <w:szCs w:val="18"/>
                <w:color w:val="0000FF"/>
                <w:w w:val="79"/>
              </w:rPr>
            </w:pPr>
            <w:hyperlink w:anchor="page41">
              <w:r>
                <w:rPr>
                  <w:rFonts w:ascii="Arial" w:cs="Arial" w:eastAsia="Arial" w:hAnsi="Arial"/>
                  <w:sz w:val="18"/>
                  <w:szCs w:val="18"/>
                  <w:color w:val="0000FF"/>
                  <w:w w:val="79"/>
                </w:rPr>
                <w:t>39</w:t>
              </w:r>
            </w:hyperlink>
          </w:p>
        </w:tc>
      </w:tr>
      <w:tr>
        <w:trPr>
          <w:trHeight w:val="470"/>
        </w:trPr>
        <w:tc>
          <w:tcPr>
            <w:tcW w:w="5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20" w:type="dxa"/>
            <w:vAlign w:val="bottom"/>
            <w:gridSpan w:val="11"/>
          </w:tcPr>
          <w:p>
            <w:pPr>
              <w:jc w:val="center"/>
              <w:ind w:right="4020"/>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PART II—OTHER INFORMATION</w:t>
              </w:r>
            </w:hyperlink>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470"/>
        </w:trPr>
        <w:tc>
          <w:tcPr>
            <w:tcW w:w="500" w:type="dxa"/>
            <w:vAlign w:val="bottom"/>
            <w:tcBorders>
              <w:bottom w:val="single" w:sz="8" w:color="0000FF"/>
            </w:tcBorders>
          </w:tcPr>
          <w:p>
            <w:pPr>
              <w:spacing w:after="0"/>
              <w:rPr>
                <w:rFonts w:ascii="Arial" w:cs="Arial" w:eastAsia="Arial" w:hAnsi="Arial"/>
                <w:sz w:val="18"/>
                <w:szCs w:val="18"/>
                <w:color w:val="0000FF"/>
                <w:w w:val="87"/>
              </w:rPr>
            </w:pPr>
            <w:hyperlink w:anchor="page41">
              <w:r>
                <w:rPr>
                  <w:rFonts w:ascii="Arial" w:cs="Arial" w:eastAsia="Arial" w:hAnsi="Arial"/>
                  <w:sz w:val="18"/>
                  <w:szCs w:val="18"/>
                  <w:color w:val="0000FF"/>
                  <w:w w:val="87"/>
                </w:rPr>
                <w:t>Item 1.</w:t>
              </w:r>
            </w:hyperlink>
          </w:p>
        </w:tc>
        <w:tc>
          <w:tcPr>
            <w:tcW w:w="840" w:type="dxa"/>
            <w:vAlign w:val="bottom"/>
            <w:gridSpan w:val="2"/>
          </w:tcPr>
          <w:p>
            <w:pPr>
              <w:spacing w:after="0"/>
              <w:rPr>
                <w:sz w:val="24"/>
                <w:szCs w:val="24"/>
                <w:color w:val="auto"/>
              </w:rPr>
            </w:pPr>
          </w:p>
        </w:tc>
        <w:tc>
          <w:tcPr>
            <w:tcW w:w="1320" w:type="dxa"/>
            <w:vAlign w:val="bottom"/>
            <w:tcBorders>
              <w:bottom w:val="single" w:sz="8" w:color="0000FF"/>
            </w:tcBorders>
            <w:gridSpan w:val="6"/>
          </w:tcPr>
          <w:p>
            <w:pPr>
              <w:spacing w:after="0"/>
              <w:rPr>
                <w:rFonts w:ascii="Arial" w:cs="Arial" w:eastAsia="Arial" w:hAnsi="Arial"/>
                <w:sz w:val="18"/>
                <w:szCs w:val="18"/>
                <w:color w:val="0000FF"/>
                <w:w w:val="87"/>
              </w:rPr>
            </w:pPr>
            <w:hyperlink w:anchor="page41">
              <w:r>
                <w:rPr>
                  <w:rFonts w:ascii="Arial" w:cs="Arial" w:eastAsia="Arial" w:hAnsi="Arial"/>
                  <w:sz w:val="18"/>
                  <w:szCs w:val="18"/>
                  <w:color w:val="0000FF"/>
                  <w:w w:val="87"/>
                </w:rPr>
                <w:t>Legal Proceedings</w:t>
              </w:r>
            </w:hyperlink>
          </w:p>
        </w:tc>
        <w:tc>
          <w:tcPr>
            <w:tcW w:w="1520" w:type="dxa"/>
            <w:vAlign w:val="bottom"/>
            <w:gridSpan w:val="4"/>
          </w:tcPr>
          <w:p>
            <w:pPr>
              <w:spacing w:after="0"/>
              <w:rPr>
                <w:sz w:val="24"/>
                <w:szCs w:val="24"/>
                <w:color w:val="auto"/>
              </w:rPr>
            </w:pPr>
          </w:p>
        </w:tc>
        <w:tc>
          <w:tcPr>
            <w:tcW w:w="2800" w:type="dxa"/>
            <w:vAlign w:val="bottom"/>
            <w:tcBorders>
              <w:top w:val="single" w:sz="8" w:color="0000FF"/>
            </w:tcBorders>
            <w:gridSpan w:val="7"/>
          </w:tcPr>
          <w:p>
            <w:pPr>
              <w:spacing w:after="0"/>
              <w:rPr>
                <w:sz w:val="24"/>
                <w:szCs w:val="24"/>
                <w:color w:val="auto"/>
              </w:rPr>
            </w:pPr>
          </w:p>
        </w:tc>
        <w:tc>
          <w:tcPr>
            <w:tcW w:w="402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39</w:t>
              </w:r>
            </w:hyperlink>
          </w:p>
        </w:tc>
      </w:tr>
      <w:tr>
        <w:trPr>
          <w:trHeight w:val="205"/>
        </w:trPr>
        <w:tc>
          <w:tcPr>
            <w:tcW w:w="1340" w:type="dxa"/>
            <w:vAlign w:val="bottom"/>
            <w:gridSpan w:val="3"/>
          </w:tcPr>
          <w:p>
            <w:pPr>
              <w:spacing w:after="0" w:line="205" w:lineRule="exact"/>
              <w:rPr>
                <w:rFonts w:ascii="Arial" w:cs="Arial" w:eastAsia="Arial" w:hAnsi="Arial"/>
                <w:sz w:val="18"/>
                <w:szCs w:val="18"/>
                <w:color w:val="0000FF"/>
              </w:rPr>
            </w:pPr>
            <w:hyperlink w:anchor="page41">
              <w:r>
                <w:rPr>
                  <w:rFonts w:ascii="Arial" w:cs="Arial" w:eastAsia="Arial" w:hAnsi="Arial"/>
                  <w:sz w:val="18"/>
                  <w:szCs w:val="18"/>
                  <w:color w:val="0000FF"/>
                </w:rPr>
                <w:t>Item 1A.</w:t>
              </w:r>
            </w:hyperlink>
          </w:p>
        </w:tc>
        <w:tc>
          <w:tcPr>
            <w:tcW w:w="9660" w:type="dxa"/>
            <w:vAlign w:val="bottom"/>
            <w:gridSpan w:val="21"/>
          </w:tcPr>
          <w:p>
            <w:pPr>
              <w:spacing w:after="0" w:line="205" w:lineRule="exact"/>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180" w:type="dxa"/>
            <w:vAlign w:val="bottom"/>
            <w:gridSpan w:val="2"/>
          </w:tcPr>
          <w:p>
            <w:pPr>
              <w:jc w:val="right"/>
              <w:spacing w:after="0" w:line="205" w:lineRule="exact"/>
              <w:rPr>
                <w:rFonts w:ascii="Arial" w:cs="Arial" w:eastAsia="Arial" w:hAnsi="Arial"/>
                <w:sz w:val="18"/>
                <w:szCs w:val="18"/>
                <w:color w:val="0000FF"/>
                <w:w w:val="79"/>
              </w:rPr>
            </w:pPr>
            <w:hyperlink w:anchor="page41">
              <w:r>
                <w:rPr>
                  <w:rFonts w:ascii="Arial" w:cs="Arial" w:eastAsia="Arial" w:hAnsi="Arial"/>
                  <w:sz w:val="18"/>
                  <w:szCs w:val="18"/>
                  <w:color w:val="0000FF"/>
                  <w:w w:val="79"/>
                </w:rPr>
                <w:t>40</w:t>
              </w:r>
            </w:hyperlink>
          </w:p>
        </w:tc>
      </w:tr>
      <w:tr>
        <w:trPr>
          <w:trHeight w:val="20"/>
        </w:trPr>
        <w:tc>
          <w:tcPr>
            <w:tcW w:w="6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5380" w:type="dxa"/>
            <w:vAlign w:val="bottom"/>
            <w:gridSpan w:val="9"/>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500" w:type="dxa"/>
            <w:vAlign w:val="bottom"/>
            <w:tcBorders>
              <w:bottom w:val="single" w:sz="8" w:color="0000FF"/>
            </w:tcBorders>
          </w:tcPr>
          <w:p>
            <w:pPr>
              <w:spacing w:after="0" w:line="205" w:lineRule="exact"/>
              <w:rPr>
                <w:rFonts w:ascii="Arial" w:cs="Arial" w:eastAsia="Arial" w:hAnsi="Arial"/>
                <w:sz w:val="18"/>
                <w:szCs w:val="18"/>
                <w:color w:val="0000FF"/>
                <w:w w:val="87"/>
              </w:rPr>
            </w:pPr>
            <w:hyperlink w:anchor="page98">
              <w:r>
                <w:rPr>
                  <w:rFonts w:ascii="Arial" w:cs="Arial" w:eastAsia="Arial" w:hAnsi="Arial"/>
                  <w:sz w:val="18"/>
                  <w:szCs w:val="18"/>
                  <w:color w:val="0000FF"/>
                  <w:w w:val="87"/>
                </w:rPr>
                <w:t>Item 2.</w:t>
              </w:r>
            </w:hyperlink>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80" w:type="dxa"/>
            <w:vAlign w:val="bottom"/>
            <w:tcBorders>
              <w:bottom w:val="single" w:sz="8" w:color="0000FF"/>
            </w:tcBorders>
            <w:gridSpan w:val="12"/>
          </w:tcPr>
          <w:p>
            <w:pPr>
              <w:spacing w:after="0" w:line="205" w:lineRule="exact"/>
              <w:rPr>
                <w:rFonts w:ascii="Arial" w:cs="Arial" w:eastAsia="Arial" w:hAnsi="Arial"/>
                <w:sz w:val="18"/>
                <w:szCs w:val="18"/>
                <w:color w:val="0000FF"/>
                <w:w w:val="87"/>
              </w:rPr>
            </w:pPr>
            <w:hyperlink w:anchor="page98">
              <w:r>
                <w:rPr>
                  <w:rFonts w:ascii="Arial" w:cs="Arial" w:eastAsia="Arial" w:hAnsi="Arial"/>
                  <w:sz w:val="18"/>
                  <w:szCs w:val="18"/>
                  <w:color w:val="0000FF"/>
                  <w:w w:val="87"/>
                </w:rPr>
                <w:t>Unregistered Sales of Equity Securities and Use of Proceeds</w:t>
              </w:r>
            </w:hyperlink>
          </w:p>
        </w:tc>
        <w:tc>
          <w:tcPr>
            <w:tcW w:w="5380" w:type="dxa"/>
            <w:vAlign w:val="bottom"/>
            <w:gridSpan w:val="9"/>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98">
              <w:r>
                <w:rPr>
                  <w:rFonts w:ascii="Arial" w:cs="Arial" w:eastAsia="Arial" w:hAnsi="Arial"/>
                  <w:sz w:val="18"/>
                  <w:szCs w:val="18"/>
                  <w:color w:val="0000FF"/>
                  <w:w w:val="79"/>
                </w:rPr>
                <w:t>96</w:t>
              </w:r>
            </w:hyperlink>
          </w:p>
        </w:tc>
      </w:tr>
      <w:tr>
        <w:trPr>
          <w:trHeight w:val="205"/>
        </w:trPr>
        <w:tc>
          <w:tcPr>
            <w:tcW w:w="500" w:type="dxa"/>
            <w:vAlign w:val="bottom"/>
            <w:tcBorders>
              <w:bottom w:val="single" w:sz="8" w:color="0000FF"/>
            </w:tcBorders>
          </w:tcPr>
          <w:p>
            <w:pPr>
              <w:spacing w:after="0" w:line="205" w:lineRule="exact"/>
              <w:rPr>
                <w:rFonts w:ascii="Arial" w:cs="Arial" w:eastAsia="Arial" w:hAnsi="Arial"/>
                <w:sz w:val="18"/>
                <w:szCs w:val="18"/>
                <w:color w:val="0000FF"/>
                <w:w w:val="87"/>
              </w:rPr>
            </w:pPr>
            <w:hyperlink w:anchor="page98">
              <w:r>
                <w:rPr>
                  <w:rFonts w:ascii="Arial" w:cs="Arial" w:eastAsia="Arial" w:hAnsi="Arial"/>
                  <w:sz w:val="18"/>
                  <w:szCs w:val="18"/>
                  <w:color w:val="0000FF"/>
                  <w:w w:val="87"/>
                </w:rPr>
                <w:t>Item 5.</w:t>
              </w:r>
            </w:hyperlink>
          </w:p>
        </w:tc>
        <w:tc>
          <w:tcPr>
            <w:tcW w:w="840" w:type="dxa"/>
            <w:vAlign w:val="bottom"/>
            <w:gridSpan w:val="2"/>
          </w:tcPr>
          <w:p>
            <w:pPr>
              <w:spacing w:after="0"/>
              <w:rPr>
                <w:sz w:val="17"/>
                <w:szCs w:val="17"/>
                <w:color w:val="auto"/>
              </w:rPr>
            </w:pPr>
          </w:p>
        </w:tc>
        <w:tc>
          <w:tcPr>
            <w:tcW w:w="1300" w:type="dxa"/>
            <w:vAlign w:val="bottom"/>
            <w:tcBorders>
              <w:bottom w:val="single" w:sz="8" w:color="0000FF"/>
            </w:tcBorders>
            <w:gridSpan w:val="5"/>
          </w:tcPr>
          <w:p>
            <w:pPr>
              <w:spacing w:after="0" w:line="205" w:lineRule="exact"/>
              <w:rPr>
                <w:rFonts w:ascii="Arial" w:cs="Arial" w:eastAsia="Arial" w:hAnsi="Arial"/>
                <w:sz w:val="18"/>
                <w:szCs w:val="18"/>
                <w:color w:val="0000FF"/>
                <w:w w:val="91"/>
              </w:rPr>
            </w:pPr>
            <w:hyperlink w:anchor="page98">
              <w:r>
                <w:rPr>
                  <w:rFonts w:ascii="Arial" w:cs="Arial" w:eastAsia="Arial" w:hAnsi="Arial"/>
                  <w:sz w:val="18"/>
                  <w:szCs w:val="18"/>
                  <w:color w:val="0000FF"/>
                  <w:w w:val="91"/>
                </w:rPr>
                <w:t>Other Information</w:t>
              </w:r>
            </w:hyperlink>
          </w:p>
        </w:tc>
        <w:tc>
          <w:tcPr>
            <w:tcW w:w="8360" w:type="dxa"/>
            <w:vAlign w:val="bottom"/>
            <w:gridSpan w:val="16"/>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98">
              <w:r>
                <w:rPr>
                  <w:rFonts w:ascii="Arial" w:cs="Arial" w:eastAsia="Arial" w:hAnsi="Arial"/>
                  <w:sz w:val="18"/>
                  <w:szCs w:val="18"/>
                  <w:color w:val="0000FF"/>
                  <w:w w:val="79"/>
                </w:rPr>
                <w:t>97</w:t>
              </w:r>
            </w:hyperlink>
          </w:p>
        </w:tc>
      </w:tr>
      <w:tr>
        <w:trPr>
          <w:trHeight w:val="205"/>
        </w:trPr>
        <w:tc>
          <w:tcPr>
            <w:tcW w:w="500" w:type="dxa"/>
            <w:vAlign w:val="bottom"/>
            <w:tcBorders>
              <w:bottom w:val="single" w:sz="8" w:color="0000FF"/>
            </w:tcBorders>
          </w:tcPr>
          <w:p>
            <w:pPr>
              <w:spacing w:after="0" w:line="205" w:lineRule="exact"/>
              <w:rPr>
                <w:rFonts w:ascii="Arial" w:cs="Arial" w:eastAsia="Arial" w:hAnsi="Arial"/>
                <w:sz w:val="18"/>
                <w:szCs w:val="18"/>
                <w:color w:val="0000FF"/>
                <w:w w:val="87"/>
              </w:rPr>
            </w:pPr>
            <w:hyperlink w:anchor="page99">
              <w:r>
                <w:rPr>
                  <w:rFonts w:ascii="Arial" w:cs="Arial" w:eastAsia="Arial" w:hAnsi="Arial"/>
                  <w:sz w:val="18"/>
                  <w:szCs w:val="18"/>
                  <w:color w:val="0000FF"/>
                  <w:w w:val="87"/>
                </w:rPr>
                <w:t>Item 6.</w:t>
              </w:r>
            </w:hyperlink>
          </w:p>
        </w:tc>
        <w:tc>
          <w:tcPr>
            <w:tcW w:w="840" w:type="dxa"/>
            <w:vAlign w:val="bottom"/>
            <w:gridSpan w:val="2"/>
          </w:tcPr>
          <w:p>
            <w:pPr>
              <w:spacing w:after="0"/>
              <w:rPr>
                <w:sz w:val="17"/>
                <w:szCs w:val="17"/>
                <w:color w:val="auto"/>
              </w:rPr>
            </w:pPr>
          </w:p>
        </w:tc>
        <w:tc>
          <w:tcPr>
            <w:tcW w:w="600" w:type="dxa"/>
            <w:vAlign w:val="bottom"/>
            <w:tcBorders>
              <w:bottom w:val="single" w:sz="8" w:color="0000FF"/>
            </w:tcBorders>
            <w:gridSpan w:val="2"/>
          </w:tcPr>
          <w:p>
            <w:pPr>
              <w:spacing w:after="0" w:line="205" w:lineRule="exact"/>
              <w:rPr>
                <w:rFonts w:ascii="Arial" w:cs="Arial" w:eastAsia="Arial" w:hAnsi="Arial"/>
                <w:sz w:val="18"/>
                <w:szCs w:val="18"/>
                <w:color w:val="0000FF"/>
                <w:w w:val="91"/>
              </w:rPr>
            </w:pPr>
            <w:hyperlink w:anchor="page99">
              <w:r>
                <w:rPr>
                  <w:rFonts w:ascii="Arial" w:cs="Arial" w:eastAsia="Arial" w:hAnsi="Arial"/>
                  <w:sz w:val="18"/>
                  <w:szCs w:val="18"/>
                  <w:color w:val="0000FF"/>
                  <w:w w:val="91"/>
                </w:rPr>
                <w:t>Exhibits</w:t>
              </w:r>
            </w:hyperlink>
          </w:p>
        </w:tc>
        <w:tc>
          <w:tcPr>
            <w:tcW w:w="9060" w:type="dxa"/>
            <w:vAlign w:val="bottom"/>
            <w:gridSpan w:val="19"/>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99">
              <w:r>
                <w:rPr>
                  <w:rFonts w:ascii="Arial" w:cs="Arial" w:eastAsia="Arial" w:hAnsi="Arial"/>
                  <w:sz w:val="18"/>
                  <w:szCs w:val="18"/>
                  <w:color w:val="0000FF"/>
                  <w:w w:val="79"/>
                </w:rPr>
                <w:t>97</w:t>
              </w:r>
            </w:hyperlink>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Borders>
              <w:bottom w:val="single" w:sz="8" w:color="0000FF"/>
            </w:tcBorders>
            <w:gridSpan w:val="3"/>
          </w:tcPr>
          <w:p>
            <w:pPr>
              <w:spacing w:after="0" w:line="205" w:lineRule="exact"/>
              <w:rPr>
                <w:rFonts w:ascii="Arial" w:cs="Arial" w:eastAsia="Arial" w:hAnsi="Arial"/>
                <w:sz w:val="18"/>
                <w:szCs w:val="18"/>
                <w:color w:val="0000FF"/>
                <w:w w:val="85"/>
              </w:rPr>
            </w:pPr>
            <w:hyperlink w:anchor="page101">
              <w:r>
                <w:rPr>
                  <w:rFonts w:ascii="Arial" w:cs="Arial" w:eastAsia="Arial" w:hAnsi="Arial"/>
                  <w:sz w:val="18"/>
                  <w:szCs w:val="18"/>
                  <w:color w:val="0000FF"/>
                  <w:w w:val="85"/>
                </w:rPr>
                <w:t>Signatures</w:t>
              </w:r>
            </w:hyperlink>
          </w:p>
        </w:tc>
        <w:tc>
          <w:tcPr>
            <w:tcW w:w="8900" w:type="dxa"/>
            <w:vAlign w:val="bottom"/>
            <w:gridSpan w:val="18"/>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101">
              <w:r>
                <w:rPr>
                  <w:rFonts w:ascii="Arial" w:cs="Arial" w:eastAsia="Arial" w:hAnsi="Arial"/>
                  <w:sz w:val="18"/>
                  <w:szCs w:val="18"/>
                  <w:color w:val="0000FF"/>
                  <w:w w:val="79"/>
                </w:rPr>
                <w:t>99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393"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44" w:lineRule="exact"/>
        <w:rPr>
          <w:sz w:val="20"/>
          <w:szCs w:val="20"/>
          <w:color w:val="auto"/>
        </w:rPr>
      </w:pPr>
    </w:p>
    <w:p>
      <w:pPr>
        <w:ind w:right="40" w:firstLine="437"/>
        <w:spacing w:after="0" w:line="312" w:lineRule="auto"/>
        <w:rPr>
          <w:sz w:val="20"/>
          <w:szCs w:val="20"/>
          <w:color w:val="auto"/>
        </w:rPr>
      </w:pPr>
      <w:r>
        <w:rPr>
          <w:rFonts w:ascii="Arial" w:cs="Arial" w:eastAsia="Arial" w:hAnsi="Arial"/>
          <w:sz w:val="15"/>
          <w:szCs w:val="15"/>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91" w:lineRule="exact"/>
        <w:rPr>
          <w:sz w:val="20"/>
          <w:szCs w:val="20"/>
          <w:color w:val="auto"/>
        </w:rPr>
      </w:pPr>
    </w:p>
    <w:p>
      <w:pPr>
        <w:ind w:left="640" w:right="82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business plan and strategy, including our goal to deliver treatment options for all stages of age-related macular degeneration (AMD);</w:t>
      </w:r>
    </w:p>
    <w:p>
      <w:pPr>
        <w:spacing w:after="0" w:line="180" w:lineRule="exact"/>
        <w:rPr>
          <w:rFonts w:ascii="Arial" w:cs="Arial" w:eastAsia="Arial" w:hAnsi="Arial"/>
          <w:sz w:val="18"/>
          <w:szCs w:val="18"/>
          <w:color w:val="auto"/>
        </w:rPr>
      </w:pPr>
    </w:p>
    <w:p>
      <w:pPr>
        <w:ind w:left="640" w:right="44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results from GATHER1, our completed Phase 3 clinical trial evaluating Zimura for the treatment of Geographic Atrophy (GA) secondary to AMD, on our business and regulatory strategy, including our plans to pursue development of Zimura in intermediate AMD;</w:t>
      </w:r>
    </w:p>
    <w:p>
      <w:pPr>
        <w:spacing w:after="0" w:line="188" w:lineRule="exact"/>
        <w:rPr>
          <w:rFonts w:ascii="Arial" w:cs="Arial" w:eastAsia="Arial" w:hAnsi="Arial"/>
          <w:sz w:val="18"/>
          <w:szCs w:val="18"/>
          <w:color w:val="auto"/>
        </w:rPr>
      </w:pPr>
    </w:p>
    <w:p>
      <w:pPr>
        <w:ind w:left="640" w:right="80" w:hanging="316"/>
        <w:spacing w:after="0" w:line="318" w:lineRule="auto"/>
        <w:tabs>
          <w:tab w:leader="none" w:pos="635"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timing, costs, conduct and outcome of GATHER2, our ongoing Phase 3 clinical trial evaluating Zimura for the treatment of GA secondary to AMD, including expectations regarding receipt of topline data from the trial and regarding patient retention, and expectations regarding the potential for Zimura to receive regulatory approval for the treatment of GA secondary to AMD based on the clinical trial results we have received to date and the future results from the GATHER2 clinical trial and any other trials we or a potential collaborator may conduct;</w:t>
      </w:r>
    </w:p>
    <w:p>
      <w:pPr>
        <w:spacing w:after="0" w:line="145" w:lineRule="exact"/>
        <w:rPr>
          <w:rFonts w:ascii="Arial" w:cs="Arial" w:eastAsia="Arial" w:hAnsi="Arial"/>
          <w:sz w:val="15"/>
          <w:szCs w:val="15"/>
          <w:color w:val="auto"/>
        </w:rPr>
      </w:pPr>
    </w:p>
    <w:p>
      <w:pPr>
        <w:ind w:left="640" w:right="6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expectations for initiating a clinical trial evaluating Zimura for the treatment of intermediate AMD, and for evaluating, obtaining rights to and developing sustained release delivery technologies for Zimura;</w:t>
      </w:r>
    </w:p>
    <w:p>
      <w:pPr>
        <w:spacing w:after="0" w:line="180" w:lineRule="exact"/>
        <w:rPr>
          <w:rFonts w:ascii="Arial" w:cs="Arial" w:eastAsia="Arial" w:hAnsi="Arial"/>
          <w:sz w:val="18"/>
          <w:szCs w:val="18"/>
          <w:color w:val="auto"/>
        </w:rPr>
      </w:pPr>
    </w:p>
    <w:p>
      <w:pPr>
        <w:ind w:left="640" w:right="6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for the potential commercialization of Zimura, including hiring of medical affairs and commercialization personnel, building a commercialization infrastructure, including sales, marketing and distribution capabilities, and our expectations regarding the market dynamics for treatments for GA and other commercial matters;</w:t>
      </w:r>
    </w:p>
    <w:p>
      <w:pPr>
        <w:spacing w:after="0" w:line="188" w:lineRule="exact"/>
        <w:rPr>
          <w:rFonts w:ascii="Arial" w:cs="Arial" w:eastAsia="Arial" w:hAnsi="Arial"/>
          <w:sz w:val="18"/>
          <w:szCs w:val="18"/>
          <w:color w:val="auto"/>
        </w:rPr>
      </w:pPr>
    </w:p>
    <w:p>
      <w:pPr>
        <w:ind w:left="640" w:right="22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and capabilities for the manufacture of Zimura and our other product candidates, including scale up and validation of the manufacturing process for Zimura drug substance and securing the supply of Zimura drug product and the polyethylene glycol (PEG) starting material for our expected needs;</w:t>
      </w:r>
    </w:p>
    <w:p>
      <w:pPr>
        <w:spacing w:after="0" w:line="188" w:lineRule="exact"/>
        <w:rPr>
          <w:rFonts w:ascii="Arial" w:cs="Arial" w:eastAsia="Arial" w:hAnsi="Arial"/>
          <w:sz w:val="18"/>
          <w:szCs w:val="18"/>
          <w:color w:val="auto"/>
        </w:rPr>
      </w:pPr>
    </w:p>
    <w:p>
      <w:pPr>
        <w:ind w:left="640" w:right="28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STAR, our ongoing Phase 2b screening trial evaluating Zimura for the treatment of autosomal recessive Stargardt disease, including expectations regarding the recruitment of additional patients for this trial;</w:t>
      </w:r>
    </w:p>
    <w:p>
      <w:pPr>
        <w:spacing w:after="0" w:line="180" w:lineRule="exact"/>
        <w:rPr>
          <w:rFonts w:ascii="Arial" w:cs="Arial" w:eastAsia="Arial" w:hAnsi="Arial"/>
          <w:sz w:val="18"/>
          <w:szCs w:val="18"/>
          <w:color w:val="auto"/>
        </w:rPr>
      </w:pPr>
    </w:p>
    <w:p>
      <w:pPr>
        <w:ind w:left="64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actual and expected effects of the COVID-19 pandemic and related response measures on our business and operations, including the timing, costs, conduct and outcome of our research and development programs, our supply chain, the work of our third-party vendors and collaborators, the work and well-being of our employees, and our financial position;</w:t>
      </w:r>
    </w:p>
    <w:p>
      <w:pPr>
        <w:spacing w:after="0" w:line="18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17" w:lineRule="exact"/>
        <w:rPr>
          <w:rFonts w:ascii="Arial" w:cs="Arial" w:eastAsia="Arial" w:hAnsi="Arial"/>
          <w:sz w:val="18"/>
          <w:szCs w:val="18"/>
          <w:color w:val="auto"/>
        </w:rPr>
      </w:pPr>
    </w:p>
    <w:p>
      <w:pPr>
        <w:ind w:left="640" w:right="140" w:hanging="316"/>
        <w:spacing w:after="0" w:line="252"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consummate business development transactions, including potential collaboration opportunities for further development and potential commercialization of Zimura and potential collaboration or out-licensing opportunities for further development of IC-100 and IC-200; and in-licenses or other opportunities to acquire rights to additional product candidates or technologies to treat retinal diseases, including sustained release delivery technologies for Zimura;</w:t>
      </w:r>
    </w:p>
    <w:p>
      <w:pPr>
        <w:spacing w:after="0" w:line="190" w:lineRule="exact"/>
        <w:rPr>
          <w:rFonts w:ascii="Arial" w:cs="Arial" w:eastAsia="Arial" w:hAnsi="Arial"/>
          <w:sz w:val="18"/>
          <w:szCs w:val="18"/>
          <w:color w:val="auto"/>
        </w:rPr>
      </w:pPr>
    </w:p>
    <w:p>
      <w:pPr>
        <w:ind w:left="64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640" w:right="20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188" w:lineRule="exact"/>
        <w:rPr>
          <w:rFonts w:ascii="Arial" w:cs="Arial" w:eastAsia="Arial" w:hAnsi="Arial"/>
          <w:sz w:val="18"/>
          <w:szCs w:val="18"/>
          <w:color w:val="auto"/>
        </w:rPr>
      </w:pPr>
    </w:p>
    <w:p>
      <w:pPr>
        <w:ind w:left="640" w:right="8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our ability to submit investigational new drug applications for, and to obtain marketing approval of our product candidates, and the ability of our product candidates to meet existing or future regulatory standards;</w:t>
      </w:r>
    </w:p>
    <w:p>
      <w:pPr>
        <w:spacing w:after="0" w:line="180" w:lineRule="exact"/>
        <w:rPr>
          <w:rFonts w:ascii="Arial" w:cs="Arial" w:eastAsia="Arial" w:hAnsi="Arial"/>
          <w:sz w:val="18"/>
          <w:szCs w:val="18"/>
          <w:color w:val="auto"/>
        </w:rPr>
      </w:pPr>
    </w:p>
    <w:p>
      <w:pPr>
        <w:ind w:left="640" w:right="28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 and other technologies that we are pursuing, including our hypotheses regarding complement factor C5 inhibition and HtrA1 inhibition as potentially relevant mechanisms of action to treat GA and other stages of AMD, and of gene therapy, including the use of minigenes;</w:t>
      </w:r>
    </w:p>
    <w:p>
      <w:pPr>
        <w:spacing w:after="0" w:line="18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estimates regarding the number of patients affected by the diseases our product candidates and development programs are intended to treat;</w:t>
      </w:r>
    </w:p>
    <w:p>
      <w:pPr>
        <w:spacing w:after="0" w:line="251" w:lineRule="exact"/>
        <w:rPr>
          <w:rFonts w:ascii="Arial" w:cs="Arial" w:eastAsia="Arial" w:hAnsi="Arial"/>
          <w:sz w:val="15"/>
          <w:szCs w:val="15"/>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personnel and human capital resources;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17" w:lineRule="exact"/>
        <w:rPr>
          <w:sz w:val="20"/>
          <w:szCs w:val="20"/>
          <w:color w:val="auto"/>
        </w:rPr>
      </w:pPr>
    </w:p>
    <w:p>
      <w:pPr>
        <w:ind w:right="20" w:firstLine="437"/>
        <w:spacing w:after="0" w:line="249"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licenses, dispositions, joint ventures or investments we may make.</w:t>
      </w:r>
    </w:p>
    <w:p>
      <w:pPr>
        <w:spacing w:after="0" w:line="116" w:lineRule="exact"/>
        <w:rPr>
          <w:sz w:val="20"/>
          <w:szCs w:val="20"/>
          <w:color w:val="auto"/>
        </w:rPr>
      </w:pPr>
    </w:p>
    <w:p>
      <w:pPr>
        <w:ind w:right="100" w:firstLine="437"/>
        <w:spacing w:after="0" w:line="250"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28" w:lineRule="exact"/>
        <w:rPr>
          <w:sz w:val="20"/>
          <w:szCs w:val="20"/>
          <w:color w:val="auto"/>
        </w:rPr>
      </w:pPr>
    </w:p>
    <w:p>
      <w:pPr>
        <w:ind w:right="40" w:firstLine="437"/>
        <w:spacing w:after="0" w:line="330" w:lineRule="auto"/>
        <w:rPr>
          <w:sz w:val="20"/>
          <w:szCs w:val="20"/>
          <w:color w:val="auto"/>
        </w:rPr>
      </w:pPr>
      <w:r>
        <w:rPr>
          <w:rFonts w:ascii="Arial" w:cs="Arial" w:eastAsia="Arial" w:hAnsi="Arial"/>
          <w:sz w:val="15"/>
          <w:szCs w:val="15"/>
          <w:color w:val="auto"/>
        </w:rPr>
        <w:t>This Quarterly Report on Form 10-Q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Principal Risk Factors</w:t>
      </w:r>
    </w:p>
    <w:p>
      <w:pPr>
        <w:spacing w:after="0" w:line="144" w:lineRule="exact"/>
        <w:rPr>
          <w:sz w:val="20"/>
          <w:szCs w:val="20"/>
          <w:color w:val="auto"/>
        </w:rPr>
      </w:pPr>
    </w:p>
    <w:p>
      <w:pPr>
        <w:spacing w:after="0" w:line="249" w:lineRule="auto"/>
        <w:rPr>
          <w:sz w:val="20"/>
          <w:szCs w:val="20"/>
          <w:color w:val="auto"/>
        </w:rPr>
      </w:pPr>
      <w:r>
        <w:rPr>
          <w:rFonts w:ascii="Arial" w:cs="Arial" w:eastAsia="Arial" w:hAnsi="Arial"/>
          <w:sz w:val="18"/>
          <w:szCs w:val="18"/>
          <w:i w:val="1"/>
          <w:iCs w:val="1"/>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Part II, Item 1A. Risk Factors section of this Quarterly Report on</w:t>
      </w:r>
    </w:p>
    <w:p>
      <w:pPr>
        <w:ind w:right="2240"/>
        <w:spacing w:after="0" w:line="313" w:lineRule="auto"/>
        <w:rPr>
          <w:sz w:val="20"/>
          <w:szCs w:val="20"/>
          <w:color w:val="auto"/>
        </w:rPr>
      </w:pPr>
      <w:r>
        <w:rPr>
          <w:rFonts w:ascii="Arial" w:cs="Arial" w:eastAsia="Arial" w:hAnsi="Arial"/>
          <w:sz w:val="15"/>
          <w:szCs w:val="15"/>
          <w:i w:val="1"/>
          <w:iCs w:val="1"/>
          <w:color w:val="auto"/>
        </w:rPr>
        <w:t>Form 10-Q, and should be carefully considered, together with other information in this Quarterly Report on Form 10-Q and our other filings with the Securities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640" w:right="260" w:hanging="316"/>
        <w:spacing w:after="0" w:line="277"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a development-stage company without any approved products. The value of your investment is highly dependent on the success of Zimura and our other research and development programs, which carry numerous risks. We are working to transition to being a company capable of commercializing a pharmaceutical product, if approved, and may not be successful in this transition.</w:t>
      </w:r>
    </w:p>
    <w:p>
      <w:pPr>
        <w:spacing w:after="0" w:line="197" w:lineRule="exact"/>
        <w:rPr>
          <w:rFonts w:ascii="Arial" w:cs="Arial" w:eastAsia="Arial" w:hAnsi="Arial"/>
          <w:sz w:val="17"/>
          <w:szCs w:val="17"/>
          <w:color w:val="auto"/>
        </w:rPr>
      </w:pPr>
    </w:p>
    <w:p>
      <w:pPr>
        <w:ind w:left="640" w:right="180" w:hanging="316"/>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had a history of operating at significant losses and expect to continue to do so until we can successfully commercialize one or more of our product candidates, if ever. We may never achieve profitability.</w:t>
      </w:r>
    </w:p>
    <w:p>
      <w:pPr>
        <w:spacing w:after="0" w:line="207" w:lineRule="exact"/>
        <w:rPr>
          <w:rFonts w:ascii="Arial" w:cs="Arial" w:eastAsia="Arial" w:hAnsi="Arial"/>
          <w:sz w:val="18"/>
          <w:szCs w:val="18"/>
          <w:color w:val="auto"/>
        </w:rPr>
      </w:pPr>
    </w:p>
    <w:p>
      <w:pPr>
        <w:ind w:left="640" w:right="260" w:hanging="316"/>
        <w:spacing w:after="0" w:line="25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additional financing in order to finish developing and start commercializing one or more of our product candidates, if approved. Securing financing may be challenging and/or dilutive to our shareholders, and if we are unable to secure financing when needed, we may need to curtail our development programs or planned commercialization activities.</w:t>
      </w:r>
    </w:p>
    <w:p>
      <w:pPr>
        <w:spacing w:after="0" w:line="214" w:lineRule="exact"/>
        <w:rPr>
          <w:rFonts w:ascii="Arial" w:cs="Arial" w:eastAsia="Arial" w:hAnsi="Arial"/>
          <w:sz w:val="18"/>
          <w:szCs w:val="18"/>
          <w:color w:val="auto"/>
        </w:rPr>
      </w:pPr>
    </w:p>
    <w:p>
      <w:pPr>
        <w:jc w:val="both"/>
        <w:ind w:left="640" w:right="20" w:hanging="316"/>
        <w:spacing w:after="0" w:line="25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has adversely affected our business, for example, by impacting the initiation and conduct of our clinical trials, the work of our academic collaborators and contract manufacturing organizations, and aspects of our supply chain. Because of the ongoing and fluid nature of the pandemic, it will continue to affect our business.</w:t>
      </w:r>
    </w:p>
    <w:p>
      <w:pPr>
        <w:spacing w:after="0" w:line="21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successful in obtaining rights to and developing a sustained release delivery technology for Zimura.</w:t>
      </w:r>
    </w:p>
    <w:p>
      <w:pPr>
        <w:spacing w:after="0" w:line="243"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 development is inherently risky with numerous scientific, technical, regulatory and other challenges. A promising drug candidate can fail at any time and for any number of reasons.</w:t>
      </w:r>
    </w:p>
    <w:p>
      <w:pPr>
        <w:spacing w:after="0" w:line="207" w:lineRule="exact"/>
        <w:rPr>
          <w:rFonts w:ascii="Arial" w:cs="Arial" w:eastAsia="Arial" w:hAnsi="Arial"/>
          <w:sz w:val="18"/>
          <w:szCs w:val="18"/>
          <w:color w:val="auto"/>
        </w:rPr>
      </w:pPr>
    </w:p>
    <w:p>
      <w:pPr>
        <w:ind w:left="640" w:right="40" w:hanging="316"/>
        <w:spacing w:after="0" w:line="252"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pursuing the development of our product candidates using novel mechanisms of action targeting indications for which there are no approved products. These include, for example, complement inhibition and inhibition of High temperature requirement A serine peptidase 1 protein for GA, and complement inhibition for intermediate AMD and autosomal recessive Stargardt disease. These approaches carry numerous scientific, regulatory and other risks.</w:t>
      </w:r>
    </w:p>
    <w:p>
      <w:pPr>
        <w:spacing w:after="0" w:line="217" w:lineRule="exact"/>
        <w:rPr>
          <w:rFonts w:ascii="Arial" w:cs="Arial" w:eastAsia="Arial" w:hAnsi="Arial"/>
          <w:sz w:val="18"/>
          <w:szCs w:val="18"/>
          <w:color w:val="auto"/>
        </w:rPr>
      </w:pPr>
    </w:p>
    <w:p>
      <w:pPr>
        <w:ind w:left="640" w:right="20" w:hanging="316"/>
        <w:spacing w:after="0" w:line="249"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authorities, including the U.S. Food and Drug Administration, or FDA, and the European Medicines Agency, or EMA, may disagree with the design of or our analyses or conclusions from our clinical trials of Zimura in GA or our planned development pathway for Zimura in intermediate AMD. Since receipt of the 12-month results from GATHER1, we have not had any formal interactions with the EMA regarding our planned regulatory pathway for Zimura in GA and the EMA and other regulatory authorities may disagree with the requirements of the FDA. The results of the GATHER2 trial may not replicate the results of the GATHER1 trial. We may need to conduct additional clinical trials or nonclinical studies for Zimura in order to obtain marketing approval.</w:t>
      </w:r>
    </w:p>
    <w:p>
      <w:pPr>
        <w:spacing w:after="0" w:line="222" w:lineRule="exact"/>
        <w:rPr>
          <w:rFonts w:ascii="Arial" w:cs="Arial" w:eastAsia="Arial" w:hAnsi="Arial"/>
          <w:sz w:val="18"/>
          <w:szCs w:val="18"/>
          <w:color w:val="auto"/>
        </w:rPr>
      </w:pPr>
    </w:p>
    <w:p>
      <w:pPr>
        <w:ind w:left="640" w:right="780" w:hanging="316"/>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discover safety issues with our product candidates due to known and currently unknown factors, which could hamper their further development.</w:t>
      </w:r>
    </w:p>
    <w:p>
      <w:pPr>
        <w:spacing w:after="0" w:line="207" w:lineRule="exact"/>
        <w:rPr>
          <w:rFonts w:ascii="Arial" w:cs="Arial" w:eastAsia="Arial" w:hAnsi="Arial"/>
          <w:sz w:val="18"/>
          <w:szCs w:val="18"/>
          <w:color w:val="auto"/>
        </w:rPr>
      </w:pPr>
    </w:p>
    <w:p>
      <w:pPr>
        <w:ind w:left="640" w:right="80" w:hanging="316"/>
        <w:spacing w:after="0" w:line="25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our product candidates is technically complex, expensive and time consuming. We may face issues with scaling up and validating the manufacturing process for Zimura. We may not be able to secure adequate supply of Zimura drug product and the PEG starting material for our future needs, including potential commercial launch. Issues with manufacturing can derail the further development or commercialization of our product candidates.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from large pharmaceutical companies, smaller biotech companies and others.</w:t>
      </w:r>
    </w:p>
    <w:p>
      <w:pPr>
        <w:spacing w:after="0" w:line="243" w:lineRule="exact"/>
        <w:rPr>
          <w:rFonts w:ascii="Arial" w:cs="Arial" w:eastAsia="Arial" w:hAnsi="Arial"/>
          <w:sz w:val="18"/>
          <w:szCs w:val="18"/>
          <w:color w:val="auto"/>
        </w:rPr>
      </w:pPr>
    </w:p>
    <w:p>
      <w:pPr>
        <w:ind w:left="640" w:hanging="316"/>
        <w:spacing w:after="0" w:line="330"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commercialize any of our product candidates, if approved, we will need to set up a sales and marketing infrastructure. We have only recently hired commercialization personnel and will need to continue building our commercial infrastructure. The success of our commercialization efforts will depend in part on the degree of acceptance of our product candidates by patients, the medical community and payors.</w:t>
      </w:r>
    </w:p>
    <w:p>
      <w:pPr>
        <w:spacing w:after="0" w:line="163" w:lineRule="exact"/>
        <w:rPr>
          <w:rFonts w:ascii="Arial" w:cs="Arial" w:eastAsia="Arial" w:hAnsi="Arial"/>
          <w:sz w:val="15"/>
          <w:szCs w:val="15"/>
          <w:color w:val="auto"/>
        </w:rPr>
      </w:pPr>
    </w:p>
    <w:p>
      <w:pPr>
        <w:ind w:left="640" w:right="260" w:hanging="316"/>
        <w:spacing w:after="0" w:line="277"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do not have any internal manufacturing facilities and rely heavily on our third-party contract manufacturers. They may have different business priorities than we do and may fail to meet our expectations or follow regulatory requirements, including current good manufacturing practices requirements. We may need to engage alternative manufacturers or suppliers sooner than we currently expect.</w:t>
      </w:r>
    </w:p>
    <w:p>
      <w:pPr>
        <w:spacing w:after="0" w:line="197" w:lineRule="exact"/>
        <w:rPr>
          <w:rFonts w:ascii="Arial" w:cs="Arial" w:eastAsia="Arial" w:hAnsi="Arial"/>
          <w:sz w:val="17"/>
          <w:szCs w:val="17"/>
          <w:color w:val="auto"/>
        </w:rPr>
      </w:pPr>
    </w:p>
    <w:p>
      <w:pPr>
        <w:ind w:left="640" w:right="280" w:hanging="316"/>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heavily on our third-party contract research organizations as well as our clinical trial sites and academic collaborators. They may have different priorities than we do and may fail to follow regulatory requirements, including good laboratory practice, good clinical practice and other data integrity requirements.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640" w:right="20" w:hanging="316"/>
        <w:spacing w:after="0" w:line="25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pursue a collaboration for the further development and potential commercialization of Zimura in one or more territories outside the United States, and plan to pursue a collaboration or out-license for the further development and potential commercialization of IC-100 and IC-200. For any of these, we may not be able to enter into a collaboration or out-license on favorable terms, or at all. Even if we are able to do so, the collaboration or out-license may not be successful.</w:t>
      </w:r>
    </w:p>
    <w:p>
      <w:pPr>
        <w:spacing w:after="0" w:line="217" w:lineRule="exact"/>
        <w:rPr>
          <w:rFonts w:ascii="Arial" w:cs="Arial" w:eastAsia="Arial" w:hAnsi="Arial"/>
          <w:sz w:val="18"/>
          <w:szCs w:val="18"/>
          <w:color w:val="auto"/>
        </w:rPr>
      </w:pPr>
    </w:p>
    <w:p>
      <w:pPr>
        <w:ind w:left="640" w:right="320" w:hanging="316"/>
        <w:spacing w:after="0" w:line="294"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rely on patents to protect our proprietary position. We may not obtain the patent rights that we seek and/or we may not be able to exclude our competitors from relevant markets. We may be subject to litigation involving our patents or those of third parties.</w:t>
      </w:r>
    </w:p>
    <w:p>
      <w:pPr>
        <w:spacing w:after="0" w:line="183" w:lineRule="exact"/>
        <w:rPr>
          <w:rFonts w:ascii="Arial" w:cs="Arial" w:eastAsia="Arial" w:hAnsi="Arial"/>
          <w:sz w:val="17"/>
          <w:szCs w:val="17"/>
          <w:color w:val="auto"/>
        </w:rPr>
      </w:pPr>
    </w:p>
    <w:p>
      <w:pPr>
        <w:jc w:val="both"/>
        <w:ind w:left="640" w:right="800" w:hanging="316"/>
        <w:spacing w:after="0" w:line="365" w:lineRule="auto"/>
        <w:tabs>
          <w:tab w:leader="none" w:pos="635"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are highly dependent on our information security systems and those of third parties we work with. A cybersecurity incident may cause interruptions to the progress of our development programs and operations, financial or regulatory penalties and/or harm to our reputation.</w:t>
      </w:r>
    </w:p>
    <w:p>
      <w:pPr>
        <w:spacing w:after="0" w:line="137" w:lineRule="exact"/>
        <w:rPr>
          <w:rFonts w:ascii="Arial" w:cs="Arial" w:eastAsia="Arial" w:hAnsi="Arial"/>
          <w:sz w:val="15"/>
          <w:szCs w:val="15"/>
          <w:color w:val="auto"/>
        </w:rPr>
      </w:pPr>
    </w:p>
    <w:p>
      <w:pPr>
        <w:ind w:left="640" w:right="240" w:hanging="316"/>
        <w:spacing w:after="0" w:line="25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a limited number of employees to conduct our operations, including supervising our outside vendors. The skills needed to advance our research and development programs and plan for commercialization of our product candidates are highly specialized. We plan to hire additional qualified personnel, including commercialization and medical affairs personnel, to support the growth of our business. Hiring these personnel and retaining existing employees may be challenging.</w:t>
      </w:r>
    </w:p>
    <w:p>
      <w:pPr>
        <w:spacing w:after="0" w:line="217" w:lineRule="exact"/>
        <w:rPr>
          <w:rFonts w:ascii="Arial" w:cs="Arial" w:eastAsia="Arial" w:hAnsi="Arial"/>
          <w:sz w:val="18"/>
          <w:szCs w:val="18"/>
          <w:color w:val="auto"/>
        </w:rPr>
      </w:pPr>
    </w:p>
    <w:p>
      <w:pPr>
        <w:ind w:left="640" w:hanging="316"/>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need to satisfy numerous regulatory requirements in order to secure marketing approval and reimbursement approval, if applicable, for any of our product candidates. These requirements differ across jurisdictions. Failure to satisfy and maintain those requirements can preclude us from commercializing our products.</w:t>
      </w:r>
    </w:p>
    <w:p>
      <w:pPr>
        <w:spacing w:after="0" w:line="214" w:lineRule="exact"/>
        <w:rPr>
          <w:rFonts w:ascii="Arial" w:cs="Arial" w:eastAsia="Arial" w:hAnsi="Arial"/>
          <w:sz w:val="18"/>
          <w:szCs w:val="18"/>
          <w:color w:val="auto"/>
        </w:rPr>
      </w:pPr>
    </w:p>
    <w:p>
      <w:pPr>
        <w:ind w:left="640" w:right="20" w:hanging="316"/>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and any commercialization partners are subject to numerous healthcare laws and regulations governing our relationships with patients, healthcare professionals and third-party payors. Failure to comply with these requirements may adversely affect our business, including as we prepare for potential commercialization of Zimura.</w:t>
      </w:r>
    </w:p>
    <w:p>
      <w:pPr>
        <w:spacing w:after="0" w:line="214"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reimbursement and payment regime for pharmaceutical products in the United States remains in flux, including as a result of the implementation of and litigation involving the Affordable Care Act. There are ongoing, and often bipartisan, efforts to reduce the prices of pharmaceutical products.</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TRADEMARKS</w:t>
      </w:r>
    </w:p>
    <w:p>
      <w:pPr>
        <w:spacing w:after="0" w:line="144" w:lineRule="exact"/>
        <w:rPr>
          <w:sz w:val="20"/>
          <w:szCs w:val="20"/>
          <w:color w:val="auto"/>
        </w:rPr>
      </w:pPr>
    </w:p>
    <w:p>
      <w:pPr>
        <w:ind w:right="120" w:firstLine="173"/>
        <w:spacing w:after="0" w:line="255" w:lineRule="auto"/>
        <w:rPr>
          <w:sz w:val="20"/>
          <w:szCs w:val="20"/>
          <w:color w:val="auto"/>
        </w:rPr>
      </w:pPr>
      <w:r>
        <w:rPr>
          <w:rFonts w:ascii="Arial" w:cs="Arial" w:eastAsia="Arial" w:hAnsi="Arial"/>
          <w:sz w:val="18"/>
          <w:szCs w:val="18"/>
          <w:color w:val="212529"/>
        </w:rPr>
        <w:t xml:space="preserve">The trademarks, trade names and service marks appearing in this Quarterly Report on Form 10-Q are the property of their respective owners. </w:t>
      </w:r>
      <w:r>
        <w:rPr>
          <w:rFonts w:ascii="Arial" w:cs="Arial" w:eastAsia="Arial" w:hAnsi="Arial"/>
          <w:sz w:val="18"/>
          <w:szCs w:val="18"/>
          <w:color w:val="000000"/>
        </w:rPr>
        <w:t>We have</w:t>
      </w:r>
      <w:r>
        <w:rPr>
          <w:rFonts w:ascii="Arial" w:cs="Arial" w:eastAsia="Arial" w:hAnsi="Arial"/>
          <w:sz w:val="18"/>
          <w:szCs w:val="18"/>
          <w:color w:val="212529"/>
        </w:rPr>
        <w:t xml:space="preserve"> </w:t>
      </w:r>
      <w:r>
        <w:rPr>
          <w:rFonts w:ascii="Arial" w:cs="Arial" w:eastAsia="Arial" w:hAnsi="Arial"/>
          <w:sz w:val="18"/>
          <w:szCs w:val="18"/>
          <w:color w:val="000000"/>
        </w:rPr>
        <w:t>omitted the ® and ™ designations, as applicable, for the trademarks named in this Quarterly Report on Form 10-Q after their first reference in this Quarterly Report on Form 10-Q.</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IVERIC bio,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Unaudited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440" w:type="dxa"/>
            <w:vAlign w:val="bottom"/>
          </w:tcPr>
          <w:p>
            <w:pPr>
              <w:jc w:val="right"/>
              <w:ind w:right="152"/>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66,373</w:t>
            </w:r>
          </w:p>
        </w:tc>
        <w:tc>
          <w:tcPr>
            <w:tcW w:w="0" w:type="dxa"/>
            <w:vAlign w:val="bottom"/>
          </w:tcPr>
          <w:p>
            <w:pPr>
              <w:spacing w:after="0"/>
              <w:rPr>
                <w:sz w:val="1"/>
                <w:szCs w:val="1"/>
                <w:color w:val="auto"/>
              </w:rPr>
            </w:pPr>
          </w:p>
        </w:tc>
      </w:tr>
      <w:tr>
        <w:trPr>
          <w:trHeight w:val="225"/>
        </w:trPr>
        <w:tc>
          <w:tcPr>
            <w:tcW w:w="784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62,091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143,674</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25"/>
        </w:trPr>
        <w:tc>
          <w:tcPr>
            <w:tcW w:w="784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9"/>
        </w:trPr>
        <w:tc>
          <w:tcPr>
            <w:tcW w:w="78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216,603</w:t>
            </w: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4"/>
        </w:trPr>
        <w:tc>
          <w:tcPr>
            <w:tcW w:w="78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tcPr>
          <w:p>
            <w:pPr>
              <w:ind w:left="340"/>
              <w:spacing w:after="0"/>
              <w:rPr>
                <w:sz w:val="20"/>
                <w:szCs w:val="20"/>
                <w:color w:val="auto"/>
              </w:rPr>
            </w:pPr>
            <w:r>
              <w:rPr>
                <w:rFonts w:ascii="Arial" w:cs="Arial" w:eastAsia="Arial" w:hAnsi="Arial"/>
                <w:sz w:val="18"/>
                <w:szCs w:val="18"/>
                <w:color w:val="auto"/>
              </w:rPr>
              <w:t>Accrued research and development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11,368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12,284</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Lease liability</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25,130</w:t>
            </w:r>
          </w:p>
        </w:tc>
        <w:tc>
          <w:tcPr>
            <w:tcW w:w="0" w:type="dxa"/>
            <w:vAlign w:val="bottom"/>
          </w:tcPr>
          <w:p>
            <w:pPr>
              <w:spacing w:after="0"/>
              <w:rPr>
                <w:sz w:val="1"/>
                <w:szCs w:val="1"/>
                <w:color w:val="auto"/>
              </w:rPr>
            </w:pPr>
          </w:p>
        </w:tc>
      </w:tr>
      <w:tr>
        <w:trPr>
          <w:trHeight w:val="21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liability, non-current</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25,191</w:t>
            </w: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Preferred stock—$0.001 par value, 5,000,000 shares authorized, no shares issued or outstanding</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7840" w:type="dxa"/>
            <w:vAlign w:val="bottom"/>
          </w:tcPr>
          <w:p>
            <w:pPr>
              <w:ind w:left="140"/>
              <w:spacing w:after="0" w:line="173" w:lineRule="exact"/>
              <w:rPr>
                <w:sz w:val="20"/>
                <w:szCs w:val="20"/>
                <w:color w:val="auto"/>
              </w:rPr>
            </w:pPr>
            <w:r>
              <w:rPr>
                <w:rFonts w:ascii="Arial" w:cs="Arial" w:eastAsia="Arial" w:hAnsi="Arial"/>
                <w:sz w:val="18"/>
                <w:szCs w:val="18"/>
                <w:color w:val="auto"/>
                <w:w w:val="92"/>
              </w:rPr>
              <w:t>Common stock—$0.001 par value, 200,000,000 shares authorized, 104,237,878 and 90,120,797 shares</w:t>
            </w: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4"/>
        </w:trPr>
        <w:tc>
          <w:tcPr>
            <w:tcW w:w="7840" w:type="dxa"/>
            <w:vAlign w:val="bottom"/>
          </w:tcPr>
          <w:p>
            <w:pPr>
              <w:ind w:left="140"/>
              <w:spacing w:after="0"/>
              <w:rPr>
                <w:sz w:val="20"/>
                <w:szCs w:val="20"/>
                <w:color w:val="auto"/>
              </w:rPr>
            </w:pPr>
            <w:r>
              <w:rPr>
                <w:rFonts w:ascii="Arial" w:cs="Arial" w:eastAsia="Arial" w:hAnsi="Arial"/>
                <w:sz w:val="18"/>
                <w:szCs w:val="18"/>
                <w:color w:val="auto"/>
              </w:rPr>
              <w:t>issued and outstanding at September 30, 2021 and December 31, 2020, respectively</w:t>
            </w: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756,543</w:t>
            </w:r>
          </w:p>
        </w:tc>
        <w:tc>
          <w:tcPr>
            <w:tcW w:w="0" w:type="dxa"/>
            <w:vAlign w:val="bottom"/>
          </w:tcPr>
          <w:p>
            <w:pPr>
              <w:spacing w:after="0"/>
              <w:rPr>
                <w:sz w:val="1"/>
                <w:szCs w:val="1"/>
                <w:color w:val="auto"/>
              </w:rPr>
            </w:pPr>
          </w:p>
        </w:tc>
      </w:tr>
      <w:tr>
        <w:trPr>
          <w:trHeight w:val="225"/>
        </w:trPr>
        <w:tc>
          <w:tcPr>
            <w:tcW w:w="78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(646,562)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(565,073)</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8"/>
        </w:trPr>
        <w:tc>
          <w:tcPr>
            <w:tcW w:w="78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191,563</w:t>
            </w: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Unaudited Consolidated Statements of Operations and Comprehensive Loss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17,935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18,841</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59,972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45,311</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17,930</w:t>
            </w:r>
          </w:p>
        </w:tc>
        <w:tc>
          <w:tcPr>
            <w:tcW w:w="0" w:type="dxa"/>
            <w:vAlign w:val="bottom"/>
          </w:tcPr>
          <w:p>
            <w:pPr>
              <w:spacing w:after="0"/>
              <w:rPr>
                <w:sz w:val="1"/>
                <w:szCs w:val="1"/>
                <w:color w:val="auto"/>
              </w:rPr>
            </w:pPr>
          </w:p>
        </w:tc>
      </w:tr>
      <w:tr>
        <w:trPr>
          <w:trHeight w:val="218"/>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63,241</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(63,241)</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5180" w:type="dxa"/>
            <w:vAlign w:val="bottom"/>
          </w:tcPr>
          <w:p>
            <w:pPr>
              <w:ind w:left="140"/>
              <w:spacing w:after="0"/>
              <w:rPr>
                <w:sz w:val="20"/>
                <w:szCs w:val="20"/>
                <w:color w:val="auto"/>
              </w:rPr>
            </w:pPr>
            <w:r>
              <w:rPr>
                <w:rFonts w:ascii="Arial" w:cs="Arial" w:eastAsia="Arial" w:hAnsi="Arial"/>
                <w:sz w:val="18"/>
                <w:szCs w:val="18"/>
                <w:color w:val="auto"/>
              </w:rPr>
              <w:t>Loss before income tax benefit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(81,489)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(62,810)</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19"/>
        </w:trPr>
        <w:tc>
          <w:tcPr>
            <w:tcW w:w="5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(24,551)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(81,489)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(59,115)</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Unaudited Consolidated Statements of Stockholders' Equity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20" w:type="dxa"/>
            <w:vAlign w:val="bottom"/>
          </w:tcPr>
          <w:p>
            <w:pPr>
              <w:spacing w:after="0"/>
              <w:rPr>
                <w:sz w:val="12"/>
                <w:szCs w:val="12"/>
                <w:color w:val="auto"/>
              </w:rPr>
            </w:pPr>
          </w:p>
        </w:tc>
        <w:tc>
          <w:tcPr>
            <w:tcW w:w="1440" w:type="dxa"/>
            <w:vAlign w:val="bottom"/>
            <w:gridSpan w:val="5"/>
            <w:vMerge w:val="restart"/>
          </w:tcPr>
          <w:p>
            <w:pPr>
              <w:ind w:left="260"/>
              <w:spacing w:after="0"/>
              <w:rPr>
                <w:sz w:val="20"/>
                <w:szCs w:val="20"/>
                <w:color w:val="auto"/>
              </w:rPr>
            </w:pPr>
            <w:r>
              <w:rPr>
                <w:rFonts w:ascii="Arial" w:cs="Arial" w:eastAsia="Arial" w:hAnsi="Arial"/>
                <w:sz w:val="12"/>
                <w:szCs w:val="12"/>
                <w:b w:val="1"/>
                <w:bCs w:val="1"/>
                <w:color w:val="auto"/>
              </w:rPr>
              <w:t>Preferred Stock</w:t>
            </w:r>
          </w:p>
        </w:tc>
        <w:tc>
          <w:tcPr>
            <w:tcW w:w="120" w:type="dxa"/>
            <w:vAlign w:val="bottom"/>
          </w:tcPr>
          <w:p>
            <w:pPr>
              <w:spacing w:after="0"/>
              <w:rPr>
                <w:sz w:val="12"/>
                <w:szCs w:val="12"/>
                <w:color w:val="auto"/>
              </w:rPr>
            </w:pPr>
          </w:p>
        </w:tc>
        <w:tc>
          <w:tcPr>
            <w:tcW w:w="1340" w:type="dxa"/>
            <w:vAlign w:val="bottom"/>
            <w:gridSpan w:val="5"/>
            <w:vMerge w:val="restart"/>
          </w:tcPr>
          <w:p>
            <w:pPr>
              <w:ind w:left="16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8"/>
              </w:rPr>
              <w:t>Additional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4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w w:val="96"/>
              </w:rPr>
              <w:t>paid-in</w:t>
            </w:r>
          </w:p>
        </w:tc>
        <w:tc>
          <w:tcPr>
            <w:tcW w:w="120" w:type="dxa"/>
            <w:vAlign w:val="bottom"/>
          </w:tcPr>
          <w:p>
            <w:pPr>
              <w:spacing w:after="0"/>
              <w:rPr>
                <w:sz w:val="2"/>
                <w:szCs w:val="2"/>
                <w:color w:val="auto"/>
              </w:rPr>
            </w:pPr>
          </w:p>
        </w:tc>
        <w:tc>
          <w:tcPr>
            <w:tcW w:w="98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2"/>
                <w:szCs w:val="2"/>
                <w:color w:val="auto"/>
              </w:rPr>
            </w:pPr>
          </w:p>
        </w:tc>
        <w:tc>
          <w:tcPr>
            <w:tcW w:w="106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6"/>
                <w:szCs w:val="6"/>
                <w:color w:val="auto"/>
              </w:rPr>
            </w:pP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6"/>
                <w:szCs w:val="6"/>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6"/>
                <w:szCs w:val="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capital</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Income (Loss)</w:t>
            </w: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6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90,121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756,543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(565,073)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191,563</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Issuance of common stock under employee stock compensation plans</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Share-based compensation</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2,292</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Net loss</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(26,795)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(26,795)</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Unrealized loss on available for sale securities, net of tax</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5"/>
        </w:trPr>
        <w:tc>
          <w:tcPr>
            <w:tcW w:w="4320" w:type="dxa"/>
            <w:vAlign w:val="bottom"/>
          </w:tcPr>
          <w:p>
            <w:pPr>
              <w:ind w:left="20"/>
              <w:spacing w:after="0"/>
              <w:rPr>
                <w:sz w:val="20"/>
                <w:szCs w:val="20"/>
                <w:color w:val="auto"/>
              </w:rPr>
            </w:pPr>
            <w:r>
              <w:rPr>
                <w:rFonts w:ascii="Arial" w:cs="Arial" w:eastAsia="Arial" w:hAnsi="Arial"/>
                <w:sz w:val="12"/>
                <w:szCs w:val="12"/>
                <w:b w:val="1"/>
                <w:bCs w:val="1"/>
                <w:color w:val="auto"/>
              </w:rPr>
              <w:t>Balance at March 31, 2021</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90,170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758,964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(591,868)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167,188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under employee stock compensation plans</w:t>
            </w:r>
          </w:p>
        </w:tc>
        <w:tc>
          <w:tcPr>
            <w:tcW w:w="6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Share-based compensation</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2,079</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(30,143)</w:t>
            </w:r>
          </w:p>
        </w:tc>
        <w:tc>
          <w:tcPr>
            <w:tcW w:w="0" w:type="dxa"/>
            <w:vAlign w:val="bottom"/>
          </w:tcPr>
          <w:p>
            <w:pPr>
              <w:spacing w:after="0"/>
              <w:rPr>
                <w:sz w:val="1"/>
                <w:szCs w:val="1"/>
                <w:color w:val="auto"/>
              </w:rPr>
            </w:pPr>
          </w:p>
        </w:tc>
      </w:tr>
      <w:tr>
        <w:trPr>
          <w:trHeight w:val="165"/>
        </w:trPr>
        <w:tc>
          <w:tcPr>
            <w:tcW w:w="4320" w:type="dxa"/>
            <w:vAlign w:val="bottom"/>
          </w:tcPr>
          <w:p>
            <w:pPr>
              <w:ind w:left="20"/>
              <w:spacing w:after="0"/>
              <w:rPr>
                <w:sz w:val="20"/>
                <w:szCs w:val="20"/>
                <w:color w:val="auto"/>
              </w:rPr>
            </w:pPr>
            <w:r>
              <w:rPr>
                <w:rFonts w:ascii="Arial" w:cs="Arial" w:eastAsia="Arial" w:hAnsi="Arial"/>
                <w:sz w:val="12"/>
                <w:szCs w:val="12"/>
                <w:color w:val="auto"/>
              </w:rPr>
              <w:t>Unrealized loss on available for sale securities, net of tax</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97"/>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June 30, 2021</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90,387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761,491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(622,011)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139,573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w w:val="93"/>
              </w:rPr>
              <w:t>Issuance of common stock and pre-funded warrants through underwritten offering, net</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4320" w:type="dxa"/>
            <w:vAlign w:val="bottom"/>
            <w:vMerge w:val="continue"/>
          </w:tcPr>
          <w:p>
            <w:pPr>
              <w:spacing w:after="0"/>
              <w:rPr>
                <w:sz w:val="5"/>
                <w:szCs w:val="5"/>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5"/>
                <w:szCs w:val="5"/>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5"/>
                <w:szCs w:val="5"/>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13,398</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107,743</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5"/>
                <w:szCs w:val="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107,757</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of issuances costs</w:t>
            </w: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under employee stock compensation plans</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1,095</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Share-based compensation</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2,626</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(24,551)</w:t>
            </w:r>
          </w:p>
        </w:tc>
        <w:tc>
          <w:tcPr>
            <w:tcW w:w="0" w:type="dxa"/>
            <w:vAlign w:val="bottom"/>
          </w:tcPr>
          <w:p>
            <w:pPr>
              <w:spacing w:after="0"/>
              <w:rPr>
                <w:sz w:val="1"/>
                <w:szCs w:val="1"/>
                <w:color w:val="auto"/>
              </w:rPr>
            </w:pPr>
          </w:p>
        </w:tc>
      </w:tr>
      <w:tr>
        <w:trPr>
          <w:trHeight w:val="166"/>
        </w:trPr>
        <w:tc>
          <w:tcPr>
            <w:tcW w:w="4320" w:type="dxa"/>
            <w:vAlign w:val="bottom"/>
          </w:tcPr>
          <w:p>
            <w:pPr>
              <w:ind w:left="20"/>
              <w:spacing w:after="0"/>
              <w:rPr>
                <w:sz w:val="20"/>
                <w:szCs w:val="20"/>
                <w:color w:val="auto"/>
              </w:rPr>
            </w:pPr>
            <w:r>
              <w:rPr>
                <w:rFonts w:ascii="Arial" w:cs="Arial" w:eastAsia="Arial" w:hAnsi="Arial"/>
                <w:sz w:val="12"/>
                <w:szCs w:val="12"/>
                <w:color w:val="auto"/>
              </w:rPr>
              <w:t>Unrealized loss on available for sale securities, net of tax</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71"/>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September 30, 2021</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104,238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872,955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(646,562)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226,486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320" w:type="dxa"/>
            <w:vAlign w:val="bottom"/>
          </w:tcPr>
          <w:p>
            <w:pPr>
              <w:spacing w:after="0"/>
              <w:rPr>
                <w:sz w:val="24"/>
                <w:szCs w:val="24"/>
                <w:color w:val="auto"/>
              </w:rPr>
            </w:pPr>
          </w:p>
        </w:tc>
        <w:tc>
          <w:tcPr>
            <w:tcW w:w="1440" w:type="dxa"/>
            <w:vAlign w:val="bottom"/>
            <w:gridSpan w:val="5"/>
            <w:vMerge w:val="restart"/>
          </w:tcPr>
          <w:p>
            <w:pPr>
              <w:ind w:left="260"/>
              <w:spacing w:after="0"/>
              <w:rPr>
                <w:sz w:val="20"/>
                <w:szCs w:val="20"/>
                <w:color w:val="auto"/>
              </w:rPr>
            </w:pPr>
            <w:r>
              <w:rPr>
                <w:rFonts w:ascii="Arial" w:cs="Arial" w:eastAsia="Arial" w:hAnsi="Arial"/>
                <w:sz w:val="12"/>
                <w:szCs w:val="12"/>
                <w:b w:val="1"/>
                <w:bCs w:val="1"/>
                <w:color w:val="auto"/>
              </w:rPr>
              <w:t>Preferred Stock</w:t>
            </w:r>
          </w:p>
        </w:tc>
        <w:tc>
          <w:tcPr>
            <w:tcW w:w="120" w:type="dxa"/>
            <w:vAlign w:val="bottom"/>
          </w:tcPr>
          <w:p>
            <w:pPr>
              <w:spacing w:after="0"/>
              <w:rPr>
                <w:sz w:val="24"/>
                <w:szCs w:val="24"/>
                <w:color w:val="auto"/>
              </w:rPr>
            </w:pPr>
          </w:p>
        </w:tc>
        <w:tc>
          <w:tcPr>
            <w:tcW w:w="1340" w:type="dxa"/>
            <w:vAlign w:val="bottom"/>
            <w:gridSpan w:val="5"/>
            <w:vMerge w:val="restart"/>
          </w:tcPr>
          <w:p>
            <w:pPr>
              <w:ind w:left="16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8"/>
              </w:rPr>
              <w:t>Additional</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4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w w:val="96"/>
              </w:rPr>
              <w:t>paid-in</w:t>
            </w:r>
          </w:p>
        </w:tc>
        <w:tc>
          <w:tcPr>
            <w:tcW w:w="120" w:type="dxa"/>
            <w:vAlign w:val="bottom"/>
          </w:tcPr>
          <w:p>
            <w:pPr>
              <w:spacing w:after="0"/>
              <w:rPr>
                <w:sz w:val="2"/>
                <w:szCs w:val="2"/>
                <w:color w:val="auto"/>
              </w:rPr>
            </w:pPr>
          </w:p>
        </w:tc>
        <w:tc>
          <w:tcPr>
            <w:tcW w:w="98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2"/>
                <w:szCs w:val="2"/>
                <w:color w:val="auto"/>
              </w:rPr>
            </w:pPr>
          </w:p>
        </w:tc>
        <w:tc>
          <w:tcPr>
            <w:tcW w:w="106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6"/>
                <w:szCs w:val="6"/>
                <w:color w:val="auto"/>
              </w:rPr>
            </w:pP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6"/>
                <w:szCs w:val="6"/>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6"/>
                <w:szCs w:val="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capital</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Income (Loss)</w:t>
            </w: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2019</w:t>
            </w:r>
          </w:p>
        </w:tc>
        <w:tc>
          <w:tcPr>
            <w:tcW w:w="6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49,627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597,679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(480,526)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117,203</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Issuance of common stock under employee stock compensation plans</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Share-based compensation</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2,324</w:t>
            </w:r>
          </w:p>
        </w:tc>
        <w:tc>
          <w:tcPr>
            <w:tcW w:w="0" w:type="dxa"/>
            <w:vAlign w:val="bottom"/>
          </w:tcPr>
          <w:p>
            <w:pPr>
              <w:spacing w:after="0"/>
              <w:rPr>
                <w:sz w:val="1"/>
                <w:szCs w:val="1"/>
                <w:color w:val="auto"/>
              </w:rPr>
            </w:pPr>
          </w:p>
        </w:tc>
      </w:tr>
      <w:tr>
        <w:trPr>
          <w:trHeight w:val="165"/>
        </w:trPr>
        <w:tc>
          <w:tcPr>
            <w:tcW w:w="4320" w:type="dxa"/>
            <w:vAlign w:val="bottom"/>
          </w:tcPr>
          <w:p>
            <w:pPr>
              <w:ind w:left="20"/>
              <w:spacing w:after="0"/>
              <w:rPr>
                <w:sz w:val="20"/>
                <w:szCs w:val="20"/>
                <w:color w:val="auto"/>
              </w:rPr>
            </w:pPr>
            <w:r>
              <w:rPr>
                <w:rFonts w:ascii="Arial" w:cs="Arial" w:eastAsia="Arial" w:hAnsi="Arial"/>
                <w:sz w:val="12"/>
                <w:szCs w:val="12"/>
                <w:color w:val="auto"/>
              </w:rPr>
              <w:t>Net loss</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(15,076)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(15,076)</w:t>
            </w:r>
          </w:p>
        </w:tc>
        <w:tc>
          <w:tcPr>
            <w:tcW w:w="0" w:type="dxa"/>
            <w:vAlign w:val="bottom"/>
          </w:tcPr>
          <w:p>
            <w:pPr>
              <w:spacing w:after="0"/>
              <w:rPr>
                <w:sz w:val="1"/>
                <w:szCs w:val="1"/>
                <w:color w:val="auto"/>
              </w:rPr>
            </w:pPr>
          </w:p>
        </w:tc>
      </w:tr>
      <w:tr>
        <w:trPr>
          <w:trHeight w:val="197"/>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2020</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49,732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600,182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(495,602)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104,630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w w:val="93"/>
              </w:rPr>
              <w:t>Issuance of common stock and pre-funded warrants through underwritten offering, net</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4320" w:type="dxa"/>
            <w:vAlign w:val="bottom"/>
            <w:vMerge w:val="continue"/>
          </w:tcPr>
          <w:p>
            <w:pPr>
              <w:spacing w:after="0"/>
              <w:rPr>
                <w:sz w:val="5"/>
                <w:szCs w:val="5"/>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5"/>
                <w:szCs w:val="5"/>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5"/>
                <w:szCs w:val="5"/>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28,503</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116,855</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5"/>
                <w:szCs w:val="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116,883</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of issuance costs</w:t>
            </w: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Issuance of common stock in connection with private offering, net of issuance costs.</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33,237</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Issuance of common stock under the exercise of pre-funded warrants</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2,500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under employee stock compensation plans</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Share-based compensation</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1,873</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(18,589)</w:t>
            </w:r>
          </w:p>
        </w:tc>
        <w:tc>
          <w:tcPr>
            <w:tcW w:w="0" w:type="dxa"/>
            <w:vAlign w:val="bottom"/>
          </w:tcPr>
          <w:p>
            <w:pPr>
              <w:spacing w:after="0"/>
              <w:rPr>
                <w:sz w:val="1"/>
                <w:szCs w:val="1"/>
                <w:color w:val="auto"/>
              </w:rPr>
            </w:pPr>
          </w:p>
        </w:tc>
      </w:tr>
      <w:tr>
        <w:trPr>
          <w:trHeight w:val="165"/>
        </w:trPr>
        <w:tc>
          <w:tcPr>
            <w:tcW w:w="4320" w:type="dxa"/>
            <w:vAlign w:val="bottom"/>
          </w:tcPr>
          <w:p>
            <w:pPr>
              <w:ind w:left="20"/>
              <w:spacing w:after="0"/>
              <w:rPr>
                <w:sz w:val="20"/>
                <w:szCs w:val="20"/>
                <w:color w:val="auto"/>
              </w:rPr>
            </w:pPr>
            <w:r>
              <w:rPr>
                <w:rFonts w:ascii="Arial" w:cs="Arial" w:eastAsia="Arial" w:hAnsi="Arial"/>
                <w:sz w:val="12"/>
                <w:szCs w:val="12"/>
                <w:b w:val="1"/>
                <w:bCs w:val="1"/>
                <w:color w:val="auto"/>
              </w:rPr>
              <w:t>Balance at Balance at June 30, 2020</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89,489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752,143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(514,191)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238,041</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under employee stock compensation plans</w:t>
            </w:r>
          </w:p>
        </w:tc>
        <w:tc>
          <w:tcPr>
            <w:tcW w:w="6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2"/>
                <w:szCs w:val="12"/>
                <w:color w:val="auto"/>
              </w:rPr>
              <w:t>Share-based compensation</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1,847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1,847</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(25,450)</w:t>
            </w:r>
          </w:p>
        </w:tc>
        <w:tc>
          <w:tcPr>
            <w:tcW w:w="0" w:type="dxa"/>
            <w:vAlign w:val="bottom"/>
          </w:tcPr>
          <w:p>
            <w:pPr>
              <w:spacing w:after="0"/>
              <w:rPr>
                <w:sz w:val="1"/>
                <w:szCs w:val="1"/>
                <w:color w:val="auto"/>
              </w:rPr>
            </w:pPr>
          </w:p>
        </w:tc>
      </w:tr>
      <w:tr>
        <w:trPr>
          <w:trHeight w:val="165"/>
        </w:trPr>
        <w:tc>
          <w:tcPr>
            <w:tcW w:w="4320" w:type="dxa"/>
            <w:vAlign w:val="bottom"/>
          </w:tcPr>
          <w:p>
            <w:pPr>
              <w:ind w:left="20"/>
              <w:spacing w:after="0"/>
              <w:rPr>
                <w:sz w:val="20"/>
                <w:szCs w:val="20"/>
                <w:color w:val="auto"/>
              </w:rPr>
            </w:pPr>
            <w:r>
              <w:rPr>
                <w:rFonts w:ascii="Arial" w:cs="Arial" w:eastAsia="Arial" w:hAnsi="Arial"/>
                <w:sz w:val="12"/>
                <w:szCs w:val="12"/>
                <w:color w:val="auto"/>
              </w:rPr>
              <w:t>Unrealized gain on available for sale securities, net of tax</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97"/>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September 30, 2020</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89,554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754,136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(539,641)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214,586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Unaudited Consolidated Statements of Cash Flows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Nine Months Ended September 30,</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83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(81,489)</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(59,115)</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120"/>
              <w:spacing w:after="0"/>
              <w:rPr>
                <w:sz w:val="20"/>
                <w:szCs w:val="20"/>
                <w:color w:val="auto"/>
              </w:rPr>
            </w:pPr>
            <w:r>
              <w:rPr>
                <w:rFonts w:ascii="Arial" w:cs="Arial" w:eastAsia="Arial" w:hAnsi="Arial"/>
                <w:sz w:val="18"/>
                <w:szCs w:val="18"/>
                <w:color w:val="auto"/>
              </w:rPr>
              <w:t>Depreciation and other expense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premium and discounts on investment securities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5"/>
        </w:trPr>
        <w:tc>
          <w:tcPr>
            <w:tcW w:w="832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6,044</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0"/>
              <w:spacing w:after="0"/>
              <w:rPr>
                <w:sz w:val="20"/>
                <w:szCs w:val="20"/>
                <w:color w:val="auto"/>
              </w:rPr>
            </w:pPr>
            <w:r>
              <w:rPr>
                <w:rFonts w:ascii="Arial" w:cs="Arial" w:eastAsia="Arial" w:hAnsi="Arial"/>
                <w:sz w:val="18"/>
                <w:szCs w:val="18"/>
                <w:color w:val="auto"/>
              </w:rPr>
              <w:t>Income tax receivable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 and other assets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5"/>
        </w:trPr>
        <w:tc>
          <w:tcPr>
            <w:tcW w:w="8320" w:type="dxa"/>
            <w:vAlign w:val="bottom"/>
          </w:tcPr>
          <w:p>
            <w:pPr>
              <w:ind w:left="200"/>
              <w:spacing w:after="0"/>
              <w:rPr>
                <w:sz w:val="20"/>
                <w:szCs w:val="20"/>
                <w:color w:val="auto"/>
              </w:rPr>
            </w:pPr>
            <w:r>
              <w:rPr>
                <w:rFonts w:ascii="Arial" w:cs="Arial" w:eastAsia="Arial" w:hAnsi="Arial"/>
                <w:sz w:val="18"/>
                <w:szCs w:val="18"/>
                <w:color w:val="auto"/>
              </w:rPr>
              <w:t>Accrued interest receivable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research and development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225"/>
        </w:trPr>
        <w:tc>
          <w:tcPr>
            <w:tcW w:w="83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working capital</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(108,305)</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Maturities of marketable securities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80,202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(108,305)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Proceeds from employee stock plan purchases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follow-on public offering, net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116,883</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Proceeds from private-placement, net</w:t>
            </w:r>
          </w:p>
        </w:tc>
        <w:tc>
          <w:tcPr>
            <w:tcW w:w="3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33,237</w:t>
            </w:r>
          </w:p>
        </w:tc>
        <w:tc>
          <w:tcPr>
            <w:tcW w:w="0" w:type="dxa"/>
            <w:vAlign w:val="bottom"/>
          </w:tcPr>
          <w:p>
            <w:pPr>
              <w:spacing w:after="0"/>
              <w:rPr>
                <w:sz w:val="1"/>
                <w:szCs w:val="1"/>
                <w:color w:val="auto"/>
              </w:rPr>
            </w:pPr>
          </w:p>
        </w:tc>
      </w:tr>
      <w:tr>
        <w:trPr>
          <w:trHeight w:val="219"/>
        </w:trPr>
        <w:tc>
          <w:tcPr>
            <w:tcW w:w="8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109,429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150,453</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113,506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Beginning of period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125,699</w:t>
            </w: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122,819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Supplemental disclosure of cash paid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Income tax refunds received</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IVERIC bio,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Unaudited Consolidated Financial Statements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157" w:lineRule="exact"/>
        <w:rPr>
          <w:sz w:val="20"/>
          <w:szCs w:val="20"/>
          <w:color w:val="auto"/>
        </w:rPr>
      </w:pPr>
    </w:p>
    <w:p>
      <w:pPr>
        <w:ind w:firstLine="636"/>
        <w:spacing w:after="0" w:line="330" w:lineRule="auto"/>
        <w:rPr>
          <w:sz w:val="20"/>
          <w:szCs w:val="20"/>
          <w:color w:val="auto"/>
        </w:rPr>
      </w:pPr>
      <w:r>
        <w:rPr>
          <w:rFonts w:ascii="Arial" w:cs="Arial" w:eastAsia="Arial" w:hAnsi="Arial"/>
          <w:sz w:val="15"/>
          <w:szCs w:val="15"/>
          <w:color w:val="auto"/>
        </w:rPr>
        <w:t>IVERIC bio, Inc. (“the Company” or “IVERIC”) is a science-driven biopharmaceutical company focused on the discovery and development of novel treatments for retinal diseases with significant unmet medical needs. The Company is committed to having a positive impact on patients’ lives by delivering high-quality, safe and effective treatments designed to address debilitating retina diseases including all stages of age-related macular degeneration (“AMD”).</w:t>
      </w:r>
    </w:p>
    <w:p>
      <w:pPr>
        <w:spacing w:after="0" w:line="70" w:lineRule="exact"/>
        <w:rPr>
          <w:sz w:val="20"/>
          <w:szCs w:val="20"/>
          <w:color w:val="auto"/>
        </w:rPr>
      </w:pPr>
    </w:p>
    <w:p>
      <w:pPr>
        <w:ind w:right="2500" w:firstLine="636"/>
        <w:spacing w:after="0" w:line="264" w:lineRule="auto"/>
        <w:rPr>
          <w:sz w:val="20"/>
          <w:szCs w:val="20"/>
          <w:color w:val="auto"/>
        </w:rPr>
      </w:pPr>
      <w:r>
        <w:rPr>
          <w:rFonts w:ascii="Arial" w:cs="Arial" w:eastAsia="Arial" w:hAnsi="Arial"/>
          <w:sz w:val="18"/>
          <w:szCs w:val="18"/>
          <w:color w:val="auto"/>
        </w:rPr>
        <w:t>The Company’s lead asset is its clinical stage product candidate Zimura® (avacincaptad pegol), a complement C5 inhibitor. It is currently targeting the following diseases with Zimura:</w:t>
      </w:r>
    </w:p>
    <w:p>
      <w:pPr>
        <w:spacing w:after="0" w:line="207" w:lineRule="exact"/>
        <w:rPr>
          <w:sz w:val="20"/>
          <w:szCs w:val="20"/>
          <w:color w:val="auto"/>
        </w:rPr>
      </w:pPr>
    </w:p>
    <w:p>
      <w:pPr>
        <w:ind w:left="640" w:right="22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Geographic Atrophy (“GA”), which is the advanced stage of AMD, and is characterized by marked thinning or atrophy of retinal tissue, leading to irreversible loss of vision;</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intermediate AMD, which is an earlier stage of AMD that precedes GA; and</w:t>
      </w:r>
    </w:p>
    <w:p>
      <w:pPr>
        <w:spacing w:after="0" w:line="243"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autosomal recessive Stargardt disease (“STGD1”), which is an orphan inherited condition characterized by progressive damage to the central portion of the retina (the “macula”) and other retinal tissue, leading to loss of vision.</w:t>
      </w:r>
    </w:p>
    <w:p>
      <w:pPr>
        <w:spacing w:after="0" w:line="207" w:lineRule="exact"/>
        <w:rPr>
          <w:sz w:val="20"/>
          <w:szCs w:val="20"/>
          <w:color w:val="auto"/>
        </w:rPr>
      </w:pPr>
    </w:p>
    <w:p>
      <w:pPr>
        <w:ind w:right="20" w:firstLine="636"/>
        <w:spacing w:after="0" w:line="265" w:lineRule="auto"/>
        <w:rPr>
          <w:sz w:val="20"/>
          <w:szCs w:val="20"/>
          <w:color w:val="auto"/>
        </w:rPr>
      </w:pPr>
      <w:r>
        <w:rPr>
          <w:rFonts w:ascii="Arial" w:cs="Arial" w:eastAsia="Arial" w:hAnsi="Arial"/>
          <w:sz w:val="17"/>
          <w:szCs w:val="17"/>
          <w:color w:val="auto"/>
        </w:rPr>
        <w:t>In July 2021, the Company completed patient enrollment for GATHER2, its Phase 3 clinical trial evaluating the safety and efficacy of Zimura for the treatment of GA secondary to AMD. The Company has also received a written agreement from the U.S. Food and Drug Administration (“FDA”) under a Special Protocol Assessment for the overall design of GATHER2. The Company expects topline data from the GATHER2 trial to become available during the second half of 2022, approximately one year after the enrollment of the last patient plus the time needed for database lock and analysis. The Company also plans to initiate a Phase 3 clinical trial evaluating Zimura for patients with intermediate AMD during 2022. The Company expects data from this trial, if positive, together with other supportive data, may be sufficient to file a supplemental new drug application with the FDA and a supplemental marketing authorization application with the European Medicines Agency.</w:t>
      </w:r>
    </w:p>
    <w:p>
      <w:pPr>
        <w:spacing w:after="0" w:line="212" w:lineRule="exact"/>
        <w:rPr>
          <w:sz w:val="20"/>
          <w:szCs w:val="20"/>
          <w:color w:val="auto"/>
        </w:rPr>
      </w:pPr>
    </w:p>
    <w:p>
      <w:pPr>
        <w:ind w:right="60" w:firstLine="636"/>
        <w:spacing w:after="0" w:line="255" w:lineRule="auto"/>
        <w:rPr>
          <w:sz w:val="20"/>
          <w:szCs w:val="20"/>
          <w:color w:val="auto"/>
        </w:rPr>
      </w:pPr>
      <w:r>
        <w:rPr>
          <w:rFonts w:ascii="Arial" w:cs="Arial" w:eastAsia="Arial" w:hAnsi="Arial"/>
          <w:sz w:val="18"/>
          <w:szCs w:val="18"/>
          <w:color w:val="auto"/>
        </w:rPr>
        <w:t>In addition to Zimura, the Company is developing its preclinical product candidate IC-500, a High temperature requirement A serine peptidase 1 protein (“HtrA1”) inhibitor, for GA secondary to AMD and potentially other age-related retinal diseases. Based on current timelines, the Company expects to submit an investigational new drug application to the FDA for IC-500 during the second half of 2022.</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portfolio also includes two preclinical stage gene therapy product candidates (IC-100 and IC-200)</w:t>
      </w:r>
    </w:p>
    <w:p>
      <w:pPr>
        <w:spacing w:after="0" w:line="16" w:lineRule="exact"/>
        <w:rPr>
          <w:sz w:val="20"/>
          <w:szCs w:val="20"/>
          <w:color w:val="auto"/>
        </w:rPr>
      </w:pPr>
    </w:p>
    <w:p>
      <w:pPr>
        <w:ind w:right="500"/>
        <w:spacing w:after="0" w:line="251" w:lineRule="auto"/>
        <w:rPr>
          <w:sz w:val="20"/>
          <w:szCs w:val="20"/>
          <w:color w:val="auto"/>
        </w:rPr>
      </w:pPr>
      <w:r>
        <w:rPr>
          <w:rFonts w:ascii="Arial" w:cs="Arial" w:eastAsia="Arial" w:hAnsi="Arial"/>
          <w:sz w:val="18"/>
          <w:szCs w:val="18"/>
          <w:color w:val="auto"/>
        </w:rPr>
        <w:t>and several ongoing gene therapy research programs, each of which uses adeno-associated virus (“AAV”) for gene delivery. These AAV mediated gene therapy programs are targeting the following orphan inherited retinal diseases (“IRDs”):</w:t>
      </w:r>
    </w:p>
    <w:p>
      <w:pPr>
        <w:spacing w:after="0" w:line="218" w:lineRule="exact"/>
        <w:rPr>
          <w:sz w:val="20"/>
          <w:szCs w:val="20"/>
          <w:color w:val="auto"/>
        </w:rPr>
      </w:pPr>
    </w:p>
    <w:p>
      <w:pPr>
        <w:ind w:left="640" w:right="42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(“RHO-adRP”), which is characterized by progressive and severe bilateral loss of vision leading to blindness;</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IRDs associated with mutations in the BEST1 gene, including Best vitelliform macular dystrophy (“Best disease”);</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Leber Congenital Amaurosis type 10 (“LCA10”), which is characterized by severe bilateral loss of vision at or soon after birth;</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STGD1; and</w:t>
      </w:r>
    </w:p>
    <w:p>
      <w:pPr>
        <w:spacing w:after="0" w:line="243" w:lineRule="exact"/>
        <w:rPr>
          <w:rFonts w:ascii="Arial" w:cs="Arial" w:eastAsia="Arial" w:hAnsi="Arial"/>
          <w:sz w:val="18"/>
          <w:szCs w:val="18"/>
          <w:color w:val="auto"/>
        </w:rPr>
      </w:pPr>
    </w:p>
    <w:p>
      <w:pPr>
        <w:ind w:left="640" w:right="36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IRDs associated with mutations in the USH2A gene, which include Usher syndrome type 2A, and USH2A-associated non-syndromic autosomal recessive retinitis pigmentosa.</w:t>
      </w:r>
    </w:p>
    <w:p>
      <w:pPr>
        <w:spacing w:after="0" w:line="207" w:lineRule="exact"/>
        <w:rPr>
          <w:sz w:val="20"/>
          <w:szCs w:val="20"/>
          <w:color w:val="auto"/>
        </w:rPr>
      </w:pPr>
    </w:p>
    <w:p>
      <w:pPr>
        <w:ind w:right="20" w:firstLine="636"/>
        <w:spacing w:after="0" w:line="255" w:lineRule="auto"/>
        <w:rPr>
          <w:sz w:val="20"/>
          <w:szCs w:val="20"/>
          <w:color w:val="auto"/>
        </w:rPr>
      </w:pPr>
      <w:r>
        <w:rPr>
          <w:rFonts w:ascii="Arial" w:cs="Arial" w:eastAsia="Arial" w:hAnsi="Arial"/>
          <w:sz w:val="18"/>
          <w:szCs w:val="18"/>
          <w:color w:val="auto"/>
        </w:rPr>
        <w:t>As the Company focuses its efforts on and prioritizes the development of Zimura, it has been considering its development options for IC-100 and IC-200, which the Company has been developing for RHO-adRP and BEST1-related IRDs, respectively. It currently plans to seek a collaborator or licensee for the future development and potential commercialization of these product candidates.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4" w:lineRule="exact"/>
        <w:rPr>
          <w:sz w:val="20"/>
          <w:szCs w:val="20"/>
          <w:color w:val="auto"/>
        </w:rPr>
      </w:pPr>
    </w:p>
    <w:p>
      <w:pPr>
        <w:ind w:right="320" w:firstLine="397"/>
        <w:spacing w:after="0" w:line="255"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notes to the audited consolidated financial statements included in the Company’s Annual Report on Form 10-K (“Annual Report”) for the year ended December 31, 2020 filed with th</w:t>
      </w:r>
      <w:r>
        <w:rPr>
          <w:rFonts w:ascii="Arial" w:cs="Arial" w:eastAsia="Arial" w:hAnsi="Arial"/>
          <w:sz w:val="18"/>
          <w:szCs w:val="18"/>
          <w:color w:val="212529"/>
        </w:rPr>
        <w:t>e Securities and Exchange</w:t>
      </w:r>
      <w:r>
        <w:rPr>
          <w:rFonts w:ascii="Arial" w:cs="Arial" w:eastAsia="Arial" w:hAnsi="Arial"/>
          <w:sz w:val="18"/>
          <w:szCs w:val="18"/>
          <w:color w:val="auto"/>
        </w:rPr>
        <w:t xml:space="preserve"> Commission (“SEC”) on March 4,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57" w:lineRule="exact"/>
        <w:rPr>
          <w:sz w:val="20"/>
          <w:szCs w:val="20"/>
          <w:color w:val="auto"/>
        </w:rPr>
      </w:pPr>
    </w:p>
    <w:p>
      <w:pPr>
        <w:ind w:firstLine="397"/>
        <w:spacing w:after="0" w:line="312" w:lineRule="auto"/>
        <w:rPr>
          <w:sz w:val="20"/>
          <w:szCs w:val="20"/>
          <w:color w:val="auto"/>
        </w:rPr>
      </w:pPr>
      <w:r>
        <w:rPr>
          <w:rFonts w:ascii="Arial" w:cs="Arial" w:eastAsia="Arial" w:hAnsi="Arial"/>
          <w:sz w:val="15"/>
          <w:szCs w:val="15"/>
          <w:color w:val="auto"/>
        </w:rPr>
        <w:t xml:space="preserve">In </w:t>
      </w:r>
      <w:r>
        <w:rPr>
          <w:rFonts w:ascii="Arial" w:cs="Arial" w:eastAsia="Arial" w:hAnsi="Arial"/>
          <w:sz w:val="15"/>
          <w:szCs w:val="15"/>
          <w:color w:val="212529"/>
        </w:rPr>
        <w:t>the opinion of management, the Company’s condensed consolidated financial statements include all adjustments, consisting of normal recurring</w:t>
      </w:r>
      <w:r>
        <w:rPr>
          <w:rFonts w:ascii="Arial" w:cs="Arial" w:eastAsia="Arial" w:hAnsi="Arial"/>
          <w:sz w:val="15"/>
          <w:szCs w:val="15"/>
          <w:color w:val="auto"/>
        </w:rPr>
        <w:t xml:space="preserve"> </w:t>
      </w:r>
      <w:r>
        <w:rPr>
          <w:rFonts w:ascii="Arial" w:cs="Arial" w:eastAsia="Arial" w:hAnsi="Arial"/>
          <w:sz w:val="15"/>
          <w:szCs w:val="15"/>
          <w:color w:val="212529"/>
        </w:rPr>
        <w:t>accruals, necessary for a fair statement of the Company’s financial statements for interim periods in accordance with accounting principles generally accepted in the United States (“U.S. GAAP”). The consolidated financial statements include the accounts of the Company and its subsidiaries. All intercompany balances and transactions have been eliminated in consolidation. The information included in this quarterly report on Form 10-Q should be read in conjunction with the Company’s audited consolidated financial statements and the accompanying notes included in the Annual Report.</w:t>
      </w:r>
    </w:p>
    <w:p>
      <w:pPr>
        <w:spacing w:after="0" w:line="71" w:lineRule="exact"/>
        <w:rPr>
          <w:sz w:val="20"/>
          <w:szCs w:val="20"/>
          <w:color w:val="auto"/>
        </w:rPr>
      </w:pPr>
    </w:p>
    <w:p>
      <w:pPr>
        <w:ind w:right="540" w:firstLine="397"/>
        <w:spacing w:after="0" w:line="277"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color w:val="212529"/>
        </w:rPr>
        <w:t>year-end condensed consolidated balance sheet data presented for comparative purposes was derived from the Company’s audited financial</w:t>
      </w:r>
      <w:r>
        <w:rPr>
          <w:rFonts w:ascii="Arial" w:cs="Arial" w:eastAsia="Arial" w:hAnsi="Arial"/>
          <w:sz w:val="17"/>
          <w:szCs w:val="17"/>
          <w:color w:val="auto"/>
        </w:rPr>
        <w:t xml:space="preserve"> </w:t>
      </w:r>
      <w:r>
        <w:rPr>
          <w:rFonts w:ascii="Arial" w:cs="Arial" w:eastAsia="Arial" w:hAnsi="Arial"/>
          <w:sz w:val="17"/>
          <w:szCs w:val="17"/>
          <w:color w:val="212529"/>
        </w:rPr>
        <w:t>statements but does not include all disclosures required by U.S. GAAP. The results of operations for the nine months ended September 30, 2021 are not necessarily indicative of the operating results for the full year or for any other subsequent interim period.</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and Geographic Information</w:t>
      </w:r>
    </w:p>
    <w:p>
      <w:pPr>
        <w:spacing w:after="0" w:line="157" w:lineRule="exact"/>
        <w:rPr>
          <w:sz w:val="20"/>
          <w:szCs w:val="20"/>
          <w:color w:val="auto"/>
        </w:rPr>
      </w:pPr>
    </w:p>
    <w:p>
      <w:pPr>
        <w:ind w:right="180" w:firstLine="397"/>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and reportable segment.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57" w:lineRule="exact"/>
        <w:rPr>
          <w:sz w:val="20"/>
          <w:szCs w:val="20"/>
          <w:color w:val="auto"/>
        </w:rPr>
      </w:pPr>
    </w:p>
    <w:p>
      <w:pPr>
        <w:ind w:right="40" w:firstLine="397"/>
        <w:spacing w:after="0" w:line="267" w:lineRule="auto"/>
        <w:rPr>
          <w:sz w:val="20"/>
          <w:szCs w:val="20"/>
          <w:color w:val="auto"/>
        </w:rPr>
      </w:pPr>
      <w:r>
        <w:rPr>
          <w:rFonts w:ascii="Arial" w:cs="Arial" w:eastAsia="Arial" w:hAnsi="Arial"/>
          <w:sz w:val="17"/>
          <w:szCs w:val="17"/>
          <w:color w:val="auto"/>
        </w:rPr>
        <w:t>The preparation of financial statements and related disclosures in conformity with U.S.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the periods presented are affected by estimates and assumptions, which are used for, but not limited to, accounting for research and development costs, accounting for share-based compensation and accounting for income taxes. Actual results could differ from those estimates.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4" w:lineRule="exact"/>
        <w:rPr>
          <w:sz w:val="20"/>
          <w:szCs w:val="20"/>
          <w:color w:val="auto"/>
        </w:rPr>
      </w:pPr>
    </w:p>
    <w:p>
      <w:pPr>
        <w:ind w:right="200" w:firstLine="397"/>
        <w:spacing w:after="0" w:line="294" w:lineRule="auto"/>
        <w:rPr>
          <w:sz w:val="20"/>
          <w:szCs w:val="20"/>
          <w:color w:val="auto"/>
        </w:rPr>
      </w:pPr>
      <w:r>
        <w:rPr>
          <w:rFonts w:ascii="Arial" w:cs="Arial" w:eastAsia="Arial" w:hAnsi="Arial"/>
          <w:sz w:val="17"/>
          <w:szCs w:val="17"/>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for Sale Securities</w:t>
      </w:r>
    </w:p>
    <w:p>
      <w:pPr>
        <w:spacing w:after="0" w:line="157" w:lineRule="exact"/>
        <w:rPr>
          <w:sz w:val="20"/>
          <w:szCs w:val="20"/>
          <w:color w:val="auto"/>
        </w:rPr>
      </w:pPr>
    </w:p>
    <w:p>
      <w:pPr>
        <w:ind w:right="140" w:firstLine="397"/>
        <w:spacing w:after="0" w:line="255" w:lineRule="auto"/>
        <w:rPr>
          <w:sz w:val="20"/>
          <w:szCs w:val="20"/>
          <w:color w:val="auto"/>
        </w:rPr>
      </w:pPr>
      <w:r>
        <w:rPr>
          <w:rFonts w:ascii="Arial" w:cs="Arial" w:eastAsia="Arial" w:hAnsi="Arial"/>
          <w:sz w:val="18"/>
          <w:szCs w:val="18"/>
          <w:color w:val="auto"/>
        </w:rPr>
        <w:t>The Company considers securities with original maturities of greater than 90 days to be available for sale securities. Available for sale securities with original maturities of greater than one year are recorded as non-current assets. Available for sale securities are recorded at fair value and unrealized gains and losses are recorded within other comprehensive income.</w:t>
      </w:r>
    </w:p>
    <w:p>
      <w:pPr>
        <w:spacing w:after="0" w:line="109" w:lineRule="exact"/>
        <w:rPr>
          <w:sz w:val="20"/>
          <w:szCs w:val="20"/>
          <w:color w:val="auto"/>
        </w:rPr>
      </w:pPr>
    </w:p>
    <w:p>
      <w:pPr>
        <w:ind w:right="20" w:firstLine="397"/>
        <w:spacing w:after="0" w:line="305" w:lineRule="auto"/>
        <w:rPr>
          <w:sz w:val="20"/>
          <w:szCs w:val="20"/>
          <w:color w:val="auto"/>
        </w:rPr>
      </w:pPr>
      <w:r>
        <w:rPr>
          <w:rFonts w:ascii="Arial" w:cs="Arial" w:eastAsia="Arial" w:hAnsi="Arial"/>
          <w:sz w:val="15"/>
          <w:szCs w:val="15"/>
          <w:color w:val="auto"/>
        </w:rPr>
        <w:t>On a quarterly basis, the Company reviews the status of each security in an unrealized loss position, to evaluate the existence of potential credit losses. The Company first considers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through income. For securities that do not meet this criteria, the Company considers a number of factors to determine if the decline in fair value has resulted from credit losses or other factors, including but not limited to: (1) the extent of the decline; (2) changes to the rating of the security by a rating agency; (3) any adverse conditions specific to the security; and (4) other market conditions that may affect the fair value of the security. If this assessment indicates that a credit loss exists and the present value of cash flows expected to be collected is less than the amortized cost basis, an allowance for credit losses is required for the credit loss. Any impairment that has not been recorded through an allowance for credit losses is recognized in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44" w:lineRule="exact"/>
        <w:rPr>
          <w:sz w:val="20"/>
          <w:szCs w:val="20"/>
          <w:color w:val="auto"/>
        </w:rPr>
      </w:pPr>
    </w:p>
    <w:p>
      <w:pPr>
        <w:ind w:right="180" w:firstLine="397"/>
        <w:spacing w:after="0" w:line="255" w:lineRule="auto"/>
        <w:rPr>
          <w:sz w:val="20"/>
          <w:szCs w:val="20"/>
          <w:color w:val="auto"/>
        </w:rPr>
      </w:pPr>
      <w:r>
        <w:rPr>
          <w:rFonts w:ascii="Arial" w:cs="Arial" w:eastAsia="Arial" w:hAnsi="Arial"/>
          <w:sz w:val="18"/>
          <w:szCs w:val="18"/>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122" w:lineRule="exact"/>
        <w:rPr>
          <w:sz w:val="20"/>
          <w:szCs w:val="20"/>
          <w:color w:val="auto"/>
        </w:rPr>
      </w:pPr>
    </w:p>
    <w:p>
      <w:pPr>
        <w:ind w:right="40" w:firstLine="397"/>
        <w:spacing w:after="0" w:line="252" w:lineRule="auto"/>
        <w:rPr>
          <w:sz w:val="20"/>
          <w:szCs w:val="20"/>
          <w:color w:val="auto"/>
        </w:rPr>
      </w:pPr>
      <w:r>
        <w:rPr>
          <w:rFonts w:ascii="Arial" w:cs="Arial" w:eastAsia="Arial" w:hAnsi="Arial"/>
          <w:sz w:val="18"/>
          <w:szCs w:val="18"/>
          <w:color w:val="auto"/>
        </w:rPr>
        <w:t xml:space="preserve">Accounting Standards Codification, or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24" w:lineRule="exact"/>
        <w:rPr>
          <w:sz w:val="20"/>
          <w:szCs w:val="20"/>
          <w:color w:val="auto"/>
        </w:rPr>
      </w:pPr>
    </w:p>
    <w:p>
      <w:pPr>
        <w:ind w:right="60" w:firstLine="397"/>
        <w:spacing w:after="0" w:line="312" w:lineRule="auto"/>
        <w:rPr>
          <w:sz w:val="20"/>
          <w:szCs w:val="20"/>
          <w:color w:val="auto"/>
        </w:rPr>
      </w:pPr>
      <w:r>
        <w:rPr>
          <w:rFonts w:ascii="Arial" w:cs="Arial" w:eastAsia="Arial" w:hAnsi="Arial"/>
          <w:sz w:val="15"/>
          <w:szCs w:val="15"/>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corporate debt securities within the fair value hierarchy as Level 2 assets, as it primarily utilizes quoted market prices or rates for similar instruments to value these securities.</w:t>
      </w:r>
    </w:p>
    <w:p>
      <w:pPr>
        <w:spacing w:after="0" w:line="71" w:lineRule="exact"/>
        <w:rPr>
          <w:sz w:val="20"/>
          <w:szCs w:val="20"/>
          <w:color w:val="auto"/>
        </w:rPr>
      </w:pPr>
    </w:p>
    <w:p>
      <w:pPr>
        <w:ind w:right="280" w:firstLine="397"/>
        <w:spacing w:after="0" w:line="264"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114" w:lineRule="exact"/>
        <w:rPr>
          <w:sz w:val="20"/>
          <w:szCs w:val="20"/>
          <w:color w:val="auto"/>
        </w:rPr>
      </w:pPr>
    </w:p>
    <w:p>
      <w:pPr>
        <w:ind w:left="640" w:right="30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114" w:lineRule="exact"/>
        <w:rPr>
          <w:rFonts w:ascii="Arial" w:cs="Arial" w:eastAsia="Arial" w:hAnsi="Arial"/>
          <w:sz w:val="18"/>
          <w:szCs w:val="18"/>
          <w:color w:val="auto"/>
        </w:rPr>
      </w:pPr>
    </w:p>
    <w:p>
      <w:pPr>
        <w:jc w:val="both"/>
        <w:ind w:left="640" w:right="60" w:hanging="316"/>
        <w:spacing w:after="0" w:line="255"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spacing w:after="0" w:line="108" w:lineRule="exact"/>
        <w:rPr>
          <w:rFonts w:ascii="Arial" w:cs="Arial" w:eastAsia="Arial" w:hAnsi="Arial"/>
          <w:sz w:val="18"/>
          <w:szCs w:val="18"/>
          <w:color w:val="auto"/>
        </w:rPr>
      </w:pPr>
    </w:p>
    <w:p>
      <w:pPr>
        <w:ind w:left="640" w:right="16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57"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cash equivalents and available for sale securities. The Company maintains its cash in bank accounts, the balances of which generally exceed federally insured limits. The Company maintains its cash equivalents and available for sale securities in investments in money market funds, in U.S. Treasury securities, asset-backed securities and investment-grade corporate debt securities with original maturities of 90 days or less.</w:t>
      </w:r>
    </w:p>
    <w:p>
      <w:pPr>
        <w:spacing w:after="0" w:line="111" w:lineRule="exact"/>
        <w:rPr>
          <w:sz w:val="20"/>
          <w:szCs w:val="20"/>
          <w:color w:val="auto"/>
        </w:rPr>
      </w:pPr>
    </w:p>
    <w:p>
      <w:pPr>
        <w:ind w:right="1940" w:firstLine="397"/>
        <w:spacing w:after="0" w:line="414" w:lineRule="auto"/>
        <w:rPr>
          <w:sz w:val="20"/>
          <w:szCs w:val="20"/>
          <w:color w:val="auto"/>
        </w:rPr>
      </w:pPr>
      <w:r>
        <w:rPr>
          <w:rFonts w:ascii="Arial" w:cs="Arial" w:eastAsia="Arial" w:hAnsi="Arial"/>
          <w:sz w:val="18"/>
          <w:szCs w:val="18"/>
          <w:color w:val="auto"/>
        </w:rPr>
        <w:t xml:space="preserve">The Company believes it is not exposed to significant credit risk on its cash, cash equivalents and available for sale securities. </w:t>
      </w:r>
      <w:r>
        <w:rPr>
          <w:rFonts w:ascii="Arial" w:cs="Arial" w:eastAsia="Arial" w:hAnsi="Arial"/>
          <w:sz w:val="18"/>
          <w:szCs w:val="18"/>
          <w:b w:val="1"/>
          <w:bCs w:val="1"/>
          <w:color w:val="auto"/>
        </w:rPr>
        <w:t>Concentration of Suppliers</w:t>
      </w:r>
    </w:p>
    <w:p>
      <w:pPr>
        <w:spacing w:after="0" w:line="1" w:lineRule="exact"/>
        <w:rPr>
          <w:sz w:val="20"/>
          <w:szCs w:val="20"/>
          <w:color w:val="auto"/>
        </w:rPr>
      </w:pPr>
    </w:p>
    <w:p>
      <w:pPr>
        <w:ind w:firstLine="397"/>
        <w:spacing w:after="0" w:line="301" w:lineRule="auto"/>
        <w:rPr>
          <w:sz w:val="20"/>
          <w:szCs w:val="20"/>
          <w:color w:val="auto"/>
        </w:rPr>
      </w:pPr>
      <w:r>
        <w:rPr>
          <w:rFonts w:ascii="Arial" w:cs="Arial" w:eastAsia="Arial" w:hAnsi="Arial"/>
          <w:sz w:val="15"/>
          <w:szCs w:val="15"/>
          <w:color w:val="auto"/>
        </w:rPr>
        <w:t>The Company historically relied upon a single third-party manufacturer to provide the drug substance for Zimura on a purchase order basis. The Company also historically relied upon a single third-party manufacturer to provide fill/finish services for clinical supplies of Zimura. The Company has engaged one additional third-party manufacturer to provide drug substance for Zimura and one additional third-party manufacturer to provide fill/finish services for clinical supplies of Zimura. In addition, the Company currently relies upon a single third-party supplier to supply on a purchase order basis the polyethylene glycol starting material used to manufacture Zimura. Furthermore, the Company and its contract manufacturers currently rely upon sole-source suppliers of certain raw materials and other specialized components of production used in the manufacture and fill/finish of Zimura. The Company currently relies exclusively upon a single third-party contract manufacturer for IC-100 and IC-200 and also relies on sole-source suppliers for certain starting materials used in the manufacture of such product candidates. The Company currently relies upon a single third-party contract manufacturer to conduct process development, scale-up and GMP manufacture of the drug substance for IC-500 for preclinical toxicology studies and early-stage clinical trials and a single third-party contract manufacturer to conduct fill/finish services for IC-500. If the Company’s third-party manufacturers or fill/finish service providers should become unavailable to the Company for any reason, including as a result of capacity constraints, different business objectives, financial difficulties, insolvency or the COVID-19 pandemic, the Company believes that there are a limited number of potential replacement manufacturers, and the Company likely would incur added costs and delays in identifying or qualifying such replacements.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44" w:lineRule="exact"/>
        <w:rPr>
          <w:sz w:val="20"/>
          <w:szCs w:val="20"/>
          <w:color w:val="auto"/>
        </w:rPr>
      </w:pPr>
    </w:p>
    <w:p>
      <w:pPr>
        <w:jc w:val="both"/>
        <w:ind w:right="160" w:firstLine="397"/>
        <w:spacing w:after="0" w:line="252"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Consolidated Statements of Operations and Comprehensive Loss. Foreign exchange transaction gains and losses are included in the results of operations and are not material in the Company's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57" w:lineRule="exact"/>
        <w:rPr>
          <w:sz w:val="20"/>
          <w:szCs w:val="20"/>
          <w:color w:val="auto"/>
        </w:rPr>
      </w:pPr>
    </w:p>
    <w:p>
      <w:pPr>
        <w:ind w:firstLine="397"/>
        <w:spacing w:after="0" w:line="302" w:lineRule="auto"/>
        <w:rPr>
          <w:sz w:val="20"/>
          <w:szCs w:val="20"/>
          <w:color w:val="auto"/>
        </w:rPr>
      </w:pPr>
      <w:r>
        <w:rPr>
          <w:rFonts w:ascii="Arial" w:cs="Arial" w:eastAsia="Arial" w:hAnsi="Arial"/>
          <w:sz w:val="15"/>
          <w:szCs w:val="15"/>
          <w:color w:val="auto"/>
        </w:rPr>
        <w:t>The Company determines if an arrangement contains a lease at inception. For arrangements where the Company is the lessee, it recognizes a right-of-use (“ROU”) asset and operating lease liability on the Company's Consolidated Balance Sheet. ROU lease assets represent the Company's right to use the underlying asset for the lease term and the lease obligation represents the Company's commitment to make the lease payments arising from the lease. Right-of-use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ROU lease asset includes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Consolidated Balance Sheet.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57" w:lineRule="exact"/>
        <w:rPr>
          <w:sz w:val="20"/>
          <w:szCs w:val="20"/>
          <w:color w:val="auto"/>
        </w:rPr>
      </w:pPr>
    </w:p>
    <w:p>
      <w:pPr>
        <w:ind w:right="220" w:firstLine="397"/>
        <w:spacing w:after="0" w:line="252" w:lineRule="auto"/>
        <w:rPr>
          <w:sz w:val="20"/>
          <w:szCs w:val="20"/>
          <w:color w:val="auto"/>
        </w:rPr>
      </w:pPr>
      <w:r>
        <w:rPr>
          <w:rFonts w:ascii="Arial" w:cs="Arial" w:eastAsia="Arial" w:hAnsi="Arial"/>
          <w:sz w:val="18"/>
          <w:szCs w:val="18"/>
          <w:color w:val="auto"/>
        </w:rPr>
        <w:t>Property and equipment, which consists mainly of clinical and laboratory equipment,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4" w:lineRule="exact"/>
        <w:rPr>
          <w:sz w:val="20"/>
          <w:szCs w:val="20"/>
          <w:color w:val="auto"/>
        </w:rPr>
      </w:pPr>
    </w:p>
    <w:p>
      <w:pPr>
        <w:ind w:right="120" w:firstLine="397"/>
        <w:spacing w:after="0" w:line="255" w:lineRule="auto"/>
        <w:rPr>
          <w:sz w:val="20"/>
          <w:szCs w:val="20"/>
          <w:color w:val="auto"/>
        </w:rPr>
      </w:pPr>
      <w:r>
        <w:rPr>
          <w:rFonts w:ascii="Arial" w:cs="Arial" w:eastAsia="Arial" w:hAnsi="Arial"/>
          <w:sz w:val="18"/>
          <w:szCs w:val="18"/>
          <w:color w:val="auto"/>
        </w:rPr>
        <w:t>The Company's research and development expenses primarily consist of costs associated with the manufacturing, development and preclinical and clinical testing of the Company’s product candidates and costs associated with its gene therapy research programs. The Company's research and development expenses consist of:</w:t>
      </w:r>
    </w:p>
    <w:p>
      <w:pPr>
        <w:spacing w:after="0" w:line="122" w:lineRule="exact"/>
        <w:rPr>
          <w:sz w:val="20"/>
          <w:szCs w:val="20"/>
          <w:color w:val="auto"/>
        </w:rPr>
      </w:pPr>
    </w:p>
    <w:p>
      <w:pPr>
        <w:ind w:left="640" w:right="180" w:hanging="316"/>
        <w:spacing w:after="0" w:line="25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(“CROs”) and contract development and manufacturing organizations (“CDMOs”) and other vendors for the production and analysis of drug substance and drug product; and</w:t>
      </w:r>
    </w:p>
    <w:p>
      <w:pPr>
        <w:spacing w:after="0" w:line="121" w:lineRule="exact"/>
        <w:rPr>
          <w:rFonts w:ascii="Arial" w:cs="Arial" w:eastAsia="Arial" w:hAnsi="Arial"/>
          <w:sz w:val="18"/>
          <w:szCs w:val="18"/>
          <w:color w:val="auto"/>
        </w:rPr>
      </w:pPr>
    </w:p>
    <w:p>
      <w:pPr>
        <w:ind w:left="640" w:right="102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101" w:lineRule="exact"/>
        <w:rPr>
          <w:sz w:val="20"/>
          <w:szCs w:val="20"/>
          <w:color w:val="auto"/>
        </w:rPr>
      </w:pPr>
    </w:p>
    <w:p>
      <w:pPr>
        <w:ind w:right="80" w:firstLine="397"/>
        <w:spacing w:after="0" w:line="365" w:lineRule="auto"/>
        <w:rPr>
          <w:sz w:val="20"/>
          <w:szCs w:val="20"/>
          <w:color w:val="auto"/>
        </w:rPr>
      </w:pPr>
      <w:r>
        <w:rPr>
          <w:rFonts w:ascii="Arial" w:cs="Arial" w:eastAsia="Arial" w:hAnsi="Arial"/>
          <w:sz w:val="15"/>
          <w:szCs w:val="15"/>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45" w:lineRule="exact"/>
        <w:rPr>
          <w:sz w:val="20"/>
          <w:szCs w:val="20"/>
          <w:color w:val="auto"/>
        </w:rPr>
      </w:pPr>
    </w:p>
    <w:p>
      <w:pPr>
        <w:jc w:val="both"/>
        <w:ind w:right="200" w:firstLine="397"/>
        <w:spacing w:after="0" w:line="277"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4" w:lineRule="exact"/>
        <w:rPr>
          <w:sz w:val="20"/>
          <w:szCs w:val="20"/>
          <w:color w:val="auto"/>
        </w:rPr>
      </w:pPr>
    </w:p>
    <w:p>
      <w:pPr>
        <w:ind w:right="40" w:firstLine="397"/>
        <w:spacing w:after="0" w:line="250" w:lineRule="auto"/>
        <w:rPr>
          <w:sz w:val="20"/>
          <w:szCs w:val="20"/>
          <w:color w:val="auto"/>
        </w:rPr>
      </w:pPr>
      <w:r>
        <w:rPr>
          <w:rFonts w:ascii="Arial" w:cs="Arial" w:eastAsia="Arial" w:hAnsi="Arial"/>
          <w:sz w:val="18"/>
          <w:szCs w:val="18"/>
          <w:color w:val="auto"/>
        </w:rPr>
        <w:t>The Company utilizes the liability method of accounting for deferred income taxes, as set forth in ASC 740, Income Taxes.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44" w:lineRule="exact"/>
        <w:rPr>
          <w:sz w:val="20"/>
          <w:szCs w:val="20"/>
          <w:color w:val="auto"/>
        </w:rPr>
      </w:pPr>
    </w:p>
    <w:p>
      <w:pPr>
        <w:ind w:right="280" w:firstLine="397"/>
        <w:spacing w:after="0" w:line="305" w:lineRule="auto"/>
        <w:rPr>
          <w:sz w:val="20"/>
          <w:szCs w:val="20"/>
          <w:color w:val="auto"/>
        </w:rPr>
      </w:pPr>
      <w:r>
        <w:rPr>
          <w:rFonts w:ascii="Arial" w:cs="Arial" w:eastAsia="Arial" w:hAnsi="Arial"/>
          <w:sz w:val="15"/>
          <w:szCs w:val="15"/>
          <w:color w:val="auto"/>
        </w:rPr>
        <w:t xml:space="preserve">The Company follows the provisions of ASC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which requires the measurement and recognition of compensation expense for all share-based payment awards made to employees, non-employees and non-employee directors,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the Company makes this determination.</w:t>
      </w:r>
    </w:p>
    <w:p>
      <w:pPr>
        <w:spacing w:after="0" w:line="88" w:lineRule="exact"/>
        <w:rPr>
          <w:sz w:val="20"/>
          <w:szCs w:val="20"/>
          <w:color w:val="auto"/>
        </w:rPr>
      </w:pPr>
    </w:p>
    <w:p>
      <w:pPr>
        <w:ind w:right="140" w:firstLine="397"/>
        <w:spacing w:after="0" w:line="252" w:lineRule="auto"/>
        <w:rPr>
          <w:sz w:val="20"/>
          <w:szCs w:val="20"/>
          <w:color w:val="auto"/>
        </w:rPr>
      </w:pPr>
      <w:r>
        <w:rPr>
          <w:rFonts w:ascii="Arial" w:cs="Arial" w:eastAsia="Arial" w:hAnsi="Arial"/>
          <w:sz w:val="18"/>
          <w:szCs w:val="18"/>
          <w:color w:val="auto"/>
        </w:rPr>
        <w:t>The Company estimates forfeitures at the time of grant and revises those estimates in subsequent periods if actual forfeitures differ from its estimates. The Company uses historical data to estimate pre-vesting forfeitures and record share-based compensation expense only for those awards that are expected to vest. To the extent that actual forfeitures differ from the Company's estimates, the difference is recorded as a cumulative adjustment in the period the estimates were revised.</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Options</w:t>
      </w:r>
    </w:p>
    <w:p>
      <w:pPr>
        <w:spacing w:after="0" w:line="138" w:lineRule="exact"/>
        <w:rPr>
          <w:sz w:val="20"/>
          <w:szCs w:val="20"/>
          <w:color w:val="auto"/>
        </w:rPr>
      </w:pPr>
    </w:p>
    <w:p>
      <w:pPr>
        <w:ind w:right="200" w:firstLine="397"/>
        <w:spacing w:after="0" w:line="267" w:lineRule="auto"/>
        <w:rPr>
          <w:sz w:val="20"/>
          <w:szCs w:val="20"/>
          <w:color w:val="auto"/>
        </w:rPr>
      </w:pPr>
      <w:r>
        <w:rPr>
          <w:rFonts w:ascii="Arial" w:cs="Arial" w:eastAsia="Arial" w:hAnsi="Arial"/>
          <w:sz w:val="17"/>
          <w:szCs w:val="17"/>
          <w:color w:val="auto"/>
        </w:rPr>
        <w:t>The Company estimates the fair value of stock options granted to employees, non-employee directors and consultants on the date of grant using the Black-Scholes option-pricing model. The Company's computation of stock-price volatility is based on daily historical volatility during the time period that corresponds to the expected option term. The Company's computation of expected term is determined using the expected term of stock option grants to employees based on an analysis of actual option exercises.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113" w:lineRule="exact"/>
        <w:rPr>
          <w:sz w:val="20"/>
          <w:szCs w:val="20"/>
          <w:color w:val="auto"/>
        </w:rPr>
      </w:pPr>
    </w:p>
    <w:p>
      <w:pPr>
        <w:ind w:right="200" w:firstLine="397"/>
        <w:spacing w:after="0" w:line="264"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nine month periods ended September 30, 2021 and 2020:</w:t>
      </w:r>
    </w:p>
    <w:p>
      <w:pPr>
        <w:spacing w:after="0" w:line="184"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08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2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20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center"/>
              <w:ind w:left="25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top w:val="single" w:sz="8" w:color="auto"/>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center"/>
              <w:ind w:left="23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center"/>
              <w:ind w:left="21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center"/>
              <w:ind w:left="455"/>
              <w:spacing w:after="0"/>
              <w:rPr>
                <w:sz w:val="20"/>
                <w:szCs w:val="20"/>
                <w:color w:val="auto"/>
              </w:rPr>
            </w:pPr>
            <w:r>
              <w:rPr>
                <w:rFonts w:ascii="Arial" w:cs="Arial" w:eastAsia="Arial" w:hAnsi="Arial"/>
                <w:sz w:val="14"/>
                <w:szCs w:val="14"/>
                <w:b w:val="1"/>
                <w:bCs w:val="1"/>
                <w:color w:val="auto"/>
                <w:w w:val="89"/>
              </w:rPr>
              <w:t>2020</w:t>
            </w:r>
          </w:p>
        </w:tc>
      </w:tr>
      <w:tr>
        <w:trPr>
          <w:trHeight w:val="219"/>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common stock price volatility</w:t>
            </w:r>
          </w:p>
        </w:tc>
        <w:tc>
          <w:tcPr>
            <w:tcW w:w="1420" w:type="dxa"/>
            <w:vAlign w:val="bottom"/>
            <w:shd w:val="clear" w:color="auto" w:fill="CCEEFF"/>
          </w:tcPr>
          <w:p>
            <w:pPr>
              <w:jc w:val="center"/>
              <w:ind w:left="238"/>
              <w:spacing w:after="0"/>
              <w:rPr>
                <w:sz w:val="20"/>
                <w:szCs w:val="20"/>
                <w:color w:val="auto"/>
              </w:rPr>
            </w:pPr>
            <w:r>
              <w:rPr>
                <w:rFonts w:ascii="Arial" w:cs="Arial" w:eastAsia="Arial" w:hAnsi="Arial"/>
                <w:sz w:val="18"/>
                <w:szCs w:val="18"/>
                <w:color w:val="auto"/>
                <w:w w:val="91"/>
              </w:rPr>
              <w:t>113%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91"/>
              </w:rPr>
              <w:t>117%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18"/>
              <w:spacing w:after="0"/>
              <w:rPr>
                <w:sz w:val="20"/>
                <w:szCs w:val="20"/>
                <w:color w:val="auto"/>
              </w:rPr>
            </w:pPr>
            <w:r>
              <w:rPr>
                <w:rFonts w:ascii="Arial" w:cs="Arial" w:eastAsia="Arial" w:hAnsi="Arial"/>
                <w:sz w:val="18"/>
                <w:szCs w:val="18"/>
                <w:color w:val="auto"/>
                <w:w w:val="86"/>
              </w:rPr>
              <w:t>113%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6"/>
              </w:rPr>
              <w:t>117%</w:t>
            </w:r>
          </w:p>
        </w:tc>
      </w:tr>
      <w:tr>
        <w:trPr>
          <w:trHeight w:val="225"/>
        </w:trPr>
        <w:tc>
          <w:tcPr>
            <w:tcW w:w="5200" w:type="dxa"/>
            <w:vAlign w:val="bottom"/>
          </w:tcPr>
          <w:p>
            <w:pPr>
              <w:ind w:left="340"/>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center"/>
              <w:ind w:left="238"/>
              <w:spacing w:after="0"/>
              <w:rPr>
                <w:sz w:val="20"/>
                <w:szCs w:val="20"/>
                <w:color w:val="auto"/>
              </w:rPr>
            </w:pPr>
            <w:r>
              <w:rPr>
                <w:rFonts w:ascii="Arial" w:cs="Arial" w:eastAsia="Arial" w:hAnsi="Arial"/>
                <w:sz w:val="18"/>
                <w:szCs w:val="18"/>
                <w:color w:val="auto"/>
                <w:w w:val="90"/>
              </w:rPr>
              <w:t>0.68%-0.84%</w:t>
            </w:r>
          </w:p>
        </w:tc>
        <w:tc>
          <w:tcPr>
            <w:tcW w:w="120" w:type="dxa"/>
            <w:vAlign w:val="bottom"/>
          </w:tcPr>
          <w:p>
            <w:pPr>
              <w:spacing w:after="0"/>
              <w:rPr>
                <w:sz w:val="19"/>
                <w:szCs w:val="19"/>
                <w:color w:val="auto"/>
              </w:rPr>
            </w:pPr>
          </w:p>
        </w:tc>
        <w:tc>
          <w:tcPr>
            <w:tcW w:w="1420" w:type="dxa"/>
            <w:vAlign w:val="bottom"/>
          </w:tcPr>
          <w:p>
            <w:pPr>
              <w:jc w:val="center"/>
              <w:ind w:left="235"/>
              <w:spacing w:after="0"/>
              <w:rPr>
                <w:sz w:val="20"/>
                <w:szCs w:val="20"/>
                <w:color w:val="auto"/>
              </w:rPr>
            </w:pPr>
            <w:r>
              <w:rPr>
                <w:rFonts w:ascii="Arial" w:cs="Arial" w:eastAsia="Arial" w:hAnsi="Arial"/>
                <w:sz w:val="18"/>
                <w:szCs w:val="18"/>
                <w:color w:val="auto"/>
                <w:w w:val="90"/>
              </w:rPr>
              <w:t>0.22%-0.26%</w:t>
            </w:r>
          </w:p>
        </w:tc>
        <w:tc>
          <w:tcPr>
            <w:tcW w:w="120" w:type="dxa"/>
            <w:vAlign w:val="bottom"/>
          </w:tcPr>
          <w:p>
            <w:pPr>
              <w:spacing w:after="0"/>
              <w:rPr>
                <w:sz w:val="19"/>
                <w:szCs w:val="19"/>
                <w:color w:val="auto"/>
              </w:rPr>
            </w:pPr>
          </w:p>
        </w:tc>
        <w:tc>
          <w:tcPr>
            <w:tcW w:w="1420" w:type="dxa"/>
            <w:vAlign w:val="bottom"/>
          </w:tcPr>
          <w:p>
            <w:pPr>
              <w:jc w:val="center"/>
              <w:ind w:left="238"/>
              <w:spacing w:after="0"/>
              <w:rPr>
                <w:sz w:val="20"/>
                <w:szCs w:val="20"/>
                <w:color w:val="auto"/>
              </w:rPr>
            </w:pPr>
            <w:r>
              <w:rPr>
                <w:rFonts w:ascii="Arial" w:cs="Arial" w:eastAsia="Arial" w:hAnsi="Arial"/>
                <w:sz w:val="18"/>
                <w:szCs w:val="18"/>
                <w:color w:val="auto"/>
                <w:w w:val="90"/>
              </w:rPr>
              <w:t>0.31%-0.96%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0.22%-1.34</w:t>
            </w:r>
          </w:p>
        </w:tc>
      </w:tr>
      <w:tr>
        <w:trPr>
          <w:trHeight w:val="226"/>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term of options (years)</w:t>
            </w:r>
          </w:p>
        </w:tc>
        <w:tc>
          <w:tcPr>
            <w:tcW w:w="1420" w:type="dxa"/>
            <w:vAlign w:val="bottom"/>
            <w:shd w:val="clear" w:color="auto" w:fill="CCEEFF"/>
          </w:tcPr>
          <w:p>
            <w:pPr>
              <w:jc w:val="center"/>
              <w:ind w:left="238"/>
              <w:spacing w:after="0"/>
              <w:rPr>
                <w:sz w:val="20"/>
                <w:szCs w:val="20"/>
                <w:color w:val="auto"/>
              </w:rPr>
            </w:pPr>
            <w:r>
              <w:rPr>
                <w:rFonts w:ascii="Arial" w:cs="Arial" w:eastAsia="Arial" w:hAnsi="Arial"/>
                <w:sz w:val="18"/>
                <w:szCs w:val="18"/>
                <w:color w:val="auto"/>
                <w:w w:val="87"/>
              </w:rPr>
              <w:t>5.2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87"/>
              </w:rPr>
              <w:t>4.8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38"/>
              <w:spacing w:after="0"/>
              <w:rPr>
                <w:sz w:val="20"/>
                <w:szCs w:val="20"/>
                <w:color w:val="auto"/>
              </w:rPr>
            </w:pPr>
            <w:r>
              <w:rPr>
                <w:rFonts w:ascii="Arial" w:cs="Arial" w:eastAsia="Arial" w:hAnsi="Arial"/>
                <w:sz w:val="18"/>
                <w:szCs w:val="18"/>
                <w:color w:val="auto"/>
                <w:w w:val="87"/>
              </w:rPr>
              <w:t>5.2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87"/>
              </w:rPr>
              <w:t>4.6</w:t>
            </w:r>
          </w:p>
        </w:tc>
      </w:tr>
      <w:tr>
        <w:trPr>
          <w:trHeight w:val="224"/>
        </w:trPr>
        <w:tc>
          <w:tcPr>
            <w:tcW w:w="5200" w:type="dxa"/>
            <w:vAlign w:val="bottom"/>
          </w:tcPr>
          <w:p>
            <w:pPr>
              <w:ind w:left="340"/>
              <w:spacing w:after="0"/>
              <w:rPr>
                <w:sz w:val="20"/>
                <w:szCs w:val="20"/>
                <w:color w:val="auto"/>
              </w:rPr>
            </w:pPr>
            <w:r>
              <w:rPr>
                <w:rFonts w:ascii="Arial" w:cs="Arial" w:eastAsia="Arial" w:hAnsi="Arial"/>
                <w:sz w:val="18"/>
                <w:szCs w:val="18"/>
                <w:color w:val="auto"/>
              </w:rPr>
              <w:t>Expected dividend yield</w:t>
            </w:r>
          </w:p>
        </w:tc>
        <w:tc>
          <w:tcPr>
            <w:tcW w:w="1540" w:type="dxa"/>
            <w:vAlign w:val="bottom"/>
            <w:gridSpan w:val="2"/>
          </w:tcPr>
          <w:p>
            <w:pPr>
              <w:jc w:val="center"/>
              <w:ind w:left="118"/>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center"/>
              <w:ind w:left="115"/>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left="138"/>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475"/>
              <w:spacing w:after="0"/>
              <w:rPr>
                <w:sz w:val="20"/>
                <w:szCs w:val="20"/>
                <w:color w:val="auto"/>
              </w:rPr>
            </w:pPr>
            <w:r>
              <w:rPr>
                <w:rFonts w:ascii="Arial" w:cs="Arial" w:eastAsia="Arial" w:hAnsi="Arial"/>
                <w:sz w:val="18"/>
                <w:szCs w:val="18"/>
                <w:color w:val="auto"/>
                <w:w w:val="99"/>
              </w:rPr>
              <w:t>—</w:t>
            </w:r>
          </w:p>
        </w:tc>
      </w:tr>
    </w:tbl>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RSUs</w:t>
      </w:r>
    </w:p>
    <w:p>
      <w:pPr>
        <w:spacing w:after="0" w:line="151" w:lineRule="exact"/>
        <w:rPr>
          <w:sz w:val="20"/>
          <w:szCs w:val="20"/>
          <w:color w:val="auto"/>
        </w:rPr>
      </w:pPr>
    </w:p>
    <w:p>
      <w:pPr>
        <w:ind w:right="500" w:firstLine="397"/>
        <w:spacing w:after="0" w:line="264" w:lineRule="auto"/>
        <w:rPr>
          <w:sz w:val="20"/>
          <w:szCs w:val="20"/>
          <w:color w:val="auto"/>
        </w:rPr>
      </w:pPr>
      <w:r>
        <w:rPr>
          <w:rFonts w:ascii="Arial" w:cs="Arial" w:eastAsia="Arial" w:hAnsi="Arial"/>
          <w:sz w:val="18"/>
          <w:szCs w:val="18"/>
          <w:color w:val="auto"/>
        </w:rPr>
        <w:t>The Company estimates the fair value of RSUs granted to employees using the closing market price of the Company's common stock on the date of grant.</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ESPP</w:t>
      </w:r>
    </w:p>
    <w:p>
      <w:pPr>
        <w:spacing w:after="0" w:line="138" w:lineRule="exact"/>
        <w:rPr>
          <w:sz w:val="20"/>
          <w:szCs w:val="20"/>
          <w:color w:val="auto"/>
        </w:rPr>
      </w:pPr>
    </w:p>
    <w:p>
      <w:pPr>
        <w:ind w:right="120" w:firstLine="397"/>
        <w:spacing w:after="0" w:line="252" w:lineRule="auto"/>
        <w:rPr>
          <w:sz w:val="20"/>
          <w:szCs w:val="20"/>
          <w:color w:val="auto"/>
        </w:rPr>
      </w:pPr>
      <w:r>
        <w:rPr>
          <w:rFonts w:ascii="Arial" w:cs="Arial" w:eastAsia="Arial" w:hAnsi="Arial"/>
          <w:sz w:val="18"/>
          <w:szCs w:val="18"/>
          <w:color w:val="auto"/>
        </w:rPr>
        <w:t>In April 2016, the Company's board of directors adopted the ESPP pursuant to which the Company may sell up to an aggregate of 1,000,000 shares of its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7" w:lineRule="exact"/>
        <w:rPr>
          <w:sz w:val="20"/>
          <w:szCs w:val="20"/>
          <w:color w:val="auto"/>
        </w:rPr>
      </w:pPr>
    </w:p>
    <w:p>
      <w:pPr>
        <w:ind w:right="700" w:firstLine="397"/>
        <w:spacing w:after="0" w:line="264" w:lineRule="auto"/>
        <w:rPr>
          <w:sz w:val="20"/>
          <w:szCs w:val="20"/>
          <w:color w:val="auto"/>
        </w:rPr>
      </w:pPr>
      <w:r>
        <w:rPr>
          <w:rFonts w:ascii="Arial" w:cs="Arial" w:eastAsia="Arial" w:hAnsi="Arial"/>
          <w:sz w:val="18"/>
          <w:szCs w:val="18"/>
          <w:color w:val="auto"/>
        </w:rPr>
        <w:t>The Company has evaluated recent accounting pronouncements through the date the financial statements were issued and filed with the SEC and believes that there are none that will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w:t>
      </w:r>
    </w:p>
    <w:p>
      <w:pPr>
        <w:spacing w:after="0" w:line="144" w:lineRule="exact"/>
        <w:rPr>
          <w:sz w:val="20"/>
          <w:szCs w:val="20"/>
          <w:color w:val="auto"/>
        </w:rPr>
      </w:pPr>
    </w:p>
    <w:p>
      <w:pPr>
        <w:ind w:right="40" w:firstLine="397"/>
        <w:spacing w:after="0" w:line="255" w:lineRule="auto"/>
        <w:rPr>
          <w:sz w:val="20"/>
          <w:szCs w:val="20"/>
          <w:color w:val="auto"/>
        </w:rPr>
      </w:pPr>
      <w:r>
        <w:rPr>
          <w:rFonts w:ascii="Arial" w:cs="Arial" w:eastAsia="Arial" w:hAnsi="Arial"/>
          <w:sz w:val="18"/>
          <w:szCs w:val="18"/>
          <w:color w:val="auto"/>
        </w:rPr>
        <w:t>In July 2021, the Company completed an underwritten public offering in which the Company sold 13,397,500 shares of its common stock, which included the exercise in full of the underwriters’ option to purchase an additional 1,747,500 shares of the Company’s common stock, at a price to the public of $8.60 per share and at a price to the underwriters of $8.084 per share.</w:t>
      </w:r>
    </w:p>
    <w:p>
      <w:pPr>
        <w:spacing w:after="0" w:line="122" w:lineRule="exact"/>
        <w:rPr>
          <w:sz w:val="20"/>
          <w:szCs w:val="20"/>
          <w:color w:val="auto"/>
        </w:rPr>
      </w:pPr>
    </w:p>
    <w:p>
      <w:pPr>
        <w:ind w:right="600" w:firstLine="397"/>
        <w:spacing w:after="0" w:line="264" w:lineRule="auto"/>
        <w:rPr>
          <w:sz w:val="20"/>
          <w:szCs w:val="20"/>
          <w:color w:val="auto"/>
        </w:rPr>
      </w:pPr>
      <w:r>
        <w:rPr>
          <w:rFonts w:ascii="Arial" w:cs="Arial" w:eastAsia="Arial" w:hAnsi="Arial"/>
          <w:sz w:val="18"/>
          <w:szCs w:val="18"/>
          <w:color w:val="auto"/>
        </w:rPr>
        <w:t>The net proceeds from the July 2021 public offering, after deducting underwriting discounts and commissions and other expenses payable by the Company totaling approximately $7.4 million, was approximately $107.8 million.</w:t>
      </w:r>
    </w:p>
    <w:p>
      <w:pPr>
        <w:spacing w:after="0" w:line="114" w:lineRule="exact"/>
        <w:rPr>
          <w:sz w:val="20"/>
          <w:szCs w:val="20"/>
          <w:color w:val="auto"/>
        </w:rPr>
      </w:pPr>
    </w:p>
    <w:p>
      <w:pPr>
        <w:ind w:right="200" w:firstLine="397"/>
        <w:spacing w:after="0" w:line="250" w:lineRule="auto"/>
        <w:rPr>
          <w:sz w:val="20"/>
          <w:szCs w:val="20"/>
          <w:color w:val="auto"/>
        </w:rPr>
      </w:pPr>
      <w:r>
        <w:rPr>
          <w:rFonts w:ascii="Arial" w:cs="Arial" w:eastAsia="Arial" w:hAnsi="Arial"/>
          <w:sz w:val="18"/>
          <w:szCs w:val="18"/>
          <w:color w:val="auto"/>
        </w:rPr>
        <w:t>In June 2020, the Company completed an underwritten public offering in which the Company sold 28,503,220 shares of its common stock, which included the exercise in full of the underwriters’ option to purchase additional shares of the Company’s common stock, at a price to the public of $4.100 per share and at a price to the underwriters of $3.854 per share. The Company also sold to certain investors in lieu of common stock, pre-funded warrants to purchase 1,914,280 shares of its common stock at a price to the public of $4.099 per share underlying each pre-funded warrant, and at a price to the underwriters of $3.853 per share underlying each pre-funded warrant.</w:t>
      </w:r>
    </w:p>
    <w:p>
      <w:pPr>
        <w:spacing w:after="0" w:line="114" w:lineRule="exact"/>
        <w:rPr>
          <w:sz w:val="20"/>
          <w:szCs w:val="20"/>
          <w:color w:val="auto"/>
        </w:rPr>
      </w:pPr>
    </w:p>
    <w:p>
      <w:pPr>
        <w:ind w:firstLine="397"/>
        <w:spacing w:after="0" w:line="365" w:lineRule="auto"/>
        <w:rPr>
          <w:sz w:val="20"/>
          <w:szCs w:val="20"/>
          <w:color w:val="auto"/>
        </w:rPr>
      </w:pPr>
      <w:r>
        <w:rPr>
          <w:rFonts w:ascii="Arial" w:cs="Arial" w:eastAsia="Arial" w:hAnsi="Arial"/>
          <w:sz w:val="15"/>
          <w:szCs w:val="15"/>
          <w:color w:val="auto"/>
        </w:rPr>
        <w:t>Concurrently with the June 2020 public offering, the Company completed a private placement in which the Company sold 8,649,453 shares of its common stock to affiliates of Vivo Capital, LLC and Samsara BioCapital, LP, at a sale price equal to the price to the public in the underwritten public offering.</w:t>
      </w:r>
    </w:p>
    <w:p>
      <w:pPr>
        <w:spacing w:after="0" w:line="45" w:lineRule="exact"/>
        <w:rPr>
          <w:sz w:val="20"/>
          <w:szCs w:val="20"/>
          <w:color w:val="auto"/>
        </w:rPr>
      </w:pPr>
    </w:p>
    <w:p>
      <w:pPr>
        <w:ind w:right="200" w:firstLine="397"/>
        <w:spacing w:after="0" w:line="264" w:lineRule="auto"/>
        <w:rPr>
          <w:sz w:val="20"/>
          <w:szCs w:val="20"/>
          <w:color w:val="auto"/>
        </w:rPr>
      </w:pPr>
      <w:r>
        <w:rPr>
          <w:rFonts w:ascii="Arial" w:cs="Arial" w:eastAsia="Arial" w:hAnsi="Arial"/>
          <w:sz w:val="18"/>
          <w:szCs w:val="18"/>
          <w:color w:val="auto"/>
        </w:rPr>
        <w:t>The net proceeds from the June 2020 public offering and private placement, after deducting underwriting discounts, underwriting and placement agent commissions and other expenses totaling approximately $10.1 million, was approximately $150.1 million.</w:t>
      </w:r>
    </w:p>
    <w:p>
      <w:pPr>
        <w:spacing w:after="0" w:line="114" w:lineRule="exact"/>
        <w:rPr>
          <w:sz w:val="20"/>
          <w:szCs w:val="20"/>
          <w:color w:val="auto"/>
        </w:rPr>
      </w:pPr>
    </w:p>
    <w:p>
      <w:pPr>
        <w:ind w:right="40" w:firstLine="397"/>
        <w:spacing w:after="0" w:line="318" w:lineRule="auto"/>
        <w:rPr>
          <w:sz w:val="20"/>
          <w:szCs w:val="20"/>
          <w:color w:val="auto"/>
        </w:rPr>
      </w:pPr>
      <w:r>
        <w:rPr>
          <w:rFonts w:ascii="Arial" w:cs="Arial" w:eastAsia="Arial" w:hAnsi="Arial"/>
          <w:sz w:val="15"/>
          <w:szCs w:val="15"/>
          <w:color w:val="auto"/>
        </w:rPr>
        <w:t xml:space="preserve">The Company evaluated the pre-funded warrants for liability or equity classification in accordance with the provisions of ASC 480, </w:t>
      </w:r>
      <w:r>
        <w:rPr>
          <w:rFonts w:ascii="Arial" w:cs="Arial" w:eastAsia="Arial" w:hAnsi="Arial"/>
          <w:sz w:val="15"/>
          <w:szCs w:val="15"/>
          <w:i w:val="1"/>
          <w:iCs w:val="1"/>
          <w:color w:val="auto"/>
        </w:rPr>
        <w:t>Distinguishing</w:t>
      </w:r>
      <w:r>
        <w:rPr>
          <w:rFonts w:ascii="Arial" w:cs="Arial" w:eastAsia="Arial" w:hAnsi="Arial"/>
          <w:sz w:val="15"/>
          <w:szCs w:val="15"/>
          <w:color w:val="auto"/>
        </w:rPr>
        <w:t xml:space="preserve"> </w:t>
      </w:r>
      <w:r>
        <w:rPr>
          <w:rFonts w:ascii="Arial" w:cs="Arial" w:eastAsia="Arial" w:hAnsi="Arial"/>
          <w:sz w:val="15"/>
          <w:szCs w:val="15"/>
          <w:i w:val="1"/>
          <w:iCs w:val="1"/>
          <w:color w:val="auto"/>
        </w:rPr>
        <w:t>Liabilities from Equity</w:t>
      </w:r>
      <w:r>
        <w:rPr>
          <w:rFonts w:ascii="Arial" w:cs="Arial" w:eastAsia="Arial" w:hAnsi="Arial"/>
          <w:sz w:val="15"/>
          <w:szCs w:val="15"/>
          <w:color w:val="auto"/>
        </w:rPr>
        <w:t>, and ASC 815-40,</w:t>
      </w:r>
      <w:r>
        <w:rPr>
          <w:rFonts w:ascii="Arial" w:cs="Arial" w:eastAsia="Arial" w:hAnsi="Arial"/>
          <w:sz w:val="15"/>
          <w:szCs w:val="15"/>
          <w:i w:val="1"/>
          <w:iCs w:val="1"/>
          <w:color w:val="auto"/>
        </w:rPr>
        <w:t xml:space="preserve"> Derivatives and Hedging</w:t>
      </w:r>
      <w:r>
        <w:rPr>
          <w:rFonts w:ascii="Arial" w:cs="Arial" w:eastAsia="Arial" w:hAnsi="Arial"/>
          <w:sz w:val="15"/>
          <w:szCs w:val="15"/>
          <w:color w:val="auto"/>
        </w:rPr>
        <w:t>. Based on the provisions governing the pre-funded warrants in the applicable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determined that the pre-funded warrants meet the criteria required to be classified as an equity award subject to the guidance in ASC 815-10 and 815-40 and should effectively be treated as outstanding common shares in both basic and diluted earnings per share calculations.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w:t>
      </w:r>
    </w:p>
    <w:p>
      <w:pPr>
        <w:spacing w:after="0" w:line="157" w:lineRule="exact"/>
        <w:rPr>
          <w:sz w:val="20"/>
          <w:szCs w:val="20"/>
          <w:color w:val="auto"/>
        </w:rPr>
      </w:pPr>
    </w:p>
    <w:p>
      <w:pPr>
        <w:ind w:right="40" w:firstLine="397"/>
        <w:spacing w:after="0" w:line="306" w:lineRule="auto"/>
        <w:rPr>
          <w:sz w:val="20"/>
          <w:szCs w:val="20"/>
          <w:color w:val="auto"/>
        </w:rPr>
      </w:pPr>
      <w:r>
        <w:rPr>
          <w:rFonts w:ascii="Arial" w:cs="Arial" w:eastAsia="Arial" w:hAnsi="Arial"/>
          <w:sz w:val="15"/>
          <w:szCs w:val="15"/>
          <w:color w:val="auto"/>
        </w:rPr>
        <w:t>Basic and diluted net loss per common share is determined by dividing net loss by the weighted average common shares and pre-funded warrants outstanding during the period. Basic and diluted shares outstanding includes the weighted average effect of the Company's outstanding pre-funded warrants as the exercise of such pre-funded warrants requires nominal consideration to be given for the delivery of the corresponding shares of common stock. As of September 30, 2021 and September 30, 2020, the Company had 3,164,280 pre-funded warrants outstanding, which if exercised, would increase the number of shares of common stock issued and outstanding. For the periods when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the computation of basic and diluted net loss per common share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3"/>
        </w:trPr>
        <w:tc>
          <w:tcPr>
            <w:tcW w:w="5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 calculation: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(25,450)</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(59,115)</w:t>
            </w: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Weighted average common shares outstanding - basic and dilutive</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92,675</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100" w:type="dxa"/>
            <w:vAlign w:val="bottom"/>
          </w:tcPr>
          <w:p>
            <w:pPr>
              <w:ind w:left="20"/>
              <w:spacing w:after="0" w:line="198" w:lineRule="exact"/>
              <w:rPr>
                <w:sz w:val="20"/>
                <w:szCs w:val="20"/>
                <w:color w:val="auto"/>
              </w:rPr>
            </w:pPr>
            <w:r>
              <w:rPr>
                <w:rFonts w:ascii="Arial" w:cs="Arial" w:eastAsia="Arial" w:hAnsi="Arial"/>
                <w:sz w:val="18"/>
                <w:szCs w:val="18"/>
                <w:color w:val="auto"/>
              </w:rPr>
              <w:t>Net loss per share of common stock - basic and diluted</w:t>
            </w:r>
          </w:p>
        </w:tc>
        <w:tc>
          <w:tcPr>
            <w:tcW w:w="260" w:type="dxa"/>
            <w:vAlign w:val="bottom"/>
            <w:tcBorders>
              <w:bottom w:val="single" w:sz="8" w:color="auto"/>
            </w:tcBorders>
          </w:tcPr>
          <w:p>
            <w:pPr>
              <w:jc w:val="right"/>
              <w:ind w:right="52"/>
              <w:spacing w:after="0" w:line="198"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(0.23)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(0.27)</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(0.84)</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(0.87)</w:t>
            </w:r>
          </w:p>
        </w:tc>
      </w:tr>
      <w:tr>
        <w:trPr>
          <w:trHeight w:val="20"/>
        </w:trPr>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30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94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26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 outstanding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r>
      <w:tr>
        <w:trPr>
          <w:trHeight w:val="225"/>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r>
      <w:tr>
        <w:trPr>
          <w:trHeight w:val="23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10,992</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10,992</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860"/>
        </w:trPr>
        <w:tc>
          <w:tcPr>
            <w:tcW w:w="6100" w:type="dxa"/>
            <w:vAlign w:val="bottom"/>
            <w:gridSpan w:val="2"/>
          </w:tcPr>
          <w:p>
            <w:pPr>
              <w:jc w:val="right"/>
              <w:ind w:right="309"/>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3"/>
        </w:trPr>
        <w:tc>
          <w:tcPr>
            <w:tcW w:w="5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Cash Equivalents and Available for Sale Securities</w:t>
      </w:r>
    </w:p>
    <w:p>
      <w:pPr>
        <w:spacing w:after="0" w:line="144" w:lineRule="exact"/>
        <w:rPr>
          <w:sz w:val="20"/>
          <w:szCs w:val="20"/>
          <w:color w:val="auto"/>
        </w:rPr>
      </w:pPr>
    </w:p>
    <w:p>
      <w:pPr>
        <w:ind w:right="40" w:firstLine="397"/>
        <w:spacing w:after="0" w:line="318" w:lineRule="auto"/>
        <w:rPr>
          <w:sz w:val="20"/>
          <w:szCs w:val="20"/>
          <w:color w:val="auto"/>
        </w:rPr>
      </w:pPr>
      <w:r>
        <w:rPr>
          <w:rFonts w:ascii="Arial" w:cs="Arial" w:eastAsia="Arial" w:hAnsi="Arial"/>
          <w:sz w:val="15"/>
          <w:szCs w:val="15"/>
          <w:color w:val="auto"/>
        </w:rPr>
        <w:t>The Company considers all highly liquid investments purchased with original maturities of 90 days or less at the date of purchase to be cash equivalents. As of September 30, 2021 and December 31, 2020, the Company had cash and cash equivalents of approximately $179.9 million and $66.4 million, respectively. Cash and cash equivalents included cash of $97.0 million at September 30, 2021 and $8.4 million at December 31, 2020. Cash and cash equivalents at September 30, 2021 and December 31, 2020 included $82.9 million and $58.0 million, respectively, of investments in money market funds.</w:t>
      </w:r>
    </w:p>
    <w:p>
      <w:pPr>
        <w:spacing w:after="0" w:line="80" w:lineRule="exact"/>
        <w:rPr>
          <w:sz w:val="20"/>
          <w:szCs w:val="20"/>
          <w:color w:val="auto"/>
        </w:rPr>
      </w:pPr>
    </w:p>
    <w:p>
      <w:pPr>
        <w:ind w:right="300" w:firstLine="397"/>
        <w:spacing w:after="0" w:line="255" w:lineRule="auto"/>
        <w:rPr>
          <w:sz w:val="20"/>
          <w:szCs w:val="20"/>
          <w:color w:val="auto"/>
        </w:rPr>
      </w:pPr>
      <w:r>
        <w:rPr>
          <w:rFonts w:ascii="Arial" w:cs="Arial" w:eastAsia="Arial" w:hAnsi="Arial"/>
          <w:sz w:val="18"/>
          <w:szCs w:val="18"/>
          <w:color w:val="auto"/>
        </w:rPr>
        <w:t>The Company considers securities with original maturities of greater than 90 days at the date of purchase to be available for sale securities. As of September 30, 2021 and December 31, 2020, the Company held available for sale securities of $62.1 million and $143.7 million, respectively, all of which have maturities of less than one year.</w:t>
      </w:r>
    </w:p>
    <w:p>
      <w:pPr>
        <w:spacing w:after="0" w:line="122" w:lineRule="exact"/>
        <w:rPr>
          <w:sz w:val="20"/>
          <w:szCs w:val="20"/>
          <w:color w:val="auto"/>
        </w:rPr>
      </w:pPr>
    </w:p>
    <w:p>
      <w:pPr>
        <w:ind w:right="60" w:firstLine="397"/>
        <w:spacing w:after="0" w:line="249" w:lineRule="auto"/>
        <w:rPr>
          <w:sz w:val="20"/>
          <w:szCs w:val="20"/>
          <w:color w:val="auto"/>
        </w:rPr>
      </w:pPr>
      <w:r>
        <w:rPr>
          <w:rFonts w:ascii="Arial" w:cs="Arial" w:eastAsia="Arial" w:hAnsi="Arial"/>
          <w:sz w:val="18"/>
          <w:szCs w:val="18"/>
          <w:color w:val="auto"/>
        </w:rPr>
        <w:t>The Company evaluates securities with unrealized losses, if any, to determine whether the decline in fair value has resulted from credit loss or other factors. The Company has determined that there were no credit losses in fair value of its investments as of September 30, 2021. Factors considered in determining whether a loss resulted from a credit loss or other factors included the length of time and extent to which the investment’s fair value has been less than the cost basis, the financial condition and near-term prospects of the investee, the extent of the loss related to credit of the issuer, the expected cash flows from the security, the Company’s intent to sell the security, and whether or not the Company will be required to sell the security before the recovery of its amortized cost.</w:t>
      </w:r>
    </w:p>
    <w:p>
      <w:pPr>
        <w:spacing w:after="0" w:line="116" w:lineRule="exact"/>
        <w:rPr>
          <w:sz w:val="20"/>
          <w:szCs w:val="20"/>
          <w:color w:val="auto"/>
        </w:rPr>
      </w:pPr>
    </w:p>
    <w:p>
      <w:pPr>
        <w:ind w:right="260" w:firstLine="397"/>
        <w:spacing w:after="0" w:line="294" w:lineRule="auto"/>
        <w:rPr>
          <w:sz w:val="20"/>
          <w:szCs w:val="20"/>
          <w:color w:val="auto"/>
        </w:rPr>
      </w:pPr>
      <w:r>
        <w:rPr>
          <w:rFonts w:ascii="Arial" w:cs="Arial" w:eastAsia="Arial" w:hAnsi="Arial"/>
          <w:sz w:val="17"/>
          <w:szCs w:val="17"/>
          <w:color w:val="auto"/>
        </w:rPr>
        <w:t>The Company classifies these securities as available for sale. However, the Company has not sold and does not currently intend to sell its investments and the Company believes it is more likely than not that the Company will recover the carrying value of these investments.</w:t>
      </w:r>
    </w:p>
    <w:p>
      <w:pPr>
        <w:spacing w:after="0" w:line="91" w:lineRule="exact"/>
        <w:rPr>
          <w:sz w:val="20"/>
          <w:szCs w:val="20"/>
          <w:color w:val="auto"/>
        </w:rPr>
      </w:pPr>
    </w:p>
    <w:p>
      <w:pPr>
        <w:ind w:right="20" w:firstLine="397"/>
        <w:spacing w:after="0" w:line="330" w:lineRule="auto"/>
        <w:rPr>
          <w:sz w:val="20"/>
          <w:szCs w:val="20"/>
          <w:color w:val="auto"/>
        </w:rPr>
      </w:pPr>
      <w:r>
        <w:rPr>
          <w:rFonts w:ascii="Arial" w:cs="Arial" w:eastAsia="Arial" w:hAnsi="Arial"/>
          <w:sz w:val="15"/>
          <w:szCs w:val="15"/>
          <w:color w:val="auto"/>
        </w:rPr>
        <w:t>The Company believes that its existing cash, cash equivalents and available for sale securities as of September 30, 2021 will be sufficient to fund its currently planned capital expenditure requirements and operating expenses for at least the next 12 months from the filing of this Quarterly Report on Form 10-Q. See Note 10 to the Financial Statements for information about the Company’s follow-on public offering completed in October 2021.</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Available for sale securities, including carrying value and estimated fair values, are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rPr>
              <w:t>As of September 30, 2021</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3"/>
        </w:trPr>
        <w:tc>
          <w:tcPr>
            <w:tcW w:w="28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4"/>
              </w:rPr>
              <w:t>Gross Unrealized Gains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2"/>
              </w:rPr>
              <w:t>Gross Unrealized Losses</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w:t>
            </w:r>
          </w:p>
        </w:tc>
      </w:tr>
      <w:tr>
        <w:trPr>
          <w:trHeight w:val="225"/>
        </w:trPr>
        <w:tc>
          <w:tcPr>
            <w:tcW w:w="28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43,614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43,606</w:t>
            </w:r>
          </w:p>
        </w:tc>
      </w:tr>
      <w:tr>
        <w:trPr>
          <w:trHeight w:val="225"/>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r>
      <w:tr>
        <w:trPr>
          <w:trHeight w:val="219"/>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62,091</w:t>
            </w: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769"/>
        </w:trPr>
        <w:tc>
          <w:tcPr>
            <w:tcW w:w="2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rPr>
              <w:t>As of December 31, 2020</w:t>
            </w: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183"/>
        </w:trPr>
        <w:tc>
          <w:tcPr>
            <w:tcW w:w="28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4"/>
              </w:rPr>
              <w:t>Gross Unrealized Gains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2"/>
              </w:rPr>
              <w:t>Gross Unrealized Losses</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54,233</w:t>
            </w:r>
          </w:p>
        </w:tc>
      </w:tr>
      <w:tr>
        <w:trPr>
          <w:trHeight w:val="225"/>
        </w:trPr>
        <w:tc>
          <w:tcPr>
            <w:tcW w:w="28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79,282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79,276</w:t>
            </w:r>
          </w:p>
        </w:tc>
      </w:tr>
      <w:tr>
        <w:trPr>
          <w:trHeight w:val="225"/>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r>
      <w:tr>
        <w:trPr>
          <w:trHeight w:val="219"/>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143,671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143,674</w:t>
            </w: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right="220" w:firstLine="397"/>
        <w:spacing w:after="0" w:line="255" w:lineRule="auto"/>
        <w:rPr>
          <w:sz w:val="20"/>
          <w:szCs w:val="20"/>
          <w:color w:val="auto"/>
        </w:rPr>
      </w:pPr>
      <w:r>
        <w:rPr>
          <w:rFonts w:ascii="Arial" w:cs="Arial" w:eastAsia="Arial" w:hAnsi="Arial"/>
          <w:sz w:val="18"/>
          <w:szCs w:val="18"/>
          <w:color w:val="auto"/>
        </w:rPr>
        <w:t>The Company’s available for sale securities are reported at fair value on the Company’s balance sheet. Unrealized gains (losses) are reported within other comprehensive income in the statements of comprehensive loss. The cost of securities sold and any realized gains/losses from the sale of available for sale securities are based on the specific identification method. The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changes in accumulated other comprehensive income associated with the unrealized gain on available for sale securities during the three and nine months ended September 30, 2021 and 2020, respectively,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w w:val="95"/>
              </w:rPr>
              <w:t>Nine Months Ended September 30, 2021</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4580" w:type="dxa"/>
            <w:vAlign w:val="bottom"/>
          </w:tcPr>
          <w:p>
            <w:pPr>
              <w:ind w:left="20"/>
              <w:spacing w:after="0" w:line="173" w:lineRule="exact"/>
              <w:rPr>
                <w:sz w:val="20"/>
                <w:szCs w:val="20"/>
                <w:color w:val="auto"/>
              </w:rPr>
            </w:pPr>
            <w:r>
              <w:rPr>
                <w:rFonts w:ascii="Arial" w:cs="Arial" w:eastAsia="Arial" w:hAnsi="Arial"/>
                <w:sz w:val="18"/>
                <w:szCs w:val="18"/>
                <w:color w:val="auto"/>
                <w:w w:val="94"/>
              </w:rPr>
              <w:t>Current period changes in fair value before reclassifications,</w:t>
            </w:r>
          </w:p>
        </w:tc>
        <w:tc>
          <w:tcPr>
            <w:tcW w:w="1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45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12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3"/>
              </w:rPr>
              <w:t>Amounts reclassified from accumulated other comprehensive</w:t>
            </w:r>
          </w:p>
        </w:tc>
        <w:tc>
          <w:tcPr>
            <w:tcW w:w="1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 of tax</w:t>
            </w:r>
          </w:p>
        </w:tc>
        <w:tc>
          <w:tcPr>
            <w:tcW w:w="11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57" w:lineRule="exact"/>
        <w:rPr>
          <w:sz w:val="20"/>
          <w:szCs w:val="20"/>
          <w:color w:val="auto"/>
        </w:rPr>
      </w:pPr>
    </w:p>
    <w:p>
      <w:pPr>
        <w:ind w:right="140" w:firstLine="397"/>
        <w:spacing w:after="0" w:line="277" w:lineRule="auto"/>
        <w:rPr>
          <w:sz w:val="20"/>
          <w:szCs w:val="20"/>
          <w:color w:val="auto"/>
        </w:rPr>
      </w:pPr>
      <w:r>
        <w:rPr>
          <w:rFonts w:ascii="Arial" w:cs="Arial" w:eastAsia="Arial" w:hAnsi="Arial"/>
          <w:sz w:val="17"/>
          <w:szCs w:val="17"/>
          <w:color w:val="auto"/>
        </w:rPr>
        <w:t>Pursuant to the evergreen provisions of the Company's 2013 stock incentive plan (the “2013 Plan”), annual increases have resulted in the addition of an aggregate of approximately 13,081,000 additional shares to the 2013 Plan, including for 2021, an increase of approximately 2,542,000 shares. As of September 30, 2021, the Company had approximately 3,031,000 shares available for grant under the 2013 Plan.</w:t>
      </w:r>
    </w:p>
    <w:p>
      <w:pPr>
        <w:spacing w:after="0" w:line="92" w:lineRule="exact"/>
        <w:rPr>
          <w:sz w:val="20"/>
          <w:szCs w:val="20"/>
          <w:color w:val="auto"/>
        </w:rPr>
      </w:pPr>
    </w:p>
    <w:p>
      <w:pPr>
        <w:ind w:right="60" w:firstLine="397"/>
        <w:spacing w:after="0" w:line="265" w:lineRule="auto"/>
        <w:rPr>
          <w:sz w:val="20"/>
          <w:szCs w:val="20"/>
          <w:color w:val="auto"/>
        </w:rPr>
      </w:pPr>
      <w:r>
        <w:rPr>
          <w:rFonts w:ascii="Arial" w:cs="Arial" w:eastAsia="Arial" w:hAnsi="Arial"/>
          <w:sz w:val="17"/>
          <w:szCs w:val="17"/>
          <w:color w:val="auto"/>
        </w:rPr>
        <w:t>In October 2019, the Company's board of directors adopted its 2019 Inducement Stock Incentive Plan (the “2019 Inducement Plan”) to reserve initially 1,000,000 shares of its common stock to be used exclusively for grants of awards to individuals who were not previously employees or directors of the Company as a material inducement to such individuals’ entry into employment with the Company within Rule 5635(c)(4) of the Nasdaq Listing Rules. The terms and conditions of the 2019 Inducement Plan are substantially similar to those of the 2013 Plan. In March 2020, the Company's board of directors amended the 2019 Inducement Plan to reserve an additional 1,000,000 shares of its common stock for issuance under the plan, and in February 2021 and September 2021, the Company's board of directors further amended the 2019 Inducement Plan to reserve an additional 600,000 shares, and an additional 1,000,000 shares, respectively, of its common stock for issuance under the plan. As of September 30, 2021, the Company had approximately 1,314,000 shares available for grant under the 2019 Inducement Plan.</w:t>
      </w:r>
    </w:p>
    <w:p>
      <w:pPr>
        <w:spacing w:after="0" w:line="115" w:lineRule="exact"/>
        <w:rPr>
          <w:sz w:val="20"/>
          <w:szCs w:val="20"/>
          <w:color w:val="auto"/>
        </w:rPr>
      </w:pPr>
    </w:p>
    <w:p>
      <w:pPr>
        <w:ind w:right="40" w:firstLine="397"/>
        <w:spacing w:after="0" w:line="255" w:lineRule="auto"/>
        <w:rPr>
          <w:sz w:val="20"/>
          <w:szCs w:val="20"/>
          <w:color w:val="auto"/>
        </w:rPr>
      </w:pPr>
      <w:r>
        <w:rPr>
          <w:rFonts w:ascii="Arial" w:cs="Arial" w:eastAsia="Arial" w:hAnsi="Arial"/>
          <w:sz w:val="18"/>
          <w:szCs w:val="18"/>
          <w:color w:val="auto"/>
        </w:rPr>
        <w:t>Share-based compensation expense, net of estimated forfeitures, includes expenses related to stock options and RSUs granted to employees, non-employee directors and consultants, as well as options granted to employees to purchase shares under the ESPP. Stock-based compensation by award type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3"/>
        </w:trPr>
        <w:tc>
          <w:tcPr>
            <w:tcW w:w="514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1,485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r>
      <w:tr>
        <w:trPr>
          <w:trHeight w:val="225"/>
        </w:trPr>
        <w:tc>
          <w:tcPr>
            <w:tcW w:w="51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1,101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2,411</w:t>
            </w:r>
          </w:p>
        </w:tc>
      </w:tr>
      <w:tr>
        <w:trPr>
          <w:trHeight w:val="225"/>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9"/>
        </w:trPr>
        <w:tc>
          <w:tcPr>
            <w:tcW w:w="514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2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2,626</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6,044</w:t>
            </w:r>
          </w:p>
        </w:tc>
      </w:tr>
      <w:tr>
        <w:trPr>
          <w:trHeight w:val="20"/>
        </w:trPr>
        <w:tc>
          <w:tcPr>
            <w:tcW w:w="5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right="520" w:firstLine="397"/>
        <w:spacing w:after="0" w:line="264" w:lineRule="auto"/>
        <w:rPr>
          <w:sz w:val="20"/>
          <w:szCs w:val="20"/>
          <w:color w:val="auto"/>
        </w:rPr>
      </w:pPr>
      <w:r>
        <w:rPr>
          <w:rFonts w:ascii="Arial" w:cs="Arial" w:eastAsia="Arial" w:hAnsi="Arial"/>
          <w:sz w:val="18"/>
          <w:szCs w:val="18"/>
          <w:color w:val="auto"/>
        </w:rPr>
        <w:t>The Company allocated stock-based compensation expense in the Company’s Consolidated Statements of Operations and Comprehensive Loss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12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3"/>
        </w:trPr>
        <w:tc>
          <w:tcPr>
            <w:tcW w:w="516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r>
      <w:tr>
        <w:trPr>
          <w:trHeight w:val="22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1,150</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2,626</w:t>
            </w: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Stock Options</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 summary of the stock option activity, weighted average exercise prices, options outstanding, exercisable and expected to vest as of September 30,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2021 is as follows (in thousands except weighted average exercise price):</w:t>
      </w:r>
    </w:p>
    <w:p>
      <w:pPr>
        <w:spacing w:after="0" w:line="8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4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jc w:val="right"/>
              <w:ind w:right="35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3"/>
        </w:trPr>
        <w:tc>
          <w:tcPr>
            <w:tcW w:w="74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tcPr>
          <w:p>
            <w:pPr>
              <w:jc w:val="center"/>
              <w:ind w:right="498"/>
              <w:spacing w:after="0" w:line="13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3"/>
        </w:trPr>
        <w:tc>
          <w:tcPr>
            <w:tcW w:w="7420" w:type="dxa"/>
            <w:vAlign w:val="bottom"/>
          </w:tcPr>
          <w:p>
            <w:pPr>
              <w:spacing w:after="0"/>
              <w:rPr>
                <w:sz w:val="11"/>
                <w:szCs w:val="11"/>
                <w:color w:val="auto"/>
              </w:rPr>
            </w:pPr>
          </w:p>
        </w:tc>
        <w:tc>
          <w:tcPr>
            <w:tcW w:w="142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rPr>
              <w:t>Shares Underlying</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tcPr>
          <w:p>
            <w:pPr>
              <w:jc w:val="center"/>
              <w:ind w:right="498"/>
              <w:spacing w:after="0" w:line="133"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5"/>
        </w:trPr>
        <w:tc>
          <w:tcPr>
            <w:tcW w:w="74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9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5"/>
        </w:trPr>
        <w:tc>
          <w:tcPr>
            <w:tcW w:w="7420" w:type="dxa"/>
            <w:vAlign w:val="bottom"/>
          </w:tcPr>
          <w:p>
            <w:pPr>
              <w:ind w:left="5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969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6"/>
        </w:trPr>
        <w:tc>
          <w:tcPr>
            <w:tcW w:w="7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5"/>
        </w:trPr>
        <w:tc>
          <w:tcPr>
            <w:tcW w:w="74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6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Outstanding, September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420" w:type="dxa"/>
            <w:vAlign w:val="bottom"/>
          </w:tcPr>
          <w:p>
            <w:pPr>
              <w:ind w:left="420"/>
              <w:spacing w:after="0" w:line="198" w:lineRule="exact"/>
              <w:rPr>
                <w:sz w:val="20"/>
                <w:szCs w:val="20"/>
                <w:color w:val="auto"/>
              </w:rPr>
            </w:pPr>
            <w:r>
              <w:rPr>
                <w:rFonts w:ascii="Arial" w:cs="Arial" w:eastAsia="Arial" w:hAnsi="Arial"/>
                <w:sz w:val="18"/>
                <w:szCs w:val="18"/>
                <w:color w:val="auto"/>
              </w:rPr>
              <w:t>Vested and exercisable, September 30, 2021</w:t>
            </w:r>
          </w:p>
        </w:tc>
        <w:tc>
          <w:tcPr>
            <w:tcW w:w="14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5,154</w:t>
            </w:r>
          </w:p>
        </w:tc>
        <w:tc>
          <w:tcPr>
            <w:tcW w:w="68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8" w:lineRule="exact"/>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Vested and expected to vest, September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320" w:firstLine="397"/>
        <w:spacing w:after="0" w:line="294" w:lineRule="auto"/>
        <w:rPr>
          <w:sz w:val="20"/>
          <w:szCs w:val="20"/>
          <w:color w:val="auto"/>
        </w:rPr>
      </w:pPr>
      <w:r>
        <w:rPr>
          <w:rFonts w:ascii="Arial" w:cs="Arial" w:eastAsia="Arial" w:hAnsi="Arial"/>
          <w:sz w:val="17"/>
          <w:szCs w:val="17"/>
          <w:color w:val="auto"/>
        </w:rPr>
        <w:t>As of September 30, 2021, there were approximately $15.3 million of unrecognized compensation costs, net of estimated forfeitures, related to stock option awards grants, which are expected to be recognized over a remaining weighted average period of 3.0 years.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RSUs</w:t>
      </w:r>
    </w:p>
    <w:p>
      <w:pPr>
        <w:spacing w:after="0" w:line="151" w:lineRule="exact"/>
        <w:rPr>
          <w:sz w:val="20"/>
          <w:szCs w:val="20"/>
          <w:color w:val="auto"/>
        </w:rPr>
      </w:pPr>
    </w:p>
    <w:p>
      <w:pPr>
        <w:ind w:right="300" w:firstLine="397"/>
        <w:spacing w:after="0" w:line="264" w:lineRule="auto"/>
        <w:rPr>
          <w:sz w:val="20"/>
          <w:szCs w:val="20"/>
          <w:color w:val="auto"/>
        </w:rPr>
      </w:pPr>
      <w:r>
        <w:rPr>
          <w:rFonts w:ascii="Arial" w:cs="Arial" w:eastAsia="Arial" w:hAnsi="Arial"/>
          <w:sz w:val="18"/>
          <w:szCs w:val="18"/>
          <w:color w:val="auto"/>
        </w:rPr>
        <w:t>The following table presents a summary of the Company's outstanding RSU awards granted as of September 30, 2021 (in thousands except weighted average grant-date fair value):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40" w:type="dxa"/>
            <w:vAlign w:val="bottom"/>
          </w:tcPr>
          <w:p>
            <w:pPr>
              <w:jc w:val="center"/>
              <w:ind w:left="469"/>
              <w:spacing w:after="0"/>
              <w:rPr>
                <w:sz w:val="20"/>
                <w:szCs w:val="20"/>
                <w:color w:val="auto"/>
              </w:rPr>
            </w:pPr>
            <w:r>
              <w:rPr>
                <w:rFonts w:ascii="Arial" w:cs="Arial" w:eastAsia="Arial" w:hAnsi="Arial"/>
                <w:sz w:val="14"/>
                <w:szCs w:val="14"/>
                <w:b w:val="1"/>
                <w:bCs w:val="1"/>
                <w:color w:val="auto"/>
                <w:w w:val="90"/>
              </w:rPr>
              <w:t>Restricted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Weighted Average</w:t>
            </w:r>
          </w:p>
        </w:tc>
      </w:tr>
      <w:tr>
        <w:trPr>
          <w:trHeight w:val="133"/>
        </w:trPr>
        <w:tc>
          <w:tcPr>
            <w:tcW w:w="7580" w:type="dxa"/>
            <w:vAlign w:val="bottom"/>
          </w:tcPr>
          <w:p>
            <w:pPr>
              <w:spacing w:after="0"/>
              <w:rPr>
                <w:sz w:val="11"/>
                <w:szCs w:val="11"/>
                <w:color w:val="auto"/>
              </w:rPr>
            </w:pPr>
          </w:p>
        </w:tc>
        <w:tc>
          <w:tcPr>
            <w:tcW w:w="1240" w:type="dxa"/>
            <w:vAlign w:val="bottom"/>
          </w:tcPr>
          <w:p>
            <w:pPr>
              <w:jc w:val="center"/>
              <w:ind w:left="469"/>
              <w:spacing w:after="0" w:line="133" w:lineRule="exact"/>
              <w:rPr>
                <w:sz w:val="20"/>
                <w:szCs w:val="20"/>
                <w:color w:val="auto"/>
              </w:rPr>
            </w:pPr>
            <w:r>
              <w:rPr>
                <w:rFonts w:ascii="Arial" w:cs="Arial" w:eastAsia="Arial" w:hAnsi="Arial"/>
                <w:sz w:val="14"/>
                <w:szCs w:val="14"/>
                <w:b w:val="1"/>
                <w:bCs w:val="1"/>
                <w:color w:val="auto"/>
                <w:w w:val="89"/>
              </w:rPr>
              <w:t>Stock</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w w:val="96"/>
              </w:rPr>
              <w:t>Grant-Date</w:t>
            </w:r>
          </w:p>
        </w:tc>
      </w:tr>
      <w:tr>
        <w:trPr>
          <w:trHeight w:val="185"/>
        </w:trPr>
        <w:tc>
          <w:tcPr>
            <w:tcW w:w="75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b w:val="1"/>
                <w:bCs w:val="1"/>
                <w:color w:val="auto"/>
                <w:w w:val="91"/>
              </w:rPr>
              <w:t>Units</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5"/>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Awarded</w:t>
            </w:r>
          </w:p>
        </w:tc>
        <w:tc>
          <w:tcPr>
            <w:tcW w:w="520" w:type="dxa"/>
            <w:vAlign w:val="bottom"/>
          </w:tcPr>
          <w:p>
            <w:pPr>
              <w:jc w:val="right"/>
              <w:spacing w:after="0"/>
              <w:rPr>
                <w:sz w:val="20"/>
                <w:szCs w:val="20"/>
                <w:color w:val="auto"/>
              </w:rPr>
            </w:pPr>
            <w:r>
              <w:rPr>
                <w:rFonts w:ascii="Arial" w:cs="Arial" w:eastAsia="Arial" w:hAnsi="Arial"/>
                <w:sz w:val="18"/>
                <w:szCs w:val="18"/>
                <w:color w:val="auto"/>
              </w:rPr>
              <w:t>329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2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25"/>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21.60</w:t>
            </w:r>
          </w:p>
        </w:tc>
      </w:tr>
      <w:tr>
        <w:trPr>
          <w:trHeight w:val="239"/>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2021</w:t>
            </w:r>
          </w:p>
        </w:tc>
        <w:tc>
          <w:tcPr>
            <w:tcW w:w="12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0"/>
        </w:trPr>
        <w:tc>
          <w:tcPr>
            <w:tcW w:w="7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8"/>
        </w:trPr>
        <w:tc>
          <w:tcPr>
            <w:tcW w:w="8820" w:type="dxa"/>
            <w:vAlign w:val="bottom"/>
            <w:gridSpan w:val="2"/>
          </w:tcPr>
          <w:p>
            <w:pPr>
              <w:ind w:left="20"/>
              <w:spacing w:after="0" w:line="198" w:lineRule="exact"/>
              <w:rPr>
                <w:sz w:val="20"/>
                <w:szCs w:val="20"/>
                <w:color w:val="auto"/>
              </w:rPr>
            </w:pPr>
            <w:r>
              <w:rPr>
                <w:rFonts w:ascii="Arial" w:cs="Arial" w:eastAsia="Arial" w:hAnsi="Arial"/>
                <w:sz w:val="18"/>
                <w:szCs w:val="18"/>
                <w:color w:val="auto"/>
              </w:rPr>
              <w:t>Outstanding, Expected to vest</w:t>
            </w:r>
          </w:p>
        </w:tc>
        <w:tc>
          <w:tcPr>
            <w:tcW w:w="520" w:type="dxa"/>
            <w:vAlign w:val="bottom"/>
          </w:tcPr>
          <w:p>
            <w:pPr>
              <w:jc w:val="right"/>
              <w:spacing w:after="0" w:line="198" w:lineRule="exact"/>
              <w:rPr>
                <w:sz w:val="20"/>
                <w:szCs w:val="20"/>
                <w:color w:val="auto"/>
              </w:rPr>
            </w:pPr>
            <w:r>
              <w:rPr>
                <w:rFonts w:ascii="Arial" w:cs="Arial" w:eastAsia="Arial" w:hAnsi="Arial"/>
                <w:sz w:val="18"/>
                <w:szCs w:val="18"/>
                <w:color w:val="auto"/>
                <w:w w:val="97"/>
              </w:rPr>
              <w:t>1,750</w:t>
            </w:r>
          </w:p>
        </w:tc>
        <w:tc>
          <w:tcPr>
            <w:tcW w:w="340" w:type="dxa"/>
            <w:vAlign w:val="bottom"/>
            <w:gridSpan w:val="2"/>
          </w:tcPr>
          <w:p>
            <w:pPr>
              <w:jc w:val="right"/>
              <w:ind w:right="120"/>
              <w:spacing w:after="0" w:line="198"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98" w:lineRule="exact"/>
              <w:rPr>
                <w:sz w:val="20"/>
                <w:szCs w:val="20"/>
                <w:color w:val="auto"/>
              </w:rPr>
            </w:pPr>
            <w:r>
              <w:rPr>
                <w:rFonts w:ascii="Arial" w:cs="Arial" w:eastAsia="Arial" w:hAnsi="Arial"/>
                <w:sz w:val="18"/>
                <w:szCs w:val="18"/>
                <w:color w:val="auto"/>
              </w:rPr>
              <w:t>5.76</w:t>
            </w:r>
          </w:p>
        </w:tc>
      </w:tr>
      <w:tr>
        <w:trPr>
          <w:trHeight w:val="20"/>
        </w:trPr>
        <w:tc>
          <w:tcPr>
            <w:tcW w:w="75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13" w:lineRule="exact"/>
        <w:rPr>
          <w:sz w:val="20"/>
          <w:szCs w:val="20"/>
          <w:color w:val="auto"/>
        </w:rPr>
      </w:pPr>
    </w:p>
    <w:p>
      <w:pPr>
        <w:ind w:right="380" w:firstLine="397"/>
        <w:spacing w:after="0" w:line="264" w:lineRule="auto"/>
        <w:rPr>
          <w:sz w:val="20"/>
          <w:szCs w:val="20"/>
          <w:color w:val="auto"/>
        </w:rPr>
      </w:pPr>
      <w:r>
        <w:rPr>
          <w:rFonts w:ascii="Arial" w:cs="Arial" w:eastAsia="Arial" w:hAnsi="Arial"/>
          <w:sz w:val="18"/>
          <w:szCs w:val="18"/>
          <w:color w:val="auto"/>
        </w:rPr>
        <w:t>As of September 30, 2021, there were approximately $7.5 million of unrecognized compensation costs, net of estimated forfeitures, related to RSUs grants, which are expected to be recognized over a remaining weighted average period of 2.7 years.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ESPP</w:t>
      </w:r>
    </w:p>
    <w:p>
      <w:pPr>
        <w:spacing w:after="0" w:line="138" w:lineRule="exact"/>
        <w:rPr>
          <w:sz w:val="20"/>
          <w:szCs w:val="20"/>
          <w:color w:val="auto"/>
        </w:rPr>
      </w:pPr>
    </w:p>
    <w:p>
      <w:pPr>
        <w:jc w:val="both"/>
        <w:ind w:right="60" w:firstLine="397"/>
        <w:spacing w:after="0" w:line="252" w:lineRule="auto"/>
        <w:rPr>
          <w:sz w:val="20"/>
          <w:szCs w:val="20"/>
          <w:color w:val="auto"/>
        </w:rPr>
      </w:pPr>
      <w:r>
        <w:rPr>
          <w:rFonts w:ascii="Arial" w:cs="Arial" w:eastAsia="Arial" w:hAnsi="Arial"/>
          <w:sz w:val="18"/>
          <w:szCs w:val="18"/>
          <w:color w:val="auto"/>
        </w:rPr>
        <w:t>As of September 30, 2021, there were 753,410 shares available for future purchases under the ESPP. There were 27,529 and 32,821 shares issued under the ESPP during the three months ended September 30, 2021 and 2020, respectively. There were 51,951 and 76,402 shares of common stock issued under the ESPP during the nine months ended September 30, 2021 and 2020, respectively. Cash proceeds from ESPP purchases were $146 thousand and $147 thousand during the nine months ended September 30, 2021 and 2020,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57" w:lineRule="exact"/>
        <w:rPr>
          <w:sz w:val="20"/>
          <w:szCs w:val="20"/>
          <w:color w:val="auto"/>
        </w:rPr>
      </w:pPr>
    </w:p>
    <w:p>
      <w:pPr>
        <w:ind w:firstLine="397"/>
        <w:spacing w:after="0" w:line="365" w:lineRule="auto"/>
        <w:rPr>
          <w:sz w:val="20"/>
          <w:szCs w:val="20"/>
          <w:color w:val="auto"/>
        </w:rPr>
      </w:pPr>
      <w:r>
        <w:rPr>
          <w:rFonts w:ascii="Arial" w:cs="Arial" w:eastAsia="Arial" w:hAnsi="Arial"/>
          <w:sz w:val="15"/>
          <w:szCs w:val="15"/>
          <w:color w:val="auto"/>
        </w:rPr>
        <w:t>For the three and nine months ended September 30, 2021 and the three months ended September 2020, the Company recorded no income tax benefit. For the nine months ended September 30, 2020, the Company recorded a $3.7 million income tax benefit primarily to reflect a settlement of a local tax audit.</w:t>
      </w:r>
    </w:p>
    <w:p>
      <w:pPr>
        <w:spacing w:after="0" w:line="32" w:lineRule="exact"/>
        <w:rPr>
          <w:sz w:val="20"/>
          <w:szCs w:val="20"/>
          <w:color w:val="auto"/>
        </w:rPr>
      </w:pPr>
    </w:p>
    <w:p>
      <w:pPr>
        <w:jc w:val="both"/>
        <w:ind w:right="120" w:firstLine="397"/>
        <w:spacing w:after="0" w:line="277" w:lineRule="auto"/>
        <w:rPr>
          <w:sz w:val="20"/>
          <w:szCs w:val="20"/>
          <w:color w:val="auto"/>
        </w:rPr>
      </w:pPr>
      <w:r>
        <w:rPr>
          <w:rFonts w:ascii="Arial" w:cs="Arial" w:eastAsia="Arial" w:hAnsi="Arial"/>
          <w:sz w:val="17"/>
          <w:szCs w:val="17"/>
          <w:color w:val="auto"/>
        </w:rPr>
        <w:t>In response to the COVID-19 pandemic, the U.S. Congress enacted the Coronavirus Aid, Relief, and Economic Security Act (“CARES Act”) on March 27, 2020. The CARES Act provides numerous tax provisions and other stimulus measures, including the immediate refund of minimum tax credits. In April 2021, the Company received the remaining balance, approximately $1.8 million, of its minimum tax credits refund.</w:t>
      </w:r>
    </w:p>
    <w:p>
      <w:pPr>
        <w:spacing w:after="0" w:line="105" w:lineRule="exact"/>
        <w:rPr>
          <w:sz w:val="20"/>
          <w:szCs w:val="20"/>
          <w:color w:val="auto"/>
        </w:rPr>
      </w:pPr>
    </w:p>
    <w:p>
      <w:pPr>
        <w:jc w:val="both"/>
        <w:ind w:right="140" w:firstLine="397"/>
        <w:spacing w:after="0" w:line="264" w:lineRule="auto"/>
        <w:rPr>
          <w:sz w:val="20"/>
          <w:szCs w:val="20"/>
          <w:color w:val="auto"/>
        </w:rPr>
      </w:pPr>
      <w:r>
        <w:rPr>
          <w:rFonts w:ascii="Arial" w:cs="Arial" w:eastAsia="Arial" w:hAnsi="Arial"/>
          <w:sz w:val="18"/>
          <w:szCs w:val="18"/>
          <w:color w:val="auto"/>
        </w:rPr>
        <w:t>The Company will continue to evaluate its ability to realize its deferred tax assets on a quarterly basis and will adjust such amounts in light of changing facts and circumstances including, but not limited to, future projections of taxable income, tax</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0"/>
        <w:spacing w:after="0" w:line="365" w:lineRule="auto"/>
        <w:rPr>
          <w:sz w:val="20"/>
          <w:szCs w:val="20"/>
          <w:color w:val="auto"/>
        </w:rPr>
      </w:pPr>
      <w:r>
        <w:rPr>
          <w:rFonts w:ascii="Arial" w:cs="Arial" w:eastAsia="Arial" w:hAnsi="Arial"/>
          <w:sz w:val="15"/>
          <w:szCs w:val="15"/>
          <w:color w:val="auto"/>
        </w:rPr>
        <w:t>legislation, rulings by relevant tax authorities, the progress of ongoing tax audits and the regulatory approval of products currently under development. Any additional changes to the valuation allowance recorded on deferred tax assets in the future would impact the Company’s income taxes.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57" w:lineRule="exact"/>
        <w:rPr>
          <w:sz w:val="20"/>
          <w:szCs w:val="20"/>
          <w:color w:val="auto"/>
        </w:rPr>
      </w:pPr>
    </w:p>
    <w:p>
      <w:pPr>
        <w:ind w:right="40" w:firstLine="437"/>
        <w:spacing w:after="0" w:line="252"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24"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September 30,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 Using</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81"/>
              <w:spacing w:after="0" w:line="131" w:lineRule="exact"/>
              <w:rPr>
                <w:sz w:val="20"/>
                <w:szCs w:val="20"/>
                <w:color w:val="auto"/>
              </w:rPr>
            </w:pPr>
            <w:r>
              <w:rPr>
                <w:rFonts w:ascii="Arial" w:cs="Arial" w:eastAsia="Arial" w:hAnsi="Arial"/>
                <w:sz w:val="14"/>
                <w:szCs w:val="14"/>
                <w:b w:val="1"/>
                <w:bCs w:val="1"/>
                <w:color w:val="auto"/>
                <w:w w:val="90"/>
              </w:rPr>
              <w:t>Quoted 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 other</w:t>
            </w:r>
          </w:p>
        </w:tc>
        <w:tc>
          <w:tcPr>
            <w:tcW w:w="240" w:type="dxa"/>
            <w:vAlign w:val="bottom"/>
          </w:tcPr>
          <w:p>
            <w:pPr>
              <w:spacing w:after="0"/>
              <w:rPr>
                <w:sz w:val="11"/>
                <w:szCs w:val="11"/>
                <w:color w:val="auto"/>
              </w:rPr>
            </w:pPr>
          </w:p>
        </w:tc>
        <w:tc>
          <w:tcPr>
            <w:tcW w:w="1380" w:type="dxa"/>
            <w:vAlign w:val="bottom"/>
          </w:tcPr>
          <w:p>
            <w:pPr>
              <w:jc w:val="center"/>
              <w:ind w:right="181"/>
              <w:spacing w:after="0" w:line="131"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1"/>
              </w:rPr>
              <w:t>active markets for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jc w:val="center"/>
              <w:ind w:right="181"/>
              <w:spacing w:after="0" w:line="133" w:lineRule="exact"/>
              <w:rPr>
                <w:sz w:val="20"/>
                <w:szCs w:val="20"/>
                <w:color w:val="auto"/>
              </w:rPr>
            </w:pPr>
            <w:r>
              <w:rPr>
                <w:rFonts w:ascii="Arial" w:cs="Arial" w:eastAsia="Arial" w:hAnsi="Arial"/>
                <w:sz w:val="14"/>
                <w:szCs w:val="14"/>
                <w:b w:val="1"/>
                <w:bCs w:val="1"/>
                <w:color w:val="auto"/>
                <w:w w:val="87"/>
              </w:rPr>
              <w:t>unobservable</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86"/>
              </w:rPr>
              <w:t>identical assets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observable inputs</w:t>
            </w:r>
          </w:p>
        </w:tc>
        <w:tc>
          <w:tcPr>
            <w:tcW w:w="240" w:type="dxa"/>
            <w:vAlign w:val="bottom"/>
          </w:tcPr>
          <w:p>
            <w:pPr>
              <w:spacing w:after="0"/>
              <w:rPr>
                <w:sz w:val="11"/>
                <w:szCs w:val="11"/>
                <w:color w:val="auto"/>
              </w:rPr>
            </w:pPr>
          </w:p>
        </w:tc>
        <w:tc>
          <w:tcPr>
            <w:tcW w:w="1380" w:type="dxa"/>
            <w:vAlign w:val="bottom"/>
          </w:tcPr>
          <w:p>
            <w:pPr>
              <w:jc w:val="center"/>
              <w:ind w:right="181"/>
              <w:spacing w:after="0" w:line="133"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380" w:type="dxa"/>
            <w:vAlign w:val="bottom"/>
          </w:tcPr>
          <w:p>
            <w:pPr>
              <w:jc w:val="center"/>
              <w:ind w:right="181"/>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9"/>
        </w:trPr>
        <w:tc>
          <w:tcPr>
            <w:tcW w:w="6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82,872</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 in U.S. Treasury securities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43,606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 in asset-backed securities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9"/>
        </w:trPr>
        <w:tc>
          <w:tcPr>
            <w:tcW w:w="2180" w:type="dxa"/>
            <w:vAlign w:val="bottom"/>
            <w:tcBorders>
              <w:bottom w:val="single" w:sz="8" w:color="auto"/>
            </w:tcBorders>
          </w:tcPr>
          <w:p>
            <w:pPr>
              <w:spacing w:after="0"/>
              <w:rPr>
                <w:sz w:val="10"/>
                <w:szCs w:val="10"/>
                <w:color w:val="auto"/>
              </w:rPr>
            </w:pPr>
          </w:p>
        </w:tc>
        <w:tc>
          <w:tcPr>
            <w:tcW w:w="3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Investments in money market funds are reflected in cash and cash equivalents in the accompanying Consolidated Balance Sheets.</w:t>
      </w:r>
    </w:p>
    <w:p>
      <w:pPr>
        <w:spacing w:after="0" w:line="138"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 Using</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81"/>
              <w:spacing w:after="0" w:line="131" w:lineRule="exact"/>
              <w:rPr>
                <w:sz w:val="20"/>
                <w:szCs w:val="20"/>
                <w:color w:val="auto"/>
              </w:rPr>
            </w:pPr>
            <w:r>
              <w:rPr>
                <w:rFonts w:ascii="Arial" w:cs="Arial" w:eastAsia="Arial" w:hAnsi="Arial"/>
                <w:sz w:val="14"/>
                <w:szCs w:val="14"/>
                <w:b w:val="1"/>
                <w:bCs w:val="1"/>
                <w:color w:val="auto"/>
                <w:w w:val="90"/>
              </w:rPr>
              <w:t>Quoted 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 other</w:t>
            </w:r>
          </w:p>
        </w:tc>
        <w:tc>
          <w:tcPr>
            <w:tcW w:w="240" w:type="dxa"/>
            <w:vAlign w:val="bottom"/>
          </w:tcPr>
          <w:p>
            <w:pPr>
              <w:spacing w:after="0"/>
              <w:rPr>
                <w:sz w:val="11"/>
                <w:szCs w:val="11"/>
                <w:color w:val="auto"/>
              </w:rPr>
            </w:pPr>
          </w:p>
        </w:tc>
        <w:tc>
          <w:tcPr>
            <w:tcW w:w="1380" w:type="dxa"/>
            <w:vAlign w:val="bottom"/>
          </w:tcPr>
          <w:p>
            <w:pPr>
              <w:jc w:val="center"/>
              <w:ind w:right="181"/>
              <w:spacing w:after="0" w:line="131"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1"/>
              </w:rPr>
              <w:t>active markets for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jc w:val="center"/>
              <w:ind w:right="181"/>
              <w:spacing w:after="0" w:line="133" w:lineRule="exact"/>
              <w:rPr>
                <w:sz w:val="20"/>
                <w:szCs w:val="20"/>
                <w:color w:val="auto"/>
              </w:rPr>
            </w:pPr>
            <w:r>
              <w:rPr>
                <w:rFonts w:ascii="Arial" w:cs="Arial" w:eastAsia="Arial" w:hAnsi="Arial"/>
                <w:sz w:val="14"/>
                <w:szCs w:val="14"/>
                <w:b w:val="1"/>
                <w:bCs w:val="1"/>
                <w:color w:val="auto"/>
                <w:w w:val="87"/>
              </w:rPr>
              <w:t>unobservable</w:t>
            </w:r>
          </w:p>
        </w:tc>
        <w:tc>
          <w:tcPr>
            <w:tcW w:w="0" w:type="dxa"/>
            <w:vAlign w:val="bottom"/>
          </w:tcPr>
          <w:p>
            <w:pPr>
              <w:spacing w:after="0"/>
              <w:rPr>
                <w:sz w:val="1"/>
                <w:szCs w:val="1"/>
                <w:color w:val="auto"/>
              </w:rPr>
            </w:pPr>
          </w:p>
        </w:tc>
      </w:tr>
      <w:tr>
        <w:trPr>
          <w:trHeight w:val="132"/>
        </w:trPr>
        <w:tc>
          <w:tcPr>
            <w:tcW w:w="21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86"/>
              </w:rPr>
              <w:t>identical assets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observable inputs</w:t>
            </w:r>
          </w:p>
        </w:tc>
        <w:tc>
          <w:tcPr>
            <w:tcW w:w="240" w:type="dxa"/>
            <w:vAlign w:val="bottom"/>
          </w:tcPr>
          <w:p>
            <w:pPr>
              <w:spacing w:after="0"/>
              <w:rPr>
                <w:sz w:val="11"/>
                <w:szCs w:val="11"/>
                <w:color w:val="auto"/>
              </w:rPr>
            </w:pPr>
          </w:p>
        </w:tc>
        <w:tc>
          <w:tcPr>
            <w:tcW w:w="1380" w:type="dxa"/>
            <w:vAlign w:val="bottom"/>
          </w:tcPr>
          <w:p>
            <w:pPr>
              <w:jc w:val="center"/>
              <w:ind w:right="181"/>
              <w:spacing w:after="0" w:line="133"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380" w:type="dxa"/>
            <w:vAlign w:val="bottom"/>
          </w:tcPr>
          <w:p>
            <w:pPr>
              <w:jc w:val="center"/>
              <w:ind w:right="181"/>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9"/>
        </w:trPr>
        <w:tc>
          <w:tcPr>
            <w:tcW w:w="6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58,042</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 in U.S. Treasury securities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79,275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 in asset-backed securities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9"/>
        </w:trPr>
        <w:tc>
          <w:tcPr>
            <w:tcW w:w="2180" w:type="dxa"/>
            <w:vAlign w:val="bottom"/>
            <w:tcBorders>
              <w:bottom w:val="single" w:sz="8" w:color="auto"/>
            </w:tcBorders>
          </w:tcPr>
          <w:p>
            <w:pPr>
              <w:spacing w:after="0"/>
              <w:rPr>
                <w:sz w:val="10"/>
                <w:szCs w:val="10"/>
                <w:color w:val="auto"/>
              </w:rPr>
            </w:pPr>
          </w:p>
        </w:tc>
        <w:tc>
          <w:tcPr>
            <w:tcW w:w="3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money market funds are reflected in cash and cash equivalents in the accompanying Consolidated Balance Sheets.</w:t>
      </w:r>
    </w:p>
    <w:p>
      <w:pPr>
        <w:spacing w:after="0" w:line="151" w:lineRule="exact"/>
        <w:rPr>
          <w:sz w:val="20"/>
          <w:szCs w:val="20"/>
          <w:color w:val="auto"/>
        </w:rPr>
      </w:pPr>
    </w:p>
    <w:p>
      <w:pPr>
        <w:ind w:right="900" w:firstLine="397"/>
        <w:spacing w:after="0" w:line="264" w:lineRule="auto"/>
        <w:rPr>
          <w:sz w:val="20"/>
          <w:szCs w:val="20"/>
          <w:color w:val="auto"/>
        </w:rPr>
      </w:pPr>
      <w:r>
        <w:rPr>
          <w:rFonts w:ascii="Arial" w:cs="Arial" w:eastAsia="Arial" w:hAnsi="Arial"/>
          <w:sz w:val="18"/>
          <w:szCs w:val="18"/>
          <w:color w:val="auto"/>
        </w:rPr>
        <w:t>No transfer of assets between Level 1 and Level 2 of the fair value measurement hierarchy occurred during the three and nine months ended September 30,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Zimura - Archemix Corp.</w:t>
      </w:r>
    </w:p>
    <w:p>
      <w:pPr>
        <w:spacing w:after="0" w:line="151" w:lineRule="exact"/>
        <w:rPr>
          <w:sz w:val="20"/>
          <w:szCs w:val="20"/>
          <w:color w:val="auto"/>
        </w:rPr>
      </w:pPr>
    </w:p>
    <w:p>
      <w:pPr>
        <w:ind w:right="60" w:firstLine="397"/>
        <w:spacing w:after="0" w:line="265" w:lineRule="auto"/>
        <w:rPr>
          <w:sz w:val="20"/>
          <w:szCs w:val="20"/>
          <w:color w:val="auto"/>
        </w:rPr>
      </w:pPr>
      <w:r>
        <w:rPr>
          <w:rFonts w:ascii="Arial" w:cs="Arial" w:eastAsia="Arial" w:hAnsi="Arial"/>
          <w:sz w:val="17"/>
          <w:szCs w:val="17"/>
          <w:color w:val="auto"/>
        </w:rPr>
        <w:t>The Company is party to an agreement with Archemix Corp. (“Archemix”) under which the Company in-licensed rights in certain patents, patent applications and other intellectual property related to Zimura and pursuant to which the Company may be required to pay sublicense fees and make milestone payments (the “C5 License Agreement”). Under the C5 License Agreement, for each anti-C5 aptamer product that the Company may develop under the agreement, including Zimura, the Company is obligated to make additional payments to Archemix of up to an aggregate of $50.5 million if the Company achieves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the Company is also obligated to make additional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payments to Archemix of up to an aggregate of $22.5 million if the Company achieves specified commercial milestones based on net product sales of all anti-C5 products licensed under the agreement.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IC-100 - University of Florida and the University of Pennsylvania</w:t>
      </w:r>
    </w:p>
    <w:p>
      <w:pPr>
        <w:spacing w:after="0" w:line="151" w:lineRule="exact"/>
        <w:rPr>
          <w:sz w:val="20"/>
          <w:szCs w:val="20"/>
          <w:color w:val="auto"/>
        </w:rPr>
      </w:pPr>
    </w:p>
    <w:p>
      <w:pPr>
        <w:ind w:right="40" w:firstLine="397"/>
        <w:spacing w:after="0" w:line="301" w:lineRule="auto"/>
        <w:rPr>
          <w:sz w:val="20"/>
          <w:szCs w:val="20"/>
          <w:color w:val="auto"/>
        </w:rPr>
      </w:pPr>
      <w:r>
        <w:rPr>
          <w:rFonts w:ascii="Arial" w:cs="Arial" w:eastAsia="Arial" w:hAnsi="Arial"/>
          <w:sz w:val="15"/>
          <w:szCs w:val="15"/>
          <w:color w:val="auto"/>
        </w:rPr>
        <w:t>Under its exclusive license agreement with the University of Florida Research Foundation, Incorporated (“UFRF”) and the University of Pennsylvania (“Penn”) for rights to IC-100, the Company is obligated to make payments to UFRF, for the benefit of Penn and UFRF (together, the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for the benefit of the Licensors, a low single-digit percentage of net sales of licensed products. The Company is also obligated to pay UFRF, for the benefit of the Licensors, a double-digit percentage of specified non-royalty payments the Company may receive from any third-party sublicensee of the licensed patent rights. Further,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UFRF, for the benefit of the Licensors, a low double-digit percentage of any consideration received from such third party in connection with such sale.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IC-200 - University of Pennsylvania and the University of Florida</w:t>
      </w:r>
    </w:p>
    <w:p>
      <w:pPr>
        <w:spacing w:after="0" w:line="138" w:lineRule="exact"/>
        <w:rPr>
          <w:sz w:val="20"/>
          <w:szCs w:val="20"/>
          <w:color w:val="auto"/>
        </w:rPr>
      </w:pPr>
    </w:p>
    <w:p>
      <w:pPr>
        <w:ind w:firstLine="397"/>
        <w:spacing w:after="0" w:line="300" w:lineRule="auto"/>
        <w:rPr>
          <w:sz w:val="20"/>
          <w:szCs w:val="20"/>
          <w:color w:val="auto"/>
        </w:rPr>
      </w:pPr>
      <w:r>
        <w:rPr>
          <w:rFonts w:ascii="Arial" w:cs="Arial" w:eastAsia="Arial" w:hAnsi="Arial"/>
          <w:sz w:val="15"/>
          <w:szCs w:val="15"/>
          <w:color w:val="auto"/>
        </w:rPr>
        <w:t>Under its exclusive license agreement with Penn and UFRF for rights to IC-200, the Company is obligated to make payments to Penn, for the benefit of the Licensors, of up to an aggregate of $15.7 million if the Company achieves specified clinical, marketing approval and reimbursement approval milestones with respect to one licensed product and up to an aggregate of an additional $3.1 million if the Company achieves these same milestones with respect to a different licensed product. In addition, the Company is obligated to make payments to Penn, for the benefit of the Licensors, of up to an aggregate of $48.0 million if the Company achieves specified commercial sales milestones with respect to one licensed product and up to an aggregate of an additional $9.6 million if the Company achieves these same milestones with respect to a different licensed product. The Company is also obligated to pay Penn, for the benefit of the Licensors, a low single-digit percentage of net sales of licensed products. The Company is also obligated to pay Penn, for the benefit of the Licensors, a high single-digit to a mid-teen percentage of specified non-royalty payments the Company may receive from any third-party sublicensee of the licensed patent rights, with the applicable percentage based upon the stage of development of the sublicensed product at the time the Company enters into the sublicense. Further, 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Penn,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Penn, for the benefit of the Licensors, a high single-digit percentage of any consideration received from such third party in connection with such sale.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miniCEP290 Program - University of Massachusetts</w:t>
      </w:r>
    </w:p>
    <w:p>
      <w:pPr>
        <w:spacing w:after="0" w:line="151" w:lineRule="exact"/>
        <w:rPr>
          <w:sz w:val="20"/>
          <w:szCs w:val="20"/>
          <w:color w:val="auto"/>
        </w:rPr>
      </w:pPr>
    </w:p>
    <w:p>
      <w:pPr>
        <w:ind w:right="20" w:firstLine="397"/>
        <w:spacing w:after="0" w:line="263" w:lineRule="auto"/>
        <w:rPr>
          <w:sz w:val="20"/>
          <w:szCs w:val="20"/>
          <w:color w:val="auto"/>
        </w:rPr>
      </w:pPr>
      <w:r>
        <w:rPr>
          <w:rFonts w:ascii="Arial" w:cs="Arial" w:eastAsia="Arial" w:hAnsi="Arial"/>
          <w:sz w:val="17"/>
          <w:szCs w:val="17"/>
          <w:color w:val="auto"/>
        </w:rPr>
        <w:t xml:space="preserve">Under its exclusive license agreement with the University of Massachusetts (“UMass”) for its miniCEP290 program, which targets LCA10, which is associated with mutations in the </w:t>
      </w:r>
      <w:r>
        <w:rPr>
          <w:rFonts w:ascii="Arial" w:cs="Arial" w:eastAsia="Arial" w:hAnsi="Arial"/>
          <w:sz w:val="17"/>
          <w:szCs w:val="17"/>
          <w:i w:val="1"/>
          <w:iCs w:val="1"/>
          <w:color w:val="auto"/>
        </w:rPr>
        <w:t>CEP290</w:t>
      </w:r>
      <w:r>
        <w:rPr>
          <w:rFonts w:ascii="Arial" w:cs="Arial" w:eastAsia="Arial" w:hAnsi="Arial"/>
          <w:sz w:val="17"/>
          <w:szCs w:val="17"/>
          <w:color w:val="auto"/>
        </w:rPr>
        <w:t xml:space="preserve"> gene, the Company is obligated to pay UMass up to an aggregate of $14.75 million in cash and issue up to 75,000 shares of common stock of the Company if the Company achieves specified clinical and regulatory milestones with respect to a licensed product. In addition, the Company is obligated to pay UMass up to an aggregate of $48.0 million if the Company achieves specified commercial sales milestones with respect to a licensed product. The Company is also obligated to pay UMass royalties at a low single-digit percentage of net sales of licensed products. If the Company or any of its affiliates sublicenses any of the licensed patent rights or know-how to a third party, the Company will be obligated to pay UMass a high single-digit to a mid-tens percentage of the consideration received in exchange for such sublicense, with the applicable percentage based upon the stage of development of the licensed products at the time the Company or the applicable affiliate enters into the sublicense. If the Company receives a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UMass a low-tens percentage of the fair market value of the priority review voucher at the time of</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80"/>
        <w:spacing w:after="0" w:line="330" w:lineRule="auto"/>
        <w:rPr>
          <w:sz w:val="20"/>
          <w:szCs w:val="20"/>
          <w:color w:val="auto"/>
        </w:rPr>
      </w:pPr>
      <w:r>
        <w:rPr>
          <w:rFonts w:ascii="Arial" w:cs="Arial" w:eastAsia="Arial" w:hAnsi="Arial"/>
          <w:sz w:val="15"/>
          <w:szCs w:val="15"/>
          <w:color w:val="auto"/>
        </w:rPr>
        <w:t>approval of such product candidate and a low-twenties percentage of the fair market value of the priority review voucher at the time of achievement of a specified commercial sales milestone for such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IC-500 - Former Equityholders of Inception 4</w:t>
      </w:r>
    </w:p>
    <w:p>
      <w:pPr>
        <w:spacing w:after="0" w:line="151" w:lineRule="exact"/>
        <w:rPr>
          <w:sz w:val="20"/>
          <w:szCs w:val="20"/>
          <w:color w:val="auto"/>
        </w:rPr>
      </w:pPr>
    </w:p>
    <w:p>
      <w:pPr>
        <w:ind w:right="60" w:firstLine="397"/>
        <w:spacing w:after="0" w:line="301" w:lineRule="auto"/>
        <w:rPr>
          <w:sz w:val="20"/>
          <w:szCs w:val="20"/>
          <w:color w:val="auto"/>
        </w:rPr>
      </w:pPr>
      <w:r>
        <w:rPr>
          <w:rFonts w:ascii="Arial" w:cs="Arial" w:eastAsia="Arial" w:hAnsi="Arial"/>
          <w:sz w:val="15"/>
          <w:szCs w:val="15"/>
          <w:color w:val="auto"/>
        </w:rPr>
        <w:t>Under the agreement and plan of merger between the Company and Inception 4, Inc. (“Inception 4”), pursuant to which the Company acquired IC-500 and its other HtrA1 inhibitors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IC-500 or any other product candidate from its HtrA1 inhibitor program,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acquisition, exceed an overall maximum limit of approximately 7.2 million shares, which is equal to 19.9% of the number of issued and outstanding shares of the Company's common stock as of the close of business on the business day prior to the closing date of the Inception 4 acquisition, and will be payable in cash thereafter. The Inception 4 Merger Agreement also includes customary indemnification obligations to the former equityholders of Inception 4, including for breaches of the representations and warranties, covenants and agreements of the Company and its subsidiaries (other than Inception 4) in the Inception 4 Merger Agreement.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138" w:lineRule="exact"/>
        <w:rPr>
          <w:sz w:val="20"/>
          <w:szCs w:val="20"/>
          <w:color w:val="auto"/>
        </w:rPr>
      </w:pPr>
    </w:p>
    <w:p>
      <w:pPr>
        <w:ind w:right="40" w:firstLine="397"/>
        <w:spacing w:after="0" w:line="255"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Service Providers</w:t>
      </w:r>
    </w:p>
    <w:p>
      <w:pPr>
        <w:spacing w:after="0" w:line="151" w:lineRule="exact"/>
        <w:rPr>
          <w:sz w:val="20"/>
          <w:szCs w:val="20"/>
          <w:color w:val="auto"/>
        </w:rPr>
      </w:pPr>
    </w:p>
    <w:p>
      <w:pPr>
        <w:ind w:right="100" w:firstLine="397"/>
        <w:spacing w:after="0" w:line="318" w:lineRule="auto"/>
        <w:rPr>
          <w:sz w:val="20"/>
          <w:szCs w:val="20"/>
          <w:color w:val="auto"/>
        </w:rPr>
      </w:pPr>
      <w:r>
        <w:rPr>
          <w:rFonts w:ascii="Arial" w:cs="Arial" w:eastAsia="Arial" w:hAnsi="Arial"/>
          <w:sz w:val="15"/>
          <w:szCs w:val="15"/>
          <w:color w:val="auto"/>
        </w:rPr>
        <w:t>In addition, in the course of normal business operations, the Company has agreements with contract service providers to assist in the performance of the Company’s research and development and manufacturing activities. Expenditures to CROs 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51" w:lineRule="exact"/>
        <w:rPr>
          <w:sz w:val="20"/>
          <w:szCs w:val="20"/>
          <w:color w:val="auto"/>
        </w:rPr>
      </w:pPr>
    </w:p>
    <w:p>
      <w:pPr>
        <w:ind w:firstLine="397"/>
        <w:spacing w:after="0" w:line="299" w:lineRule="auto"/>
        <w:rPr>
          <w:sz w:val="20"/>
          <w:szCs w:val="20"/>
          <w:color w:val="auto"/>
        </w:rPr>
      </w:pPr>
      <w:r>
        <w:rPr>
          <w:rFonts w:ascii="Arial" w:cs="Arial" w:eastAsia="Arial" w:hAnsi="Arial"/>
          <w:sz w:val="15"/>
          <w:szCs w:val="15"/>
          <w:color w:val="auto"/>
        </w:rPr>
        <w:t>On January 11, 2017, a putative class action lawsuit was filed against the Company and certain of its current and former executive officers in the United States District Court for the Southern District of New York, captioned Frank Micholle v. IVERIC bio, Inc., et al., No. 1:17-cv-00210. On March 9, 2017, a related putative class action lawsuit was filed against the Company and the same group of its current and former executive officers in the United States District Court for the Southern District of New York, captioned Wasson v. IVERIC bio, Inc.,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On September 18, 2019, the court issued an order dismissing some, but not all, of the allegations in the CAC. On November 18, 2019, the Company and the individual defendants filed an answer to the complaint. On June 12, 2020, the lead plaintiff filed a motion for class certification. On August 11, 2020, the defendants filed a notice of non-opposition to lead plaintiff's motion for class certification. On April 23, 2021, the court issued an order staying the action until July 1, 2021, 10 days after a mediation scheduled for June 21, 2021. On July 1, 2021, following the June 21, 2021 mediation, the parties notified the court that they had reached an agreement in principle to settle the class action. On September 8, 2021, the parties executed a settlement agreement, which has been submitted to the court for approval. The Company does not expect this settlement, if finalized as currently contemplated, to have a material impact on its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firstLine="397"/>
        <w:spacing w:after="0" w:line="300" w:lineRule="auto"/>
        <w:rPr>
          <w:sz w:val="20"/>
          <w:szCs w:val="20"/>
          <w:color w:val="auto"/>
        </w:rPr>
      </w:pPr>
      <w:r>
        <w:rPr>
          <w:rFonts w:ascii="Arial" w:cs="Arial" w:eastAsia="Arial" w:hAnsi="Arial"/>
          <w:sz w:val="15"/>
          <w:szCs w:val="15"/>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On September 19, 2019, the court denied its motion to dismiss this complaint. This matter was subsequently referred to a special litigation committee (“SLC”) of the Company's board of directors. On February 18, 2020, the Company filed an answer to the complaint. The Company and the plaintiff agreed to stay this litigation while the SLC conducts its investigation. On May 4, 2020, the court approved the stipulation and stayed the litigation through November 1, 2020. By agreement of the parties, the court has since extended the stay through June 26, 2021. The Company also entered into tolling agreements with the defendant directors to December 2021. The SLC and the plaintiffs in this derivative matter and the one described below recently agreed in principle on a settlement and are conducting settlement agreement discussions.</w:t>
      </w:r>
    </w:p>
    <w:p>
      <w:pPr>
        <w:spacing w:after="0" w:line="294" w:lineRule="exact"/>
        <w:rPr>
          <w:sz w:val="20"/>
          <w:szCs w:val="20"/>
          <w:color w:val="auto"/>
        </w:rPr>
      </w:pPr>
    </w:p>
    <w:p>
      <w:pPr>
        <w:ind w:firstLine="397"/>
        <w:spacing w:after="0" w:line="263" w:lineRule="auto"/>
        <w:rPr>
          <w:sz w:val="20"/>
          <w:szCs w:val="20"/>
          <w:color w:val="auto"/>
        </w:rPr>
      </w:pPr>
      <w:r>
        <w:rPr>
          <w:rFonts w:ascii="Arial" w:cs="Arial" w:eastAsia="Arial" w:hAnsi="Arial"/>
          <w:sz w:val="17"/>
          <w:szCs w:val="17"/>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 These shareholder demands were referred to a demand review committee of the Company's board of directors. On May 6, 2021, the shareholders who served the October 16, 2018 demand filed a shareholder derivative action against current and former members of the Company’s Board of Directors and certain current and former officers of the Company in the New York Supreme Court, captioned Brian Ferber et al., derivatively on behalf of Ophthotech Corporation v. Axel Bolte et al., Index No. 154462/2021. The complaint asserts the same claims as those asserted in the Pacheco complaint and is based on factual allegations that are materially similar to the allegations in the Pacheco complaint. On June 22, 2021, the parties filed a stipulation staying the Ferber action until 60 days after the SLC concludes its investigation. The Company has entered into tolling agreements with the directors named in the demands to December 2021. The SLC and the plaintiffs in this derivative matter and the one described above recently agreed in principle on a settlement and are conducting settlement agreement discussions.</w:t>
      </w:r>
    </w:p>
    <w:p>
      <w:pPr>
        <w:spacing w:after="0" w:line="117" w:lineRule="exact"/>
        <w:rPr>
          <w:sz w:val="20"/>
          <w:szCs w:val="20"/>
          <w:color w:val="auto"/>
        </w:rPr>
      </w:pPr>
    </w:p>
    <w:p>
      <w:pPr>
        <w:ind w:firstLine="397"/>
        <w:spacing w:after="0" w:line="309" w:lineRule="auto"/>
        <w:rPr>
          <w:sz w:val="20"/>
          <w:szCs w:val="20"/>
          <w:color w:val="auto"/>
        </w:rPr>
      </w:pPr>
      <w:r>
        <w:rPr>
          <w:rFonts w:ascii="Arial" w:cs="Arial" w:eastAsia="Arial" w:hAnsi="Arial"/>
          <w:sz w:val="15"/>
          <w:szCs w:val="15"/>
          <w:color w:val="auto"/>
        </w:rPr>
        <w:t>The Company denies any and all allegations of wrongdoing and intends to vigorously defend against these lawsuits. The Company is unable, however, to predict the outcome of these matters, including that of the settlement agreement discussions,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its business plan and strategies that are important to the Company's ability to grow its business, any of which could have a material adverse effect on the Company's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44" w:lineRule="exact"/>
        <w:rPr>
          <w:sz w:val="20"/>
          <w:szCs w:val="20"/>
          <w:color w:val="auto"/>
        </w:rPr>
      </w:pPr>
    </w:p>
    <w:p>
      <w:pPr>
        <w:jc w:val="both"/>
        <w:ind w:right="200" w:firstLine="397"/>
        <w:spacing w:after="0" w:line="255" w:lineRule="auto"/>
        <w:rPr>
          <w:sz w:val="20"/>
          <w:szCs w:val="20"/>
          <w:color w:val="auto"/>
        </w:rPr>
      </w:pPr>
      <w:r>
        <w:rPr>
          <w:rFonts w:ascii="Arial" w:cs="Arial" w:eastAsia="Arial" w:hAnsi="Arial"/>
          <w:sz w:val="18"/>
          <w:szCs w:val="18"/>
          <w:color w:val="auto"/>
        </w:rPr>
        <w:t>In October 2021, the Company completed an underwritten public offering in which the Company sold 10,350,000 shares of its common stock, which included the exercise in full of the underwriters’ option to purchase 1,350,000 shares of the Company’s common stock, at a price to the public of $16.75 per share and at a price to the underwriters of $15.745 per share.</w:t>
      </w:r>
    </w:p>
    <w:p>
      <w:pPr>
        <w:spacing w:after="0" w:line="122" w:lineRule="exact"/>
        <w:rPr>
          <w:sz w:val="20"/>
          <w:szCs w:val="20"/>
          <w:color w:val="auto"/>
        </w:rPr>
      </w:pPr>
    </w:p>
    <w:p>
      <w:pPr>
        <w:ind w:right="340" w:firstLine="397"/>
        <w:spacing w:after="0" w:line="264" w:lineRule="auto"/>
        <w:rPr>
          <w:sz w:val="20"/>
          <w:szCs w:val="20"/>
          <w:color w:val="auto"/>
        </w:rPr>
      </w:pPr>
      <w:r>
        <w:rPr>
          <w:rFonts w:ascii="Arial" w:cs="Arial" w:eastAsia="Arial" w:hAnsi="Arial"/>
          <w:sz w:val="18"/>
          <w:szCs w:val="18"/>
          <w:color w:val="auto"/>
        </w:rPr>
        <w:t>The net proceeds from the October 2021 public offering, after deducting underwriting discounts and commissions and other expenses payable by the Company totaling approximately $10.8 million, was approximately $162.6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44"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related notes appearing elsewhere in this Quarterly Report on Form 10-Q and the audited financial statements and related notes and management’s discussion and analysis of financial condition and results of operations for the year ended December 31, 2020 included in our Annual Report on Form 10-K filed with the Securities and Exchange Commission on March 4, 2021.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and should be read together with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ind w:right="120" w:firstLine="397"/>
        <w:spacing w:after="0" w:line="277" w:lineRule="auto"/>
        <w:rPr>
          <w:sz w:val="20"/>
          <w:szCs w:val="20"/>
          <w:color w:val="auto"/>
        </w:rPr>
      </w:pPr>
      <w:r>
        <w:rPr>
          <w:rFonts w:ascii="Arial" w:cs="Arial" w:eastAsia="Arial" w:hAnsi="Arial"/>
          <w:sz w:val="17"/>
          <w:szCs w:val="17"/>
          <w:color w:val="auto"/>
        </w:rPr>
        <w:t>We are a science-driven biopharmaceutical company focused on the discovery and development of novel treatments for retinal diseases with significant unmet medical needs. We are committed to having a positive impact on patients’ lives by delivering high-quality, safe and effective treatments designed to address debilitating retina diseases including all stages of age-related macular degeneration, or AMD.</w:t>
      </w:r>
    </w:p>
    <w:p>
      <w:pPr>
        <w:spacing w:after="0" w:line="105"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Our lead asset is our clinical stage product candidate Zimura® (avacincaptad pegol), a complement C5 inhibitor. We are currently targeting the following diseases with Zimura:</w:t>
      </w:r>
    </w:p>
    <w:p>
      <w:pPr>
        <w:spacing w:after="0" w:line="114" w:lineRule="exact"/>
        <w:rPr>
          <w:sz w:val="20"/>
          <w:szCs w:val="20"/>
          <w:color w:val="auto"/>
        </w:rPr>
      </w:pPr>
    </w:p>
    <w:p>
      <w:pPr>
        <w:ind w:left="640" w:right="30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Geographic Atrophy, or GA, which is the advanced stage of AMD, and is characterized by marked thinning or atrophy of retinal tissue, leading to irreversible loss of vision;</w:t>
      </w:r>
    </w:p>
    <w:p>
      <w:pPr>
        <w:spacing w:after="0" w:line="101"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intermediate AMD, which is an earlier stage of AMD that precedes GA; and</w:t>
      </w:r>
    </w:p>
    <w:p>
      <w:pPr>
        <w:spacing w:after="0" w:line="150"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autosomal recessive Stargardt disease, or STGD1, which is an orphan inherited condition characterized by progressive damage to the central portion of the retina, or the macula, and other retinal tissue, leading to loss of vision.</w:t>
      </w:r>
    </w:p>
    <w:p>
      <w:pPr>
        <w:spacing w:after="0" w:line="114" w:lineRule="exact"/>
        <w:rPr>
          <w:sz w:val="20"/>
          <w:szCs w:val="20"/>
          <w:color w:val="auto"/>
        </w:rPr>
      </w:pPr>
    </w:p>
    <w:p>
      <w:pPr>
        <w:ind w:right="80" w:firstLine="397"/>
        <w:spacing w:after="0" w:line="265" w:lineRule="auto"/>
        <w:rPr>
          <w:sz w:val="20"/>
          <w:szCs w:val="20"/>
          <w:color w:val="auto"/>
        </w:rPr>
      </w:pPr>
      <w:r>
        <w:rPr>
          <w:rFonts w:ascii="Arial" w:cs="Arial" w:eastAsia="Arial" w:hAnsi="Arial"/>
          <w:sz w:val="17"/>
          <w:szCs w:val="17"/>
          <w:color w:val="auto"/>
        </w:rPr>
        <w:t>In July 2021, we completed patient enrollment for GATHER2, our Phase 3 clinical trial evaluating the safety and efficacy of Zimura for the treatment of GA secondary to AMD. We have also received a written agreement from the U.S. Food and Drug Administration, or the FDA, under a Special Protocol Assessment, for SPA, for the overall design of GATHER2. We expect topline data from the GATHER2 trial to become available during the second half of 2022, approximately one year after the enrollment of the last patient plus the time needed for database lock and analysis. We also plan to initiate a Phase 3 clinical trial evaluating Zimura for patients with intermediate AMD during 2022. We expect data from this trial, if positive, together with other supportive data, may be sufficient to file a supplemental new drug application, or NDA, with the FDA and a supplemental marketing authorization application, or MAA, with the European Medicines Agency, or the EMA.</w:t>
      </w:r>
    </w:p>
    <w:p>
      <w:pPr>
        <w:spacing w:after="0" w:line="106" w:lineRule="exact"/>
        <w:rPr>
          <w:sz w:val="20"/>
          <w:szCs w:val="20"/>
          <w:color w:val="auto"/>
        </w:rPr>
      </w:pPr>
    </w:p>
    <w:p>
      <w:pPr>
        <w:ind w:right="420" w:firstLine="397"/>
        <w:spacing w:after="0" w:line="255" w:lineRule="auto"/>
        <w:rPr>
          <w:sz w:val="20"/>
          <w:szCs w:val="20"/>
          <w:color w:val="auto"/>
        </w:rPr>
      </w:pPr>
      <w:r>
        <w:rPr>
          <w:rFonts w:ascii="Arial" w:cs="Arial" w:eastAsia="Arial" w:hAnsi="Arial"/>
          <w:sz w:val="18"/>
          <w:szCs w:val="18"/>
          <w:color w:val="auto"/>
        </w:rPr>
        <w:t>In addition to Zimura, we are developing our preclinical product candidate IC-500, a High temperature requirement A serine peptidase 1 protein, or HtrA1, inhibitor, for GA secondary to AMD and potentially other age-related retinal diseases. Based on current timelines, we expect to submit an investigational new drug application, or IND, to the FDA for IC-500 during the second half of 2022.</w:t>
      </w:r>
    </w:p>
    <w:p>
      <w:pPr>
        <w:spacing w:after="0" w:line="122" w:lineRule="exact"/>
        <w:rPr>
          <w:sz w:val="20"/>
          <w:szCs w:val="20"/>
          <w:color w:val="auto"/>
        </w:rPr>
      </w:pPr>
    </w:p>
    <w:p>
      <w:pPr>
        <w:ind w:right="400" w:firstLine="397"/>
        <w:spacing w:after="0" w:line="255" w:lineRule="auto"/>
        <w:rPr>
          <w:sz w:val="20"/>
          <w:szCs w:val="20"/>
          <w:color w:val="auto"/>
        </w:rPr>
      </w:pPr>
      <w:r>
        <w:rPr>
          <w:rFonts w:ascii="Arial" w:cs="Arial" w:eastAsia="Arial" w:hAnsi="Arial"/>
          <w:sz w:val="18"/>
          <w:szCs w:val="18"/>
          <w:color w:val="auto"/>
        </w:rPr>
        <w:t>Our portfolio also includes two preclinical stage gene therapy product candidates (IC-100 and IC-200) and several ongoing gene therapy research programs, each of which uses adeno-associated virus, or AAV, for gene delivery. These AAV mediated gene therapy programs are targeting the following orphan inherited retinal diseases, or IRDs:</w:t>
      </w:r>
    </w:p>
    <w:p>
      <w:pPr>
        <w:spacing w:after="0" w:line="360" w:lineRule="exact"/>
        <w:rPr>
          <w:sz w:val="20"/>
          <w:szCs w:val="20"/>
          <w:color w:val="auto"/>
        </w:rPr>
      </w:pPr>
    </w:p>
    <w:p>
      <w:pPr>
        <w:ind w:left="640" w:right="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or RHO-adRP, which is characterized by progressive and severe bilateral loss of vision leading to blindness;</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IRDs associated with mutations in the BEST1 gene, including Best vitelliform macular dystrophy, or Best disease;</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STGD1; and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640" w:right="18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IRDs associated with mutations in the USH2A gene, which include Usher syndrome type 2A, or Usher 2A, and USH2A-associated non-syndromic autosomal recessive retinitis pigmentosa.</w:t>
      </w:r>
    </w:p>
    <w:p>
      <w:pPr>
        <w:spacing w:after="0" w:line="114" w:lineRule="exact"/>
        <w:rPr>
          <w:sz w:val="20"/>
          <w:szCs w:val="20"/>
          <w:color w:val="auto"/>
        </w:rPr>
      </w:pPr>
    </w:p>
    <w:p>
      <w:pPr>
        <w:ind w:right="20" w:firstLine="397"/>
        <w:spacing w:after="0" w:line="250" w:lineRule="auto"/>
        <w:rPr>
          <w:sz w:val="20"/>
          <w:szCs w:val="20"/>
          <w:color w:val="auto"/>
        </w:rPr>
      </w:pPr>
      <w:r>
        <w:rPr>
          <w:rFonts w:ascii="Arial" w:cs="Arial" w:eastAsia="Arial" w:hAnsi="Arial"/>
          <w:sz w:val="18"/>
          <w:szCs w:val="18"/>
          <w:color w:val="auto"/>
        </w:rPr>
        <w:t>As we focus our efforts on and prioritize the development of Zimura, we have been considering our development options for IC-100 and IC-200, which we have been developing for RHO-adRP and BEST1- related IRDs, respectively. We currently plan to seek a collaborator or licensee for the future development and potential commercialization of these product candidates. We do not now expect to initiate a Phase 1/2 clinical trial for IC-200 in 2021. We expect that this re-prioritization of our development programs will allow us to devote an additional $10 million to $15 million to our Zimura development and pre-commercialization efforts between now and the end of 2023.</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Pipeline</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summarized the current status of our ongoing research and development programs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5755005" cy="2431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5005" cy="243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*We have an option to exclusively in-license intellectual property resulting from these research programs.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Development Programs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Zimura</w:t>
      </w:r>
    </w:p>
    <w:p>
      <w:pPr>
        <w:spacing w:after="0" w:line="151" w:lineRule="exact"/>
        <w:rPr>
          <w:sz w:val="20"/>
          <w:szCs w:val="20"/>
          <w:color w:val="auto"/>
        </w:rPr>
      </w:pPr>
    </w:p>
    <w:p>
      <w:pPr>
        <w:ind w:right="60" w:firstLine="397"/>
        <w:spacing w:after="0" w:line="255" w:lineRule="auto"/>
        <w:rPr>
          <w:sz w:val="20"/>
          <w:szCs w:val="20"/>
          <w:color w:val="auto"/>
        </w:rPr>
      </w:pPr>
      <w:r>
        <w:rPr>
          <w:rFonts w:ascii="Arial" w:cs="Arial" w:eastAsia="Arial" w:hAnsi="Arial"/>
          <w:sz w:val="18"/>
          <w:szCs w:val="18"/>
          <w:color w:val="auto"/>
        </w:rPr>
        <w:t>Zimura, our complement C5 inhibitor, is a chemically-synthesized, pegylated RNA aptamer. Aptamers are short molecules made up of a single stranded nucleic acid sequence or amino acid sequence that binds molecular targets with high selectivity and specificity. The following are brief descriptions of our ongoing and planned clinical trials for Zimura, and our manufacturing activities for Zimura.</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GATHER2 (GA secondary to AMD - Ongoing)</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Trial Design</w:t>
      </w:r>
    </w:p>
    <w:p>
      <w:pPr>
        <w:spacing w:after="0" w:line="151"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GATHER2, also known as ISEE2008, is an international, randomized, double-masked, sham controlled, multi-center Phase 3 clinical trial evaluating the safety and efficacy of Zimura for the treatment of GA secondary to AMD. In this trial, patients are randomized to receive either monthly administration of Zimura 2 mg or sham during the first 12 months of the trial, at which time we plan to analyze the primary efficacy endpoint of the mean rate of growth (slope) estimated based on GA area, as measured by fundus autofluorescence, FAF, based on readings at three time points: baseline, month 6 and month 12. At month 12, patients in the Zimura 2 mg arm are re-randomized to receive either monthly or every other month administration of Zimura 2 mg. The final evaluation for all patients will take place at month 24.</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Trial Progress</w:t>
      </w:r>
    </w:p>
    <w:p>
      <w:pPr>
        <w:spacing w:after="0" w:line="138" w:lineRule="exact"/>
        <w:rPr>
          <w:sz w:val="20"/>
          <w:szCs w:val="20"/>
          <w:color w:val="auto"/>
        </w:rPr>
      </w:pPr>
    </w:p>
    <w:p>
      <w:pPr>
        <w:ind w:right="120" w:firstLine="397"/>
        <w:spacing w:after="0" w:line="252" w:lineRule="auto"/>
        <w:rPr>
          <w:sz w:val="20"/>
          <w:szCs w:val="20"/>
          <w:color w:val="auto"/>
        </w:rPr>
      </w:pPr>
      <w:r>
        <w:rPr>
          <w:rFonts w:ascii="Arial" w:cs="Arial" w:eastAsia="Arial" w:hAnsi="Arial"/>
          <w:sz w:val="18"/>
          <w:szCs w:val="18"/>
          <w:color w:val="auto"/>
        </w:rPr>
        <w:t>In July 2021, we completed patient enrollment in GATHER2 with a total of 448 patients enrolled. We expect 12-month top-line data from this trial to become available during the second half of 2022, approximately one year after the enrollment of the last patient plus the time needed for database lock and analysis. If the 12-month results are positive, we plan to file applications with the FDA and the EMA for marketing approval of Zimura for GA secondary to AMD.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firstLine="397"/>
        <w:spacing w:after="0" w:line="271" w:lineRule="auto"/>
        <w:rPr>
          <w:sz w:val="20"/>
          <w:szCs w:val="20"/>
          <w:color w:val="auto"/>
        </w:rPr>
      </w:pPr>
      <w:r>
        <w:rPr>
          <w:rFonts w:ascii="Arial" w:cs="Arial" w:eastAsia="Arial" w:hAnsi="Arial"/>
          <w:sz w:val="17"/>
          <w:szCs w:val="17"/>
          <w:color w:val="auto"/>
        </w:rPr>
        <w:t>We are focusing on patient retention and continue to closely monitor the COVID-19 pandemic and its potential effect on the trial. We are targeting patient retention for the trial, as measured by the injection fidelity rate through month 12, of greater than 90%. The 12-month injection fidelity rate for our previously completed GATHER1 trial was 87%. The injection fidelity rate is calculated by dividing the total number of actual injections for all patients by the total number of expected injections based on the total number of patients enrolled in the trial.</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Special Protocol Assessment</w:t>
      </w:r>
    </w:p>
    <w:p>
      <w:pPr>
        <w:spacing w:after="0" w:line="151" w:lineRule="exact"/>
        <w:rPr>
          <w:sz w:val="20"/>
          <w:szCs w:val="20"/>
          <w:color w:val="auto"/>
        </w:rPr>
      </w:pPr>
    </w:p>
    <w:p>
      <w:pPr>
        <w:ind w:right="20" w:firstLine="397"/>
        <w:spacing w:after="0" w:line="268" w:lineRule="auto"/>
        <w:rPr>
          <w:sz w:val="20"/>
          <w:szCs w:val="20"/>
          <w:color w:val="auto"/>
        </w:rPr>
      </w:pPr>
      <w:r>
        <w:rPr>
          <w:rFonts w:ascii="Arial" w:cs="Arial" w:eastAsia="Arial" w:hAnsi="Arial"/>
          <w:sz w:val="17"/>
          <w:szCs w:val="17"/>
          <w:color w:val="auto"/>
        </w:rPr>
        <w:t>In July 2021, we received a written agreement from the FDA under a SPA for the overall design of GATHER2. The SPA is a procedure by which the FDA provides a clinical trial sponsor with an official evaluation and written guidance on the design of a proposed protocol intended to form the basis for an NDA. In connection with our SPA, the FDA recommended, and we accepted, modifying the primary efficacy endpoint for the GATHER2 trial from the mean rate of change in GA area over 12 months measured by FAF at three timepoints: baseline, month 6 and month 12, to the mean rate of growth (slope) estimated based on GA area measured by FAF in at least three timepoints: baseline, month 6 and month 12.</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Planned Development of Zimura for Intermediate AMD</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Previous Post-Hoc Analyses</w:t>
      </w:r>
    </w:p>
    <w:p>
      <w:pPr>
        <w:spacing w:after="0" w:line="151"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As previously disclosed, we conducted post-hoc analyses on the GATHER1 data, in which we evaluated the progression of incomplete Retinal Pigment Epithelial and Outer Retinal Atrophy, or iRORA, to complete Retinal Pigment Epithelial and Outer Retinal Atrophy, or cRORA, and the progression of drusen to iRORA or cRORA, in patients treated with Zimura 2 mg as compared to patients in the corresponding sham group. Drusen, iRORA and cRORA represent progressive stages of AMD.</w:t>
      </w:r>
    </w:p>
    <w:p>
      <w:pPr>
        <w:spacing w:after="0" w:line="124" w:lineRule="exact"/>
        <w:rPr>
          <w:sz w:val="20"/>
          <w:szCs w:val="20"/>
          <w:color w:val="auto"/>
        </w:rPr>
      </w:pPr>
    </w:p>
    <w:p>
      <w:pPr>
        <w:ind w:right="100" w:firstLine="397"/>
        <w:spacing w:after="0" w:line="252" w:lineRule="auto"/>
        <w:rPr>
          <w:sz w:val="20"/>
          <w:szCs w:val="20"/>
          <w:color w:val="auto"/>
        </w:rPr>
      </w:pPr>
      <w:r>
        <w:rPr>
          <w:rFonts w:ascii="Arial" w:cs="Arial" w:eastAsia="Arial" w:hAnsi="Arial"/>
          <w:sz w:val="18"/>
          <w:szCs w:val="18"/>
          <w:color w:val="auto"/>
        </w:rPr>
        <w:t>The post-hoc analysis data show a 19.6% absolute reduction in the rate of progression from drusen to iRORA or cRORA, for the Zimura 2 mg group as compared to sham at 18 months, representing a relative risk reduction of 72%. The data also show a 21.8% absolute reduction in the rate of progression from iRORA to cRORA for the Zimura 2 mg group as compared to sham at 18 months, representing a relative risk of reduction of 52%. The following graphs illustrate these results: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Proportion of patients that progress from drusen to iRORA or cRORA (Zimura 2 mg compared to sham)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107315</wp:posOffset>
            </wp:positionV>
            <wp:extent cx="4206875" cy="2019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06875" cy="201930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2220"/>
        <w:spacing w:after="0"/>
        <w:rPr>
          <w:sz w:val="20"/>
          <w:szCs w:val="20"/>
          <w:color w:val="auto"/>
        </w:rPr>
      </w:pPr>
      <w:r>
        <w:rPr>
          <w:rFonts w:ascii="Arial" w:cs="Arial" w:eastAsia="Arial" w:hAnsi="Arial"/>
          <w:sz w:val="18"/>
          <w:szCs w:val="18"/>
          <w:b w:val="1"/>
          <w:bCs w:val="1"/>
          <w:u w:val="single" w:color="auto"/>
          <w:color w:val="auto"/>
        </w:rPr>
        <w:t>Proportion of patients that progress from iRORA to cRORA (Zimura 2 mg compared to sham).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107315</wp:posOffset>
            </wp:positionV>
            <wp:extent cx="4206875" cy="1951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06875" cy="195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Planned Phase 3 Clinical Trial in Intermediate AMD</w:t>
      </w:r>
    </w:p>
    <w:p>
      <w:pPr>
        <w:spacing w:after="0" w:line="151" w:lineRule="exact"/>
        <w:rPr>
          <w:sz w:val="20"/>
          <w:szCs w:val="20"/>
          <w:color w:val="auto"/>
        </w:rPr>
      </w:pPr>
    </w:p>
    <w:p>
      <w:pPr>
        <w:ind w:right="140" w:firstLine="397"/>
        <w:spacing w:after="0" w:line="255" w:lineRule="auto"/>
        <w:rPr>
          <w:sz w:val="20"/>
          <w:szCs w:val="20"/>
          <w:color w:val="auto"/>
        </w:rPr>
      </w:pPr>
      <w:r>
        <w:rPr>
          <w:rFonts w:ascii="Arial" w:cs="Arial" w:eastAsia="Arial" w:hAnsi="Arial"/>
          <w:sz w:val="18"/>
          <w:szCs w:val="18"/>
          <w:color w:val="auto"/>
        </w:rPr>
        <w:t>We have been encouraged by the post-hoc analyses data and have been planning development of Zimura for earlier stages of AMD. We recently announced aspects of the design of our planned Phase 3 clinical trial evaluating Zimura for patients with intermediate AMD, or the intermediate AMD trial, which we expect to initiate in 2022. Intermediate AMD is an earlier stage of AMD that precedes GA.</w:t>
      </w:r>
    </w:p>
    <w:p>
      <w:pPr>
        <w:spacing w:after="0" w:line="109" w:lineRule="exact"/>
        <w:rPr>
          <w:sz w:val="20"/>
          <w:szCs w:val="20"/>
          <w:color w:val="auto"/>
        </w:rPr>
      </w:pPr>
    </w:p>
    <w:p>
      <w:pPr>
        <w:ind w:firstLine="397"/>
        <w:spacing w:after="0" w:line="309" w:lineRule="auto"/>
        <w:rPr>
          <w:sz w:val="20"/>
          <w:szCs w:val="20"/>
          <w:color w:val="auto"/>
        </w:rPr>
      </w:pPr>
      <w:r>
        <w:rPr>
          <w:rFonts w:ascii="Arial" w:cs="Arial" w:eastAsia="Arial" w:hAnsi="Arial"/>
          <w:sz w:val="15"/>
          <w:szCs w:val="15"/>
          <w:color w:val="auto"/>
        </w:rPr>
        <w:t>We expect the intermediate AMD trial will be an international, randomized, double-masked, sham-controlled, multi-center trial with approximately 200 patients per treatment group. We continue to consider which dosing regimens to evaluate in the trial. We expect to treat and follow all patients for 24 months. We are currently evaluating a specific definition of intermediate AMD for purposes of patient inclusion, as well as a primary endpoint for this trial, in each case, based on imaging criteria and other relevant anatomic features. We expect data from this trial, if positive, together with other supportive data, may be sufficient to file a supplemental NDA with the FDA and supplemental MAA with the EMA. Our plans for the intermediate AMD trial and regulatory strategy in this indication are subject to regulatory feedback, which we plan to obtain before initiating the trial in 2022.</w:t>
      </w:r>
    </w:p>
    <w:p>
      <w:pPr>
        <w:spacing w:after="0" w:line="85"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We estimate that, by 2039, there will be approximately six million individuals with drusen in the United States and eight million individuals with drusen in the EU5 countries (France, Germany, Italy, Spain and United Kingdom). Intermediate AMD is a subset of drusen.</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STAR (STGD1 - Ongoing)</w:t>
      </w:r>
    </w:p>
    <w:p>
      <w:pPr>
        <w:spacing w:after="0" w:line="138" w:lineRule="exact"/>
        <w:rPr>
          <w:sz w:val="20"/>
          <w:szCs w:val="20"/>
          <w:color w:val="auto"/>
        </w:rPr>
      </w:pPr>
    </w:p>
    <w:p>
      <w:pPr>
        <w:ind w:right="20" w:firstLine="397"/>
        <w:spacing w:after="0" w:line="268" w:lineRule="auto"/>
        <w:rPr>
          <w:sz w:val="20"/>
          <w:szCs w:val="20"/>
          <w:color w:val="auto"/>
        </w:rPr>
      </w:pPr>
      <w:r>
        <w:rPr>
          <w:rFonts w:ascii="Arial" w:cs="Arial" w:eastAsia="Arial" w:hAnsi="Arial"/>
          <w:sz w:val="17"/>
          <w:szCs w:val="17"/>
          <w:color w:val="auto"/>
        </w:rPr>
        <w:t>STAR, also known as OPH2005, is an international, randomized, double-masked, sham controlled, multi-center clinical trial evaluating the safety and efficacy of Zimura for the treatment of STGD1. STAR, similar to GATHER1, was designed to be a Phase 2b screening trial, with the potential to demonstrate statistically significant results depending on the magnitude of the potential benefit observed. If the results are positive and statistically significant, we believe this trial could potentially serve as a clinical trial that can support an application for marketing approval. We initially enrolled 95 patients in the STAR trial. All of these initially enrolled patients had completed their scheduled visits as of September 2020.</w:t>
      </w:r>
    </w:p>
    <w:p>
      <w:pPr>
        <w:spacing w:after="0" w:line="114" w:lineRule="exact"/>
        <w:rPr>
          <w:sz w:val="20"/>
          <w:szCs w:val="20"/>
          <w:color w:val="auto"/>
        </w:rPr>
      </w:pPr>
    </w:p>
    <w:p>
      <w:pPr>
        <w:ind w:right="20" w:firstLine="397"/>
        <w:spacing w:after="0" w:line="309" w:lineRule="auto"/>
        <w:rPr>
          <w:sz w:val="20"/>
          <w:szCs w:val="20"/>
          <w:color w:val="auto"/>
        </w:rPr>
      </w:pPr>
      <w:r>
        <w:rPr>
          <w:rFonts w:ascii="Arial" w:cs="Arial" w:eastAsia="Arial" w:hAnsi="Arial"/>
          <w:sz w:val="15"/>
          <w:szCs w:val="15"/>
          <w:color w:val="auto"/>
        </w:rPr>
        <w:t>In July 2020, we reopened enrollment in this trial in the United States. We plan to enroll approximately 25 additional patients, with the goal of enrolling a total of approximately 120 patients. As we continue to enroll new patients, we continue to monitor the COVID-19 pandemic closely and may need to slow down or stop patient enrollment in certain geographies depending on the local situation. Newly enrolled patients are randomized on a 1:1 basis to be treated with either Zimura 4 mg or sham for 18 months. We have been and plan to remain masked to the treatment group of all patients in the trial. In addition, we have not reviewed and do not plan to review or analyze efficacy data for any patients in the trial, until the 18-month data has been collected and analyzed for all patients enrolled in the trial. We expect results from this trial to be available after the 12-month top-line data from the GATHER2 trial.</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Zimura Manufacturing</w:t>
      </w:r>
    </w:p>
    <w:p>
      <w:pPr>
        <w:spacing w:after="0" w:line="138" w:lineRule="exact"/>
        <w:rPr>
          <w:sz w:val="20"/>
          <w:szCs w:val="20"/>
          <w:color w:val="auto"/>
        </w:rPr>
      </w:pPr>
    </w:p>
    <w:p>
      <w:pPr>
        <w:ind w:right="40" w:firstLine="397"/>
        <w:spacing w:after="0" w:line="252" w:lineRule="auto"/>
        <w:rPr>
          <w:sz w:val="20"/>
          <w:szCs w:val="20"/>
          <w:color w:val="auto"/>
        </w:rPr>
      </w:pPr>
      <w:r>
        <w:rPr>
          <w:rFonts w:ascii="Arial" w:cs="Arial" w:eastAsia="Arial" w:hAnsi="Arial"/>
          <w:sz w:val="18"/>
          <w:szCs w:val="18"/>
          <w:color w:val="auto"/>
        </w:rPr>
        <w:t>In early 2017, we completed the small scale manufacture of multiple batches of Zimura drug substance that we are using to support clinical drug supply for the GATHER2 trial and the expanded STAR trial. We are working with our historical contract manufacturer for Zimura drug substance, Agilent Technologies, Inc., or Agilent, to scale up and potentially validate the manufacturing process for Zimura drug substance. In parallel, we are working with a new contract manufacturer with the goal</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of assessing whether this manufacturer can produce Zimura drug substance at an adequate scale for potential commercial use. We have experienced issues with technology transfer of the existing manufacturing process to this manufacturer, which has resulted in delays to our timelines with this manufacturer. Subject to successful completion of scale up and validation activities, we currently plan to use both Agilent and the new manufacturer for the future supply of Zimura drug substance. Validation requires that we demonstrate that the drug substance produced through the scaled up process can be produced consistently, delivering quality product within a range of acceptable specifications. We are continuing analytical method development and qualification with our contract manufacturers and laboratories.</w:t>
      </w:r>
    </w:p>
    <w:p>
      <w:pPr>
        <w:spacing w:after="0" w:line="116" w:lineRule="exact"/>
        <w:rPr>
          <w:sz w:val="20"/>
          <w:szCs w:val="20"/>
          <w:color w:val="auto"/>
        </w:rPr>
      </w:pPr>
    </w:p>
    <w:p>
      <w:pPr>
        <w:ind w:right="140" w:firstLine="397"/>
        <w:spacing w:after="0" w:line="312" w:lineRule="auto"/>
        <w:rPr>
          <w:sz w:val="20"/>
          <w:szCs w:val="20"/>
          <w:color w:val="auto"/>
        </w:rPr>
      </w:pPr>
      <w:r>
        <w:rPr>
          <w:rFonts w:ascii="Arial" w:cs="Arial" w:eastAsia="Arial" w:hAnsi="Arial"/>
          <w:sz w:val="15"/>
          <w:szCs w:val="15"/>
          <w:color w:val="auto"/>
        </w:rPr>
        <w:t>In 2020, we engaged a contract manufacturer to provide us with additional supply of finished Zimura drug product to support our needs for the GATHER2 trial and the expanded STAR trial. We expect that this contract manufacturer will be able to supply sufficient finished Zimura drug product for these two clinical trials. In addition, we are working with our historical fill/finish manufacturer, Ajinomoto Bio-Pharma Services, or Ajinomoto, on fill/finish of Zimura drug product with a new vial, which we believe will allow us to support a more efficient and robust fill/finish operation at a commercial scale. We believe Ajinomoto has the capacity to supply us with finished Zimura drug product with the new vial for our expected commercial supply needs.</w:t>
      </w:r>
    </w:p>
    <w:p>
      <w:pPr>
        <w:spacing w:after="0" w:line="85" w:lineRule="exact"/>
        <w:rPr>
          <w:sz w:val="20"/>
          <w:szCs w:val="20"/>
          <w:color w:val="auto"/>
        </w:rPr>
      </w:pPr>
    </w:p>
    <w:p>
      <w:pPr>
        <w:ind w:right="60" w:firstLine="397"/>
        <w:spacing w:after="0" w:line="252" w:lineRule="auto"/>
        <w:rPr>
          <w:sz w:val="20"/>
          <w:szCs w:val="20"/>
          <w:color w:val="auto"/>
        </w:rPr>
      </w:pPr>
      <w:r>
        <w:rPr>
          <w:rFonts w:ascii="Arial" w:cs="Arial" w:eastAsia="Arial" w:hAnsi="Arial"/>
          <w:sz w:val="18"/>
          <w:szCs w:val="18"/>
          <w:color w:val="auto"/>
        </w:rPr>
        <w:t>We order the polyethylene glycol, or PEG, starting material used to make Zimura drug substance from a sole source third-party manufacturer outside the United States. We currently procure the supply on a purchase order basis and are in discussions regarding a long-term supply agreement with this manufacturer for the PEG starting material. We believe this supplier will have the capacity to supply us with the PEG at the scale that we expect we will need for commercial manufacturing.</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IC-500: HtrA1 Inhibitor</w:t>
      </w:r>
    </w:p>
    <w:p>
      <w:pPr>
        <w:spacing w:after="0" w:line="138" w:lineRule="exact"/>
        <w:rPr>
          <w:sz w:val="20"/>
          <w:szCs w:val="20"/>
          <w:color w:val="auto"/>
        </w:rPr>
      </w:pPr>
    </w:p>
    <w:p>
      <w:pPr>
        <w:jc w:val="both"/>
        <w:ind w:right="40" w:firstLine="397"/>
        <w:spacing w:after="0" w:line="255" w:lineRule="auto"/>
        <w:rPr>
          <w:sz w:val="20"/>
          <w:szCs w:val="20"/>
          <w:color w:val="auto"/>
        </w:rPr>
      </w:pPr>
      <w:r>
        <w:rPr>
          <w:rFonts w:ascii="Arial" w:cs="Arial" w:eastAsia="Arial" w:hAnsi="Arial"/>
          <w:sz w:val="18"/>
          <w:szCs w:val="18"/>
          <w:color w:val="auto"/>
        </w:rPr>
        <w:t>We are pursuing the preclinical development of IC-500 for the treatment of GA secondary to AMD and potentially other age-related retinal diseases. We have selected IC-500 as the lead compound from our HtrA1 inhibitor program, which includes a number of small molecule compounds that show high affinity and specificity for HtrA1 when tested in vitro.</w:t>
      </w:r>
    </w:p>
    <w:p>
      <w:pPr>
        <w:spacing w:after="0" w:line="122" w:lineRule="exact"/>
        <w:rPr>
          <w:sz w:val="20"/>
          <w:szCs w:val="20"/>
          <w:color w:val="auto"/>
        </w:rPr>
      </w:pPr>
    </w:p>
    <w:p>
      <w:pPr>
        <w:ind w:right="60" w:firstLine="397"/>
        <w:spacing w:after="0" w:line="265" w:lineRule="auto"/>
        <w:rPr>
          <w:sz w:val="20"/>
          <w:szCs w:val="20"/>
          <w:color w:val="auto"/>
        </w:rPr>
      </w:pPr>
      <w:r>
        <w:rPr>
          <w:rFonts w:ascii="Arial" w:cs="Arial" w:eastAsia="Arial" w:hAnsi="Arial"/>
          <w:sz w:val="17"/>
          <w:szCs w:val="17"/>
          <w:color w:val="auto"/>
        </w:rPr>
        <w:t>In early 2021, we completed a review of our IC-500 development program, which we had previously designed to support monthly dosing in our planned first-in-human clinical trial. We believe that we may be able to establish, at an earlier stage of development, a dosing regimen for IC-500 with less frequent dosing than we had previously planned. As a result, we have revised our development plans and timelines for IC-500 with the goal of including both monthly dosing and a less frequent dosing regimen in our first-in-human clinical trial. We have initiated a number of preclinical tolerability and pharmacokinetic and target engagement studies for IC-500 and are planning additional preclinical studies. We are continuing formulation optimization and other manufacturing activities for IC-500. Based on current timelines and subject to successful preclinical development and cGMP manufacturing, we expect to submit an IND to the FDA for IC-500 during the second half of 2022.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Research and Development Programs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IC-100: Product Candidate for RHO-adRP</w:t>
      </w:r>
    </w:p>
    <w:p>
      <w:pPr>
        <w:spacing w:after="0" w:line="138" w:lineRule="exact"/>
        <w:rPr>
          <w:sz w:val="20"/>
          <w:szCs w:val="20"/>
          <w:color w:val="auto"/>
        </w:rPr>
      </w:pPr>
    </w:p>
    <w:p>
      <w:pPr>
        <w:ind w:right="80" w:firstLine="397"/>
        <w:spacing w:after="0" w:line="267" w:lineRule="auto"/>
        <w:rPr>
          <w:sz w:val="20"/>
          <w:szCs w:val="20"/>
          <w:color w:val="auto"/>
        </w:rPr>
      </w:pPr>
      <w:r>
        <w:rPr>
          <w:rFonts w:ascii="Arial" w:cs="Arial" w:eastAsia="Arial" w:hAnsi="Arial"/>
          <w:sz w:val="17"/>
          <w:szCs w:val="17"/>
          <w:color w:val="auto"/>
        </w:rPr>
        <w:t>We have been conducting the preclinical development of IC-100, our novel AAV gene therapy product candidate for the treatment of RHO-adRP. We worked with a gene therapy contract development and manufacturing organization, or CDMO, for preclinical and early-stage clinical supply of IC-100. This CDMO produced, and we released, a cGMP batch of IC-100. In addition, we and the University of Pennsylvania, or Penn, conducted a number of preclinical studies of IC-100 and a natural history study of RHO-adRP patients, including a preclinical toxicology and efficacy study of IC-100 in the naturally occurring canine model of RHO-adRP. We have been considering our development options for this product candidate. We currently plan to seek a collaborator or licensee for the future development and potential commercialization of IC-100.</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IC-200: Product Candidate for BEST1-Related IRDs</w:t>
      </w:r>
    </w:p>
    <w:p>
      <w:pPr>
        <w:spacing w:after="0" w:line="151" w:lineRule="exact"/>
        <w:rPr>
          <w:sz w:val="20"/>
          <w:szCs w:val="20"/>
          <w:color w:val="auto"/>
        </w:rPr>
      </w:pPr>
    </w:p>
    <w:p>
      <w:pPr>
        <w:ind w:firstLine="397"/>
        <w:spacing w:after="0" w:line="267" w:lineRule="auto"/>
        <w:rPr>
          <w:sz w:val="20"/>
          <w:szCs w:val="20"/>
          <w:color w:val="auto"/>
        </w:rPr>
      </w:pPr>
      <w:r>
        <w:rPr>
          <w:rFonts w:ascii="Arial" w:cs="Arial" w:eastAsia="Arial" w:hAnsi="Arial"/>
          <w:sz w:val="17"/>
          <w:szCs w:val="17"/>
          <w:color w:val="auto"/>
        </w:rPr>
        <w:t xml:space="preserve">We have been conducting the preclinical development of IC-200, our novel AAV gene therapy product candidate for the treatment of </w:t>
      </w:r>
      <w:r>
        <w:rPr>
          <w:rFonts w:ascii="Arial" w:cs="Arial" w:eastAsia="Arial" w:hAnsi="Arial"/>
          <w:sz w:val="17"/>
          <w:szCs w:val="17"/>
          <w:i w:val="1"/>
          <w:iCs w:val="1"/>
          <w:color w:val="auto"/>
        </w:rPr>
        <w:t>BEST1</w:t>
      </w:r>
      <w:r>
        <w:rPr>
          <w:rFonts w:ascii="Arial" w:cs="Arial" w:eastAsia="Arial" w:hAnsi="Arial"/>
          <w:sz w:val="17"/>
          <w:szCs w:val="17"/>
          <w:color w:val="auto"/>
        </w:rPr>
        <w:t xml:space="preserve">-related IRDs. We worked with a gene therapy CDMO for preclinical and early-stage clinical supply of IC-200. This CDMO produced, and we released, a cGMP batch of IC-200. In addition, we and Penn conducted a number of preclinical studies of IC-200 and natural history studies of patients with </w:t>
      </w:r>
      <w:r>
        <w:rPr>
          <w:rFonts w:ascii="Arial" w:cs="Arial" w:eastAsia="Arial" w:hAnsi="Arial"/>
          <w:sz w:val="17"/>
          <w:szCs w:val="17"/>
          <w:i w:val="1"/>
          <w:iCs w:val="1"/>
          <w:color w:val="auto"/>
        </w:rPr>
        <w:t>BEST1</w:t>
      </w:r>
      <w:r>
        <w:rPr>
          <w:rFonts w:ascii="Arial" w:cs="Arial" w:eastAsia="Arial" w:hAnsi="Arial"/>
          <w:sz w:val="17"/>
          <w:szCs w:val="17"/>
          <w:color w:val="auto"/>
        </w:rPr>
        <w:t>-related IRDs, including a preclinical toxicology and efficacy study of IC-200 in the naturally occurring canine model of Best disease. We have been considering our development options for this product candidate and do not now expect to initiate a Phase 1/2 clinical trial for IC-200 in 2021. We currently plan to seek a collaborator or licensee for the future development and potential commercialization of IC-200.</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Minigene Programs</w:t>
      </w:r>
    </w:p>
    <w:p>
      <w:pPr>
        <w:spacing w:after="0" w:line="151"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AAV vectors are generally limited as a delivery vehicle by the size of their genetic cargo, which is restricted to approximately 4,700 base pairs of genetic code. The use of minigenes seeks to deliver a smaller but still functional form of a</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larger gene packaged into a standard-size AAV delivery vector. The goal of minigene therapy is to deliver a gene expressing a protein that, although smaller than the naturally occurring protein, is nonetheless functional for purposes of treating the associated disease.</w:t>
      </w:r>
    </w:p>
    <w:p>
      <w:pPr>
        <w:spacing w:after="0" w:line="88" w:lineRule="exact"/>
        <w:rPr>
          <w:sz w:val="20"/>
          <w:szCs w:val="20"/>
          <w:color w:val="auto"/>
        </w:rPr>
      </w:pPr>
    </w:p>
    <w:p>
      <w:pPr>
        <w:ind w:right="40" w:firstLine="397"/>
        <w:spacing w:after="0" w:line="275" w:lineRule="auto"/>
        <w:rPr>
          <w:sz w:val="20"/>
          <w:szCs w:val="20"/>
          <w:color w:val="auto"/>
        </w:rPr>
      </w:pPr>
      <w:r>
        <w:rPr>
          <w:rFonts w:ascii="Arial" w:cs="Arial" w:eastAsia="Arial" w:hAnsi="Arial"/>
          <w:sz w:val="15"/>
          <w:szCs w:val="15"/>
          <w:color w:val="auto"/>
        </w:rPr>
        <w:t>Starting in 2018, we funded several sponsored research programs at the University of Massachusetts Medical School, or UMMS, seeking to use a minigene approach to develop new gene therapies for several orphan IRDs. These programs (miniCEP290, miniABCA4 and miniUSH2A) are described below. In July 2021, we hired four individuals who were previously at UMMS and working on these sponsored research programs, including the principal investigator for these programs. We are transitioning the preclinical research activities for these programs from UMMS to us and establishing laboratory space for these employees to continue working on these programs and other preclinical research and development activities for us.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these minigene programs and their status:</w:t>
      </w:r>
    </w:p>
    <w:p>
      <w:pPr>
        <w:spacing w:after="0" w:line="145" w:lineRule="exact"/>
        <w:rPr>
          <w:sz w:val="20"/>
          <w:szCs w:val="20"/>
          <w:color w:val="auto"/>
        </w:rPr>
      </w:pPr>
    </w:p>
    <w:p>
      <w:pPr>
        <w:ind w:left="640" w:hanging="316"/>
        <w:spacing w:after="0" w:line="268"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miniCEP290 (LCA10): </w:t>
      </w:r>
      <w:r>
        <w:rPr>
          <w:rFonts w:ascii="Arial" w:cs="Arial" w:eastAsia="Arial" w:hAnsi="Arial"/>
          <w:sz w:val="17"/>
          <w:szCs w:val="17"/>
          <w:color w:val="auto"/>
        </w:rPr>
        <w:t>This program, which we refer to as the miniCEP290 program, is targeting LCA10, which is associated with mutations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CEP290 </w:t>
      </w:r>
      <w:r>
        <w:rPr>
          <w:rFonts w:ascii="Arial" w:cs="Arial" w:eastAsia="Arial" w:hAnsi="Arial"/>
          <w:sz w:val="17"/>
          <w:szCs w:val="17"/>
          <w:color w:val="auto"/>
        </w:rPr>
        <w:t>gene. In July 2019, we entered into a license agreement with the University of Massachusetts, or UMass, for exclusive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rights to this program. The sponsored research yielded a number of minigene constructs that show encouraging results when tested in a mouse model. UMMS conducted additional experiments to optimize constructs, which were delayed during 2020 because of restrictions placed by UMMS on animal research activities as a result of the COVID-19 pandemic. We have identified a lead construct from this program and are considering preclinical development options for this program.</w:t>
      </w:r>
    </w:p>
    <w:p>
      <w:pPr>
        <w:spacing w:after="0" w:line="174" w:lineRule="exact"/>
        <w:rPr>
          <w:rFonts w:ascii="Arial" w:cs="Arial" w:eastAsia="Arial" w:hAnsi="Arial"/>
          <w:sz w:val="17"/>
          <w:szCs w:val="17"/>
          <w:color w:val="auto"/>
        </w:rPr>
      </w:pPr>
    </w:p>
    <w:p>
      <w:pPr>
        <w:ind w:left="640" w:right="60" w:hanging="316"/>
        <w:spacing w:after="0" w:line="321"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b w:val="1"/>
          <w:bCs w:val="1"/>
          <w:color w:val="auto"/>
        </w:rPr>
        <w:t xml:space="preserve">miniABCA4 (STGD1): </w:t>
      </w:r>
      <w:r>
        <w:rPr>
          <w:rFonts w:ascii="Arial" w:cs="Arial" w:eastAsia="Arial" w:hAnsi="Arial"/>
          <w:sz w:val="15"/>
          <w:szCs w:val="15"/>
          <w:color w:val="auto"/>
        </w:rPr>
        <w:t>This program, which we refer to as the miniABCA4 program, is targeting STGD1, which is associated with mutations in the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 xml:space="preserve">ABCA4 </w:t>
      </w:r>
      <w:r>
        <w:rPr>
          <w:rFonts w:ascii="Arial" w:cs="Arial" w:eastAsia="Arial" w:hAnsi="Arial"/>
          <w:sz w:val="15"/>
          <w:szCs w:val="15"/>
          <w:color w:val="auto"/>
        </w:rPr>
        <w:t>gene. UMMS granted us an option to obtain an exclusive license to certain patent applications for this program. UMMS generated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evaluated several </w:t>
      </w:r>
      <w:r>
        <w:rPr>
          <w:rFonts w:ascii="Arial" w:cs="Arial" w:eastAsia="Arial" w:hAnsi="Arial"/>
          <w:sz w:val="15"/>
          <w:szCs w:val="15"/>
          <w:i w:val="1"/>
          <w:iCs w:val="1"/>
          <w:color w:val="auto"/>
        </w:rPr>
        <w:t>ABCA4</w:t>
      </w:r>
      <w:r>
        <w:rPr>
          <w:rFonts w:ascii="Arial" w:cs="Arial" w:eastAsia="Arial" w:hAnsi="Arial"/>
          <w:sz w:val="15"/>
          <w:szCs w:val="15"/>
          <w:color w:val="auto"/>
        </w:rPr>
        <w:t xml:space="preserve"> minigene constructs in both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experiments, which yielded what we believe to be encouraging results. We are evaluating the preclinical data generated from the miniABCA4 program to date and are considering next steps for this program.</w:t>
      </w:r>
    </w:p>
    <w:p>
      <w:pPr>
        <w:spacing w:after="0" w:line="137" w:lineRule="exact"/>
        <w:rPr>
          <w:rFonts w:ascii="Arial" w:cs="Arial" w:eastAsia="Arial" w:hAnsi="Arial"/>
          <w:sz w:val="15"/>
          <w:szCs w:val="15"/>
          <w:color w:val="auto"/>
        </w:rPr>
      </w:pPr>
    </w:p>
    <w:p>
      <w:pPr>
        <w:ind w:left="640" w:hanging="316"/>
        <w:spacing w:after="0" w:line="310"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b w:val="1"/>
          <w:bCs w:val="1"/>
          <w:color w:val="auto"/>
        </w:rPr>
        <w:t>miniUSH2A (</w:t>
      </w:r>
      <w:r>
        <w:rPr>
          <w:rFonts w:ascii="Arial" w:cs="Arial" w:eastAsia="Arial" w:hAnsi="Arial"/>
          <w:sz w:val="15"/>
          <w:szCs w:val="15"/>
          <w:b w:val="1"/>
          <w:bCs w:val="1"/>
          <w:i w:val="1"/>
          <w:iCs w:val="1"/>
          <w:color w:val="auto"/>
        </w:rPr>
        <w:t>USH2A</w:t>
      </w:r>
      <w:r>
        <w:rPr>
          <w:rFonts w:ascii="Arial" w:cs="Arial" w:eastAsia="Arial" w:hAnsi="Arial"/>
          <w:sz w:val="15"/>
          <w:szCs w:val="15"/>
          <w:b w:val="1"/>
          <w:bCs w:val="1"/>
          <w:color w:val="auto"/>
        </w:rPr>
        <w:t xml:space="preserve">-related IRDs): </w:t>
      </w:r>
      <w:r>
        <w:rPr>
          <w:rFonts w:ascii="Arial" w:cs="Arial" w:eastAsia="Arial" w:hAnsi="Arial"/>
          <w:sz w:val="15"/>
          <w:szCs w:val="15"/>
          <w:color w:val="auto"/>
        </w:rPr>
        <w:t>This program, which we refer to as the miniUSH2A program, is targeting IRDs associated with mutations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w:t>
      </w:r>
      <w:r>
        <w:rPr>
          <w:rFonts w:ascii="Arial" w:cs="Arial" w:eastAsia="Arial" w:hAnsi="Arial"/>
          <w:sz w:val="15"/>
          <w:szCs w:val="15"/>
          <w:i w:val="1"/>
          <w:iCs w:val="1"/>
          <w:color w:val="auto"/>
        </w:rPr>
        <w:t>USH2A</w:t>
      </w:r>
      <w:r>
        <w:rPr>
          <w:rFonts w:ascii="Arial" w:cs="Arial" w:eastAsia="Arial" w:hAnsi="Arial"/>
          <w:sz w:val="15"/>
          <w:szCs w:val="15"/>
          <w:color w:val="auto"/>
        </w:rPr>
        <w:t xml:space="preserve"> gene, including Usher 2A and </w:t>
      </w:r>
      <w:r>
        <w:rPr>
          <w:rFonts w:ascii="Arial" w:cs="Arial" w:eastAsia="Arial" w:hAnsi="Arial"/>
          <w:sz w:val="15"/>
          <w:szCs w:val="15"/>
          <w:i w:val="1"/>
          <w:iCs w:val="1"/>
          <w:color w:val="auto"/>
        </w:rPr>
        <w:t>USH2A</w:t>
      </w:r>
      <w:r>
        <w:rPr>
          <w:rFonts w:ascii="Arial" w:cs="Arial" w:eastAsia="Arial" w:hAnsi="Arial"/>
          <w:sz w:val="15"/>
          <w:szCs w:val="15"/>
          <w:color w:val="auto"/>
        </w:rPr>
        <w:t xml:space="preserve">-associated non-syndromic autosomal recessive retinitis pigmentosa. UMMS granted us an option to obtain an exclusive license to certain patent applications for this program. Some of the activities in this program were delayed during 2020 as a result of the closure of UMMS animal research laboratories due to the COVID-19 pandemic. UMMS generated and evaluated several </w:t>
      </w:r>
      <w:r>
        <w:rPr>
          <w:rFonts w:ascii="Arial" w:cs="Arial" w:eastAsia="Arial" w:hAnsi="Arial"/>
          <w:sz w:val="15"/>
          <w:szCs w:val="15"/>
          <w:i w:val="1"/>
          <w:iCs w:val="1"/>
          <w:color w:val="auto"/>
        </w:rPr>
        <w:t>USH2A</w:t>
      </w:r>
      <w:r>
        <w:rPr>
          <w:rFonts w:ascii="Arial" w:cs="Arial" w:eastAsia="Arial" w:hAnsi="Arial"/>
          <w:sz w:val="15"/>
          <w:szCs w:val="15"/>
          <w:color w:val="auto"/>
        </w:rPr>
        <w:t xml:space="preserve"> minigene constructs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experiments and we are planning to evaluate the constructs in animals. The animal experiments have been delayed as a result of transitioning the work from UMMS to us. We expect to receive preliminary results from this program during the first half of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Beginning in March 2020, the COVID-19 pandemic and measures taken to contain it have affected our business and operations in a number of ways.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These include, but are not limited to, the following:</w:t>
      </w:r>
    </w:p>
    <w:p>
      <w:pPr>
        <w:spacing w:after="0" w:line="126" w:lineRule="exact"/>
        <w:rPr>
          <w:sz w:val="20"/>
          <w:szCs w:val="20"/>
          <w:color w:val="auto"/>
        </w:rPr>
      </w:pPr>
    </w:p>
    <w:p>
      <w:pPr>
        <w:ind w:left="640" w:right="80" w:hanging="316"/>
        <w:spacing w:after="0" w:line="262"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Clinical Trial Operations</w:t>
      </w:r>
      <w:r>
        <w:rPr>
          <w:rFonts w:ascii="Arial" w:cs="Arial" w:eastAsia="Arial" w:hAnsi="Arial"/>
          <w:sz w:val="17"/>
          <w:szCs w:val="17"/>
          <w:color w:val="auto"/>
        </w:rPr>
        <w:t>. In March 2020, we decided to delay the initiation of patient enrollment in our GATHER2 trial. As we initiated patient enrollment in June 2020, we and our clinical trial sites implemented new health and safety practices to mitigate the effects of the COVID-19 pandemic and to support patients and site staff. In addition, we added more than 30 new sites to the GATHER2 trial to help with patient recruitment. Although we have since completed patient enrollment in GATHER2, we may face difficulties in retaining patients or maintaining scheduled visits to the extent patients are affected by the virus or lockdown measures or are fearful of visiting or traveling to our clinical trial sites because of the pandemic. We are aware that a number of patients initially enrolled in the STAR trial missed consecutive visits during the early months of the pandemic, and that a number of patients in our Latin America sites for GATHER2 missed visits because of the COVID-19 pandemic. We do not yet know whether the number of missed visits will increase or decrease in the GATHER2 or STAR trials, or what the impact of missed visits may be on patient retention in those trials or the trial results, especially because we are masked to the treatment of patients during the conduct of the trials. We have been and continue to monitor the situation closely. For a more detailed discussion of the impact of the COVID-19 pandemic on our clinical trial operations, please see the Risk Factor titled, “</w:t>
      </w:r>
      <w:r>
        <w:rPr>
          <w:rFonts w:ascii="Arial" w:cs="Arial" w:eastAsia="Arial" w:hAnsi="Arial"/>
          <w:sz w:val="17"/>
          <w:szCs w:val="17"/>
          <w:i w:val="1"/>
          <w:iCs w:val="1"/>
          <w:color w:val="auto"/>
        </w:rPr>
        <w:t>The COVID-19 pandemic has affected and may continue to affect the initiation and conduct of our</w:t>
      </w:r>
      <w:r>
        <w:rPr>
          <w:rFonts w:ascii="Arial" w:cs="Arial" w:eastAsia="Arial" w:hAnsi="Arial"/>
          <w:sz w:val="17"/>
          <w:szCs w:val="17"/>
          <w:color w:val="auto"/>
        </w:rPr>
        <w:t xml:space="preserve"> </w:t>
      </w:r>
      <w:r>
        <w:rPr>
          <w:rFonts w:ascii="Arial" w:cs="Arial" w:eastAsia="Arial" w:hAnsi="Arial"/>
          <w:sz w:val="17"/>
          <w:szCs w:val="17"/>
          <w:i w:val="1"/>
          <w:iCs w:val="1"/>
          <w:color w:val="auto"/>
        </w:rPr>
        <w:t>clinical trials, including the retention of patients for our GATHER2 clinical trial and patient recruitment and retention for our STAR clinical trial. It may have long-lasting effects on the conduct of clinical trials, which can make our ongoing and any future trials more difficult, costly or time consuming</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right="100" w:hanging="316"/>
        <w:spacing w:after="0" w:line="264"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Third-Party Collaborators and Vendors</w:t>
      </w:r>
      <w:r>
        <w:rPr>
          <w:rFonts w:ascii="Arial" w:cs="Arial" w:eastAsia="Arial" w:hAnsi="Arial"/>
          <w:sz w:val="17"/>
          <w:szCs w:val="17"/>
          <w:color w:val="auto"/>
        </w:rPr>
        <w:t>. Many of our third-party contract manufacturers, academic research collaborators and contract research organizations limited their operations and staff during the COVID-19 pandemic, which resulted in delays to some of our manufacturing and research and development activities and limited our ability to be on site to oversee these activities. For example, the closure of animal research laboratories at UMMS for several months during 2020 caused delays to the progress of, and to our timelines for receipt of data from, our gene therapy research programs. Recently, several of our vendors have been facing backlogs due to work and demands from other clients, including those who are developing vaccines or medicines for the COVID-19 pandemic, which has limited their availability to perform work for us. For example, this situation has limited the number of contract research organizations and their availability for conducting a number of planned preclinical studies for IC-500, which caused us to modify our plans for these studies, including by performing internally some of the activities originally planned to be conducted by outside vendors. At this time, we do not know whether there will be further impact on the work of our third-party vendors and collaborators due to the COVID-19 pandemic.</w:t>
      </w:r>
    </w:p>
    <w:p>
      <w:pPr>
        <w:spacing w:after="0" w:line="102" w:lineRule="exact"/>
        <w:rPr>
          <w:rFonts w:ascii="Arial" w:cs="Arial" w:eastAsia="Arial" w:hAnsi="Arial"/>
          <w:sz w:val="17"/>
          <w:szCs w:val="17"/>
          <w:color w:val="auto"/>
        </w:rPr>
      </w:pPr>
    </w:p>
    <w:p>
      <w:pPr>
        <w:ind w:left="640" w:right="40" w:hanging="316"/>
        <w:spacing w:after="0" w:line="302" w:lineRule="auto"/>
        <w:tabs>
          <w:tab w:leader="none" w:pos="635"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Supply Chain and Materials.</w:t>
      </w:r>
      <w:r>
        <w:rPr>
          <w:rFonts w:ascii="Arial" w:cs="Arial" w:eastAsia="Arial" w:hAnsi="Arial"/>
          <w:sz w:val="15"/>
          <w:szCs w:val="15"/>
          <w:color w:val="auto"/>
        </w:rPr>
        <w:t xml:space="preserve"> Shortages, delays and governmental restrictions arising from the COVID-19 pandemic have disrupted and may continue to disrupt the ability of our contract manufacturers to procure items, such as raw materials, that are essential for the manufacture of our product candidates. For example, during 2020, our contract manufacturer for IC-500 experienced a shortage in obtaining one of the raw materials that was sourced from China, which was caused by the shutdown of local suppliers and the slowdown in trade due to the COVID-19 pandemic. This shortage delayed our process development activities for the drug substance for IC-500 by a number of months. In addition, since 2020, there have been shortages of various animals used in research studies, such as several types of non-human primates, which are typically sourced from China, due to the COVID-19 pandemic and disruptions to the global supply chain. Although our development programs have not yet been affected by these shortages, we are continuing to monitor the situation. Furthermore, we recently learned that the new manufacturer we are working with for supply of Zimura drug substance has experienced issues with procuring an important raw material common to many manufacturing processes, which occurred due to recent supply chain interruptions and caused a slight delay to our manufacturing timelines with this contract manufacturer.</w:t>
      </w:r>
    </w:p>
    <w:p>
      <w:pPr>
        <w:spacing w:after="0" w:line="95" w:lineRule="exact"/>
        <w:rPr>
          <w:rFonts w:ascii="Arial" w:cs="Arial" w:eastAsia="Arial" w:hAnsi="Arial"/>
          <w:sz w:val="15"/>
          <w:szCs w:val="15"/>
          <w:color w:val="auto"/>
        </w:rPr>
      </w:pPr>
    </w:p>
    <w:p>
      <w:pPr>
        <w:ind w:left="640" w:hanging="316"/>
        <w:spacing w:after="0" w:line="252"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Remote Working</w:t>
      </w:r>
      <w:r>
        <w:rPr>
          <w:rFonts w:ascii="Arial" w:cs="Arial" w:eastAsia="Arial" w:hAnsi="Arial"/>
          <w:sz w:val="18"/>
          <w:szCs w:val="18"/>
          <w:color w:val="auto"/>
        </w:rPr>
        <w:t>. We instituted company-wide remote working starting in March 2020. We are planning for a gradual return to working in our offices and expect to continue to work mostly remote for the near future. We have been relying on remote means of working and communication both internally and externally. We are continuing to monitor and support the health and well-being of our employees and their productivity as remote working continues.</w:t>
      </w:r>
    </w:p>
    <w:p>
      <w:pPr>
        <w:spacing w:after="0" w:line="124" w:lineRule="exact"/>
        <w:rPr>
          <w:sz w:val="20"/>
          <w:szCs w:val="20"/>
          <w:color w:val="auto"/>
        </w:rPr>
      </w:pPr>
    </w:p>
    <w:p>
      <w:pPr>
        <w:ind w:right="60" w:firstLine="397"/>
        <w:spacing w:after="0" w:line="303" w:lineRule="auto"/>
        <w:rPr>
          <w:sz w:val="20"/>
          <w:szCs w:val="20"/>
          <w:color w:val="auto"/>
        </w:rPr>
      </w:pPr>
      <w:r>
        <w:rPr>
          <w:rFonts w:ascii="Arial" w:cs="Arial" w:eastAsia="Arial" w:hAnsi="Arial"/>
          <w:sz w:val="15"/>
          <w:szCs w:val="15"/>
          <w:color w:val="212529"/>
        </w:rPr>
        <w:t>We do not believe that the COVID-19 pandemic, and our actions in response and the costs of those actions, have had a material impact on our financial position, results of operations, or cash flows for the three months or nine months ended September 30, 2021. The progression of the COVID-19 pandemic remains fluid and its impact on our business and operations remains uncertain. The full extent to which the COVID-19 pandemic will directly or indirectly impact our business, results of operations and financial condition will depend on developments that are highly uncertain and cannot be accurately predicted, including new information that may emerge concerning COVID-19 and new variants of the virus, the actions taken to contain it or lessen its impact, including the availability, effectiveness and administration of vaccines, and the economic impact on local, regional, national and international markets. For example, the FDA has approved the use of three booster shots for certain individuals because of decreases in efficacy.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81" w:lineRule="exact"/>
        <w:rPr>
          <w:sz w:val="20"/>
          <w:szCs w:val="20"/>
          <w:color w:val="auto"/>
        </w:rPr>
      </w:pPr>
    </w:p>
    <w:p>
      <w:pPr>
        <w:ind w:right="640" w:firstLine="397"/>
        <w:spacing w:after="0" w:line="365" w:lineRule="auto"/>
        <w:rPr>
          <w:sz w:val="20"/>
          <w:szCs w:val="20"/>
          <w:color w:val="auto"/>
        </w:rPr>
      </w:pPr>
      <w:r>
        <w:rPr>
          <w:rFonts w:ascii="Arial" w:cs="Arial" w:eastAsia="Arial" w:hAnsi="Arial"/>
          <w:sz w:val="15"/>
          <w:szCs w:val="15"/>
          <w:color w:val="212529"/>
        </w:rPr>
        <w:t>For further information on actual and potential impacts to us as a result of the COVID-19 pandemic, see the other sections of this Management's Discussion and Analysis of Results of Operations and Financial Position and the Risk Factors contained in this Quarterly Report on Form 10-Q.</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and Financing Activities</w:t>
      </w:r>
    </w:p>
    <w:p>
      <w:pPr>
        <w:spacing w:after="0" w:line="151" w:lineRule="exact"/>
        <w:rPr>
          <w:sz w:val="20"/>
          <w:szCs w:val="20"/>
          <w:color w:val="auto"/>
        </w:rPr>
      </w:pPr>
    </w:p>
    <w:p>
      <w:pPr>
        <w:ind w:right="60" w:firstLine="397"/>
        <w:spacing w:after="0" w:line="265" w:lineRule="auto"/>
        <w:rPr>
          <w:sz w:val="20"/>
          <w:szCs w:val="20"/>
          <w:color w:val="auto"/>
        </w:rPr>
      </w:pPr>
      <w:r>
        <w:rPr>
          <w:rFonts w:ascii="Arial" w:cs="Arial" w:eastAsia="Arial" w:hAnsi="Arial"/>
          <w:sz w:val="17"/>
          <w:szCs w:val="17"/>
          <w:color w:val="212529"/>
        </w:rPr>
        <w:t>As we continue the development of our product candidates and programs, prepare for potential commercialization of Zimura and evaluate our overall strategic priorities, we will continue to pursue selective business development and financing opportunities that advance us toward our strategic goals. We plan to continue to evaluate, on a selective and targeted basis, opportunities to potentially obtain rights to additional product candidates and technologies for retinal diseases, with a focus on sustained release delivery technologies for Zimura. In addition, we continue to explore potential collaboration and out-licensing opportunities for the future development and potential commercialization of our product candidates, including potential collaboration opportunities for the future development and potential commercialization of Zimura in one or more territories outside the United States and collaboration and out-license opportunities for the future development and potential commercialization of IC-100 and IC-200.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 w:firstLine="397"/>
        <w:spacing w:after="0" w:line="277" w:lineRule="auto"/>
        <w:rPr>
          <w:sz w:val="20"/>
          <w:szCs w:val="20"/>
          <w:color w:val="auto"/>
        </w:rPr>
      </w:pPr>
      <w:r>
        <w:rPr>
          <w:rFonts w:ascii="Arial" w:cs="Arial" w:eastAsia="Arial" w:hAnsi="Arial"/>
          <w:sz w:val="17"/>
          <w:szCs w:val="17"/>
          <w:color w:val="212529"/>
        </w:rPr>
        <w:t>For information about our follow-on public offerings that we completed in July 2021 and October 2021, please see the Liquidity a</w:t>
      </w:r>
      <w:r>
        <w:rPr>
          <w:rFonts w:ascii="Arial" w:cs="Arial" w:eastAsia="Arial" w:hAnsi="Arial"/>
          <w:sz w:val="17"/>
          <w:szCs w:val="17"/>
          <w:color w:val="000000"/>
        </w:rPr>
        <w:t>nd Capital Resources</w:t>
      </w:r>
      <w:r>
        <w:rPr>
          <w:rFonts w:ascii="Arial" w:cs="Arial" w:eastAsia="Arial" w:hAnsi="Arial"/>
          <w:sz w:val="17"/>
          <w:szCs w:val="17"/>
          <w:color w:val="212529"/>
        </w:rPr>
        <w:t xml:space="preserve"> </w:t>
      </w:r>
      <w:r>
        <w:rPr>
          <w:rFonts w:ascii="Arial" w:cs="Arial" w:eastAsia="Arial" w:hAnsi="Arial"/>
          <w:sz w:val="17"/>
          <w:szCs w:val="17"/>
          <w:color w:val="000000"/>
        </w:rPr>
        <w:t>section of Management' s Discussion and Analysis of Financial Condition and Results of Operations. We expect to continue to pursue capital raising transactions when they are available on terms favorable to us and if the opportunity advances our strategic goals.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151" w:lineRule="exact"/>
        <w:rPr>
          <w:sz w:val="20"/>
          <w:szCs w:val="20"/>
          <w:color w:val="auto"/>
        </w:rPr>
      </w:pPr>
    </w:p>
    <w:p>
      <w:pPr>
        <w:ind w:firstLine="397"/>
        <w:spacing w:after="0" w:line="263" w:lineRule="auto"/>
        <w:rPr>
          <w:sz w:val="20"/>
          <w:szCs w:val="20"/>
          <w:color w:val="auto"/>
        </w:rPr>
      </w:pPr>
      <w:r>
        <w:rPr>
          <w:rFonts w:ascii="Arial" w:cs="Arial" w:eastAsia="Arial" w:hAnsi="Arial"/>
          <w:sz w:val="17"/>
          <w:szCs w:val="17"/>
          <w:color w:val="auto"/>
        </w:rPr>
        <w:t>As of September 30, 2021, we had cash, cash equivalents and available for sale securities of $242 million. In October 2021, we raised approximately $162.6 million in net proceeds in an underwritten public offering of common stock. We now estimate that our year-end 2021 cash, cash equivalents and available for sale securities will range between $375 million and $385 million. We also estimate that our cash, cash equivalents and available for sale securities will be sufficient to fund our planned capital expenditure requirements and operating expenses through at least mid-2024. These estimates are based on our current business plan, which includes the continuation of our ongoing clinical development programs for Zimura in GA and STGD1 and the initiation of an intermediate AMD clinical trial, preparation and potential filing of an NDA and a MAA for Zimura in GA secondary to AMD, continuing preparations for a potential commercial launch of Zimura in GA secondary to AMD, investing in sustained release delivery technologies for Zimura, and the advancement of our IC-500 development program. Excluded from these estimates are any potential approval or sales milestones payable to Archemix or any potential expenses for actual commercial launch of Zimura, such as sales force expenses, any additional expenditures related to potentially studying Zimura in indications outside of GA, STGD1 and intermediate AMD, or resulting from the potential in-licensing or acquisition of additional product candidates or technologies, or any associated development we may pursue. We have based these estimates on assumptions that may prove to be wrong, and we could use our available capital resources sooner than we currently expect.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1" w:lineRule="exact"/>
        <w:rPr>
          <w:sz w:val="20"/>
          <w:szCs w:val="20"/>
          <w:color w:val="auto"/>
        </w:rPr>
      </w:pPr>
    </w:p>
    <w:p>
      <w:pPr>
        <w:ind w:right="20" w:firstLine="397"/>
        <w:spacing w:after="0" w:line="252" w:lineRule="auto"/>
        <w:rPr>
          <w:sz w:val="20"/>
          <w:szCs w:val="20"/>
          <w:color w:val="auto"/>
        </w:rPr>
      </w:pPr>
      <w:r>
        <w:rPr>
          <w:rFonts w:ascii="Arial" w:cs="Arial" w:eastAsia="Arial" w:hAnsi="Arial"/>
          <w:sz w:val="18"/>
          <w:szCs w:val="18"/>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collaboration agreements with third parties, we may generate revenue from product sales or from such third parties.</w:t>
      </w:r>
    </w:p>
    <w:p>
      <w:pPr>
        <w:spacing w:after="0" w:line="124" w:lineRule="exact"/>
        <w:rPr>
          <w:sz w:val="20"/>
          <w:szCs w:val="20"/>
          <w:color w:val="auto"/>
        </w:rPr>
      </w:pPr>
    </w:p>
    <w:p>
      <w:pPr>
        <w:ind w:right="40" w:firstLine="397"/>
        <w:spacing w:after="0" w:line="250" w:lineRule="auto"/>
        <w:rPr>
          <w:sz w:val="20"/>
          <w:szCs w:val="20"/>
          <w:color w:val="auto"/>
        </w:rPr>
      </w:pPr>
      <w:r>
        <w:rPr>
          <w:rFonts w:ascii="Arial" w:cs="Arial" w:eastAsia="Arial" w:hAnsi="Arial"/>
          <w:sz w:val="18"/>
          <w:szCs w:val="18"/>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1" w:lineRule="exact"/>
        <w:rPr>
          <w:sz w:val="20"/>
          <w:szCs w:val="20"/>
          <w:color w:val="auto"/>
        </w:rPr>
      </w:pPr>
    </w:p>
    <w:p>
      <w:pPr>
        <w:ind w:firstLine="397"/>
        <w:spacing w:after="0" w:line="365" w:lineRule="auto"/>
        <w:rPr>
          <w:sz w:val="20"/>
          <w:szCs w:val="20"/>
          <w:color w:val="auto"/>
        </w:rPr>
      </w:pPr>
      <w:r>
        <w:rPr>
          <w:rFonts w:ascii="Arial" w:cs="Arial" w:eastAsia="Arial" w:hAnsi="Arial"/>
          <w:sz w:val="15"/>
          <w:szCs w:val="15"/>
          <w:color w:val="auto"/>
        </w:rPr>
        <w:t>Our research and development expenses primarily consist of costs associated with the manufacturing, development, and preclinical and clinical testing of our product candidates and costs associated with our gene therapy research programs. Our research and development expenses consist of:</w:t>
      </w:r>
    </w:p>
    <w:p>
      <w:pPr>
        <w:spacing w:after="0" w:line="45" w:lineRule="exact"/>
        <w:rPr>
          <w:sz w:val="20"/>
          <w:szCs w:val="20"/>
          <w:color w:val="auto"/>
        </w:rPr>
      </w:pPr>
    </w:p>
    <w:p>
      <w:pPr>
        <w:ind w:left="960" w:right="260" w:hanging="318"/>
        <w:spacing w:after="0" w:line="365" w:lineRule="auto"/>
        <w:tabs>
          <w:tab w:leader="none" w:pos="955"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external research and development expenses incurred under arrangements with third parties, such as academic research collaborators, contract research organizations, or CROs, CDMOs and other vendors for the production and analysis of drug substance and drug product; and</w:t>
      </w:r>
    </w:p>
    <w:p>
      <w:pPr>
        <w:spacing w:after="0" w:line="31" w:lineRule="exact"/>
        <w:rPr>
          <w:rFonts w:ascii="Arial" w:cs="Arial" w:eastAsia="Arial" w:hAnsi="Arial"/>
          <w:sz w:val="15"/>
          <w:szCs w:val="15"/>
          <w:color w:val="auto"/>
        </w:rPr>
      </w:pPr>
    </w:p>
    <w:p>
      <w:pPr>
        <w:ind w:left="960" w:right="700" w:hanging="318"/>
        <w:spacing w:after="0" w:line="264" w:lineRule="auto"/>
        <w:tabs>
          <w:tab w:leader="none" w:pos="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114"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45" w:lineRule="exact"/>
        <w:rPr>
          <w:sz w:val="20"/>
          <w:szCs w:val="20"/>
          <w:color w:val="auto"/>
        </w:rPr>
      </w:pPr>
    </w:p>
    <w:p>
      <w:pPr>
        <w:ind w:right="120" w:firstLine="397"/>
        <w:spacing w:after="0" w:line="312" w:lineRule="auto"/>
        <w:rPr>
          <w:sz w:val="20"/>
          <w:szCs w:val="20"/>
          <w:color w:val="auto"/>
        </w:rPr>
      </w:pPr>
      <w:r>
        <w:rPr>
          <w:rFonts w:ascii="Arial" w:cs="Arial" w:eastAsia="Arial" w:hAnsi="Arial"/>
          <w:sz w:val="15"/>
          <w:szCs w:val="15"/>
          <w:color w:val="auto"/>
        </w:rPr>
        <w:t xml:space="preserve">All research and development expenses are charged to operations as incurred in accordance with Financial Accounting Standards Board, or FASB, Accounting Standards Codification, or ASC, 730, </w:t>
      </w:r>
      <w:r>
        <w:rPr>
          <w:rFonts w:ascii="Arial" w:cs="Arial" w:eastAsia="Arial" w:hAnsi="Arial"/>
          <w:sz w:val="15"/>
          <w:szCs w:val="15"/>
          <w:i w:val="1"/>
          <w:iCs w:val="1"/>
          <w:color w:val="auto"/>
        </w:rPr>
        <w:t>Research and Development</w:t>
      </w:r>
      <w:r>
        <w:rPr>
          <w:rFonts w:ascii="Arial" w:cs="Arial" w:eastAsia="Arial" w:hAnsi="Arial"/>
          <w:sz w:val="15"/>
          <w:szCs w:val="15"/>
          <w:color w:val="auto"/>
        </w:rPr>
        <w:t>, or ASC 730</w:t>
      </w:r>
      <w:r>
        <w:rPr>
          <w:rFonts w:ascii="Arial" w:cs="Arial" w:eastAsia="Arial" w:hAnsi="Arial"/>
          <w:sz w:val="15"/>
          <w:szCs w:val="15"/>
          <w:i w:val="1"/>
          <w:iCs w:val="1"/>
          <w:color w:val="auto"/>
        </w:rPr>
        <w:t>.</w:t>
      </w:r>
      <w:r>
        <w:rPr>
          <w:rFonts w:ascii="Arial" w:cs="Arial" w:eastAsia="Arial" w:hAnsi="Arial"/>
          <w:sz w:val="15"/>
          <w:szCs w:val="15"/>
          <w:color w:val="auto"/>
        </w:rPr>
        <w:t xml:space="preserve"> We account for non-refundable advance payments for goods and services that will be used in future research 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expenses to individual projects 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auto"/>
        </w:rPr>
        <w:t>product candidates, although we do allocate some portion of our research and development expenses by project area or product candidate, as shown below.</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summarizes our research and development expenses for the three and nine months ended September 30, 2021 and 2020:</w:t>
      </w:r>
    </w:p>
    <w:p>
      <w:pPr>
        <w:sectPr>
          <w:pgSz w:w="11900" w:h="16838" w:orient="portrait"/>
          <w:cols w:equalWidth="0" w:num="1">
            <w:col w:w="11240"/>
          </w:cols>
          <w:pgMar w:left="320" w:top="127" w:right="339" w:bottom="1440" w:gutter="0" w:footer="0" w:header="0"/>
        </w:sectPr>
      </w:pPr>
    </w:p>
    <w:p>
      <w:pPr>
        <w:spacing w:after="0" w:line="347" w:lineRule="exact"/>
        <w:rPr>
          <w:sz w:val="20"/>
          <w:szCs w:val="20"/>
          <w:color w:val="auto"/>
        </w:rPr>
      </w:pPr>
    </w:p>
    <w:p>
      <w:pPr>
        <w:jc w:val="center"/>
        <w:ind w:left="4680"/>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36195</wp:posOffset>
            </wp:positionV>
            <wp:extent cx="206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41" w:lineRule="exact"/>
        <w:rPr>
          <w:sz w:val="20"/>
          <w:szCs w:val="20"/>
          <w:color w:val="auto"/>
        </w:rPr>
      </w:pPr>
    </w:p>
    <w:p>
      <w:pPr>
        <w:ind w:left="5260"/>
        <w:spacing w:after="0"/>
        <w:tabs>
          <w:tab w:leader="none" w:pos="69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21590</wp:posOffset>
            </wp:positionV>
            <wp:extent cx="206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18"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jc w:val="center"/>
        <w:ind w:right="600"/>
        <w:spacing w:after="0"/>
        <w:rPr>
          <w:sz w:val="20"/>
          <w:szCs w:val="20"/>
          <w:color w:val="auto"/>
        </w:rPr>
      </w:pP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36195</wp:posOffset>
            </wp:positionV>
            <wp:extent cx="206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41" w:lineRule="exact"/>
        <w:rPr>
          <w:sz w:val="20"/>
          <w:szCs w:val="20"/>
          <w:color w:val="auto"/>
        </w:rPr>
      </w:pPr>
    </w:p>
    <w:p>
      <w:pPr>
        <w:ind w:left="80"/>
        <w:spacing w:after="0"/>
        <w:tabs>
          <w:tab w:leader="none" w:pos="17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21590</wp:posOffset>
            </wp:positionV>
            <wp:extent cx="206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1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 thousands)</w:t>
      </w:r>
    </w:p>
    <w:p>
      <w:pPr>
        <w:spacing w:after="0" w:line="43" w:lineRule="exact"/>
        <w:rPr>
          <w:sz w:val="20"/>
          <w:szCs w:val="20"/>
          <w:color w:val="auto"/>
        </w:rPr>
      </w:pPr>
    </w:p>
    <w:p>
      <w:pPr>
        <w:sectPr>
          <w:pgSz w:w="11900" w:h="16838" w:orient="portrait"/>
          <w:cols w:equalWidth="0" w:num="2">
            <w:col w:w="7800" w:space="720"/>
            <w:col w:w="272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Zimura</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19,616</w:t>
            </w:r>
          </w:p>
        </w:tc>
      </w:tr>
      <w:tr>
        <w:trPr>
          <w:trHeight w:val="225"/>
        </w:trPr>
        <w:tc>
          <w:tcPr>
            <w:tcW w:w="4620" w:type="dxa"/>
            <w:vAlign w:val="bottom"/>
          </w:tcPr>
          <w:p>
            <w:pPr>
              <w:ind w:left="20"/>
              <w:spacing w:after="0"/>
              <w:rPr>
                <w:sz w:val="20"/>
                <w:szCs w:val="20"/>
                <w:color w:val="auto"/>
              </w:rPr>
            </w:pPr>
            <w:r>
              <w:rPr>
                <w:rFonts w:ascii="Arial" w:cs="Arial" w:eastAsia="Arial" w:hAnsi="Arial"/>
                <w:sz w:val="18"/>
                <w:szCs w:val="18"/>
                <w:color w:val="auto"/>
              </w:rPr>
              <w:t>IC-500: HtrA1</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2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IC-100: RHO-adRP</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w:t>
            </w:r>
          </w:p>
        </w:tc>
      </w:tr>
      <w:tr>
        <w:trPr>
          <w:trHeight w:val="225"/>
        </w:trPr>
        <w:tc>
          <w:tcPr>
            <w:tcW w:w="4620" w:type="dxa"/>
            <w:vAlign w:val="bottom"/>
          </w:tcPr>
          <w:p>
            <w:pPr>
              <w:ind w:left="20"/>
              <w:spacing w:after="0"/>
              <w:rPr>
                <w:sz w:val="20"/>
                <w:szCs w:val="20"/>
                <w:color w:val="auto"/>
              </w:rPr>
            </w:pPr>
            <w:r>
              <w:rPr>
                <w:rFonts w:ascii="Arial" w:cs="Arial" w:eastAsia="Arial" w:hAnsi="Arial"/>
                <w:sz w:val="18"/>
                <w:szCs w:val="18"/>
                <w:color w:val="auto"/>
              </w:rPr>
              <w:t>IC-200: BEST1</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4,877</w:t>
            </w:r>
          </w:p>
        </w:tc>
      </w:tr>
      <w:tr>
        <w:trPr>
          <w:trHeight w:val="22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gene therapy</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25"/>
        </w:trPr>
        <w:tc>
          <w:tcPr>
            <w:tcW w:w="4620" w:type="dxa"/>
            <w:vAlign w:val="bottom"/>
          </w:tcPr>
          <w:p>
            <w:pPr>
              <w:ind w:left="20"/>
              <w:spacing w:after="0"/>
              <w:rPr>
                <w:sz w:val="20"/>
                <w:szCs w:val="20"/>
                <w:color w:val="auto"/>
              </w:rPr>
            </w:pPr>
            <w:r>
              <w:rPr>
                <w:rFonts w:ascii="Arial" w:cs="Arial" w:eastAsia="Arial" w:hAnsi="Arial"/>
                <w:sz w:val="18"/>
                <w:szCs w:val="18"/>
                <w:color w:val="auto"/>
              </w:rPr>
              <w:t>Prior product candidate Fovista</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2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w:t>
            </w:r>
          </w:p>
        </w:tc>
      </w:tr>
      <w:tr>
        <w:trPr>
          <w:trHeight w:val="225"/>
        </w:trPr>
        <w:tc>
          <w:tcPr>
            <w:tcW w:w="46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2,986</w:t>
            </w:r>
          </w:p>
        </w:tc>
      </w:tr>
      <w:tr>
        <w:trPr>
          <w:trHeight w:val="22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18"/>
        </w:trPr>
        <w:tc>
          <w:tcPr>
            <w:tcW w:w="4620" w:type="dxa"/>
            <w:vAlign w:val="bottom"/>
          </w:tcPr>
          <w:p>
            <w:pPr>
              <w:spacing w:after="0"/>
              <w:rPr>
                <w:sz w:val="19"/>
                <w:szCs w:val="19"/>
                <w:color w:val="auto"/>
              </w:rPr>
            </w:pP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59,972</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45,311</w:t>
            </w:r>
          </w:p>
        </w:tc>
      </w:tr>
      <w:tr>
        <w:trPr>
          <w:trHeight w:val="20"/>
        </w:trPr>
        <w:tc>
          <w:tcPr>
            <w:tcW w:w="4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right="160" w:firstLine="397"/>
        <w:spacing w:after="0" w:line="309" w:lineRule="auto"/>
        <w:rPr>
          <w:sz w:val="20"/>
          <w:szCs w:val="20"/>
          <w:color w:val="auto"/>
        </w:rPr>
      </w:pPr>
      <w:r>
        <w:rPr>
          <w:rFonts w:ascii="Arial" w:cs="Arial" w:eastAsia="Arial" w:hAnsi="Arial"/>
          <w:sz w:val="15"/>
          <w:szCs w:val="15"/>
          <w:color w:val="auto"/>
        </w:rPr>
        <w:t>As we continue our ongoing clinical trials, plan for and initiate clinical development of Zimura in intermediate AMD and continue our ongoing and planned manufacturing activities for Zimura, we expect our research and development expenses for Zimura to increase. We expect our research and development expenses for IC-500 to increase as we continue preclinical development. We expect our research and development expenses for IC-100 and IC-200 to decrease for the foreseeable near future. We expect our research and development expenses for our miniCEP290 program and other gene therapy research programs to remain largely unchanged as we continue those programs. Our research and development expenses may increase if we in-license or acquire any new product candidates or technologies or if we commence any new development programs.</w:t>
      </w:r>
    </w:p>
    <w:p>
      <w:pPr>
        <w:spacing w:after="0" w:line="85" w:lineRule="exact"/>
        <w:rPr>
          <w:sz w:val="20"/>
          <w:szCs w:val="20"/>
          <w:color w:val="auto"/>
        </w:rPr>
      </w:pPr>
    </w:p>
    <w:p>
      <w:pPr>
        <w:jc w:val="both"/>
        <w:ind w:right="220" w:firstLine="397"/>
        <w:spacing w:after="0" w:line="277" w:lineRule="auto"/>
        <w:rPr>
          <w:sz w:val="20"/>
          <w:szCs w:val="20"/>
          <w:color w:val="auto"/>
        </w:rPr>
      </w:pPr>
      <w:r>
        <w:rPr>
          <w:rFonts w:ascii="Arial" w:cs="Arial" w:eastAsia="Arial" w:hAnsi="Arial"/>
          <w:sz w:val="17"/>
          <w:szCs w:val="17"/>
          <w:color w:val="auto"/>
        </w:rPr>
        <w:t>We expect the development of our product candidates will continue for at least the next several years. At this time, we cannot reasonably estimate that the total remaining costs necessary to complete development, to complete process development and manufacturing scale-up and validation activities, and to potentially seek marketing approval for Zimura for indications outside of GA or for any of our other product candidates.</w:t>
      </w:r>
    </w:p>
    <w:p>
      <w:pPr>
        <w:spacing w:after="0" w:line="92" w:lineRule="exact"/>
        <w:rPr>
          <w:sz w:val="20"/>
          <w:szCs w:val="20"/>
          <w:color w:val="auto"/>
        </w:rPr>
      </w:pPr>
    </w:p>
    <w:p>
      <w:pPr>
        <w:ind w:right="340" w:firstLine="397"/>
        <w:spacing w:after="0" w:line="264"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114" w:lineRule="exact"/>
        <w:rPr>
          <w:sz w:val="20"/>
          <w:szCs w:val="20"/>
          <w:color w:val="auto"/>
        </w:rPr>
      </w:pPr>
    </w:p>
    <w:p>
      <w:pPr>
        <w:ind w:left="960" w:hanging="239"/>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rate of progress and costs of our research and development activities, including manufacturing activities;</w:t>
      </w:r>
    </w:p>
    <w:p>
      <w:pPr>
        <w:spacing w:after="0" w:line="150" w:lineRule="exact"/>
        <w:rPr>
          <w:rFonts w:ascii="Arial" w:cs="Arial" w:eastAsia="Arial" w:hAnsi="Arial"/>
          <w:sz w:val="18"/>
          <w:szCs w:val="18"/>
          <w:color w:val="auto"/>
        </w:rPr>
      </w:pPr>
    </w:p>
    <w:p>
      <w:pPr>
        <w:ind w:left="960" w:hanging="239"/>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137" w:lineRule="exact"/>
        <w:rPr>
          <w:rFonts w:ascii="Arial" w:cs="Arial" w:eastAsia="Arial" w:hAnsi="Arial"/>
          <w:sz w:val="18"/>
          <w:szCs w:val="18"/>
          <w:color w:val="auto"/>
        </w:rPr>
      </w:pPr>
    </w:p>
    <w:p>
      <w:pPr>
        <w:ind w:left="960" w:hanging="239"/>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preclinical development results and clinical trial results;</w:t>
      </w:r>
    </w:p>
    <w:p>
      <w:pPr>
        <w:spacing w:after="0" w:line="150" w:lineRule="exact"/>
        <w:rPr>
          <w:rFonts w:ascii="Arial" w:cs="Arial" w:eastAsia="Arial" w:hAnsi="Arial"/>
          <w:sz w:val="18"/>
          <w:szCs w:val="18"/>
          <w:color w:val="auto"/>
        </w:rPr>
      </w:pPr>
    </w:p>
    <w:p>
      <w:pPr>
        <w:ind w:left="960" w:hanging="239"/>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150" w:lineRule="exact"/>
        <w:rPr>
          <w:rFonts w:ascii="Arial" w:cs="Arial" w:eastAsia="Arial" w:hAnsi="Arial"/>
          <w:sz w:val="18"/>
          <w:szCs w:val="18"/>
          <w:color w:val="auto"/>
        </w:rPr>
      </w:pPr>
    </w:p>
    <w:p>
      <w:pPr>
        <w:ind w:left="960" w:hanging="239"/>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137" w:lineRule="exact"/>
        <w:rPr>
          <w:rFonts w:ascii="Arial" w:cs="Arial" w:eastAsia="Arial" w:hAnsi="Arial"/>
          <w:sz w:val="18"/>
          <w:szCs w:val="18"/>
          <w:color w:val="auto"/>
        </w:rPr>
      </w:pPr>
    </w:p>
    <w:p>
      <w:pPr>
        <w:ind w:left="960" w:right="580" w:hanging="239"/>
        <w:spacing w:after="0" w:line="264" w:lineRule="auto"/>
        <w:tabs>
          <w:tab w:leader="none" w:pos="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114"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A change in the outcome of any of these variables with respect to the development of our product candidates could mean a significant change in the costs and timing associated with the development of that product candidate. For example, we are conducting the GATHER2 trial, which is a Phase 3 clinical trial evaluating Zimura for GA, with the expectation that data collected from this trial, if positive, together with other available data, will be sufficient to seek marketing approval for this indication in the United States and the European Union. We may subsequently decide to, or be required by regulatory authorities to, enroll additional patients in the GATHER2 trial, conduct additional clinical trials for Zimura in GA or conduct additional nonclinical studies of Zimura in order to seek or maintain regulatory approval or qualify for reimbursement approval. As a result of any of the above, we could be required to expend significant additional financial resources and time on the completion of development of Zimura in GA.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See the “Liquidity and Capital Resources” section of this Quarterly Report on Form 10-Q for more information regarding our current and future financial resources and our expectations regarding our research and development expenses and funding requirements.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1" w:lineRule="exact"/>
        <w:rPr>
          <w:sz w:val="20"/>
          <w:szCs w:val="20"/>
          <w:color w:val="auto"/>
        </w:rPr>
      </w:pPr>
    </w:p>
    <w:p>
      <w:pPr>
        <w:ind w:right="260" w:firstLine="397"/>
        <w:spacing w:after="0" w:line="252"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including share-based compensation expense, in our executive, legal, finance, business development, commercial operations, human resources, investor relations and information technology functions. Other general and administrative expenses include facility costs and professional fees for legal, including patent-related, services and expenses, consulting and accounting services, and travel expenses.</w:t>
      </w:r>
    </w:p>
    <w:p>
      <w:pPr>
        <w:spacing w:after="0" w:line="124" w:lineRule="exact"/>
        <w:rPr>
          <w:sz w:val="20"/>
          <w:szCs w:val="20"/>
          <w:color w:val="auto"/>
        </w:rPr>
      </w:pPr>
    </w:p>
    <w:p>
      <w:pPr>
        <w:ind w:right="1240" w:firstLine="397"/>
        <w:spacing w:after="0" w:line="407" w:lineRule="auto"/>
        <w:rPr>
          <w:sz w:val="20"/>
          <w:szCs w:val="20"/>
          <w:color w:val="auto"/>
        </w:rPr>
      </w:pPr>
      <w:r>
        <w:rPr>
          <w:rFonts w:ascii="Arial" w:cs="Arial" w:eastAsia="Arial" w:hAnsi="Arial"/>
          <w:sz w:val="18"/>
          <w:szCs w:val="18"/>
          <w:color w:val="auto"/>
        </w:rPr>
        <w:t xml:space="preserve">We expect to incur additional general and administrative expenses as we begin preparing for the potential commercialization of Zimura. </w:t>
      </w:r>
      <w:r>
        <w:rPr>
          <w:rFonts w:ascii="Arial" w:cs="Arial" w:eastAsia="Arial" w:hAnsi="Arial"/>
          <w:sz w:val="18"/>
          <w:szCs w:val="18"/>
          <w:b w:val="1"/>
          <w:bCs w:val="1"/>
          <w:i w:val="1"/>
          <w:iCs w:val="1"/>
          <w:color w:val="auto"/>
        </w:rPr>
        <w:t>Interest Income</w:t>
      </w:r>
    </w:p>
    <w:p>
      <w:pPr>
        <w:ind w:right="360" w:firstLine="397"/>
        <w:spacing w:after="0" w:line="264" w:lineRule="auto"/>
        <w:rPr>
          <w:sz w:val="20"/>
          <w:szCs w:val="20"/>
          <w:color w:val="auto"/>
        </w:rPr>
      </w:pPr>
      <w:r>
        <w:rPr>
          <w:rFonts w:ascii="Arial" w:cs="Arial" w:eastAsia="Arial" w:hAnsi="Arial"/>
          <w:sz w:val="18"/>
          <w:szCs w:val="18"/>
          <w:color w:val="auto"/>
        </w:rPr>
        <w:t>We currently have invested our cash, cash equivalents and available for sale securities in money market funds, U.S Treasury securities, asset-backed securities and investment-grade corporate debt securities, which generate a nominal amount of interest income.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4" w:lineRule="exact"/>
        <w:rPr>
          <w:sz w:val="20"/>
          <w:szCs w:val="20"/>
          <w:color w:val="auto"/>
        </w:rPr>
      </w:pPr>
    </w:p>
    <w:p>
      <w:pPr>
        <w:ind w:right="220" w:firstLine="397"/>
        <w:spacing w:after="0" w:line="265"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15" w:lineRule="exact"/>
        <w:rPr>
          <w:sz w:val="20"/>
          <w:szCs w:val="20"/>
          <w:color w:val="auto"/>
        </w:rPr>
      </w:pPr>
    </w:p>
    <w:p>
      <w:pPr>
        <w:ind w:right="140" w:firstLine="397"/>
        <w:spacing w:after="0" w:line="255"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Quarterly Report on Form 10-Q. Of those policies, we believe that the following accounting policies are the most critical to aid our stockholders in fully understanding and evaluating our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38" w:lineRule="exact"/>
        <w:rPr>
          <w:sz w:val="20"/>
          <w:szCs w:val="20"/>
          <w:color w:val="auto"/>
        </w:rPr>
      </w:pPr>
    </w:p>
    <w:p>
      <w:pPr>
        <w:ind w:right="80" w:firstLine="397"/>
        <w:spacing w:after="0" w:line="306" w:lineRule="auto"/>
        <w:rPr>
          <w:sz w:val="20"/>
          <w:szCs w:val="20"/>
          <w:color w:val="auto"/>
        </w:rPr>
      </w:pPr>
      <w:r>
        <w:rPr>
          <w:rFonts w:ascii="Arial" w:cs="Arial" w:eastAsia="Arial" w:hAnsi="Arial"/>
          <w:sz w:val="15"/>
          <w:szCs w:val="15"/>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related to our academic research collaborators, CROs, CDMOs and other vendors in connection with research and development and manufacturing activities.</w:t>
      </w:r>
    </w:p>
    <w:p>
      <w:pPr>
        <w:spacing w:after="0" w:line="90" w:lineRule="exact"/>
        <w:rPr>
          <w:sz w:val="20"/>
          <w:szCs w:val="20"/>
          <w:color w:val="auto"/>
        </w:rPr>
      </w:pPr>
    </w:p>
    <w:p>
      <w:pPr>
        <w:ind w:firstLine="397"/>
        <w:spacing w:after="0" w:line="303" w:lineRule="auto"/>
        <w:rPr>
          <w:sz w:val="20"/>
          <w:szCs w:val="20"/>
          <w:color w:val="auto"/>
        </w:rPr>
      </w:pPr>
      <w:r>
        <w:rPr>
          <w:rFonts w:ascii="Arial" w:cs="Arial" w:eastAsia="Arial" w:hAnsi="Arial"/>
          <w:sz w:val="15"/>
          <w:szCs w:val="15"/>
          <w:color w:val="auto"/>
        </w:rPr>
        <w:t>We base our expenses related to academic research collaborators,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 Periods Ended September 30, 2021 and 2020</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right"/>
              <w:ind w:right="415"/>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79"/>
        </w:trPr>
        <w:tc>
          <w:tcPr>
            <w:tcW w:w="6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5"/>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8"/>
        </w:trPr>
        <w:tc>
          <w:tcPr>
            <w:tcW w:w="6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(24,583)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before income tax benefit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research and development expenses were $17.9 million for the three months ended September 30, 2021, a decrease of $0.9 million compared to</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$18.8 million for the three months ended September 30, 2020. The decrease in research and development expenses for the three months ended September 30,</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2021 was primarily due to a $3.2 million decrease in costs associated with IC-100 and a $0.6 million decrease in costs associated with IC-200. The decreased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costs for IC-100 and IC-200 primarily reflect decreased manufacturing and preclinical development activities. The decreased cost for IC-100 and IC-200 were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partially offset by a $1.5 million increase in personnel costs, including share-based compensation associated with additional research and development staffing</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and a $0.9 million increase in costs associated with Zimura. The increased costs for Zimura were primarily due to the ongoing progress and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commencement of patient recruitment activities for our GATHER2 trial and increased manufacturing activities.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1"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Our general and administrative expenses were $6.6 million for the three months ended September 30, 2021, unchanged from the three months ended September 30, 2020. For the three months ended September 30, 2021, the increases in personnel costs, including share-based compensation and external costs, including consulting costs associated with pre-commercialization activities and other administrative costs necessary to support our operations was offset by a decrease in legal costs associated with litigation.</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38" w:lineRule="exact"/>
        <w:rPr>
          <w:sz w:val="20"/>
          <w:szCs w:val="20"/>
          <w:color w:val="auto"/>
        </w:rPr>
      </w:pPr>
    </w:p>
    <w:p>
      <w:pPr>
        <w:ind w:right="320" w:firstLine="397"/>
        <w:spacing w:after="0" w:line="264" w:lineRule="auto"/>
        <w:rPr>
          <w:sz w:val="20"/>
          <w:szCs w:val="20"/>
          <w:color w:val="auto"/>
        </w:rPr>
      </w:pPr>
      <w:r>
        <w:rPr>
          <w:rFonts w:ascii="Arial" w:cs="Arial" w:eastAsia="Arial" w:hAnsi="Arial"/>
          <w:sz w:val="18"/>
          <w:szCs w:val="18"/>
          <w:color w:val="auto"/>
        </w:rPr>
        <w:t>Interest income for the three months ended September 30, 2021 was $42 thousand compared to interest income of $33 thousand for the three months ended September 30, 2020.</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51" w:lineRule="exact"/>
        <w:rPr>
          <w:sz w:val="20"/>
          <w:szCs w:val="20"/>
          <w:color w:val="auto"/>
        </w:rPr>
      </w:pPr>
    </w:p>
    <w:p>
      <w:pPr>
        <w:ind w:right="360" w:firstLine="397"/>
        <w:spacing w:after="0" w:line="264" w:lineRule="auto"/>
        <w:rPr>
          <w:sz w:val="20"/>
          <w:szCs w:val="20"/>
          <w:color w:val="auto"/>
        </w:rPr>
      </w:pPr>
      <w:r>
        <w:rPr>
          <w:rFonts w:ascii="Arial" w:cs="Arial" w:eastAsia="Arial" w:hAnsi="Arial"/>
          <w:sz w:val="18"/>
          <w:szCs w:val="18"/>
          <w:color w:val="auto"/>
        </w:rPr>
        <w:t>For the three months ended September 30, 2021, the Company recorded no income tax benefit. For the three months ended September 30, 2020, the Company recorded no income tax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 Periods Ended September 30, 2021 and 2020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5"/>
                <w:szCs w:val="15"/>
                <w:color w:val="auto"/>
              </w:rPr>
            </w:pPr>
          </w:p>
        </w:tc>
        <w:tc>
          <w:tcPr>
            <w:tcW w:w="32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Nine months ended September 30,</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400" w:type="dxa"/>
            <w:vAlign w:val="bottom"/>
          </w:tcPr>
          <w:p>
            <w:pPr>
              <w:spacing w:after="0"/>
              <w:rPr>
                <w:sz w:val="12"/>
                <w:szCs w:val="12"/>
                <w:color w:val="auto"/>
              </w:rPr>
            </w:pPr>
          </w:p>
        </w:tc>
        <w:tc>
          <w:tcPr>
            <w:tcW w:w="152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ind w:right="415"/>
              <w:spacing w:after="0" w:line="14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79"/>
        </w:trPr>
        <w:tc>
          <w:tcPr>
            <w:tcW w:w="6400" w:type="dxa"/>
            <w:vAlign w:val="bottom"/>
          </w:tcPr>
          <w:p>
            <w:pPr>
              <w:spacing w:after="0"/>
              <w:rPr>
                <w:sz w:val="15"/>
                <w:szCs w:val="15"/>
                <w:color w:val="auto"/>
              </w:rPr>
            </w:pPr>
          </w:p>
        </w:tc>
        <w:tc>
          <w:tcPr>
            <w:tcW w:w="2140" w:type="dxa"/>
            <w:vAlign w:val="bottom"/>
            <w:gridSpan w:val="3"/>
          </w:tcPr>
          <w:p>
            <w:pPr>
              <w:jc w:val="center"/>
              <w:ind w:left="956"/>
              <w:spacing w:after="0"/>
              <w:rPr>
                <w:sz w:val="20"/>
                <w:szCs w:val="20"/>
                <w:color w:val="auto"/>
              </w:rPr>
            </w:pPr>
            <w:r>
              <w:rPr>
                <w:rFonts w:ascii="Arial" w:cs="Arial" w:eastAsia="Arial" w:hAnsi="Arial"/>
                <w:sz w:val="14"/>
                <w:szCs w:val="14"/>
                <w:b w:val="1"/>
                <w:bCs w:val="1"/>
                <w:color w:val="auto"/>
                <w:w w:val="89"/>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14,661</w:t>
            </w:r>
          </w:p>
        </w:tc>
        <w:tc>
          <w:tcPr>
            <w:tcW w:w="0" w:type="dxa"/>
            <w:vAlign w:val="bottom"/>
          </w:tcPr>
          <w:p>
            <w:pPr>
              <w:spacing w:after="0"/>
              <w:rPr>
                <w:sz w:val="1"/>
                <w:szCs w:val="1"/>
                <w:color w:val="auto"/>
              </w:rPr>
            </w:pPr>
          </w:p>
        </w:tc>
      </w:tr>
      <w:tr>
        <w:trPr>
          <w:trHeight w:val="225"/>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81,660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18"/>
        </w:trPr>
        <w:tc>
          <w:tcPr>
            <w:tcW w:w="6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(81,660)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(63,241)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5"/>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before income tax benefit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18,679</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1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44"/>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1" w:lineRule="exact"/>
        <w:rPr>
          <w:sz w:val="20"/>
          <w:szCs w:val="20"/>
          <w:color w:val="auto"/>
        </w:rPr>
      </w:pPr>
    </w:p>
    <w:p>
      <w:pPr>
        <w:ind w:right="180" w:firstLine="397"/>
        <w:spacing w:after="0" w:line="265" w:lineRule="auto"/>
        <w:rPr>
          <w:sz w:val="20"/>
          <w:szCs w:val="20"/>
          <w:color w:val="auto"/>
        </w:rPr>
      </w:pPr>
      <w:r>
        <w:rPr>
          <w:rFonts w:ascii="Arial" w:cs="Arial" w:eastAsia="Arial" w:hAnsi="Arial"/>
          <w:sz w:val="17"/>
          <w:szCs w:val="17"/>
          <w:color w:val="auto"/>
        </w:rPr>
        <w:t>Our research and development expenses were $60.0 million for the nine months ended September 30, 2021, an increase of $14.7 million compared to $45.3 million for the nine months ended September 30, 2020. The increase in research and development expenses for the nine months ended September 30, 2021 was primarily due to a $17.9 million increase in costs associated with Zimura, and a $5.6 million increase in personnel costs, including share-based compensation associated with additional research and development staffing. These increases were partially offset by a $6.4 million decrease in costs associated with IC-100 and a $2.2 million decrease in costs associated with IC-200. The increased costs for Zimura were primarily due to the continued patient recruitment activities for our GATHER2 trial and increased manufacturing activities. The decreased costs for IC-100 and IC-200 primarily reflect decreased manufacturing and preclinical development activities.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8" w:lineRule="exact"/>
        <w:rPr>
          <w:sz w:val="20"/>
          <w:szCs w:val="20"/>
          <w:color w:val="auto"/>
        </w:rPr>
      </w:pPr>
    </w:p>
    <w:p>
      <w:pPr>
        <w:jc w:val="both"/>
        <w:ind w:right="160" w:firstLine="397"/>
        <w:spacing w:after="0" w:line="252" w:lineRule="auto"/>
        <w:rPr>
          <w:sz w:val="20"/>
          <w:szCs w:val="20"/>
          <w:color w:val="auto"/>
        </w:rPr>
      </w:pPr>
      <w:r>
        <w:rPr>
          <w:rFonts w:ascii="Arial" w:cs="Arial" w:eastAsia="Arial" w:hAnsi="Arial"/>
          <w:sz w:val="18"/>
          <w:szCs w:val="18"/>
          <w:color w:val="auto"/>
        </w:rPr>
        <w:t>Our general and administrative expenses were $21.7 million for the nine months ended September 30, 2021, an increase of $3.8 million, compared to $17.9 million for the nine months ended September 30, 2020. The increase in general and administrative expenses for the nine months ended September 30, 2021 was primarily due to an increase in external costs, including legal and consulting costs associated with litigation, pre-commercialization activities and other administrative costs necessary to support our operations.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1"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Interest income for the nine months ended September 30, 2021 was $0.2 million compared to interest income of $0.4 million for the nine months ended September 30, 2020. The decrease in interest income was primarily due to the decrease in interest rate yields.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51" w:lineRule="exact"/>
        <w:rPr>
          <w:sz w:val="20"/>
          <w:szCs w:val="20"/>
          <w:color w:val="auto"/>
        </w:rPr>
      </w:pPr>
    </w:p>
    <w:p>
      <w:pPr>
        <w:ind w:right="300" w:firstLine="397"/>
        <w:spacing w:after="0" w:line="264" w:lineRule="auto"/>
        <w:rPr>
          <w:sz w:val="20"/>
          <w:szCs w:val="20"/>
          <w:color w:val="auto"/>
        </w:rPr>
      </w:pPr>
      <w:r>
        <w:rPr>
          <w:rFonts w:ascii="Arial" w:cs="Arial" w:eastAsia="Arial" w:hAnsi="Arial"/>
          <w:sz w:val="18"/>
          <w:szCs w:val="18"/>
          <w:color w:val="auto"/>
        </w:rPr>
        <w:t>For the nine months ended September 30, 2021, we recorded no income tax benefit. For the nine months ended September 30, 2020, we recorded an income tax benefit of $3.7 million primarily to reflect a settlement of a local tax audit.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51" w:lineRule="exact"/>
        <w:rPr>
          <w:sz w:val="20"/>
          <w:szCs w:val="20"/>
          <w:color w:val="auto"/>
        </w:rPr>
      </w:pPr>
    </w:p>
    <w:p>
      <w:pPr>
        <w:ind w:right="60" w:firstLine="397"/>
        <w:spacing w:after="0" w:line="249" w:lineRule="auto"/>
        <w:rPr>
          <w:sz w:val="20"/>
          <w:szCs w:val="20"/>
          <w:color w:val="auto"/>
        </w:rPr>
      </w:pPr>
      <w:r>
        <w:rPr>
          <w:rFonts w:ascii="Arial" w:cs="Arial" w:eastAsia="Arial" w:hAnsi="Arial"/>
          <w:sz w:val="18"/>
          <w:szCs w:val="18"/>
          <w:color w:val="auto"/>
        </w:rPr>
        <w:t>Since inception, we have financed our operations primarily through private placements of our common stock and preferred stock, venture debt borrowings, funds received under the Novo Holdings A/S Agreement, our initial public offering, which we closed in September 2013, funds we received under a prior agreement with Novartis Pharma AG related to the licensing and commercialization of Fovista, funds we received in connection with our acquisition of Inception 4, Inc., or Inception 4, in October 2018 and our follow-on public offerings, which we closed in February 2014, December 2019, June 2020, July 2021 and October 2021, including the sale of pre-funded warrants in December 2019 and June 2020. We do not have any committed external source of funds.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397"/>
        <w:spacing w:after="0" w:line="267" w:lineRule="auto"/>
        <w:rPr>
          <w:sz w:val="20"/>
          <w:szCs w:val="20"/>
          <w:color w:val="auto"/>
        </w:rPr>
      </w:pPr>
      <w:r>
        <w:rPr>
          <w:rFonts w:ascii="Arial" w:cs="Arial" w:eastAsia="Arial" w:hAnsi="Arial"/>
          <w:sz w:val="17"/>
          <w:szCs w:val="17"/>
          <w:color w:val="auto"/>
        </w:rPr>
        <w:t>We currently have an effective universal shelf registration statement on Form S-3, or the March 2021 Shelf Registration, on file with the SEC registering for sale from time to time up to $300.0 million of common stock, preferred stock, debt securities, depositary shares, subscription rights, warrants and/or units in one or more registered offerings, of which $100.0 million may be offered, issued and sold under an “at-the-market” Sales Agreement, or the ATM Agreement, with Cowen and Company, LLC. We also have an automatically effective shelf registration statement on Form S-3, or the October 2021 Shelf Registration, pursuant to which we may offer and sell an indeterminate amount of shares of common stock, preferred stock, debt securities, depositary shares, subscription rights, warrants and/or units in one or more registered offerings.</w:t>
      </w:r>
    </w:p>
    <w:p>
      <w:pPr>
        <w:spacing w:after="0" w:line="100" w:lineRule="exact"/>
        <w:rPr>
          <w:sz w:val="20"/>
          <w:szCs w:val="20"/>
          <w:color w:val="auto"/>
        </w:rPr>
      </w:pPr>
    </w:p>
    <w:p>
      <w:pPr>
        <w:ind w:right="100" w:firstLine="397"/>
        <w:spacing w:after="0" w:line="318" w:lineRule="auto"/>
        <w:rPr>
          <w:sz w:val="20"/>
          <w:szCs w:val="20"/>
          <w:color w:val="auto"/>
        </w:rPr>
      </w:pPr>
      <w:r>
        <w:rPr>
          <w:rFonts w:ascii="Arial" w:cs="Arial" w:eastAsia="Arial" w:hAnsi="Arial"/>
          <w:sz w:val="15"/>
          <w:szCs w:val="15"/>
          <w:color w:val="auto"/>
        </w:rPr>
        <w:t>In July 2021, we closed an underwritten public offering in which we sold 13,397,500 shares of our common stock under the March 2021 Shelf Registration, which included the exercise in full of the underwriters’ option to purchase an additional 1,747,500 shares of our common stock, at a price to the public of $8.60 per share and at a price to the underwriters of $8.084 per share. The net proceeds from the public offering, after deducting underwriting discounts and commissions and other offering expenses payable by us totaling approximately $7.4 million, was approximately $107.8 million.</w:t>
      </w:r>
    </w:p>
    <w:p>
      <w:pPr>
        <w:spacing w:after="0" w:line="80" w:lineRule="exact"/>
        <w:rPr>
          <w:sz w:val="20"/>
          <w:szCs w:val="20"/>
          <w:color w:val="auto"/>
        </w:rPr>
      </w:pPr>
    </w:p>
    <w:p>
      <w:pPr>
        <w:ind w:right="100" w:firstLine="397"/>
        <w:spacing w:after="0" w:line="318" w:lineRule="auto"/>
        <w:rPr>
          <w:sz w:val="20"/>
          <w:szCs w:val="20"/>
          <w:color w:val="auto"/>
        </w:rPr>
      </w:pPr>
      <w:r>
        <w:rPr>
          <w:rFonts w:ascii="Arial" w:cs="Arial" w:eastAsia="Arial" w:hAnsi="Arial"/>
          <w:sz w:val="15"/>
          <w:szCs w:val="15"/>
          <w:color w:val="auto"/>
        </w:rPr>
        <w:t>In October 2021, we closed an underwritten public offering in which we sold 10,350,000 shares of our common stock, under the October 2021 Shelf Registration, which included the exercise in full of the underwriters’ option to purchase an additional 1,350,000 shares of our common stock, at a price to the public of $16.750 per share and at a price to the underwriters of $15.745 per share. The net proceeds from the public offering, after deducting underwriting discounts and commissions and other offering expenses payable by us totaling approximately $10.8 million, was approximately $162.6 million.</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not yet issued and sold any shares of our common stock under the ATM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1" w:lineRule="exact"/>
        <w:rPr>
          <w:sz w:val="20"/>
          <w:szCs w:val="20"/>
          <w:color w:val="auto"/>
        </w:rPr>
      </w:pPr>
    </w:p>
    <w:p>
      <w:pPr>
        <w:ind w:right="500" w:firstLine="397"/>
        <w:spacing w:after="0" w:line="255" w:lineRule="auto"/>
        <w:rPr>
          <w:sz w:val="20"/>
          <w:szCs w:val="20"/>
          <w:color w:val="auto"/>
        </w:rPr>
      </w:pPr>
      <w:r>
        <w:rPr>
          <w:rFonts w:ascii="Arial" w:cs="Arial" w:eastAsia="Arial" w:hAnsi="Arial"/>
          <w:sz w:val="18"/>
          <w:szCs w:val="18"/>
          <w:color w:val="auto"/>
        </w:rPr>
        <w:t>As of September 30, 2021, we had cash, cash equivalents and available for sale securities totaling $242.0 million and no debt. We currently have invested our cash, cash equivalents and available for sale securities in money market funds, U.S. Treasury securities, certain asset-backed securities and certain investment-grade corporate debt securities.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2021 and 2020: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3"/>
        </w:trPr>
        <w:tc>
          <w:tcPr>
            <w:tcW w:w="8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179"/>
        </w:trPr>
        <w:tc>
          <w:tcPr>
            <w:tcW w:w="8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(76,125)</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(45,028)</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(108,305)</w:t>
            </w:r>
          </w:p>
        </w:tc>
      </w:tr>
      <w:tr>
        <w:trPr>
          <w:trHeight w:val="225"/>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150,453</w:t>
            </w: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51"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Net cash used in operating activities in the nine months ended September 30, 2021 and September 30, 2020 related primarily to net cash used to fund our Zimura clinical trials and manufacturing activities, our preclinical development of IC-500, IC-100 and IC-200, our gene therapy research programs and to support our general and administrative operations.</w:t>
      </w:r>
    </w:p>
    <w:p>
      <w:pPr>
        <w:spacing w:after="0" w:line="122" w:lineRule="exact"/>
        <w:rPr>
          <w:sz w:val="20"/>
          <w:szCs w:val="20"/>
          <w:color w:val="auto"/>
        </w:rPr>
      </w:pPr>
    </w:p>
    <w:p>
      <w:pPr>
        <w:ind w:left="360" w:right="1600" w:firstLine="40"/>
        <w:spacing w:after="0" w:line="407" w:lineRule="auto"/>
        <w:rPr>
          <w:sz w:val="20"/>
          <w:szCs w:val="20"/>
          <w:color w:val="auto"/>
        </w:rPr>
      </w:pPr>
      <w:r>
        <w:rPr>
          <w:rFonts w:ascii="Arial" w:cs="Arial" w:eastAsia="Arial" w:hAnsi="Arial"/>
          <w:sz w:val="18"/>
          <w:szCs w:val="18"/>
          <w:color w:val="auto"/>
        </w:rPr>
        <w:t xml:space="preserve">See “—Funding Requirements” below for a description of how we expect to use our cash for operating activities in future periods. </w:t>
      </w:r>
      <w:r>
        <w:rPr>
          <w:rFonts w:ascii="Arial" w:cs="Arial" w:eastAsia="Arial" w:hAnsi="Arial"/>
          <w:sz w:val="18"/>
          <w:szCs w:val="18"/>
          <w:b w:val="1"/>
          <w:bCs w:val="1"/>
          <w:i w:val="1"/>
          <w:iCs w:val="1"/>
          <w:color w:val="auto"/>
        </w:rPr>
        <w:t>Cash Flows from Investing Activities</w:t>
      </w:r>
    </w:p>
    <w:p>
      <w:pPr>
        <w:jc w:val="both"/>
        <w:ind w:firstLine="397"/>
        <w:spacing w:after="0" w:line="255" w:lineRule="auto"/>
        <w:rPr>
          <w:sz w:val="20"/>
          <w:szCs w:val="20"/>
          <w:color w:val="auto"/>
        </w:rPr>
      </w:pPr>
      <w:r>
        <w:rPr>
          <w:rFonts w:ascii="Arial" w:cs="Arial" w:eastAsia="Arial" w:hAnsi="Arial"/>
          <w:sz w:val="18"/>
          <w:szCs w:val="18"/>
          <w:color w:val="auto"/>
        </w:rPr>
        <w:t>Net cash provided by investing activities for the nine months ended September 30, 2021 was $80.2 million, which related to the maturities and purchases of marketable securities. Net cash used in investing activities for the nine months ended September 30, 2020 was $108.3 million, which related to the purchase of marketable securities.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38" w:lineRule="exact"/>
        <w:rPr>
          <w:sz w:val="20"/>
          <w:szCs w:val="20"/>
          <w:color w:val="auto"/>
        </w:rPr>
      </w:pPr>
    </w:p>
    <w:p>
      <w:pPr>
        <w:ind w:firstLine="397"/>
        <w:spacing w:after="0" w:line="318" w:lineRule="auto"/>
        <w:rPr>
          <w:sz w:val="20"/>
          <w:szCs w:val="20"/>
          <w:color w:val="auto"/>
        </w:rPr>
      </w:pPr>
      <w:r>
        <w:rPr>
          <w:rFonts w:ascii="Arial" w:cs="Arial" w:eastAsia="Arial" w:hAnsi="Arial"/>
          <w:sz w:val="15"/>
          <w:szCs w:val="15"/>
          <w:color w:val="auto"/>
        </w:rPr>
        <w:t>Net cash provided by financing activities was $109.4 million for the nine months ended September 30, 2021 and $150.5 million for the nine months ended September 30, 2020. Net cash provided by financing activities for the nine months ended September 30, 2021 consisted primarily of proceeds of $107.8 million from our follow-on public offering in July 2021 Net cash provided by financing activities for the nine months ended September 30, 2020, consisted primarily of net proceeds of $150.1 million from our June 2020 follow-on public offering and private placement of our common stock.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8" w:lineRule="exact"/>
        <w:rPr>
          <w:sz w:val="20"/>
          <w:szCs w:val="20"/>
          <w:color w:val="auto"/>
        </w:rPr>
      </w:pPr>
    </w:p>
    <w:p>
      <w:pPr>
        <w:ind w:firstLine="397"/>
        <w:spacing w:after="0" w:line="298" w:lineRule="auto"/>
        <w:rPr>
          <w:sz w:val="20"/>
          <w:szCs w:val="20"/>
          <w:color w:val="auto"/>
        </w:rPr>
      </w:pPr>
      <w:r>
        <w:rPr>
          <w:rFonts w:ascii="Arial" w:cs="Arial" w:eastAsia="Arial" w:hAnsi="Arial"/>
          <w:sz w:val="15"/>
          <w:szCs w:val="15"/>
          <w:color w:val="auto"/>
        </w:rPr>
        <w:t>Zimura is in clinical development, IC-500 is in preclinical development, and we are advancing multiple gene therapy research programs. We expect our research and development expenses to increase as we pursue these programs as currently planned. We could incur additional research and development expenses if we modify or further expand the scope of our clinical trials, our preclinical development programs or our gene therapy research programs, or if we in-license or acquire, and undertake development of, additional product candidates and technologies, including sustained release delivery technologies for Zimura and any promising product candidates that emerge from our gene therapy research programs. We could also 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expect to start incurring these expenses as we prepare for the potential commercialization of Zimura. We are party to agreements with Archemix with respect to Zimura, the former equityholders of Inception 4 with respect to IC-500, the University of Florida Research Foundation, Incorporated, or UFRF, and Penn, with respect to IC-100 and IC-200, and UMass with respect to any potential product candidates from our miniCEP290 program, in each case, that impose significant milestone payment obligations on us if we or a potential collaborator achieves specified clinical, regulatory and commercial milestones with respect to these product candidates,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3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151" w:lineRule="exact"/>
        <w:rPr>
          <w:sz w:val="20"/>
          <w:szCs w:val="20"/>
          <w:color w:val="auto"/>
        </w:rPr>
      </w:pPr>
    </w:p>
    <w:p>
      <w:pPr>
        <w:ind w:left="960" w:right="700" w:hanging="318"/>
        <w:spacing w:after="0" w:line="264" w:lineRule="auto"/>
        <w:tabs>
          <w:tab w:leader="none" w:pos="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the development of Zimura in GA and STGD1 and initiate development of Zimura in intermediate AMD and potentially other indications;</w:t>
      </w:r>
    </w:p>
    <w:p>
      <w:pPr>
        <w:spacing w:after="0" w:line="101" w:lineRule="exact"/>
        <w:rPr>
          <w:rFonts w:ascii="Arial" w:cs="Arial" w:eastAsia="Arial" w:hAnsi="Arial"/>
          <w:sz w:val="18"/>
          <w:szCs w:val="18"/>
          <w:color w:val="auto"/>
        </w:rPr>
      </w:pPr>
    </w:p>
    <w:p>
      <w:pPr>
        <w:ind w:left="960" w:right="40" w:hanging="318"/>
        <w:spacing w:after="0" w:line="264" w:lineRule="auto"/>
        <w:tabs>
          <w:tab w:leader="none" w:pos="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outsourced manufacturing capabilities for Zimura and IC-500 and begin to establish commercial operations and sales, marketing and distribution capabilities for Zimura;</w:t>
      </w:r>
    </w:p>
    <w:p>
      <w:pPr>
        <w:spacing w:after="0" w:line="114" w:lineRule="exact"/>
        <w:rPr>
          <w:rFonts w:ascii="Arial" w:cs="Arial" w:eastAsia="Arial" w:hAnsi="Arial"/>
          <w:sz w:val="18"/>
          <w:szCs w:val="18"/>
          <w:color w:val="auto"/>
        </w:rPr>
      </w:pPr>
    </w:p>
    <w:p>
      <w:pPr>
        <w:ind w:left="960" w:hanging="318"/>
        <w:spacing w:after="0"/>
        <w:tabs>
          <w:tab w:leader="none" w:pos="9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prepare an NDA and an MAA for Zimura and seek marketing approval for any product candidates that successfully complete clinical trials;</w:t>
      </w:r>
    </w:p>
    <w:p>
      <w:pPr>
        <w:spacing w:after="0" w:line="185" w:lineRule="exact"/>
        <w:rPr>
          <w:rFonts w:ascii="Arial" w:cs="Arial" w:eastAsia="Arial" w:hAnsi="Arial"/>
          <w:sz w:val="15"/>
          <w:szCs w:val="15"/>
          <w:color w:val="auto"/>
        </w:rPr>
      </w:pPr>
    </w:p>
    <w:p>
      <w:pPr>
        <w:ind w:left="960" w:right="40" w:hanging="318"/>
        <w:spacing w:after="0" w:line="264" w:lineRule="auto"/>
        <w:tabs>
          <w:tab w:leader="none" w:pos="955" w:val="left"/>
        </w:tabs>
        <w:numPr>
          <w:ilvl w:val="0"/>
          <w:numId w:val="21"/>
        </w:numPr>
        <w:rPr>
          <w:rFonts w:ascii="Arial" w:cs="Arial" w:eastAsia="Arial" w:hAnsi="Arial"/>
          <w:sz w:val="18"/>
          <w:szCs w:val="18"/>
          <w:color w:val="212529"/>
        </w:rPr>
      </w:pPr>
      <w:r>
        <w:rPr>
          <w:rFonts w:ascii="Arial" w:cs="Arial" w:eastAsia="Arial" w:hAnsi="Arial"/>
          <w:sz w:val="18"/>
          <w:szCs w:val="18"/>
          <w:color w:val="auto"/>
        </w:rPr>
        <w:t xml:space="preserve">in-license or acquire the rights to, and pursue the development of, other product candidates or technologies </w:t>
      </w:r>
      <w:r>
        <w:rPr>
          <w:rFonts w:ascii="Arial" w:cs="Arial" w:eastAsia="Arial" w:hAnsi="Arial"/>
          <w:sz w:val="18"/>
          <w:szCs w:val="18"/>
          <w:color w:val="212529"/>
        </w:rPr>
        <w:t>for retinal diseases, such as sustained</w:t>
      </w:r>
      <w:r>
        <w:rPr>
          <w:rFonts w:ascii="Arial" w:cs="Arial" w:eastAsia="Arial" w:hAnsi="Arial"/>
          <w:sz w:val="18"/>
          <w:szCs w:val="18"/>
          <w:color w:val="auto"/>
        </w:rPr>
        <w:t xml:space="preserve"> </w:t>
      </w:r>
      <w:r>
        <w:rPr>
          <w:rFonts w:ascii="Arial" w:cs="Arial" w:eastAsia="Arial" w:hAnsi="Arial"/>
          <w:sz w:val="18"/>
          <w:szCs w:val="18"/>
          <w:color w:val="212529"/>
        </w:rPr>
        <w:t>release delivery technologies for Zimura</w:t>
      </w:r>
      <w:r>
        <w:rPr>
          <w:rFonts w:ascii="Arial" w:cs="Arial" w:eastAsia="Arial" w:hAnsi="Arial"/>
          <w:sz w:val="18"/>
          <w:szCs w:val="18"/>
          <w:color w:val="000000"/>
        </w:rPr>
        <w:t>;</w:t>
      </w:r>
    </w:p>
    <w:p>
      <w:pPr>
        <w:spacing w:after="0" w:line="101" w:lineRule="exact"/>
        <w:rPr>
          <w:rFonts w:ascii="Arial" w:cs="Arial" w:eastAsia="Arial" w:hAnsi="Arial"/>
          <w:sz w:val="18"/>
          <w:szCs w:val="18"/>
          <w:color w:val="212529"/>
        </w:rPr>
      </w:pPr>
    </w:p>
    <w:p>
      <w:pPr>
        <w:ind w:left="960" w:hanging="318"/>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the development of IC-500 and pursue our gene therapy research programs;</w:t>
      </w:r>
    </w:p>
    <w:p>
      <w:pPr>
        <w:spacing w:after="0" w:line="150" w:lineRule="exact"/>
        <w:rPr>
          <w:rFonts w:ascii="Arial" w:cs="Arial" w:eastAsia="Arial" w:hAnsi="Arial"/>
          <w:sz w:val="18"/>
          <w:szCs w:val="18"/>
          <w:color w:val="auto"/>
        </w:rPr>
      </w:pPr>
    </w:p>
    <w:p>
      <w:pPr>
        <w:ind w:left="960" w:hanging="318"/>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50" w:lineRule="exact"/>
        <w:rPr>
          <w:rFonts w:ascii="Arial" w:cs="Arial" w:eastAsia="Arial" w:hAnsi="Arial"/>
          <w:sz w:val="18"/>
          <w:szCs w:val="18"/>
          <w:color w:val="auto"/>
        </w:rPr>
      </w:pPr>
    </w:p>
    <w:p>
      <w:pPr>
        <w:ind w:left="960" w:right="540" w:hanging="318"/>
        <w:spacing w:after="0" w:line="264" w:lineRule="auto"/>
        <w:tabs>
          <w:tab w:leader="none" w:pos="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additional clinical, commercial, medical affairs, regulatory, pharmacovigilance, manufacturing, quality control, quality assurance and scientific personnel; and</w:t>
      </w:r>
    </w:p>
    <w:p>
      <w:pPr>
        <w:spacing w:after="0" w:line="101" w:lineRule="exact"/>
        <w:rPr>
          <w:rFonts w:ascii="Arial" w:cs="Arial" w:eastAsia="Arial" w:hAnsi="Arial"/>
          <w:sz w:val="18"/>
          <w:szCs w:val="18"/>
          <w:color w:val="auto"/>
        </w:rPr>
      </w:pPr>
    </w:p>
    <w:p>
      <w:pPr>
        <w:ind w:left="960" w:hanging="318"/>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151" w:lineRule="exact"/>
        <w:rPr>
          <w:sz w:val="20"/>
          <w:szCs w:val="20"/>
          <w:color w:val="auto"/>
        </w:rPr>
      </w:pPr>
    </w:p>
    <w:p>
      <w:pPr>
        <w:ind w:right="40" w:firstLine="397"/>
        <w:spacing w:after="0" w:line="303" w:lineRule="auto"/>
        <w:rPr>
          <w:sz w:val="20"/>
          <w:szCs w:val="20"/>
          <w:color w:val="auto"/>
        </w:rPr>
      </w:pPr>
      <w:r>
        <w:rPr>
          <w:rFonts w:ascii="Arial" w:cs="Arial" w:eastAsia="Arial" w:hAnsi="Arial"/>
          <w:sz w:val="15"/>
          <w:szCs w:val="15"/>
          <w:color w:val="auto"/>
        </w:rPr>
        <w:t>As of September 30, 2021, we had cash, cash equivalents and available for sale securities of $242 million. In October 2021, we raised approximately $162.6 million in net proceeds in an underwritten public offering of common stock. We now estimate that our year-end 2021 cash, cash equivalents and available for sale securities will range between $375 million and $385 million. We also estimate that our cash, cash equivalents and available for sale securities will be sufficient to fund our planned capital expenditure requirements and operating expenses through at least mid-2024. These estimates are based on our current business plan, which includes the continuation of our ongoing clinical development programs for Zimura in GA and STGD1 and the initiation of an intermediate AMD clinical trial, preparation and potential filing of an NDA and a MAA for Zimura in GA secondary to AMD, continuing preparations for a potential commercial launch of Zimura in GA secondary to AMD, investing in sustained release delivery technologies for Zimura, and the advancement of our IC-500 development program. Excluded from these estimates are any potential approval or sales milestones payable to Archemix or any potential expenses for actual commercial launch of Zimura, such as sales force expenses, any additional expenditures related 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potentially studying Zimura in indications outside of GA, STGD1 and intermediate AMD, or resulting from the potential in-licensing or acquisition of additional product candidates or technologies, or any associated development we may pursue. We have based these estimates on assumptions that may prove to be wrong, and we could use our available capital resources sooner than we currently expect.</w:t>
      </w:r>
    </w:p>
    <w:p>
      <w:pPr>
        <w:spacing w:after="0" w:line="109" w:lineRule="exact"/>
        <w:rPr>
          <w:sz w:val="20"/>
          <w:szCs w:val="20"/>
          <w:color w:val="auto"/>
        </w:rPr>
      </w:pPr>
    </w:p>
    <w:p>
      <w:pPr>
        <w:ind w:right="60" w:firstLine="397"/>
        <w:spacing w:after="0" w:line="265" w:lineRule="auto"/>
        <w:rPr>
          <w:sz w:val="20"/>
          <w:szCs w:val="20"/>
          <w:color w:val="auto"/>
        </w:rPr>
      </w:pPr>
      <w:r>
        <w:rPr>
          <w:rFonts w:ascii="Arial" w:cs="Arial" w:eastAsia="Arial" w:hAnsi="Arial"/>
          <w:sz w:val="17"/>
          <w:szCs w:val="17"/>
          <w:color w:val="auto"/>
        </w:rPr>
        <w:t>We expect the development of our product candidates will continue for at least the next several years. Although we believe we have sufficient financial resources for the activities necessary to complete development of, including manufacturing scale-up and validation activities, and potentially seek marketing approval of Zimura in GA, we expect we will require additional funding in order to launch and commercialize Zimura in GA, if approved. We also expect we will require substantial, additional funding in order to complete the activities necessary to develop and commercialize Zimura for other indications or any of our other product candidates. At this time, we cannot reasonably estimate the total remaining costs necessary to complete development, to complete process development and manufacturing scale-up and validation activities and to potentially seek marketing approval for Zimura for any other indication or for any of our other product candidates.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51" w:lineRule="exact"/>
        <w:rPr>
          <w:sz w:val="20"/>
          <w:szCs w:val="20"/>
          <w:color w:val="auto"/>
        </w:rPr>
      </w:pPr>
    </w:p>
    <w:p>
      <w:pPr>
        <w:ind w:left="960" w:right="460" w:hanging="318"/>
        <w:spacing w:after="0" w:line="264"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future Zimura clinical programs and any further development we may undertake to enable us to file an NDA and an MAA for Zimura in one or more indications;</w:t>
      </w:r>
    </w:p>
    <w:p>
      <w:pPr>
        <w:spacing w:after="0" w:line="101" w:lineRule="exact"/>
        <w:rPr>
          <w:rFonts w:ascii="Arial" w:cs="Arial" w:eastAsia="Arial" w:hAnsi="Arial"/>
          <w:sz w:val="18"/>
          <w:szCs w:val="18"/>
          <w:color w:val="auto"/>
        </w:rPr>
      </w:pPr>
    </w:p>
    <w:p>
      <w:pPr>
        <w:ind w:left="960" w:right="160" w:hanging="318"/>
        <w:spacing w:after="0" w:line="264"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costs and results of process development, manufacturing scale-up and validation activities, analytical method development and qualification, and stability studies associated with Zimura and our other product candidates;</w:t>
      </w:r>
    </w:p>
    <w:p>
      <w:pPr>
        <w:spacing w:after="0" w:line="114" w:lineRule="exact"/>
        <w:rPr>
          <w:rFonts w:ascii="Arial" w:cs="Arial" w:eastAsia="Arial" w:hAnsi="Arial"/>
          <w:sz w:val="18"/>
          <w:szCs w:val="18"/>
          <w:color w:val="auto"/>
        </w:rPr>
      </w:pPr>
    </w:p>
    <w:p>
      <w:pPr>
        <w:ind w:left="960" w:right="420" w:hanging="318"/>
        <w:spacing w:after="0" w:line="264"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scope and costs of establishing a commercial infrastructure for potential commercialization of Zimura and for any other product candidates for which we receive, or expect to receive, marketing approval;</w:t>
      </w:r>
    </w:p>
    <w:p>
      <w:pPr>
        <w:spacing w:after="0" w:line="114" w:lineRule="exact"/>
        <w:rPr>
          <w:rFonts w:ascii="Arial" w:cs="Arial" w:eastAsia="Arial" w:hAnsi="Arial"/>
          <w:sz w:val="18"/>
          <w:szCs w:val="18"/>
          <w:color w:val="auto"/>
        </w:rPr>
      </w:pPr>
    </w:p>
    <w:p>
      <w:pPr>
        <w:ind w:left="960" w:right="380" w:hanging="318"/>
        <w:spacing w:after="0" w:line="264"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 including the potential submission and regulatory review of an NDA and an MAA for Zimura in GA;</w:t>
      </w:r>
    </w:p>
    <w:p>
      <w:pPr>
        <w:spacing w:after="0" w:line="101" w:lineRule="exact"/>
        <w:rPr>
          <w:rFonts w:ascii="Arial" w:cs="Arial" w:eastAsia="Arial" w:hAnsi="Arial"/>
          <w:sz w:val="18"/>
          <w:szCs w:val="18"/>
          <w:color w:val="auto"/>
        </w:rPr>
      </w:pPr>
    </w:p>
    <w:p>
      <w:pPr>
        <w:ind w:left="960" w:hanging="318"/>
        <w:spacing w:after="0" w:line="255"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 potential collaboration for the further development and potential commercialization of Zimura in one or more territories outside the United States and a collaboration or out-license for the further development and potential commercialization of IC-100 and IC-200;</w:t>
      </w:r>
    </w:p>
    <w:p>
      <w:pPr>
        <w:spacing w:after="0" w:line="121" w:lineRule="exact"/>
        <w:rPr>
          <w:rFonts w:ascii="Arial" w:cs="Arial" w:eastAsia="Arial" w:hAnsi="Arial"/>
          <w:sz w:val="18"/>
          <w:szCs w:val="18"/>
          <w:color w:val="auto"/>
        </w:rPr>
      </w:pPr>
    </w:p>
    <w:p>
      <w:pPr>
        <w:ind w:left="960" w:right="160" w:hanging="318"/>
        <w:spacing w:after="0" w:line="264"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 including sustained release delivery technologies for Zimura;</w:t>
      </w:r>
    </w:p>
    <w:p>
      <w:pPr>
        <w:spacing w:after="0" w:line="114" w:lineRule="exact"/>
        <w:rPr>
          <w:rFonts w:ascii="Arial" w:cs="Arial" w:eastAsia="Arial" w:hAnsi="Arial"/>
          <w:sz w:val="18"/>
          <w:szCs w:val="18"/>
          <w:color w:val="auto"/>
        </w:rPr>
      </w:pPr>
    </w:p>
    <w:p>
      <w:pPr>
        <w:ind w:left="960" w:right="460" w:hanging="318"/>
        <w:spacing w:after="0" w:line="264"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IC-500, including activities to establish manufacturing capabilities and other preclinical development activities to enable us to file an IND for this product candidate;</w:t>
      </w:r>
    </w:p>
    <w:p>
      <w:pPr>
        <w:spacing w:after="0" w:line="101" w:lineRule="exact"/>
        <w:rPr>
          <w:rFonts w:ascii="Arial" w:cs="Arial" w:eastAsia="Arial" w:hAnsi="Arial"/>
          <w:sz w:val="18"/>
          <w:szCs w:val="18"/>
          <w:color w:val="auto"/>
        </w:rPr>
      </w:pPr>
    </w:p>
    <w:p>
      <w:pPr>
        <w:ind w:left="960" w:right="140" w:hanging="318"/>
        <w:spacing w:after="0" w:line="264"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114"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w:t>
      </w:r>
    </w:p>
    <w:p>
      <w:pPr>
        <w:spacing w:after="0" w:line="150" w:lineRule="exact"/>
        <w:rPr>
          <w:rFonts w:ascii="Arial" w:cs="Arial" w:eastAsia="Arial" w:hAnsi="Arial"/>
          <w:sz w:val="18"/>
          <w:szCs w:val="18"/>
          <w:color w:val="auto"/>
        </w:rPr>
      </w:pPr>
    </w:p>
    <w:p>
      <w:pPr>
        <w:ind w:left="960" w:right="500" w:hanging="318"/>
        <w:spacing w:after="0" w:line="264"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 and</w:t>
      </w:r>
    </w:p>
    <w:p>
      <w:pPr>
        <w:spacing w:after="0" w:line="101" w:lineRule="exact"/>
        <w:rPr>
          <w:rFonts w:ascii="Arial" w:cs="Arial" w:eastAsia="Arial" w:hAnsi="Arial"/>
          <w:sz w:val="18"/>
          <w:szCs w:val="18"/>
          <w:color w:val="auto"/>
        </w:rPr>
      </w:pPr>
    </w:p>
    <w:p>
      <w:pPr>
        <w:ind w:left="960" w:right="40" w:hanging="318"/>
        <w:spacing w:after="0" w:line="264"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14" w:lineRule="exact"/>
        <w:rPr>
          <w:sz w:val="20"/>
          <w:szCs w:val="20"/>
          <w:color w:val="auto"/>
        </w:rPr>
      </w:pPr>
    </w:p>
    <w:p>
      <w:pPr>
        <w:ind w:right="120" w:firstLine="397"/>
        <w:spacing w:after="0" w:line="265" w:lineRule="auto"/>
        <w:rPr>
          <w:sz w:val="20"/>
          <w:szCs w:val="20"/>
          <w:color w:val="auto"/>
        </w:rPr>
      </w:pPr>
      <w:r>
        <w:rPr>
          <w:rFonts w:ascii="Arial" w:cs="Arial" w:eastAsia="Arial" w:hAnsi="Arial"/>
          <w:sz w:val="17"/>
          <w:szCs w:val="17"/>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with manufacturing, such as issues with process development, scale-up and validation, or establishing and qualifying second source suppliers and ensuring adequate inventory for our expected needs, if we experience an issue in our preclinical development programs, such as unfavorable toxicology or other preclinical data, or if we modify or 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to conduct. For example, we are conducting the GATHER2 trial with the expectation that data collected from such trial, if it is positive, together with other available data, will be sufficient to support an application for marketing approval in the United States and the European Union and we may subsequently decide to, or be required by regulatory authorities to, enroll additional patients in the GATHER2 trial, or conduct additional clinical trials or nonclinical studies of Zimura in order to seek or maintain marketing approval or qualify for reimbursement approval. In addition, the COVID-19 pandemic may result in disruptions to the progress of the GATHER2 or STAR trials, including slowing patient enrollment in STAR or causing enrolled patients in either trial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pacing w:after="0" w:line="105" w:lineRule="exact"/>
        <w:rPr>
          <w:sz w:val="20"/>
          <w:szCs w:val="20"/>
          <w:color w:val="auto"/>
        </w:rPr>
      </w:pPr>
    </w:p>
    <w:p>
      <w:pPr>
        <w:ind w:firstLine="397"/>
        <w:spacing w:after="0" w:line="300" w:lineRule="auto"/>
        <w:rPr>
          <w:sz w:val="20"/>
          <w:szCs w:val="20"/>
          <w:color w:val="auto"/>
        </w:rPr>
      </w:pPr>
      <w:r>
        <w:rPr>
          <w:rFonts w:ascii="Arial" w:cs="Arial" w:eastAsia="Arial" w:hAnsi="Arial"/>
          <w:sz w:val="15"/>
          <w:szCs w:val="15"/>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governmental responses to the pandemic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We may not be able to successfully raise additional capital in the future.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gene therapy research programs, or our future commercialization efforts.</w:t>
      </w:r>
    </w:p>
    <w:p>
      <w:pPr>
        <w:spacing w:after="0" w:line="311" w:lineRule="exact"/>
        <w:rPr>
          <w:sz w:val="20"/>
          <w:szCs w:val="20"/>
          <w:color w:val="auto"/>
        </w:rPr>
      </w:pPr>
    </w:p>
    <w:p>
      <w:pPr>
        <w:ind w:right="100" w:firstLine="397"/>
        <w:spacing w:after="0" w:line="302" w:lineRule="auto"/>
        <w:rPr>
          <w:sz w:val="20"/>
          <w:szCs w:val="20"/>
          <w:color w:val="auto"/>
        </w:rPr>
      </w:pPr>
      <w:r>
        <w:rPr>
          <w:rFonts w:ascii="Arial" w:cs="Arial" w:eastAsia="Arial" w:hAnsi="Arial"/>
          <w:sz w:val="15"/>
          <w:szCs w:val="15"/>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declaring dividends or entering into certain investments or transactions. In addition, we have issued, and may in the future issue additional, equity securities as consideration for business development transactions, which may also dilute our existing stockholders' ownership interests.</w:t>
      </w:r>
    </w:p>
    <w:p>
      <w:pPr>
        <w:spacing w:after="0" w:line="95" w:lineRule="exact"/>
        <w:rPr>
          <w:sz w:val="20"/>
          <w:szCs w:val="20"/>
          <w:color w:val="auto"/>
        </w:rPr>
      </w:pPr>
    </w:p>
    <w:p>
      <w:pPr>
        <w:ind w:right="200" w:firstLine="397"/>
        <w:spacing w:after="0" w:line="312" w:lineRule="auto"/>
        <w:rPr>
          <w:sz w:val="20"/>
          <w:szCs w:val="20"/>
          <w:color w:val="auto"/>
        </w:rPr>
      </w:pPr>
      <w:r>
        <w:rPr>
          <w:rFonts w:ascii="Arial" w:cs="Arial" w:eastAsia="Arial" w:hAnsi="Arial"/>
          <w:sz w:val="15"/>
          <w:szCs w:val="15"/>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choose to pursue a collaboration for any of our product candidates,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71"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contractual obligations as of September 30,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4"/>
                <w:szCs w:val="14"/>
                <w:b w:val="1"/>
                <w:bCs w:val="1"/>
                <w:color w:val="auto"/>
                <w:w w:val="90"/>
              </w:rPr>
              <w:t>Payments Due by Period</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1 - 3 years</w:t>
            </w:r>
          </w:p>
        </w:tc>
        <w:tc>
          <w:tcPr>
            <w:tcW w:w="12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1"/>
                <w:szCs w:val="11"/>
                <w:color w:val="auto"/>
              </w:rPr>
            </w:pPr>
          </w:p>
        </w:tc>
        <w:tc>
          <w:tcPr>
            <w:tcW w:w="820" w:type="dxa"/>
            <w:vAlign w:val="bottom"/>
          </w:tcPr>
          <w:p>
            <w:pPr>
              <w:ind w:left="20"/>
              <w:spacing w:after="0" w:line="131"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1 year</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79"/>
        </w:trPr>
        <w:tc>
          <w:tcPr>
            <w:tcW w:w="27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Sponsored Research (1)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Purchase Obligations (2)</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 (3)</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Total (4)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9,854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70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item includes our non-cancelable contractual obligations under our sponsored research agreements.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item includes our non-cancelable contractual commitments under certain of our manufacturing and supply agreements.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item includes our contractual obligations to make payments in connection with leases for office space.</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table does not include:</w:t>
      </w:r>
    </w:p>
    <w:p>
      <w:pPr>
        <w:spacing w:after="0" w:line="150" w:lineRule="exact"/>
        <w:rPr>
          <w:rFonts w:ascii="Arial" w:cs="Arial" w:eastAsia="Arial" w:hAnsi="Arial"/>
          <w:sz w:val="18"/>
          <w:szCs w:val="18"/>
          <w:color w:val="auto"/>
        </w:rPr>
      </w:pPr>
    </w:p>
    <w:p>
      <w:pPr>
        <w:ind w:left="960" w:right="20" w:hanging="318"/>
        <w:spacing w:after="0" w:line="264" w:lineRule="auto"/>
        <w:tabs>
          <w:tab w:leader="none" w:pos="9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milestone payments which may become payable to third parties under license or acquisition agreements as the timing and likelihood of such payments are not known with certainty;</w:t>
      </w:r>
    </w:p>
    <w:p>
      <w:pPr>
        <w:spacing w:after="0" w:line="114" w:lineRule="exact"/>
        <w:rPr>
          <w:rFonts w:ascii="Arial" w:cs="Arial" w:eastAsia="Arial" w:hAnsi="Arial"/>
          <w:sz w:val="18"/>
          <w:szCs w:val="18"/>
          <w:color w:val="auto"/>
        </w:rPr>
      </w:pPr>
    </w:p>
    <w:p>
      <w:pPr>
        <w:ind w:left="960" w:hanging="318"/>
        <w:spacing w:after="0"/>
        <w:tabs>
          <w:tab w:leader="none" w:pos="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royalty payments to third parties as the amounts, timing and likelihood of such payments are not known;</w:t>
      </w:r>
    </w:p>
    <w:p>
      <w:pPr>
        <w:spacing w:after="0" w:line="137" w:lineRule="exact"/>
        <w:rPr>
          <w:rFonts w:ascii="Arial" w:cs="Arial" w:eastAsia="Arial" w:hAnsi="Arial"/>
          <w:sz w:val="18"/>
          <w:szCs w:val="18"/>
          <w:color w:val="auto"/>
        </w:rPr>
      </w:pPr>
    </w:p>
    <w:p>
      <w:pPr>
        <w:ind w:left="960" w:hanging="318"/>
        <w:spacing w:after="0"/>
        <w:tabs>
          <w:tab w:leader="none" w:pos="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anticipated expenditures under supply agreements for periods for which we are not yet bound under binding purchase orders; or</w:t>
      </w:r>
    </w:p>
    <w:p>
      <w:pPr>
        <w:spacing w:after="0" w:line="150" w:lineRule="exact"/>
        <w:rPr>
          <w:rFonts w:ascii="Arial" w:cs="Arial" w:eastAsia="Arial" w:hAnsi="Arial"/>
          <w:sz w:val="18"/>
          <w:szCs w:val="18"/>
          <w:color w:val="auto"/>
        </w:rPr>
      </w:pPr>
    </w:p>
    <w:p>
      <w:pPr>
        <w:ind w:left="960" w:hanging="318"/>
        <w:spacing w:after="0"/>
        <w:tabs>
          <w:tab w:leader="none" w:pos="9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contracts that are entered into in the ordinary course of business that are not material in the aggregate in any period presented above.</w:t>
      </w:r>
    </w:p>
    <w:p>
      <w:pPr>
        <w:spacing w:after="0" w:line="162" w:lineRule="exact"/>
        <w:rPr>
          <w:sz w:val="20"/>
          <w:szCs w:val="20"/>
          <w:color w:val="auto"/>
        </w:rPr>
      </w:pPr>
    </w:p>
    <w:p>
      <w:pPr>
        <w:ind w:right="260" w:firstLine="397"/>
        <w:spacing w:after="0" w:line="277" w:lineRule="auto"/>
        <w:rPr>
          <w:sz w:val="20"/>
          <w:szCs w:val="20"/>
          <w:color w:val="auto"/>
        </w:rPr>
      </w:pPr>
      <w:r>
        <w:rPr>
          <w:rFonts w:ascii="Arial" w:cs="Arial" w:eastAsia="Arial" w:hAnsi="Arial"/>
          <w:sz w:val="17"/>
          <w:szCs w:val="17"/>
          <w:color w:val="auto"/>
        </w:rPr>
        <w:t>In addition to the amounts set forth in the table above, we may be required, under the agreements under which we acquired rights to Zimura, IC-100, IC-200, IC-500 and our miniCEP290 program, to make milestone payments and/or pay royalties. These payments are described in “Note 9— Commitments and Contingencies” in our unaudited consolidated financial statements appearing elsewhere in this Quarterly Report.</w:t>
      </w:r>
    </w:p>
    <w:p>
      <w:pPr>
        <w:spacing w:after="0" w:line="92" w:lineRule="exact"/>
        <w:rPr>
          <w:sz w:val="20"/>
          <w:szCs w:val="20"/>
          <w:color w:val="auto"/>
        </w:rPr>
      </w:pPr>
    </w:p>
    <w:p>
      <w:pPr>
        <w:jc w:val="both"/>
        <w:ind w:right="220" w:firstLine="397"/>
        <w:spacing w:after="0" w:line="252"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2021 annual meeting of stockholders, as filed with the SEC on April 7, 2021.</w:t>
      </w:r>
    </w:p>
    <w:p>
      <w:pPr>
        <w:spacing w:after="0" w:line="124" w:lineRule="exact"/>
        <w:rPr>
          <w:sz w:val="20"/>
          <w:szCs w:val="20"/>
          <w:color w:val="auto"/>
        </w:rPr>
      </w:pPr>
    </w:p>
    <w:p>
      <w:pPr>
        <w:ind w:firstLine="397"/>
        <w:spacing w:after="0" w:line="312" w:lineRule="auto"/>
        <w:rPr>
          <w:sz w:val="20"/>
          <w:szCs w:val="20"/>
          <w:color w:val="auto"/>
        </w:rPr>
      </w:pPr>
      <w:r>
        <w:rPr>
          <w:rFonts w:ascii="Arial" w:cs="Arial" w:eastAsia="Arial" w:hAnsi="Arial"/>
          <w:sz w:val="15"/>
          <w:szCs w:val="15"/>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and development, contract research, manufacturing, and supplier agreements in the future, which may require upfront payments and long-term commitments of cash.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4" w:lineRule="exact"/>
        <w:rPr>
          <w:sz w:val="20"/>
          <w:szCs w:val="20"/>
          <w:color w:val="auto"/>
        </w:rPr>
      </w:pPr>
    </w:p>
    <w:p>
      <w:pPr>
        <w:ind w:right="540" w:firstLine="397"/>
        <w:spacing w:after="0" w:line="264"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1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44" w:lineRule="exact"/>
        <w:rPr>
          <w:sz w:val="20"/>
          <w:szCs w:val="20"/>
          <w:color w:val="auto"/>
        </w:rPr>
      </w:pPr>
    </w:p>
    <w:p>
      <w:pPr>
        <w:ind w:right="60" w:firstLine="397"/>
        <w:spacing w:after="0" w:line="252" w:lineRule="auto"/>
        <w:rPr>
          <w:sz w:val="20"/>
          <w:szCs w:val="20"/>
          <w:color w:val="auto"/>
        </w:rPr>
      </w:pPr>
      <w:r>
        <w:rPr>
          <w:rFonts w:ascii="Arial" w:cs="Arial" w:eastAsia="Arial" w:hAnsi="Arial"/>
          <w:sz w:val="18"/>
          <w:szCs w:val="18"/>
          <w:color w:val="auto"/>
        </w:rPr>
        <w:t>We are exposed to market risk related to changes in interest rates. We had cash, cash equivalents and available for sale securities of $242.0 million as of September 30, 2021, consisting of cash and investments in money market funds, U. S. Treasury securities, corporate debt securities and asset-backed securities. Our primary exposure to market risk is interest rate sensitivity, which is affected by changes in the general level of U.S. interest rates, particularly because a significant portion of</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investments are in short-term securities. Due to the low risk profile of our investments, an immediate 100 basis point change in interest rates would not have a material effect on the fair market value of our portfolio.</w:t>
      </w:r>
    </w:p>
    <w:p>
      <w:pPr>
        <w:spacing w:after="0" w:line="101" w:lineRule="exact"/>
        <w:rPr>
          <w:sz w:val="20"/>
          <w:szCs w:val="20"/>
          <w:color w:val="auto"/>
        </w:rPr>
      </w:pPr>
    </w:p>
    <w:p>
      <w:pPr>
        <w:ind w:firstLine="397"/>
        <w:spacing w:after="0" w:line="330" w:lineRule="auto"/>
        <w:rPr>
          <w:sz w:val="20"/>
          <w:szCs w:val="20"/>
          <w:color w:val="auto"/>
        </w:rPr>
      </w:pPr>
      <w:r>
        <w:rPr>
          <w:rFonts w:ascii="Arial" w:cs="Arial" w:eastAsia="Arial" w:hAnsi="Arial"/>
          <w:sz w:val="15"/>
          <w:szCs w:val="15"/>
          <w:color w:val="auto"/>
        </w:rPr>
        <w:t>We contract with CDMOs, CROs and certain other vendors to perform services outside of the United States. We may be subject to fluctuations in foreign currency rates in connection with certain of these agreements. Transactions denominated in currencies other than the U.S. dollar are recorded based on exchange rates at the time such transactions arise. As of September 30, 2021, substantially all of our total liabilities were denominated in the U.S. dollar.</w:t>
      </w:r>
    </w:p>
    <w:p>
      <w:pPr>
        <w:spacing w:after="0" w:line="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4" w:lineRule="exact"/>
        <w:rPr>
          <w:sz w:val="20"/>
          <w:szCs w:val="20"/>
          <w:color w:val="auto"/>
        </w:rPr>
      </w:pPr>
    </w:p>
    <w:p>
      <w:pPr>
        <w:ind w:right="20" w:firstLine="397"/>
        <w:spacing w:after="0" w:line="264"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September 30, 2021.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16" w:lineRule="exact"/>
        <w:rPr>
          <w:sz w:val="20"/>
          <w:szCs w:val="20"/>
          <w:color w:val="auto"/>
        </w:rPr>
      </w:pPr>
    </w:p>
    <w:p>
      <w:pPr>
        <w:ind w:right="500" w:firstLine="397"/>
        <w:spacing w:after="0" w:line="294" w:lineRule="auto"/>
        <w:rPr>
          <w:sz w:val="20"/>
          <w:szCs w:val="20"/>
          <w:color w:val="auto"/>
        </w:rPr>
      </w:pPr>
      <w:r>
        <w:rPr>
          <w:rFonts w:ascii="Arial" w:cs="Arial" w:eastAsia="Arial" w:hAnsi="Arial"/>
          <w:sz w:val="17"/>
          <w:szCs w:val="17"/>
          <w:color w:val="auto"/>
        </w:rPr>
        <w:t>Based on the evaluation of our disclosure controls and procedures as of September 30, 2021, our chief executive officer and chief financial officer concluded that, as of such date, our disclosure controls and procedures were effective at the reasonable assurance level.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4" w:lineRule="exact"/>
        <w:rPr>
          <w:sz w:val="20"/>
          <w:szCs w:val="20"/>
          <w:color w:val="auto"/>
        </w:rPr>
      </w:pPr>
    </w:p>
    <w:p>
      <w:pPr>
        <w:ind w:right="220" w:firstLine="397"/>
        <w:spacing w:after="0" w:line="365" w:lineRule="auto"/>
        <w:rPr>
          <w:sz w:val="20"/>
          <w:szCs w:val="20"/>
          <w:color w:val="auto"/>
        </w:rPr>
      </w:pPr>
      <w:r>
        <w:rPr>
          <w:rFonts w:ascii="Arial" w:cs="Arial" w:eastAsia="Arial" w:hAnsi="Arial"/>
          <w:sz w:val="15"/>
          <w:szCs w:val="15"/>
          <w:color w:val="auto"/>
        </w:rPr>
        <w:t>No changes in our internal control over financial reporting (as defined in Rules 13a-15(d) and 15d-15(d) under the Exchange Act) occurred during the quarter ended September 30, 2021 that have materially affected, or are reasonably likely to materially affect, our internal control over financial reporting.</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4" w:lineRule="exact"/>
        <w:rPr>
          <w:sz w:val="20"/>
          <w:szCs w:val="20"/>
          <w:color w:val="auto"/>
        </w:rPr>
      </w:pPr>
    </w:p>
    <w:p>
      <w:pPr>
        <w:ind w:right="520" w:firstLine="397"/>
        <w:spacing w:after="0" w:line="264" w:lineRule="auto"/>
        <w:rPr>
          <w:sz w:val="20"/>
          <w:szCs w:val="20"/>
          <w:color w:val="auto"/>
        </w:rPr>
      </w:pPr>
      <w:r>
        <w:rPr>
          <w:rFonts w:ascii="Arial" w:cs="Arial" w:eastAsia="Arial" w:hAnsi="Arial"/>
          <w:sz w:val="18"/>
          <w:szCs w:val="18"/>
          <w:color w:val="auto"/>
        </w:rPr>
        <w:t>Descriptions of legal proceedings are set forth in “Note 9-Commitments and Contingencies” in the notes to the financial statements filed with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44" w:lineRule="exact"/>
        <w:rPr>
          <w:sz w:val="20"/>
          <w:szCs w:val="20"/>
          <w:color w:val="auto"/>
        </w:rPr>
      </w:pPr>
    </w:p>
    <w:p>
      <w:pPr>
        <w:ind w:right="60" w:firstLine="397"/>
        <w:spacing w:after="0" w:line="250" w:lineRule="auto"/>
        <w:rPr>
          <w:sz w:val="20"/>
          <w:szCs w:val="20"/>
          <w:color w:val="auto"/>
        </w:rPr>
      </w:pPr>
      <w:r>
        <w:rPr>
          <w:rFonts w:ascii="Arial" w:cs="Arial" w:eastAsia="Arial" w:hAnsi="Arial"/>
          <w:sz w:val="18"/>
          <w:szCs w:val="18"/>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157"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b w:val="1"/>
          <w:bCs w:val="1"/>
          <w:i w:val="1"/>
          <w:iCs w:val="1"/>
          <w:color w:val="auto"/>
        </w:rPr>
        <w:t>We are a development-stage company without any commercial products. The value of our company, therefore, is highly dependent on the success of Zimura and our other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111" w:lineRule="exact"/>
        <w:rPr>
          <w:sz w:val="20"/>
          <w:szCs w:val="20"/>
          <w:color w:val="auto"/>
        </w:rPr>
      </w:pPr>
    </w:p>
    <w:p>
      <w:pPr>
        <w:ind w:right="120" w:firstLine="438"/>
        <w:spacing w:after="0" w:line="268" w:lineRule="auto"/>
        <w:rPr>
          <w:sz w:val="20"/>
          <w:szCs w:val="20"/>
          <w:color w:val="auto"/>
        </w:rPr>
      </w:pPr>
      <w:r>
        <w:rPr>
          <w:rFonts w:ascii="Arial" w:cs="Arial" w:eastAsia="Arial" w:hAnsi="Arial"/>
          <w:sz w:val="17"/>
          <w:szCs w:val="17"/>
          <w:color w:val="auto"/>
        </w:rPr>
        <w:t>We are a development-stage company without any approved products. Our growth prospects and the future value of our company are highly dependent on the progress of our research and development programs, including our ongoing and any future clinical trials for Zimura, our preclinical development program for IC-500, and our gene therapy research programs. In particular, we are highly dependent on the success of Zimura, and any delays or issues with its further development, its potential marketing approval, or its potential commercialization will likely cause the value of your investment to decline significantly. Drug development is a highly uncertain undertaking and carries significant scientific and other risks.</w:t>
      </w:r>
    </w:p>
    <w:p>
      <w:pPr>
        <w:spacing w:after="0" w:line="114" w:lineRule="exact"/>
        <w:rPr>
          <w:sz w:val="20"/>
          <w:szCs w:val="20"/>
          <w:color w:val="auto"/>
        </w:rPr>
      </w:pPr>
    </w:p>
    <w:p>
      <w:pPr>
        <w:ind w:firstLine="397"/>
        <w:spacing w:after="0" w:line="300" w:lineRule="auto"/>
        <w:rPr>
          <w:sz w:val="20"/>
          <w:szCs w:val="20"/>
          <w:color w:val="auto"/>
        </w:rPr>
      </w:pPr>
      <w:r>
        <w:rPr>
          <w:rFonts w:ascii="Arial" w:cs="Arial" w:eastAsia="Arial" w:hAnsi="Arial"/>
          <w:sz w:val="15"/>
          <w:szCs w:val="15"/>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or other factors, including disruptions resulting from the COVID-19 pandemic,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 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having a product development focus to a company capable of commercializing pharmaceutical products. At this time, we are beginning to hire commercialization personnel and build a commercial infrastructure for the potential commercialization of Zimura, if approved. We may not be successful in such a transition, as our company has never conducted the sales, marketing, manufacturing and distribution activities necessary for successful product commercialization.</w:t>
      </w:r>
    </w:p>
    <w:p>
      <w:pPr>
        <w:spacing w:after="0" w:line="298" w:lineRule="exact"/>
        <w:rPr>
          <w:sz w:val="20"/>
          <w:szCs w:val="20"/>
          <w:color w:val="auto"/>
        </w:rPr>
      </w:pPr>
    </w:p>
    <w:p>
      <w:pPr>
        <w:ind w:right="20" w:firstLine="397"/>
        <w:spacing w:after="0" w:line="222" w:lineRule="auto"/>
        <w:rPr>
          <w:sz w:val="20"/>
          <w:szCs w:val="20"/>
          <w:color w:val="auto"/>
        </w:rPr>
      </w:pPr>
      <w:r>
        <w:rPr>
          <w:rFonts w:ascii="Arial" w:cs="Arial" w:eastAsia="Arial" w:hAnsi="Arial"/>
          <w:sz w:val="18"/>
          <w:szCs w:val="18"/>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In addition, even if we are successful in advancing the research and development of IC-500, which is currently in preclinical development, the value of our common stock may not rise in a meaningful way. As we continue to invest in our research and development programs to generate data to support further development or applications to obtain marketing approval for commercialization, the amount of our available cash will continue to decline until we raise additional finances.</w:t>
      </w:r>
    </w:p>
    <w:p>
      <w:pPr>
        <w:spacing w:after="0" w:line="21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101" w:lineRule="exact"/>
        <w:rPr>
          <w:sz w:val="20"/>
          <w:szCs w:val="20"/>
          <w:color w:val="auto"/>
        </w:rPr>
      </w:pPr>
    </w:p>
    <w:p>
      <w:pPr>
        <w:jc w:val="both"/>
        <w:ind w:firstLine="397"/>
        <w:spacing w:after="0" w:line="300" w:lineRule="auto"/>
        <w:rPr>
          <w:sz w:val="20"/>
          <w:szCs w:val="20"/>
          <w:color w:val="auto"/>
        </w:rPr>
      </w:pPr>
      <w:r>
        <w:rPr>
          <w:rFonts w:ascii="Arial" w:cs="Arial" w:eastAsia="Arial" w:hAnsi="Arial"/>
          <w:sz w:val="15"/>
          <w:szCs w:val="15"/>
          <w:color w:val="auto"/>
        </w:rPr>
        <w:t>Since inception, we have experienced significant cash outflows in funding our operations. To date, we have not generated any revenues from commercial product sales and have financed our operations primarily through private placements of our common stock and preferred stock, venture debt borrowings, funds received under our prior Fovista royalty purchase and sale agreement with Novo Holdings A/S, our initial public offering, which we closed in</w:t>
      </w:r>
    </w:p>
    <w:p>
      <w:pPr>
        <w:spacing w:after="0" w:line="1" w:lineRule="exact"/>
        <w:rPr>
          <w:sz w:val="20"/>
          <w:szCs w:val="20"/>
          <w:color w:val="auto"/>
        </w:rPr>
      </w:pPr>
    </w:p>
    <w:p>
      <w:pPr>
        <w:ind w:right="100"/>
        <w:spacing w:after="0" w:line="313" w:lineRule="auto"/>
        <w:rPr>
          <w:sz w:val="20"/>
          <w:szCs w:val="20"/>
          <w:color w:val="auto"/>
        </w:rPr>
      </w:pPr>
      <w:r>
        <w:rPr>
          <w:rFonts w:ascii="Arial" w:cs="Arial" w:eastAsia="Arial" w:hAnsi="Arial"/>
          <w:sz w:val="15"/>
          <w:szCs w:val="15"/>
          <w:color w:val="auto"/>
        </w:rPr>
        <w:t>September 2013, funds we received under our prior Fovista licensing and commercialization agreement with Novartis Pharma AG, funds we received in connection with our acquisition of Inception 4 in October 2018, and our follow-on public offerings, which we closed in February 2014, December 2019, June 2020, July 2021 and October 2021. As of September 30, 2021, we had an accumulated deficit of $646.6 million. Our net loss was $81.5 million for the nine months ended September 30, 2021 and we expect to continue to incur significant operating losses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97"/>
        <w:spacing w:after="0" w:line="298" w:lineRule="auto"/>
        <w:rPr>
          <w:sz w:val="20"/>
          <w:szCs w:val="20"/>
          <w:color w:val="auto"/>
        </w:rPr>
      </w:pPr>
      <w:r>
        <w:rPr>
          <w:rFonts w:ascii="Arial" w:cs="Arial" w:eastAsia="Arial" w:hAnsi="Arial"/>
          <w:sz w:val="15"/>
          <w:szCs w:val="15"/>
          <w:color w:val="auto"/>
        </w:rPr>
        <w:t>Zimura is in clinical development, IC-500 is in preclinical development, and we are advancing multiple gene therapy research programs. We expect our research and development expenses to increase as we pursue these programs as currently planned. We could incur additional research and development expenses if we modify or further expand the scope of our clinical trials, our preclinical development programs or our gene therapy research programs, or if we in-license or acquire, and undertake development of, additional product candidates and technologies, including sustained release delivery technologies for Zimura and any promising product candidates that emerge from our gene therapy research programs. We could also 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expect to start incurring these expenses as we prepare for the potential commercialization of Zimura. We are party to agreements with Archemix with respect to Zimura, the former equityholders of Inception 4 with respect to IC-500, the University of Florida Research Foundation, Incorporated, or UFRF, and Penn, with respect to IC-100 and IC-200, and UMass with respect to any potential product candidates from our miniCEP290 program, in each case, that impose significant milestone payment obligations on us if we or a potential collaborator achieves specified clinical, regulatory and commercial milestones with respect to these product candidates,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3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151" w:lineRule="exact"/>
        <w:rPr>
          <w:sz w:val="20"/>
          <w:szCs w:val="20"/>
          <w:color w:val="auto"/>
        </w:rPr>
      </w:pPr>
    </w:p>
    <w:p>
      <w:pPr>
        <w:ind w:left="960" w:right="700" w:hanging="318"/>
        <w:spacing w:after="0" w:line="264"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the development of Zimura in GA and STGD1 and initiate development of Zimura in intermediate AMD and potentially other indications;</w:t>
      </w:r>
    </w:p>
    <w:p>
      <w:pPr>
        <w:spacing w:after="0" w:line="114" w:lineRule="exact"/>
        <w:rPr>
          <w:rFonts w:ascii="Arial" w:cs="Arial" w:eastAsia="Arial" w:hAnsi="Arial"/>
          <w:sz w:val="18"/>
          <w:szCs w:val="18"/>
          <w:color w:val="auto"/>
        </w:rPr>
      </w:pPr>
    </w:p>
    <w:p>
      <w:pPr>
        <w:ind w:left="960" w:right="40" w:hanging="318"/>
        <w:spacing w:after="0" w:line="264"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 our outsourced manufacturing capabilities for Zimura and IC-500 and begin to establish commercial operations and sales, marketing and distribution capabilities for Zimura;</w:t>
      </w:r>
    </w:p>
    <w:p>
      <w:pPr>
        <w:spacing w:after="0" w:line="101" w:lineRule="exact"/>
        <w:rPr>
          <w:rFonts w:ascii="Arial" w:cs="Arial" w:eastAsia="Arial" w:hAnsi="Arial"/>
          <w:sz w:val="18"/>
          <w:szCs w:val="18"/>
          <w:color w:val="auto"/>
        </w:rPr>
      </w:pPr>
    </w:p>
    <w:p>
      <w:pPr>
        <w:ind w:left="960" w:hanging="318"/>
        <w:spacing w:after="0"/>
        <w:tabs>
          <w:tab w:leader="none" w:pos="9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prepare an NDA and an MAA for Zimura and seek marketing approval for any product candidates that successfully complete clinical trials;</w:t>
      </w:r>
    </w:p>
    <w:p>
      <w:pPr>
        <w:spacing w:after="0" w:line="185" w:lineRule="exact"/>
        <w:rPr>
          <w:rFonts w:ascii="Arial" w:cs="Arial" w:eastAsia="Arial" w:hAnsi="Arial"/>
          <w:sz w:val="15"/>
          <w:szCs w:val="15"/>
          <w:color w:val="auto"/>
        </w:rPr>
      </w:pPr>
    </w:p>
    <w:p>
      <w:pPr>
        <w:ind w:left="960" w:right="40" w:hanging="318"/>
        <w:spacing w:after="0" w:line="264" w:lineRule="auto"/>
        <w:tabs>
          <w:tab w:leader="none" w:pos="955" w:val="left"/>
        </w:tabs>
        <w:numPr>
          <w:ilvl w:val="0"/>
          <w:numId w:val="24"/>
        </w:numPr>
        <w:rPr>
          <w:rFonts w:ascii="Arial" w:cs="Arial" w:eastAsia="Arial" w:hAnsi="Arial"/>
          <w:sz w:val="18"/>
          <w:szCs w:val="18"/>
          <w:color w:val="212529"/>
        </w:rPr>
      </w:pPr>
      <w:r>
        <w:rPr>
          <w:rFonts w:ascii="Arial" w:cs="Arial" w:eastAsia="Arial" w:hAnsi="Arial"/>
          <w:sz w:val="18"/>
          <w:szCs w:val="18"/>
          <w:color w:val="auto"/>
        </w:rPr>
        <w:t xml:space="preserve">in-license or acquire the rights to, and pursue the development of, other product candidates or technologies </w:t>
      </w:r>
      <w:r>
        <w:rPr>
          <w:rFonts w:ascii="Arial" w:cs="Arial" w:eastAsia="Arial" w:hAnsi="Arial"/>
          <w:sz w:val="18"/>
          <w:szCs w:val="18"/>
          <w:color w:val="212529"/>
        </w:rPr>
        <w:t>for retinal diseases, such as sustained</w:t>
      </w:r>
      <w:r>
        <w:rPr>
          <w:rFonts w:ascii="Arial" w:cs="Arial" w:eastAsia="Arial" w:hAnsi="Arial"/>
          <w:sz w:val="18"/>
          <w:szCs w:val="18"/>
          <w:color w:val="auto"/>
        </w:rPr>
        <w:t xml:space="preserve"> </w:t>
      </w:r>
      <w:r>
        <w:rPr>
          <w:rFonts w:ascii="Arial" w:cs="Arial" w:eastAsia="Arial" w:hAnsi="Arial"/>
          <w:sz w:val="18"/>
          <w:szCs w:val="18"/>
          <w:color w:val="212529"/>
        </w:rPr>
        <w:t>release delivery technologies for Zimura</w:t>
      </w:r>
      <w:r>
        <w:rPr>
          <w:rFonts w:ascii="Arial" w:cs="Arial" w:eastAsia="Arial" w:hAnsi="Arial"/>
          <w:sz w:val="18"/>
          <w:szCs w:val="18"/>
          <w:color w:val="000000"/>
        </w:rPr>
        <w:t>;</w:t>
      </w:r>
    </w:p>
    <w:p>
      <w:pPr>
        <w:spacing w:after="0" w:line="114" w:lineRule="exact"/>
        <w:rPr>
          <w:rFonts w:ascii="Arial" w:cs="Arial" w:eastAsia="Arial" w:hAnsi="Arial"/>
          <w:sz w:val="18"/>
          <w:szCs w:val="18"/>
          <w:color w:val="212529"/>
        </w:rPr>
      </w:pPr>
    </w:p>
    <w:p>
      <w:pPr>
        <w:ind w:left="960" w:hanging="31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the development of IC-500 and pursue our gene therapy research programs;</w:t>
      </w:r>
    </w:p>
    <w:p>
      <w:pPr>
        <w:spacing w:after="0" w:line="137" w:lineRule="exact"/>
        <w:rPr>
          <w:rFonts w:ascii="Arial" w:cs="Arial" w:eastAsia="Arial" w:hAnsi="Arial"/>
          <w:sz w:val="18"/>
          <w:szCs w:val="18"/>
          <w:color w:val="auto"/>
        </w:rPr>
      </w:pPr>
    </w:p>
    <w:p>
      <w:pPr>
        <w:ind w:left="960" w:hanging="31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50" w:lineRule="exact"/>
        <w:rPr>
          <w:rFonts w:ascii="Arial" w:cs="Arial" w:eastAsia="Arial" w:hAnsi="Arial"/>
          <w:sz w:val="18"/>
          <w:szCs w:val="18"/>
          <w:color w:val="auto"/>
        </w:rPr>
      </w:pPr>
    </w:p>
    <w:p>
      <w:pPr>
        <w:ind w:left="960" w:right="540" w:hanging="318"/>
        <w:spacing w:after="0" w:line="264"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hire additional clinical, commercial, medical affairs, regulatory, pharmacovigilance, manufacturing, quality control, quality assurance and scientific personnel; and</w:t>
      </w:r>
    </w:p>
    <w:p>
      <w:pPr>
        <w:spacing w:after="0" w:line="114" w:lineRule="exact"/>
        <w:rPr>
          <w:rFonts w:ascii="Arial" w:cs="Arial" w:eastAsia="Arial" w:hAnsi="Arial"/>
          <w:sz w:val="18"/>
          <w:szCs w:val="18"/>
          <w:color w:val="auto"/>
        </w:rPr>
      </w:pPr>
    </w:p>
    <w:p>
      <w:pPr>
        <w:ind w:left="960" w:hanging="31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138" w:lineRule="exact"/>
        <w:rPr>
          <w:sz w:val="20"/>
          <w:szCs w:val="20"/>
          <w:color w:val="auto"/>
        </w:rPr>
      </w:pPr>
    </w:p>
    <w:p>
      <w:pPr>
        <w:ind w:right="20" w:firstLine="397"/>
        <w:spacing w:after="0" w:line="309" w:lineRule="auto"/>
        <w:rPr>
          <w:sz w:val="20"/>
          <w:szCs w:val="20"/>
          <w:color w:val="auto"/>
        </w:rPr>
      </w:pPr>
      <w:r>
        <w:rPr>
          <w:rFonts w:ascii="Arial" w:cs="Arial" w:eastAsia="Arial" w:hAnsi="Arial"/>
          <w:sz w:val="15"/>
          <w:szCs w:val="15"/>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b w:val="1"/>
          <w:bCs w:val="1"/>
          <w:i w:val="1"/>
          <w:iCs w:val="1"/>
          <w:color w:val="auto"/>
        </w:rPr>
        <w:t>We expect we will require substantial, additional funding in order to complete the activities necessary to develop and commercialize Zimura or any of our other product candidates. If we are unable to raise capital when needed, we could be forced to delay, reduce or eliminate one or more of our product development programs or commercialization efforts. We may require additional funding beyond what we currently expect or sooner than we currently expect.</w:t>
      </w:r>
    </w:p>
    <w:p>
      <w:pPr>
        <w:spacing w:after="0" w:line="124" w:lineRule="exact"/>
        <w:rPr>
          <w:sz w:val="20"/>
          <w:szCs w:val="20"/>
          <w:color w:val="auto"/>
        </w:rPr>
      </w:pPr>
    </w:p>
    <w:p>
      <w:pPr>
        <w:ind w:firstLine="397"/>
        <w:spacing w:after="0" w:line="263" w:lineRule="auto"/>
        <w:rPr>
          <w:sz w:val="20"/>
          <w:szCs w:val="20"/>
          <w:color w:val="auto"/>
        </w:rPr>
      </w:pPr>
      <w:r>
        <w:rPr>
          <w:rFonts w:ascii="Arial" w:cs="Arial" w:eastAsia="Arial" w:hAnsi="Arial"/>
          <w:sz w:val="17"/>
          <w:szCs w:val="17"/>
          <w:color w:val="auto"/>
        </w:rPr>
        <w:t>As of September 30, 2021, we had cash, cash equivalents and available for sale securities of $242 million. In October 2021, we raised approximately $162.6 million in net proceeds in an underwritten public offering of common stock. We now estimate that our year-end 2021 cash, cash equivalents and available for sale securities will range between $375 million and $385 million. We also estimate that our cash, cash equivalents and available for sale securities will be sufficient to fund our planned capital expenditure requirements and operating expenses through at least mid-2024. These estimates are based on our current business plan, which includes the continuation of our ongoing clinical development programs for Zimura in GA and STGD1 and the initiation of an intermediate AMD clinical trial, preparation and potential filing of an NDA and a MAA for Zimura in GA secondary to AMD, continuing preparations for a potential commercial launch of Zimura in GA secondary to AMD, investing in sustained release delivery technologies for Zimura, and the advancement of our IC-500 development program. Excluded from these estimates are any potential approval or sales milestones payable to Archemix or any potential expenses for actual commercial launch of Zimura, such as sales force expenses, any additional expenditures related to potentially studying Zimura in indications outside of GA, STGD1 and intermediate AMD, or resulting from the potential in-licensing or acquisition of additional product candidates or technologies, or any associated development we may pursue. We have based these estimates on assumptions that may prove to be wrong, and we could use our available capital resources sooner than we currently expect.</w:t>
      </w:r>
    </w:p>
    <w:p>
      <w:pPr>
        <w:spacing w:after="0" w:line="106" w:lineRule="exact"/>
        <w:rPr>
          <w:sz w:val="20"/>
          <w:szCs w:val="20"/>
          <w:color w:val="auto"/>
        </w:rPr>
      </w:pPr>
    </w:p>
    <w:p>
      <w:pPr>
        <w:ind w:right="80" w:firstLine="397"/>
        <w:spacing w:after="0" w:line="265" w:lineRule="auto"/>
        <w:rPr>
          <w:sz w:val="20"/>
          <w:szCs w:val="20"/>
          <w:color w:val="auto"/>
        </w:rPr>
      </w:pPr>
      <w:r>
        <w:rPr>
          <w:rFonts w:ascii="Arial" w:cs="Arial" w:eastAsia="Arial" w:hAnsi="Arial"/>
          <w:sz w:val="17"/>
          <w:szCs w:val="17"/>
          <w:color w:val="auto"/>
        </w:rPr>
        <w:t>We expect the development of our product candidates will continue for at least the next several years. Although we believe we have sufficient financial resources for the activities necessary to complete development of, including manufacturing scale-up and validation activities, and potentially seek marketing approval of Zimura in GA, we expect we will require additional funding in order to launch and commercialize Zimura in GA, if approved. We also expect we will require substantial, additional funding in order to complete the activities necessary to develop and commercialize Zimura for other indications or any of our other product candidates. At this time, we cannot reasonably estimate the total remaining costs necessary to complete development, to complete process development and manufacturing scale-up and validation activities and to potentially seek marketing approval for Zimura for any other indication or for any of our other product candidates.</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51" w:lineRule="exact"/>
        <w:rPr>
          <w:sz w:val="20"/>
          <w:szCs w:val="20"/>
          <w:color w:val="auto"/>
        </w:rPr>
      </w:pPr>
    </w:p>
    <w:p>
      <w:pPr>
        <w:ind w:left="960" w:right="480" w:hanging="318"/>
        <w:spacing w:after="0" w:line="264" w:lineRule="auto"/>
        <w:tabs>
          <w:tab w:leader="none" w:pos="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future Zimura clinical programs and any further development we may undertake to enable us to file an NDA and an MAA for Zimura in one or more indications;</w:t>
      </w:r>
    </w:p>
    <w:p>
      <w:pPr>
        <w:spacing w:after="0" w:line="101" w:lineRule="exact"/>
        <w:rPr>
          <w:rFonts w:ascii="Arial" w:cs="Arial" w:eastAsia="Arial" w:hAnsi="Arial"/>
          <w:sz w:val="18"/>
          <w:szCs w:val="18"/>
          <w:color w:val="auto"/>
        </w:rPr>
      </w:pPr>
    </w:p>
    <w:p>
      <w:pPr>
        <w:ind w:left="960" w:right="180" w:hanging="318"/>
        <w:spacing w:after="0" w:line="264" w:lineRule="auto"/>
        <w:tabs>
          <w:tab w:leader="none" w:pos="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progress, costs and results of process development, manufacturing scale-up and validation activities, analytical method development and qualification, and stability studies associated with Zimura and our other product candidates;</w:t>
      </w:r>
    </w:p>
    <w:p>
      <w:pPr>
        <w:spacing w:after="0" w:line="114" w:lineRule="exact"/>
        <w:rPr>
          <w:rFonts w:ascii="Arial" w:cs="Arial" w:eastAsia="Arial" w:hAnsi="Arial"/>
          <w:sz w:val="18"/>
          <w:szCs w:val="18"/>
          <w:color w:val="auto"/>
        </w:rPr>
      </w:pPr>
    </w:p>
    <w:p>
      <w:pPr>
        <w:ind w:left="960" w:right="440" w:hanging="318"/>
        <w:spacing w:after="0" w:line="264" w:lineRule="auto"/>
        <w:tabs>
          <w:tab w:leader="none" w:pos="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scope and costs of establishing a commercial infrastructure for potential commercialization of Zimura and for any other product candidates for which we receive, or expect to receive, marketing approval;</w:t>
      </w:r>
    </w:p>
    <w:p>
      <w:pPr>
        <w:spacing w:after="0" w:line="114" w:lineRule="exact"/>
        <w:rPr>
          <w:rFonts w:ascii="Arial" w:cs="Arial" w:eastAsia="Arial" w:hAnsi="Arial"/>
          <w:sz w:val="18"/>
          <w:szCs w:val="18"/>
          <w:color w:val="auto"/>
        </w:rPr>
      </w:pPr>
    </w:p>
    <w:p>
      <w:pPr>
        <w:ind w:left="960" w:right="400" w:hanging="318"/>
        <w:spacing w:after="0" w:line="264" w:lineRule="auto"/>
        <w:tabs>
          <w:tab w:leader="none" w:pos="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 including the potential submission and regulatory review of an NDA and an MAA for Zimura in GA;</w:t>
      </w:r>
    </w:p>
    <w:p>
      <w:pPr>
        <w:spacing w:after="0" w:line="101" w:lineRule="exact"/>
        <w:rPr>
          <w:rFonts w:ascii="Arial" w:cs="Arial" w:eastAsia="Arial" w:hAnsi="Arial"/>
          <w:sz w:val="18"/>
          <w:szCs w:val="18"/>
          <w:color w:val="auto"/>
        </w:rPr>
      </w:pPr>
    </w:p>
    <w:p>
      <w:pPr>
        <w:ind w:left="960" w:right="20" w:hanging="318"/>
        <w:spacing w:after="0" w:line="255" w:lineRule="auto"/>
        <w:tabs>
          <w:tab w:leader="none" w:pos="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 potential collaboration for the further development and potential commercialization of Zimura in one or more territories outside the United States and a collaboration or out-license for the further development and potential commercialization of IC-100 and IC-200;</w:t>
      </w:r>
    </w:p>
    <w:p>
      <w:pPr>
        <w:spacing w:after="0" w:line="121" w:lineRule="exact"/>
        <w:rPr>
          <w:rFonts w:ascii="Arial" w:cs="Arial" w:eastAsia="Arial" w:hAnsi="Arial"/>
          <w:sz w:val="18"/>
          <w:szCs w:val="18"/>
          <w:color w:val="auto"/>
        </w:rPr>
      </w:pPr>
    </w:p>
    <w:p>
      <w:pPr>
        <w:ind w:left="960" w:right="180" w:hanging="318"/>
        <w:spacing w:after="0" w:line="264" w:lineRule="auto"/>
        <w:tabs>
          <w:tab w:leader="none" w:pos="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 including sustained release delivery technologies for Zimura;</w:t>
      </w:r>
    </w:p>
    <w:p>
      <w:pPr>
        <w:spacing w:after="0" w:line="114" w:lineRule="exact"/>
        <w:rPr>
          <w:rFonts w:ascii="Arial" w:cs="Arial" w:eastAsia="Arial" w:hAnsi="Arial"/>
          <w:sz w:val="18"/>
          <w:szCs w:val="18"/>
          <w:color w:val="auto"/>
        </w:rPr>
      </w:pPr>
    </w:p>
    <w:p>
      <w:pPr>
        <w:ind w:left="960" w:right="480" w:hanging="318"/>
        <w:spacing w:after="0" w:line="264" w:lineRule="auto"/>
        <w:tabs>
          <w:tab w:leader="none" w:pos="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IC-500, including activities to establish manufacturing capabilities and other preclinical development activities to enable us to file an IND for this product candidate;</w:t>
      </w:r>
    </w:p>
    <w:p>
      <w:pPr>
        <w:spacing w:after="0" w:line="101" w:lineRule="exact"/>
        <w:rPr>
          <w:rFonts w:ascii="Arial" w:cs="Arial" w:eastAsia="Arial" w:hAnsi="Arial"/>
          <w:sz w:val="18"/>
          <w:szCs w:val="18"/>
          <w:color w:val="auto"/>
        </w:rPr>
      </w:pPr>
    </w:p>
    <w:p>
      <w:pPr>
        <w:ind w:left="960" w:right="160" w:hanging="318"/>
        <w:spacing w:after="0" w:line="264" w:lineRule="auto"/>
        <w:tabs>
          <w:tab w:leader="none" w:pos="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114" w:lineRule="exact"/>
        <w:rPr>
          <w:rFonts w:ascii="Arial" w:cs="Arial" w:eastAsia="Arial" w:hAnsi="Arial"/>
          <w:sz w:val="18"/>
          <w:szCs w:val="18"/>
          <w:color w:val="auto"/>
        </w:rPr>
      </w:pPr>
    </w:p>
    <w:p>
      <w:pPr>
        <w:ind w:left="960" w:hanging="31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right="520" w:hanging="318"/>
        <w:spacing w:after="0" w:line="264"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 and</w:t>
      </w:r>
    </w:p>
    <w:p>
      <w:pPr>
        <w:spacing w:after="0" w:line="101" w:lineRule="exact"/>
        <w:rPr>
          <w:rFonts w:ascii="Arial" w:cs="Arial" w:eastAsia="Arial" w:hAnsi="Arial"/>
          <w:sz w:val="18"/>
          <w:szCs w:val="18"/>
          <w:color w:val="auto"/>
        </w:rPr>
      </w:pPr>
    </w:p>
    <w:p>
      <w:pPr>
        <w:ind w:left="960" w:right="60" w:hanging="318"/>
        <w:spacing w:after="0" w:line="264"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14" w:lineRule="exact"/>
        <w:rPr>
          <w:sz w:val="20"/>
          <w:szCs w:val="20"/>
          <w:color w:val="auto"/>
        </w:rPr>
      </w:pPr>
    </w:p>
    <w:p>
      <w:pPr>
        <w:ind w:firstLine="397"/>
        <w:spacing w:after="0" w:line="300" w:lineRule="auto"/>
        <w:rPr>
          <w:sz w:val="20"/>
          <w:szCs w:val="20"/>
          <w:color w:val="auto"/>
        </w:rPr>
      </w:pPr>
      <w:r>
        <w:rPr>
          <w:rFonts w:ascii="Arial" w:cs="Arial" w:eastAsia="Arial" w:hAnsi="Arial"/>
          <w:sz w:val="15"/>
          <w:szCs w:val="15"/>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governmental responses to the pandemic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We may not be able to successfully raise additional capital in the future.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gene therapy research programs, or our future commercialization efforts.</w:t>
      </w:r>
    </w:p>
    <w:p>
      <w:pPr>
        <w:spacing w:after="0" w:line="311" w:lineRule="exact"/>
        <w:rPr>
          <w:sz w:val="20"/>
          <w:szCs w:val="20"/>
          <w:color w:val="auto"/>
        </w:rPr>
      </w:pPr>
    </w:p>
    <w:p>
      <w:pPr>
        <w:ind w:right="80" w:firstLine="397"/>
        <w:spacing w:after="0" w:line="299" w:lineRule="auto"/>
        <w:rPr>
          <w:sz w:val="20"/>
          <w:szCs w:val="20"/>
          <w:color w:val="auto"/>
        </w:rPr>
      </w:pPr>
      <w:r>
        <w:rPr>
          <w:rFonts w:ascii="Arial" w:cs="Arial" w:eastAsia="Arial" w:hAnsi="Arial"/>
          <w:sz w:val="15"/>
          <w:szCs w:val="15"/>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with manufacturing, such as issues with process development, scale-up and validation, or establishing and qualifying second source suppliers and ensuring adequate inventory for our expected needs, if we experience an issue in our preclinical development programs, such as unfavorable toxicology or other preclinical data, or if we modify or 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 to conduct. For example, we are conducting the GATHER2 trial with the expectation that data collected from such trial, if it is positive, together with other available data, will be sufficient to support an application for marketing approval in the United States and the European Union and we may subsequently decide to, or be required by regulatory authorities to, enroll additional patients in the GATHER2 trial, or conduct additional clinical trials or nonclinical studies of Zimura in order to seek or maintain marketing approval or qualify for reimbursement approval. In addition, the COVID-19 pandemic may result in disruptions to the progress of the GATHER2 or STAR trials, including slowing patient enrollment in STAR or causing enrolled patients in either trial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pacing w:after="0" w:line="301"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1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14" w:lineRule="exact"/>
        <w:rPr>
          <w:sz w:val="20"/>
          <w:szCs w:val="20"/>
          <w:color w:val="auto"/>
        </w:rPr>
      </w:pPr>
    </w:p>
    <w:p>
      <w:pPr>
        <w:ind w:right="140" w:firstLine="397"/>
        <w:spacing w:after="0" w:line="312" w:lineRule="auto"/>
        <w:rPr>
          <w:sz w:val="20"/>
          <w:szCs w:val="20"/>
          <w:color w:val="auto"/>
        </w:rPr>
      </w:pPr>
      <w:r>
        <w:rPr>
          <w:rFonts w:ascii="Arial" w:cs="Arial" w:eastAsia="Arial" w:hAnsi="Arial"/>
          <w:sz w:val="15"/>
          <w:szCs w:val="15"/>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60"/>
        <w:spacing w:after="0" w:line="318" w:lineRule="auto"/>
        <w:rPr>
          <w:sz w:val="20"/>
          <w:szCs w:val="20"/>
          <w:color w:val="auto"/>
        </w:rPr>
      </w:pPr>
      <w:r>
        <w:rPr>
          <w:rFonts w:ascii="Arial" w:cs="Arial" w:eastAsia="Arial" w:hAnsi="Arial"/>
          <w:sz w:val="15"/>
          <w:szCs w:val="15"/>
          <w:color w:val="auto"/>
        </w:rPr>
        <w:t>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declaring dividends or entering into certain investments or transactions.</w:t>
      </w:r>
    </w:p>
    <w:p>
      <w:pPr>
        <w:spacing w:after="0" w:line="66" w:lineRule="exact"/>
        <w:rPr>
          <w:sz w:val="20"/>
          <w:szCs w:val="20"/>
          <w:color w:val="auto"/>
        </w:rPr>
      </w:pPr>
    </w:p>
    <w:p>
      <w:pPr>
        <w:ind w:right="60" w:firstLine="397"/>
        <w:spacing w:after="0" w:line="302" w:lineRule="auto"/>
        <w:rPr>
          <w:sz w:val="20"/>
          <w:szCs w:val="20"/>
          <w:color w:val="auto"/>
        </w:rPr>
      </w:pPr>
      <w:r>
        <w:rPr>
          <w:rFonts w:ascii="Arial" w:cs="Arial" w:eastAsia="Arial" w:hAnsi="Arial"/>
          <w:sz w:val="15"/>
          <w:szCs w:val="15"/>
          <w:color w:val="auto"/>
        </w:rPr>
        <w:t>In addition, we have issued, and may in the future issue additional, equity securities as consideration for business development transactions, which may also dilute our existing stockholders' ownership interests. For example, under the agreement and plan of merger pursuant to which we acquired Inception 4, or the Inception 4 Merger Agreement, we issued an aggregate of 5,174,727 shares of our common stock as up-front consideration to the former equityholders of Inception 4.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UMass as partial upfront consideration for the in-license of our miniCEP290 program, and are obligated to issue up to 75,000 additional shares to UMass upon the achievement of a development milestone.</w:t>
      </w:r>
    </w:p>
    <w:p>
      <w:pPr>
        <w:spacing w:after="0" w:line="77" w:lineRule="exact"/>
        <w:rPr>
          <w:sz w:val="20"/>
          <w:szCs w:val="20"/>
          <w:color w:val="auto"/>
        </w:rPr>
      </w:pPr>
    </w:p>
    <w:p>
      <w:pPr>
        <w:ind w:firstLine="397"/>
        <w:spacing w:after="0" w:line="231" w:lineRule="auto"/>
        <w:rPr>
          <w:sz w:val="20"/>
          <w:szCs w:val="20"/>
          <w:color w:val="auto"/>
        </w:rPr>
      </w:pPr>
      <w:r>
        <w:rPr>
          <w:rFonts w:ascii="Arial" w:cs="Arial" w:eastAsia="Arial" w:hAnsi="Arial"/>
          <w:sz w:val="17"/>
          <w:szCs w:val="17"/>
          <w:color w:val="auto"/>
        </w:rPr>
        <w:t>In March 2021, we filed a shelf registration statement on Form S-3, or the March 2021 Shelf Registration, pursuant to which we may offer and sell shares of common stock, debt securities and other securities for aggregate gross sale proceeds of up to $300.0 million, of which we may offer and sell up to $100.0 million from time to time pursuant to an “at-the-market” sales agreement, or the ATM Agreement, we entered into in March 2021 with Cowen and Company, LLC, or Cowen, as agent, subject to the terms and conditions described in the ATM Agreement and SEC rules and regulations. In July 2021, we issued and sold 13,397,500 shares of our common stock in an underwritten public offering under the March 2021 Shelf Registration. We have not yet issued and sold any shares of common stock under our “at-the-market” offering program. In addition, in October 2021, we filed an automatically effective shelf registration statement, or the October 2021 Shelf Registration, under which we may issue an indeterminate amount of shares of common stock, debt securities and other securities. In October 2021, we issued and sold 10,350,000 shares of our common stock in an underwritten public offering under the October 2021 Shelf Registration. If we make further sales under the March 2021 Shelf Registration or the October 2021 Shelf Registration or if we make sales under our “at-the-market” offering program, the sales could dilute our stockholders, reduce the trading price of our common stock or impede our ability to raise future capital.</w:t>
      </w:r>
    </w:p>
    <w:p>
      <w:pPr>
        <w:spacing w:after="0" w:line="130" w:lineRule="exact"/>
        <w:rPr>
          <w:sz w:val="20"/>
          <w:szCs w:val="20"/>
          <w:color w:val="auto"/>
        </w:rPr>
      </w:pPr>
    </w:p>
    <w:p>
      <w:pPr>
        <w:ind w:right="200" w:firstLine="397"/>
        <w:spacing w:after="0" w:line="312" w:lineRule="auto"/>
        <w:rPr>
          <w:sz w:val="20"/>
          <w:szCs w:val="20"/>
          <w:color w:val="auto"/>
        </w:rPr>
      </w:pPr>
      <w:r>
        <w:rPr>
          <w:rFonts w:ascii="Arial" w:cs="Arial" w:eastAsia="Arial" w:hAnsi="Arial"/>
          <w:sz w:val="15"/>
          <w:szCs w:val="15"/>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choose to pursue a collaboration for any of our product candidates,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71"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b w:val="1"/>
          <w:bCs w:val="1"/>
          <w:i w:val="1"/>
          <w:iCs w:val="1"/>
          <w:color w:val="auto"/>
        </w:rPr>
        <w:t>The COVID-19 pandemic, which is a fluid and evolving situation, has adversely affected and may continue to negatively affect our business and operations in a number of ways, and its long-term effects are uncertain. In addition, the pandemic has caused substantial disruptions in the financial markets and economies, which could adversely affect our business and operations.</w:t>
      </w:r>
    </w:p>
    <w:p>
      <w:pPr>
        <w:spacing w:after="0" w:line="104" w:lineRule="exact"/>
        <w:rPr>
          <w:sz w:val="20"/>
          <w:szCs w:val="20"/>
          <w:color w:val="auto"/>
        </w:rPr>
      </w:pPr>
    </w:p>
    <w:p>
      <w:pPr>
        <w:ind w:right="140" w:firstLine="397"/>
        <w:spacing w:after="0" w:line="309" w:lineRule="auto"/>
        <w:rPr>
          <w:sz w:val="20"/>
          <w:szCs w:val="20"/>
          <w:color w:val="auto"/>
        </w:rPr>
      </w:pPr>
      <w:r>
        <w:rPr>
          <w:rFonts w:ascii="Arial" w:cs="Arial" w:eastAsia="Arial" w:hAnsi="Arial"/>
          <w:sz w:val="15"/>
          <w:szCs w:val="15"/>
          <w:color w:val="auto"/>
        </w:rPr>
        <w:t>The COVID-19 pandemic, which began in December 2019, has spread worldwide. A majority of the world's population has been affected by government efforts to slow the spread of the outbreak through stay-at-home and social distancing orders, shutdowns of businesses and public places, heightened border security, travel restrictions, quarantines and other measures. The COVID-19 pandemic and government measures taken in response have had a significant impact, both direct and indirect, on businesses and commerce, as a substantial number of people have been required to stay and work from home; worker shortages have occurred; supply chains have been disrupted; facilities and production have been suspended; and demand for certain goods and services, such as medical services and supplies, has spiked, while demand for other goods and services, such as travel and conferences, has fallen.</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Beginning in March 2020, the COVID-19 pandemic and measures taken to contain it have affected our business and operations in a number of ways.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These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right="80" w:hanging="316"/>
        <w:spacing w:after="0" w:line="262"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Clinical Trial Operations</w:t>
      </w:r>
      <w:r>
        <w:rPr>
          <w:rFonts w:ascii="Arial" w:cs="Arial" w:eastAsia="Arial" w:hAnsi="Arial"/>
          <w:sz w:val="17"/>
          <w:szCs w:val="17"/>
          <w:color w:val="auto"/>
        </w:rPr>
        <w:t>. In March 2020, we decided to delay the initiation of patient enrollment in our GATHER2 trial. As we initiated patient enrollment in June 2020, we and our clinical trial sites implemented new health and safety practices to mitigate the effects of the COVID-19 pandemic and to support patients and site staff. In addition, we added more than 30 new sites to the GATHER2 trial to help with patient recruitment. Although we have since completed patient enrollment in GATHER2, we may face difficulties in retaining patients or maintaining scheduled visits to the extent patients are affected by the virus or lockdown measures or are fearful of visiting or traveling to our clinical trial sites because of the pandemic. We are aware that a number of patients initially enrolled in the STAR trial missed consecutive visits during the early months of the pandemic, and that a number of patients in our Latin America sites for GATHER2 missed visits because of the COVID-19 pandemic. We do not yet know whether the number of missed visits will increase or decrease in the GATHER2 or STAR trials, or what the impact of missed visits may be on patient retention in those trials or the trial results, especially because we are masked to the treatment of patients during the conduct of the trials. We have been and continue to monitor the situation closely. For a more detailed discussion of the impact of the COVID-19 pandemic on our clinical trial operations, please see the Risk Factor titled, “</w:t>
      </w:r>
      <w:r>
        <w:rPr>
          <w:rFonts w:ascii="Arial" w:cs="Arial" w:eastAsia="Arial" w:hAnsi="Arial"/>
          <w:sz w:val="17"/>
          <w:szCs w:val="17"/>
          <w:i w:val="1"/>
          <w:iCs w:val="1"/>
          <w:color w:val="auto"/>
        </w:rPr>
        <w:t>The COVID-19 pandemic has affected and may continue to affect the initiation and conduct of our</w:t>
      </w:r>
      <w:r>
        <w:rPr>
          <w:rFonts w:ascii="Arial" w:cs="Arial" w:eastAsia="Arial" w:hAnsi="Arial"/>
          <w:sz w:val="17"/>
          <w:szCs w:val="17"/>
          <w:color w:val="auto"/>
        </w:rPr>
        <w:t xml:space="preserve"> </w:t>
      </w:r>
      <w:r>
        <w:rPr>
          <w:rFonts w:ascii="Arial" w:cs="Arial" w:eastAsia="Arial" w:hAnsi="Arial"/>
          <w:sz w:val="17"/>
          <w:szCs w:val="17"/>
          <w:i w:val="1"/>
          <w:iCs w:val="1"/>
          <w:color w:val="auto"/>
        </w:rPr>
        <w:t>clinical trials, including the retention of patients for our GATHER2 clinical trial and patient recruitment and retention for our STAR clinical trial. It may have long-lasting effects on the conduct of clinical trials, which can make our ongoing and any future trials more difficult, costly or time consuming</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left="640" w:right="100" w:hanging="316"/>
        <w:spacing w:after="0" w:line="264"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Third-Party Collaborators and Vendors</w:t>
      </w:r>
      <w:r>
        <w:rPr>
          <w:rFonts w:ascii="Arial" w:cs="Arial" w:eastAsia="Arial" w:hAnsi="Arial"/>
          <w:sz w:val="17"/>
          <w:szCs w:val="17"/>
          <w:color w:val="auto"/>
        </w:rPr>
        <w:t>. Many of our third-party contract manufacturers, academic research collaborators and contract research organizations limited their operations and staff during the COVID-19 pandemic, which resulted in delays to some of our manufacturing and research and development activities and limited our ability to be on site to oversee these activities. For example, the closure of animal research laboratories at UMMS for several months during 2020 caused delays to the progress of, and to our timelines for receipt of data from, our gene therapy research programs. Recently, several of our vendors have been facing backlogs due to work and demands from other clients, including those who are developing vaccines or medicines for the COVID-19 pandemic, which has limited their availability to perform work for us. For example, this situation has limited the number of contract research organizations and their availability for conducting a number of planned preclinical studies for IC-500, which caused us to modify our plans for these studies, including by performing internally some of the activities originally planned to be conducted by outside vendors. At this time, we do not know whether there will be further impact on the work of our third-party vendors and collaborators due to the COVID-19 pandemic.</w:t>
      </w:r>
    </w:p>
    <w:p>
      <w:pPr>
        <w:spacing w:after="0" w:line="115" w:lineRule="exact"/>
        <w:rPr>
          <w:rFonts w:ascii="Arial" w:cs="Arial" w:eastAsia="Arial" w:hAnsi="Arial"/>
          <w:sz w:val="17"/>
          <w:szCs w:val="17"/>
          <w:color w:val="auto"/>
        </w:rPr>
      </w:pPr>
    </w:p>
    <w:p>
      <w:pPr>
        <w:ind w:left="640" w:right="40" w:hanging="316"/>
        <w:spacing w:after="0" w:line="302" w:lineRule="auto"/>
        <w:tabs>
          <w:tab w:leader="none" w:pos="635"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Supply Chain and Materials.</w:t>
      </w:r>
      <w:r>
        <w:rPr>
          <w:rFonts w:ascii="Arial" w:cs="Arial" w:eastAsia="Arial" w:hAnsi="Arial"/>
          <w:sz w:val="15"/>
          <w:szCs w:val="15"/>
          <w:color w:val="auto"/>
        </w:rPr>
        <w:t xml:space="preserve"> Shortages, delays and governmental restrictions arising from the COVID-19 pandemic have disrupted and may continue to disrupt the ability of our contract manufacturers to procure items, such as raw materials, that are essential for the manufacture of our product candidates. For example, during 2020, our contract manufacturer for IC-500 experienced a shortage in obtaining one of the raw materials that was sourced from China, which was caused by the shutdown of local suppliers and the slowdown in trade due to the COVID-19 pandemic. This shortage delayed our process development activities for the drug substance for IC-500 by a number of months. In addition, since 2020, there have been shortages of various animals used in research studies, such as several types of non-human primates, which are typically sourced from China, due to the COVID-19 pandemic and disruptions to the global supply chain. Although our development programs have not yet been affected by these shortages, we are continuing to monitor the situation. Furthermore, we recently learned that the new manufacturer we are working with for supply of Zimura drug substance has experienced issues with procuring an important raw material common to many manufacturing processes, which occurred due to recent supply chain interruptions and caused a slight delay to our manufacturing timelines with this contract manufacturer.</w:t>
      </w:r>
    </w:p>
    <w:p>
      <w:pPr>
        <w:spacing w:after="0" w:line="95" w:lineRule="exact"/>
        <w:rPr>
          <w:rFonts w:ascii="Arial" w:cs="Arial" w:eastAsia="Arial" w:hAnsi="Arial"/>
          <w:sz w:val="15"/>
          <w:szCs w:val="15"/>
          <w:color w:val="auto"/>
        </w:rPr>
      </w:pPr>
    </w:p>
    <w:p>
      <w:pPr>
        <w:ind w:left="640" w:hanging="316"/>
        <w:spacing w:after="0" w:line="252"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Remote Working</w:t>
      </w:r>
      <w:r>
        <w:rPr>
          <w:rFonts w:ascii="Arial" w:cs="Arial" w:eastAsia="Arial" w:hAnsi="Arial"/>
          <w:sz w:val="18"/>
          <w:szCs w:val="18"/>
          <w:color w:val="auto"/>
        </w:rPr>
        <w:t>. We instituted company-wide remote working starting in March 2020. We are planning for a gradual return to working in our offices and expect to continue to work mostly remote for the near future. We have been relying on remote means of working and communication both internally and externally. We are continuing to monitor and support the health and well-being of our employees and their productivity as remote working continues.</w:t>
      </w:r>
    </w:p>
    <w:p>
      <w:pPr>
        <w:spacing w:after="0" w:line="111" w:lineRule="exact"/>
        <w:rPr>
          <w:sz w:val="20"/>
          <w:szCs w:val="20"/>
          <w:color w:val="auto"/>
        </w:rPr>
      </w:pPr>
    </w:p>
    <w:p>
      <w:pPr>
        <w:ind w:right="120" w:firstLine="397"/>
        <w:spacing w:after="0" w:line="264"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color w:val="212529"/>
        </w:rPr>
        <w:t>progression of the COVID-19 pandemic remains fluid and its impact on our business and operations remains uncertain. Starting in late 2020</w:t>
      </w:r>
      <w:r>
        <w:rPr>
          <w:rFonts w:ascii="Arial" w:cs="Arial" w:eastAsia="Arial" w:hAnsi="Arial"/>
          <w:sz w:val="17"/>
          <w:szCs w:val="17"/>
          <w:color w:val="auto"/>
        </w:rPr>
        <w:t>, many countries and regions, including many states in the United States, have experienced, and are recently experiencing, a surge in the number of new cases, including as a result of new variants to the SARS-COV-2 virus, which have caused public health authorities to reimpose restrictive measures. In addition, although the FDA has fully approved one vaccine for this disease and has granted emergency use authorization to two other vaccines, there continue to be challenges with increasing the percentage of vaccinated individuals among the general population, and the long-term safety and efficacy and ability of these vaccines to slow transmission, including against new variants of the virus, are largely unknown. In the United States and some other countries, vaccine mandates remain controversial and the reluctance of many individuals to get COVID-19 vaccines may affect the work of our vendors and other third parties providing services for us. In addition, many countries, including several countries where we are conducting the GATHER2 and STAR trials, are lagging behind the United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States in administering vaccines to their populations and experiencing longer or more extensive surges in COVID-19 cases. As a result, governments may continue to deploy measures to contain the pandemic for a prolonged period of time. </w:t>
      </w:r>
      <w:r>
        <w:rPr>
          <w:rFonts w:ascii="Arial" w:cs="Arial" w:eastAsia="Arial" w:hAnsi="Arial"/>
          <w:sz w:val="15"/>
          <w:szCs w:val="15"/>
          <w:color w:val="212529"/>
        </w:rPr>
        <w:t>The full extent to which the COVID-19 pandemic will directly or</w:t>
      </w:r>
      <w:r>
        <w:rPr>
          <w:rFonts w:ascii="Arial" w:cs="Arial" w:eastAsia="Arial" w:hAnsi="Arial"/>
          <w:sz w:val="15"/>
          <w:szCs w:val="15"/>
          <w:color w:val="auto"/>
        </w:rPr>
        <w:t xml:space="preserve"> </w:t>
      </w:r>
      <w:r>
        <w:rPr>
          <w:rFonts w:ascii="Arial" w:cs="Arial" w:eastAsia="Arial" w:hAnsi="Arial"/>
          <w:sz w:val="15"/>
          <w:szCs w:val="15"/>
          <w:color w:val="212529"/>
        </w:rPr>
        <w:t>indirectly impact our business, results of operations and financial condition will depend on developments that are highly uncertain and cannot be accurately predicted, including new information that may emerge concerning COVID-19 and new variants of the virus, the actions taken to contain it or lessen its impact, including the availability, effectiveness and administration of vaccines, and the economic impact on local, regional, national and international markets. For example, the FDA has approved the use of three booster shots for certain individuals because of decreases in efficacy.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75" w:lineRule="exact"/>
        <w:rPr>
          <w:sz w:val="20"/>
          <w:szCs w:val="20"/>
          <w:color w:val="auto"/>
        </w:rPr>
      </w:pPr>
    </w:p>
    <w:p>
      <w:pPr>
        <w:ind w:right="100" w:firstLine="397"/>
        <w:spacing w:after="0" w:line="268" w:lineRule="auto"/>
        <w:rPr>
          <w:sz w:val="20"/>
          <w:szCs w:val="20"/>
          <w:color w:val="auto"/>
        </w:rPr>
      </w:pPr>
      <w:r>
        <w:rPr>
          <w:rFonts w:ascii="Arial" w:cs="Arial" w:eastAsia="Arial" w:hAnsi="Arial"/>
          <w:sz w:val="17"/>
          <w:szCs w:val="17"/>
          <w:color w:val="212529"/>
        </w:rPr>
        <w:t>In addition, many companies have been using force majeure clauses in their contracts to excuse or delay performing under their contracts. Our contract manufacturers, academic research collaborators, contract research organizations and other third parties on whom we rely for goods or services may make similar claims. If any such force majeure claims were successful, then not only would our timelines be delayed but also our right to recover for any economic damages due to the delay would be limited. Because we rely on many single-source suppliers, any such claims from them are likely to result in a delay to our timelines or otherwise adversely affect our operations or financial position.</w:t>
      </w:r>
    </w:p>
    <w:p>
      <w:pPr>
        <w:spacing w:after="0" w:line="114" w:lineRule="exact"/>
        <w:rPr>
          <w:sz w:val="20"/>
          <w:szCs w:val="20"/>
          <w:color w:val="auto"/>
        </w:rPr>
      </w:pPr>
    </w:p>
    <w:p>
      <w:pPr>
        <w:ind w:right="140" w:firstLine="397"/>
        <w:spacing w:after="0" w:line="309" w:lineRule="auto"/>
        <w:rPr>
          <w:sz w:val="20"/>
          <w:szCs w:val="20"/>
          <w:color w:val="auto"/>
        </w:rPr>
      </w:pPr>
      <w:r>
        <w:rPr>
          <w:rFonts w:ascii="Arial" w:cs="Arial" w:eastAsia="Arial" w:hAnsi="Arial"/>
          <w:sz w:val="15"/>
          <w:szCs w:val="15"/>
          <w:color w:val="212529"/>
        </w:rPr>
        <w:t>We cannot foresee if and when the COVID-19 pandemic will be effectively contained, nor can we predict the severity and durati</w:t>
      </w:r>
      <w:r>
        <w:rPr>
          <w:rFonts w:ascii="Arial" w:cs="Arial" w:eastAsia="Arial" w:hAnsi="Arial"/>
          <w:sz w:val="15"/>
          <w:szCs w:val="15"/>
          <w:color w:val="000000"/>
        </w:rPr>
        <w:t>on of the impact of the</w:t>
      </w:r>
      <w:r>
        <w:rPr>
          <w:rFonts w:ascii="Arial" w:cs="Arial" w:eastAsia="Arial" w:hAnsi="Arial"/>
          <w:sz w:val="15"/>
          <w:szCs w:val="15"/>
          <w:color w:val="212529"/>
        </w:rPr>
        <w:t xml:space="preserve"> </w:t>
      </w:r>
      <w:r>
        <w:rPr>
          <w:rFonts w:ascii="Arial" w:cs="Arial" w:eastAsia="Arial" w:hAnsi="Arial"/>
          <w:sz w:val="15"/>
          <w:szCs w:val="15"/>
          <w:color w:val="000000"/>
        </w:rPr>
        <w:t>pandemic on our financial condition or operations. We may experience additional disruptions to our clinical trials or supply chains, and closures of facilities, such as clinical trial sites, academic research centers and suppliers, including single source suppliers, and delays in interactions with regulatory agencies or obtaining approvals for our product candidates. In addition, the effects of COVID-19 on the financial markets could hamper our ability to raise additional finances. Additional public health crises and natural disasters, such as future epidemics or pandemics or those resulting from the effects of climate change, may arise in the future. Any of these events may materially and adversely affect our business operations and financial condition.</w:t>
      </w:r>
    </w:p>
    <w:p>
      <w:pPr>
        <w:spacing w:after="0" w:line="85"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b w:val="1"/>
          <w:bCs w:val="1"/>
          <w:i w:val="1"/>
          <w:iCs w:val="1"/>
          <w:color w:val="auto"/>
        </w:rPr>
        <w:t>Our strategy of obtaining additional rights to products, product candidates or technologies for the treatment of retinal diseases may not be successful. We may not be successful in obtaining rights to and developing a sustained release delivery technology for Zimura.</w:t>
      </w:r>
    </w:p>
    <w:p>
      <w:pPr>
        <w:spacing w:after="0" w:line="78" w:lineRule="exact"/>
        <w:rPr>
          <w:sz w:val="20"/>
          <w:szCs w:val="20"/>
          <w:color w:val="auto"/>
        </w:rPr>
      </w:pPr>
    </w:p>
    <w:p>
      <w:pPr>
        <w:ind w:right="140" w:firstLine="397"/>
        <w:spacing w:after="0" w:line="303" w:lineRule="auto"/>
        <w:rPr>
          <w:sz w:val="20"/>
          <w:szCs w:val="20"/>
          <w:color w:val="auto"/>
        </w:rPr>
      </w:pPr>
      <w:r>
        <w:rPr>
          <w:rFonts w:ascii="Arial" w:cs="Arial" w:eastAsia="Arial" w:hAnsi="Arial"/>
          <w:sz w:val="15"/>
          <w:szCs w:val="15"/>
          <w:color w:val="212529"/>
        </w:rPr>
        <w:t>An element of our strategy over the past few years has been to expand our pipeline through in-licensing or acquiring the rights to products, product candidates or technologies that would complement our strategic goals as well as other compelling retina opportunities. Since early 2018, we have completed multiple acquisition, in-license, exclusive option and sponsored research arrangements for product candidates and other technologies intended to treat retinal diseases. We plan to continue to evaluate additional opportunities to in-license or acquire products, product candidates and technologies on a selective and targeted basis, with a focus on sustained release delivery technologies for Zimura. We may also continue to consider other alternatives, including mergers, acquisitions, asset purchases or sales and/or other transactions involving our company as a whole or other collaboration transactions, including potential collaboration or out-license opportunities for further development and potential commercialization of Zimura in one or more territories outside the United States and collaboration or out-license opportunities for further development of IC-100 and/or IC-200. Our business development efforts may fail to result in our acquiring rights to additional products, product candidates or technologies, or may result in our consummating transactions with which you do not agree.</w:t>
      </w:r>
    </w:p>
    <w:p>
      <w:pPr>
        <w:spacing w:after="0" w:line="94" w:lineRule="exact"/>
        <w:rPr>
          <w:sz w:val="20"/>
          <w:szCs w:val="20"/>
          <w:color w:val="auto"/>
        </w:rPr>
      </w:pPr>
    </w:p>
    <w:p>
      <w:pPr>
        <w:ind w:right="20" w:firstLine="397"/>
        <w:spacing w:after="0" w:line="264" w:lineRule="auto"/>
        <w:rPr>
          <w:sz w:val="20"/>
          <w:szCs w:val="20"/>
          <w:color w:val="auto"/>
        </w:rPr>
      </w:pPr>
      <w:r>
        <w:rPr>
          <w:rFonts w:ascii="Arial" w:cs="Arial" w:eastAsia="Arial" w:hAnsi="Arial"/>
          <w:sz w:val="17"/>
          <w:szCs w:val="17"/>
          <w:color w:val="212529"/>
        </w:rPr>
        <w:t>We may be unable to in-license or acquire the rights to any such products, product candidates or technologies from third parties for several reasons. The success of this strategy depends partly upon our ability to identify, select and acquire or in-license promis</w:t>
      </w:r>
      <w:r>
        <w:rPr>
          <w:rFonts w:ascii="Arial" w:cs="Arial" w:eastAsia="Arial" w:hAnsi="Arial"/>
          <w:sz w:val="17"/>
          <w:szCs w:val="17"/>
          <w:color w:val="000000"/>
        </w:rPr>
        <w:t>ing product candidates and technologies. For</w:t>
      </w:r>
      <w:r>
        <w:rPr>
          <w:rFonts w:ascii="Arial" w:cs="Arial" w:eastAsia="Arial" w:hAnsi="Arial"/>
          <w:sz w:val="17"/>
          <w:szCs w:val="17"/>
          <w:color w:val="212529"/>
        </w:rPr>
        <w:t xml:space="preserve"> </w:t>
      </w:r>
      <w:r>
        <w:rPr>
          <w:rFonts w:ascii="Arial" w:cs="Arial" w:eastAsia="Arial" w:hAnsi="Arial"/>
          <w:sz w:val="17"/>
          <w:szCs w:val="17"/>
          <w:color w:val="000000"/>
        </w:rPr>
        <w:t>potential sustained release delivery technologies, that process typically involves conducting a feasibility study of Zimura formulated with the sustained release delivery technology and analyzing the resulting formulation, which can be time-consuming, costly and uncertain in outcome. If a formulation is promising based on the analytical results, we could then proceed to negotiate a longer term collaboration. The process of proposing, negotiating and implementing a license or acquisition of a product candidate or technology is lengthy and complex. With respect to potential product candidates or technologies for which we have entered into option agreements or sponsored research agreements for which we have option rights, our agreements generally do not have fixed economic or other key terms for definitive agreements, and we may not obtain favorable terms if and when we choose to exercise our option to acquire or in-license any product candidates or technologies.</w:t>
      </w:r>
    </w:p>
    <w:p>
      <w:pPr>
        <w:spacing w:after="0" w:line="119" w:lineRule="exact"/>
        <w:rPr>
          <w:sz w:val="20"/>
          <w:szCs w:val="20"/>
          <w:color w:val="auto"/>
        </w:rPr>
      </w:pPr>
    </w:p>
    <w:p>
      <w:pPr>
        <w:ind w:firstLine="397"/>
        <w:spacing w:after="0" w:line="318" w:lineRule="auto"/>
        <w:rPr>
          <w:sz w:val="20"/>
          <w:szCs w:val="20"/>
          <w:color w:val="auto"/>
        </w:rPr>
      </w:pPr>
      <w:r>
        <w:rPr>
          <w:rFonts w:ascii="Arial" w:cs="Arial" w:eastAsia="Arial" w:hAnsi="Arial"/>
          <w:sz w:val="15"/>
          <w:szCs w:val="15"/>
          <w:color w:val="212529"/>
        </w:rPr>
        <w:t>The in-licensing and acquisition of pharmaceutical products is an area characterized by intense competition, and a number of companies (both more established and early stage biotechnology companies) are also pursuing strategies to in-license or acquire product candidates or technologies that we may consider attractive. More established companies may have a competitive advantage over us due to their size, cash resources and greater research, preclinical or clinical development, manufacturing or commercialization capabilities, while earlier stage companies may be more aggressive or have a higher risk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529"/>
        </w:rPr>
        <w:t>tolerance. In addition, companies that perceive us to be a competitor may be unwilling to assign or license rights to us.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98" w:lineRule="exact"/>
        <w:rPr>
          <w:sz w:val="20"/>
          <w:szCs w:val="20"/>
          <w:color w:val="auto"/>
        </w:rPr>
      </w:pPr>
    </w:p>
    <w:p>
      <w:pPr>
        <w:ind w:right="20" w:firstLine="397"/>
        <w:spacing w:after="0" w:line="312" w:lineRule="auto"/>
        <w:rPr>
          <w:sz w:val="20"/>
          <w:szCs w:val="20"/>
          <w:color w:val="auto"/>
        </w:rPr>
      </w:pPr>
      <w:r>
        <w:rPr>
          <w:rFonts w:ascii="Arial" w:cs="Arial" w:eastAsia="Arial" w:hAnsi="Arial"/>
          <w:sz w:val="15"/>
          <w:szCs w:val="15"/>
          <w:color w:val="212529"/>
        </w:rPr>
        <w:t>Further, any product candidate that we acquire or in-license would most likely require additional development efforts prior to commercial sale, including extensive clinical testing and approval by the FDA and applicable foreign regulatory authorities. For potential sustained release delivery technologies with Zimura, we expect any promising technologies would require extensive preclinical and clinical testing and investment in manufacturing before any potential approval by the FDA or other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85" w:lineRule="exact"/>
        <w:rPr>
          <w:sz w:val="20"/>
          <w:szCs w:val="20"/>
          <w:color w:val="auto"/>
        </w:rPr>
      </w:pPr>
    </w:p>
    <w:p>
      <w:pPr>
        <w:ind w:right="100" w:firstLine="397"/>
        <w:spacing w:after="0" w:line="309" w:lineRule="auto"/>
        <w:rPr>
          <w:sz w:val="20"/>
          <w:szCs w:val="20"/>
          <w:color w:val="auto"/>
        </w:rPr>
      </w:pPr>
      <w:r>
        <w:rPr>
          <w:rFonts w:ascii="Arial" w:cs="Arial" w:eastAsia="Arial" w:hAnsi="Arial"/>
          <w:sz w:val="15"/>
          <w:szCs w:val="15"/>
          <w:color w:val="212529"/>
        </w:rPr>
        <w:t>If we are unable to successfully obtain rights to suitable product candidates or technologies, our business, financial condition and prospect</w:t>
      </w:r>
      <w:r>
        <w:rPr>
          <w:rFonts w:ascii="Arial" w:cs="Arial" w:eastAsia="Arial" w:hAnsi="Arial"/>
          <w:sz w:val="15"/>
          <w:szCs w:val="15"/>
          <w:color w:val="000000"/>
        </w:rPr>
        <w:t>s for growth</w:t>
      </w:r>
      <w:r>
        <w:rPr>
          <w:rFonts w:ascii="Arial" w:cs="Arial" w:eastAsia="Arial" w:hAnsi="Arial"/>
          <w:sz w:val="15"/>
          <w:szCs w:val="15"/>
          <w:color w:val="212529"/>
        </w:rPr>
        <w:t xml:space="preserve"> </w:t>
      </w:r>
      <w:r>
        <w:rPr>
          <w:rFonts w:ascii="Arial" w:cs="Arial" w:eastAsia="Arial" w:hAnsi="Arial"/>
          <w:sz w:val="15"/>
          <w:szCs w:val="15"/>
          <w:color w:val="000000"/>
        </w:rPr>
        <w:t>could suffer. In addition, acquisitions and 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acquisitions and in-licenses may entail numerous operational, financial and legal risks, including:</w:t>
      </w:r>
    </w:p>
    <w:p>
      <w:pPr>
        <w:spacing w:after="0" w:line="244" w:lineRule="exact"/>
        <w:rPr>
          <w:sz w:val="20"/>
          <w:szCs w:val="20"/>
          <w:color w:val="auto"/>
        </w:rPr>
      </w:pPr>
    </w:p>
    <w:p>
      <w:pPr>
        <w:ind w:left="960" w:right="260" w:hanging="318"/>
        <w:spacing w:after="0" w:line="264"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incurrence of substantial debt, dilutive issuances of securities or depletion of cash to pay for acquisitions or in-licensing transactions;</w:t>
      </w:r>
    </w:p>
    <w:p>
      <w:pPr>
        <w:spacing w:after="0" w:line="255" w:lineRule="exact"/>
        <w:rPr>
          <w:rFonts w:ascii="Arial" w:cs="Arial" w:eastAsia="Arial" w:hAnsi="Arial"/>
          <w:sz w:val="17"/>
          <w:szCs w:val="17"/>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43" w:lineRule="exact"/>
        <w:rPr>
          <w:rFonts w:ascii="Arial" w:cs="Arial" w:eastAsia="Arial" w:hAnsi="Arial"/>
          <w:sz w:val="18"/>
          <w:szCs w:val="18"/>
          <w:color w:val="auto"/>
        </w:rPr>
      </w:pPr>
    </w:p>
    <w:p>
      <w:pPr>
        <w:ind w:left="960" w:right="280" w:hanging="318"/>
        <w:spacing w:after="0" w:line="264"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compared to the amount that must be amortized over the appropriate life of the asset;</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55" w:lineRule="exact"/>
        <w:rPr>
          <w:rFonts w:ascii="Arial" w:cs="Arial" w:eastAsia="Arial" w:hAnsi="Arial"/>
          <w:sz w:val="17"/>
          <w:szCs w:val="17"/>
          <w:color w:val="auto"/>
        </w:rPr>
      </w:pPr>
    </w:p>
    <w:p>
      <w:pPr>
        <w:ind w:left="960" w:right="140" w:hanging="318"/>
        <w:spacing w:after="0" w:line="264"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collaborators integral to an in-licensed or acquired product candidate or technology;</w:t>
      </w:r>
    </w:p>
    <w:p>
      <w:pPr>
        <w:spacing w:after="0" w:line="207" w:lineRule="exact"/>
        <w:rPr>
          <w:rFonts w:ascii="Arial" w:cs="Arial" w:eastAsia="Arial" w:hAnsi="Arial"/>
          <w:sz w:val="18"/>
          <w:szCs w:val="18"/>
          <w:color w:val="auto"/>
        </w:rPr>
      </w:pPr>
    </w:p>
    <w:p>
      <w:pPr>
        <w:ind w:left="960" w:hanging="318"/>
        <w:spacing w:after="0" w:line="252"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failure of the due diligence process to identify significant problems, liabilities or other shortcomings or challenges of an acquired or licensed product candidate or technology, including problems, liabilities or other shortcomings or challenges with respect to intellectual property, data or product quality, revenue recognition or other accounting practices, partner disputes or issues and other legal and financial contingencies and known and unknown liabilities; and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960" w:right="60" w:hanging="318"/>
        <w:spacing w:after="0" w:line="264" w:lineRule="auto"/>
        <w:tabs>
          <w:tab w:leader="none" w:pos="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entry into therapeutic approaches, indications or markets in which we have no or limited direct prior development or commercial experience and where competitors in such markets have stronger market positions.</w:t>
      </w:r>
    </w:p>
    <w:p>
      <w:pPr>
        <w:spacing w:after="0" w:line="207" w:lineRule="exact"/>
        <w:rPr>
          <w:sz w:val="20"/>
          <w:szCs w:val="20"/>
          <w:color w:val="auto"/>
        </w:rPr>
      </w:pPr>
    </w:p>
    <w:p>
      <w:pPr>
        <w:ind w:right="340"/>
        <w:spacing w:after="0" w:line="365" w:lineRule="auto"/>
        <w:rPr>
          <w:sz w:val="20"/>
          <w:szCs w:val="20"/>
          <w:color w:val="auto"/>
        </w:rPr>
      </w:pPr>
      <w:r>
        <w:rPr>
          <w:rFonts w:ascii="Arial" w:cs="Arial" w:eastAsia="Arial" w:hAnsi="Arial"/>
          <w:sz w:val="15"/>
          <w:szCs w:val="15"/>
          <w:b w:val="1"/>
          <w:bCs w:val="1"/>
          <w:i w:val="1"/>
          <w:iCs w:val="1"/>
          <w:color w:val="auto"/>
        </w:rPr>
        <w:t>We and certain of our current and former board members and executive officers were named as defendants in lawsuits that could result in substantial costs and divert management’s attention. We are in the process of settling those lawsuits but the settlements are not yet final.</w:t>
      </w:r>
    </w:p>
    <w:p>
      <w:pPr>
        <w:spacing w:after="0" w:line="45" w:lineRule="exact"/>
        <w:rPr>
          <w:sz w:val="20"/>
          <w:szCs w:val="20"/>
          <w:color w:val="auto"/>
        </w:rPr>
      </w:pPr>
    </w:p>
    <w:p>
      <w:pPr>
        <w:ind w:right="40" w:firstLine="397"/>
        <w:spacing w:after="0" w:line="299" w:lineRule="auto"/>
        <w:rPr>
          <w:sz w:val="20"/>
          <w:szCs w:val="20"/>
          <w:color w:val="auto"/>
        </w:rPr>
      </w:pPr>
      <w:r>
        <w:rPr>
          <w:rFonts w:ascii="Arial" w:cs="Arial" w:eastAsia="Arial" w:hAnsi="Arial"/>
          <w:sz w:val="15"/>
          <w:szCs w:val="15"/>
          <w:color w:val="auto"/>
        </w:rPr>
        <w:t>We and certain of our current and former executive officers were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 3 trials for our prior product candidate Fovista in combination with anti-VEGF agents for the treatment of wet AMD. Certain current and former members of our board of directors and current and former officers were also named as defendants in two shareholder derivative actions initiated in August 2018 and May 2021 respectively, which generally allege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On September 8, 2021, the parties in the class action executed a settlement agreement, which has been submitted to the court for approval. We expect our directors’ and officers’ liability insurance to cover the costs of the settlement, including plaintiff counsel’s fees. The shareholder derivative actions were stayed while a special litigation committee of our board of directors, or the SLC, investigated the allegations contained in the complaints. The SLC and the plaintiffs for the derivative matters recently agreed in principle on a settlement and are conducting settlement agreement discussions. We are unable, however, to predict the outcome of these matters, including that of the settlement agreement discussions, at this time. Moreover, any conclusion of these matters in a manner adverse to us and for which we incur substantial costs or damages not covered by our directors’ and officers’ liability insurance could have a material adverse effect on our financial condition and business. In addition, the litigation, including in responding to discovery requests, has caused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any of which could have a material adverse effect on our business. Regardless of whether these lawsuits are finally settled, additional lawsuits may be filed against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162" w:lineRule="exact"/>
        <w:rPr>
          <w:sz w:val="20"/>
          <w:szCs w:val="20"/>
          <w:color w:val="auto"/>
        </w:rPr>
      </w:pPr>
    </w:p>
    <w:p>
      <w:pPr>
        <w:ind w:right="100" w:firstLine="397"/>
        <w:spacing w:after="0" w:line="264"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353" w:lineRule="exact"/>
        <w:rPr>
          <w:sz w:val="20"/>
          <w:szCs w:val="20"/>
          <w:color w:val="auto"/>
        </w:rPr>
      </w:pPr>
    </w:p>
    <w:p>
      <w:pPr>
        <w:ind w:left="960" w:right="440" w:hanging="318"/>
        <w:spacing w:after="0" w:line="264" w:lineRule="auto"/>
        <w:tabs>
          <w:tab w:leader="none" w:pos="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research and development activities, including preclinical efficacy and IND-enabling studies, for our product candidates;</w:t>
      </w:r>
    </w:p>
    <w:p>
      <w:pPr>
        <w:spacing w:after="0" w:line="207" w:lineRule="exact"/>
        <w:rPr>
          <w:rFonts w:ascii="Arial" w:cs="Arial" w:eastAsia="Arial" w:hAnsi="Arial"/>
          <w:sz w:val="18"/>
          <w:szCs w:val="18"/>
          <w:color w:val="auto"/>
        </w:rPr>
      </w:pPr>
    </w:p>
    <w:p>
      <w:pPr>
        <w:ind w:left="960" w:hanging="318"/>
        <w:spacing w:after="0" w:line="255" w:lineRule="auto"/>
        <w:tabs>
          <w:tab w:leader="none" w:pos="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and providers of starting materials for our product candidates, and having those manufacturers successfully develop manufacturing processes for drug substance and drug product and provide adequate amounts of drug product for preclinical and clinical activities in accordance with our expectations and regulatory requirements;</w:t>
      </w:r>
    </w:p>
    <w:p>
      <w:pPr>
        <w:spacing w:after="0" w:line="214" w:lineRule="exact"/>
        <w:rPr>
          <w:rFonts w:ascii="Arial" w:cs="Arial" w:eastAsia="Arial" w:hAnsi="Arial"/>
          <w:sz w:val="18"/>
          <w:szCs w:val="18"/>
          <w:color w:val="auto"/>
        </w:rPr>
      </w:pPr>
    </w:p>
    <w:p>
      <w:pPr>
        <w:ind w:left="960" w:hanging="31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43" w:lineRule="exact"/>
        <w:rPr>
          <w:rFonts w:ascii="Arial" w:cs="Arial" w:eastAsia="Arial" w:hAnsi="Arial"/>
          <w:sz w:val="18"/>
          <w:szCs w:val="18"/>
          <w:color w:val="auto"/>
        </w:rPr>
      </w:pPr>
    </w:p>
    <w:p>
      <w:pPr>
        <w:ind w:left="960" w:right="260" w:hanging="318"/>
        <w:spacing w:after="0" w:line="264" w:lineRule="auto"/>
        <w:tabs>
          <w:tab w:leader="none" w:pos="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well-controlled pivotal clinical trials in the relevant indication;</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applying for and receiving marketing approvals from applicable regulatory authorities for the marketing and sale of our product candidates;</w:t>
      </w:r>
    </w:p>
    <w:p>
      <w:pPr>
        <w:spacing w:after="0" w:line="278" w:lineRule="exact"/>
        <w:rPr>
          <w:rFonts w:ascii="Arial" w:cs="Arial" w:eastAsia="Arial" w:hAnsi="Arial"/>
          <w:sz w:val="15"/>
          <w:szCs w:val="15"/>
          <w:color w:val="auto"/>
        </w:rPr>
      </w:pPr>
    </w:p>
    <w:p>
      <w:pPr>
        <w:jc w:val="both"/>
        <w:ind w:left="960" w:right="160" w:hanging="318"/>
        <w:spacing w:after="0" w:line="255" w:lineRule="auto"/>
        <w:tabs>
          <w:tab w:leader="none" w:pos="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scale-up and commercial manufacturing, validating and receiving regulatory approval of our manufacturing processes and our third-party manufacturers’ facilities and ensuring adequate supply of drug substance and drug product and starting materials used for the manufacture of drug substance and drug product;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960" w:right="20" w:hanging="318"/>
        <w:spacing w:after="0" w:line="264" w:lineRule="auto"/>
        <w:tabs>
          <w:tab w:leader="none" w:pos="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 if and when approved;</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achieving acceptance of the product candidate, if and when approved, by patients, the medical community and third-party payors;</w:t>
      </w:r>
    </w:p>
    <w:p>
      <w:pPr>
        <w:spacing w:after="0" w:line="255" w:lineRule="exact"/>
        <w:rPr>
          <w:rFonts w:ascii="Arial" w:cs="Arial" w:eastAsia="Arial" w:hAnsi="Arial"/>
          <w:sz w:val="17"/>
          <w:szCs w:val="17"/>
          <w:color w:val="auto"/>
        </w:rPr>
      </w:pPr>
    </w:p>
    <w:p>
      <w:pPr>
        <w:ind w:left="960" w:right="460" w:hanging="318"/>
        <w:spacing w:after="0" w:line="365" w:lineRule="auto"/>
        <w:tabs>
          <w:tab w:leader="none" w:pos="955" w:val="left"/>
        </w:tabs>
        <w:numPr>
          <w:ilvl w:val="0"/>
          <w:numId w:val="31"/>
        </w:numPr>
        <w:rPr>
          <w:rFonts w:ascii="Arial" w:cs="Arial" w:eastAsia="Arial" w:hAnsi="Arial"/>
          <w:sz w:val="15"/>
          <w:szCs w:val="15"/>
          <w:color w:val="auto"/>
        </w:rPr>
      </w:pPr>
      <w:r>
        <w:rPr>
          <w:rFonts w:ascii="Arial" w:cs="Arial" w:eastAsia="Arial" w:hAnsi="Arial"/>
          <w:sz w:val="15"/>
          <w:szCs w:val="15"/>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37" w:lineRule="exact"/>
        <w:rPr>
          <w:rFonts w:ascii="Arial" w:cs="Arial" w:eastAsia="Arial" w:hAnsi="Arial"/>
          <w:sz w:val="15"/>
          <w:szCs w:val="15"/>
          <w:color w:val="auto"/>
        </w:rPr>
      </w:pPr>
    </w:p>
    <w:p>
      <w:pPr>
        <w:ind w:left="960" w:hanging="318"/>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43" w:lineRule="exact"/>
        <w:rPr>
          <w:rFonts w:ascii="Arial" w:cs="Arial" w:eastAsia="Arial" w:hAnsi="Arial"/>
          <w:sz w:val="18"/>
          <w:szCs w:val="18"/>
          <w:color w:val="auto"/>
        </w:rPr>
      </w:pPr>
    </w:p>
    <w:p>
      <w:pPr>
        <w:ind w:left="960" w:right="300" w:hanging="318"/>
        <w:spacing w:after="0" w:line="255" w:lineRule="auto"/>
        <w:tabs>
          <w:tab w:leader="none" w:pos="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Amendments to the Federal Food, Drug and Cosmetic Act, or FDCA, if we choose to seek such protections for any of our product candidates;</w:t>
      </w:r>
    </w:p>
    <w:p>
      <w:pPr>
        <w:spacing w:after="0" w:line="214" w:lineRule="exact"/>
        <w:rPr>
          <w:rFonts w:ascii="Arial" w:cs="Arial" w:eastAsia="Arial" w:hAnsi="Arial"/>
          <w:sz w:val="18"/>
          <w:szCs w:val="18"/>
          <w:color w:val="auto"/>
        </w:rPr>
      </w:pPr>
    </w:p>
    <w:p>
      <w:pPr>
        <w:ind w:left="960" w:hanging="318"/>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43" w:lineRule="exact"/>
        <w:rPr>
          <w:rFonts w:ascii="Arial" w:cs="Arial" w:eastAsia="Arial" w:hAnsi="Arial"/>
          <w:sz w:val="18"/>
          <w:szCs w:val="18"/>
          <w:color w:val="auto"/>
        </w:rPr>
      </w:pPr>
    </w:p>
    <w:p>
      <w:pPr>
        <w:ind w:left="960" w:right="160" w:hanging="318"/>
        <w:spacing w:after="0" w:line="365" w:lineRule="auto"/>
        <w:tabs>
          <w:tab w:leader="none" w:pos="955"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complying with all applicable regulatory requirements, including Good Laboratory Practices, or GLP, Good Clinical Practices, or GCP, current Good Manufacturing Practices, or cGMP, and standards, rules and regulations governing promotional and other marketing activities.</w:t>
      </w:r>
    </w:p>
    <w:p>
      <w:pPr>
        <w:spacing w:after="0" w:line="45" w:lineRule="exact"/>
        <w:rPr>
          <w:sz w:val="20"/>
          <w:szCs w:val="20"/>
          <w:color w:val="auto"/>
        </w:rPr>
      </w:pPr>
    </w:p>
    <w:p>
      <w:pPr>
        <w:ind w:right="20" w:firstLine="397"/>
        <w:spacing w:after="0" w:line="250" w:lineRule="auto"/>
        <w:rPr>
          <w:sz w:val="20"/>
          <w:szCs w:val="20"/>
          <w:color w:val="auto"/>
        </w:rPr>
      </w:pPr>
      <w:r>
        <w:rPr>
          <w:rFonts w:ascii="Arial" w:cs="Arial" w:eastAsia="Arial" w:hAnsi="Arial"/>
          <w:sz w:val="18"/>
          <w:szCs w:val="18"/>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114" w:lineRule="exact"/>
        <w:rPr>
          <w:sz w:val="20"/>
          <w:szCs w:val="20"/>
          <w:color w:val="auto"/>
        </w:rPr>
      </w:pPr>
    </w:p>
    <w:p>
      <w:pPr>
        <w:ind w:right="60"/>
        <w:spacing w:after="0" w:line="365" w:lineRule="auto"/>
        <w:rPr>
          <w:sz w:val="20"/>
          <w:szCs w:val="20"/>
          <w:color w:val="auto"/>
        </w:rPr>
      </w:pPr>
      <w:r>
        <w:rPr>
          <w:rFonts w:ascii="Arial" w:cs="Arial" w:eastAsia="Arial" w:hAnsi="Arial"/>
          <w:sz w:val="15"/>
          <w:szCs w:val="15"/>
          <w:b w:val="1"/>
          <w:bCs w:val="1"/>
          <w:i w:val="1"/>
          <w:iCs w:val="1"/>
          <w:color w:val="auto"/>
        </w:rPr>
        <w:t>Drug development is a highly uncertain undertaking. Our research and development efforts may not be successful or may be delayed for any number of reasons, in which case potential clinical development, marketing approval or commercialization of our product candidates could be prevented or delayed.</w:t>
      </w:r>
    </w:p>
    <w:p>
      <w:pPr>
        <w:spacing w:after="0" w:line="45"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Before obtaining approval from regulatory authorities for the sale of any product candidate, we must conduct extensive clinical trials to demonstrate the safety and efficacy of our product candidate in humans. Prior to initiating clinical trials, we must complete extensive preclinical testing of a product candidate, including, in most cases, preclinical efficacy experiments as well as IND-enabling toxicology studies. Drug research, including the gene therapy research we are pursuing, may never yield a product candidate for preclinical or clinical development. Early stage and later stage research experiments and preclinical studies, including the preclinical studies we are conducting and planning to conduct for IC-500, may fail at any point or produce unacceptable or inconclusive results for any number of reasons, and even if completed, may be time-consuming and expensive. As a result of these risks, a potentially promising product candidate may never be tested in humans. For example, we observed different findings across the two different species in which we tested IC-100 in preclinical toxicology studies, which we planned to discuss with the FDA before submitting an IND. The FDA advised, in lieu of this meeting, additional discussion should be conducted during the 30-day IND review period following IND submission. At this time, we are planning to seek a collaborator or licensee for the further development of this product candidate.</w:t>
      </w:r>
    </w:p>
    <w:p>
      <w:pPr>
        <w:spacing w:after="0" w:line="116" w:lineRule="exact"/>
        <w:rPr>
          <w:sz w:val="20"/>
          <w:szCs w:val="20"/>
          <w:color w:val="auto"/>
        </w:rPr>
      </w:pPr>
    </w:p>
    <w:p>
      <w:pPr>
        <w:ind w:right="20" w:firstLine="397"/>
        <w:spacing w:after="0" w:line="248" w:lineRule="auto"/>
        <w:rPr>
          <w:sz w:val="20"/>
          <w:szCs w:val="20"/>
          <w:color w:val="auto"/>
        </w:rPr>
      </w:pPr>
      <w:r>
        <w:rPr>
          <w:rFonts w:ascii="Arial" w:cs="Arial" w:eastAsia="Arial" w:hAnsi="Arial"/>
          <w:sz w:val="18"/>
          <w:szCs w:val="18"/>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including a large Phase 2b trial with a statistically significant efficacy signal. Additionally, although the 18-month results from our GATHER1 trial supported the 12-month results in this trial, at which time Zimura met the prespecified primary endpoint in reducing the mean rate of GA growth in patients with GA with statistical significance across both the Zimura 2 mg and Zimura 4 mg treatment groups when compared to the corresponding sham control groups while maintaining a favorable safety profile, these results may not be replicated in the GATHER2 trial or any future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trials we may conduct for Zimura in GA or other indications. The results of our planned Phase 3 clinical trial studying Zimura in intermediate AMD may not replicate the results we observed after conducting post-hoc analyses of the GATHER1 data and the Phase 3 clinical trial may not be adequately powered to detect a difference in the primary endpoint with statistical significance.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14" w:lineRule="exact"/>
        <w:rPr>
          <w:sz w:val="20"/>
          <w:szCs w:val="20"/>
          <w:color w:val="auto"/>
        </w:rPr>
      </w:pPr>
    </w:p>
    <w:p>
      <w:pPr>
        <w:ind w:right="460" w:firstLine="397"/>
        <w:spacing w:after="0" w:line="264"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114" w:lineRule="exact"/>
        <w:rPr>
          <w:sz w:val="20"/>
          <w:szCs w:val="20"/>
          <w:color w:val="auto"/>
        </w:rPr>
      </w:pPr>
    </w:p>
    <w:p>
      <w:pPr>
        <w:ind w:left="960" w:right="80" w:hanging="318"/>
        <w:spacing w:after="0" w:line="264"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 for any preclinical product candidates that we are developing;</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or our contract manufacturers may be unable to develop a viable manufacturing process for any product candidates that we are developing;</w:t>
      </w:r>
    </w:p>
    <w:p>
      <w:pPr>
        <w:spacing w:after="0" w:line="264" w:lineRule="exact"/>
        <w:rPr>
          <w:rFonts w:ascii="Arial" w:cs="Arial" w:eastAsia="Arial" w:hAnsi="Arial"/>
          <w:sz w:val="15"/>
          <w:szCs w:val="15"/>
          <w:color w:val="auto"/>
        </w:rPr>
      </w:pPr>
    </w:p>
    <w:p>
      <w:pPr>
        <w:ind w:left="960" w:right="80" w:hanging="318"/>
        <w:spacing w:after="0" w:line="223"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preclinical development and clinical trials of our product candidates may be insufficient or we may face delays in the manufacture and supply of our product candidates for any number of reasons, including as a result of interruptions in our supply chain, including in relation to the procurement or quality of starting materials, such as the polyethylene glycol, or PEG, and dichloroacetic acid, or DCA, used for the manufacture of Zimura, and issues with the packaging, distribution, storage and import/export of materials and products;</w:t>
      </w:r>
    </w:p>
    <w:p>
      <w:pPr>
        <w:spacing w:after="0" w:line="217" w:lineRule="exact"/>
        <w:rPr>
          <w:rFonts w:ascii="Arial" w:cs="Arial" w:eastAsia="Arial" w:hAnsi="Arial"/>
          <w:sz w:val="18"/>
          <w:szCs w:val="18"/>
          <w:color w:val="auto"/>
        </w:rPr>
      </w:pPr>
    </w:p>
    <w:p>
      <w:pPr>
        <w:ind w:left="960" w:right="760" w:hanging="318"/>
        <w:spacing w:after="0" w:line="264"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contract research organizations may be unable to complete necessary analytical method development for testing our product candidates;</w:t>
      </w:r>
    </w:p>
    <w:p>
      <w:pPr>
        <w:spacing w:after="0" w:line="207" w:lineRule="exact"/>
        <w:rPr>
          <w:rFonts w:ascii="Arial" w:cs="Arial" w:eastAsia="Arial" w:hAnsi="Arial"/>
          <w:sz w:val="18"/>
          <w:szCs w:val="18"/>
          <w:color w:val="auto"/>
        </w:rPr>
      </w:pPr>
    </w:p>
    <w:p>
      <w:pPr>
        <w:ind w:left="960" w:right="140" w:hanging="318"/>
        <w:spacing w:after="0" w:line="255"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successfully scale up or validate a manufacturing process for one or more of our product candidates, including the manufacturing process for Zimura, and may need to rely on second source suppliers for adequate supply of drug substance and/or drug product in line with our needs and expectations;</w:t>
      </w:r>
    </w:p>
    <w:p>
      <w:pPr>
        <w:spacing w:after="0" w:line="214" w:lineRule="exact"/>
        <w:rPr>
          <w:rFonts w:ascii="Arial" w:cs="Arial" w:eastAsia="Arial" w:hAnsi="Arial"/>
          <w:sz w:val="18"/>
          <w:szCs w:val="18"/>
          <w:color w:val="auto"/>
        </w:rPr>
      </w:pPr>
    </w:p>
    <w:p>
      <w:pPr>
        <w:ind w:left="960" w:right="80" w:hanging="318"/>
        <w:spacing w:after="0" w:line="264"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agree with our clinical trial designs, including our selection of endpoints, or may not authorize us or our investigators to commence a clinical trial or conduct a clinical trial at a prospective trial site;</w:t>
      </w:r>
    </w:p>
    <w:p>
      <w:pPr>
        <w:spacing w:after="0" w:line="207" w:lineRule="exact"/>
        <w:rPr>
          <w:rFonts w:ascii="Arial" w:cs="Arial" w:eastAsia="Arial" w:hAnsi="Arial"/>
          <w:sz w:val="18"/>
          <w:szCs w:val="18"/>
          <w:color w:val="auto"/>
        </w:rPr>
      </w:pPr>
    </w:p>
    <w:p>
      <w:pPr>
        <w:ind w:left="960" w:right="20" w:hanging="318"/>
        <w:spacing w:after="0" w:line="255"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214" w:lineRule="exact"/>
        <w:rPr>
          <w:rFonts w:ascii="Arial" w:cs="Arial" w:eastAsia="Arial" w:hAnsi="Arial"/>
          <w:sz w:val="18"/>
          <w:szCs w:val="18"/>
          <w:color w:val="auto"/>
        </w:rPr>
      </w:pPr>
    </w:p>
    <w:p>
      <w:pPr>
        <w:ind w:left="960" w:hanging="318"/>
        <w:spacing w:after="0" w:line="365" w:lineRule="auto"/>
        <w:tabs>
          <w:tab w:leader="none" w:pos="955"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137" w:lineRule="exact"/>
        <w:rPr>
          <w:rFonts w:ascii="Arial" w:cs="Arial" w:eastAsia="Arial" w:hAnsi="Arial"/>
          <w:sz w:val="15"/>
          <w:szCs w:val="15"/>
          <w:color w:val="auto"/>
        </w:rPr>
      </w:pPr>
    </w:p>
    <w:p>
      <w:pPr>
        <w:ind w:left="960" w:right="100" w:hanging="318"/>
        <w:spacing w:after="0" w:line="255"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214" w:lineRule="exact"/>
        <w:rPr>
          <w:rFonts w:ascii="Arial" w:cs="Arial" w:eastAsia="Arial" w:hAnsi="Arial"/>
          <w:sz w:val="18"/>
          <w:szCs w:val="18"/>
          <w:color w:val="auto"/>
        </w:rPr>
      </w:pPr>
    </w:p>
    <w:p>
      <w:pPr>
        <w:ind w:left="960" w:right="460" w:hanging="318"/>
        <w:spacing w:after="0" w:line="277" w:lineRule="auto"/>
        <w:tabs>
          <w:tab w:leader="none" w:pos="9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through our clinical trial sites, may not be able to maintain enrolled patients for scheduled visits and treatments, or to retain patients altogether, especially in light of the COVID-19 pandemic, which could result in missing data from our clinical trials, potentially leading to uninterpretable results or a clinical trial not being sufficiently powered to demonstrate an efficacy benefit;</w:t>
      </w:r>
    </w:p>
    <w:p>
      <w:pPr>
        <w:spacing w:after="0" w:line="197" w:lineRule="exact"/>
        <w:rPr>
          <w:rFonts w:ascii="Arial" w:cs="Arial" w:eastAsia="Arial" w:hAnsi="Arial"/>
          <w:sz w:val="17"/>
          <w:szCs w:val="17"/>
          <w:color w:val="auto"/>
        </w:rPr>
      </w:pPr>
    </w:p>
    <w:p>
      <w:pPr>
        <w:jc w:val="both"/>
        <w:ind w:left="960" w:right="140" w:hanging="318"/>
        <w:spacing w:after="0" w:line="365" w:lineRule="auto"/>
        <w:tabs>
          <w:tab w:leader="none" w:pos="955"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may decide, or regulators or institutional review boards may require us, to suspend or terminate clinical trials for various reasons, including noncompliance with regulatory requirements, including GCPs, or a finding that the participants are being exposed to unacceptable health risks;</w:t>
      </w:r>
    </w:p>
    <w:p>
      <w:pPr>
        <w:spacing w:after="0" w:line="137" w:lineRule="exact"/>
        <w:rPr>
          <w:rFonts w:ascii="Arial" w:cs="Arial" w:eastAsia="Arial" w:hAnsi="Arial"/>
          <w:sz w:val="15"/>
          <w:szCs w:val="15"/>
          <w:color w:val="auto"/>
        </w:rPr>
      </w:pPr>
    </w:p>
    <w:p>
      <w:pPr>
        <w:ind w:left="960" w:right="20" w:hanging="318"/>
        <w:spacing w:after="0" w:line="255"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there are no therapies approved for GA, intermediate AMD, or Stargardt disease, in either the United States or the European Union, the regulatory pathway for product candidates in those indications, including the selection of efficacy endpoints and their clinical meaningfulness, is highly uncertain;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960" w:right="120" w:hanging="318"/>
        <w:spacing w:after="0" w:line="264" w:lineRule="auto"/>
        <w:tabs>
          <w:tab w:leader="none" w:pos="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trial protocols;</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there may be changes in the standard of care on which a clinical development plan was based, which may require new or additional trials;</w:t>
      </w:r>
    </w:p>
    <w:p>
      <w:pPr>
        <w:spacing w:after="0" w:line="278" w:lineRule="exact"/>
        <w:rPr>
          <w:rFonts w:ascii="Arial" w:cs="Arial" w:eastAsia="Arial" w:hAnsi="Arial"/>
          <w:sz w:val="15"/>
          <w:szCs w:val="15"/>
          <w:color w:val="auto"/>
        </w:rPr>
      </w:pPr>
    </w:p>
    <w:p>
      <w:pPr>
        <w:ind w:left="960" w:right="20" w:hanging="318"/>
        <w:spacing w:after="0" w:line="264" w:lineRule="auto"/>
        <w:tabs>
          <w:tab w:leader="none" w:pos="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nonclinical studies beyond those we currently contemplate or to abandon product development programs;</w:t>
      </w:r>
    </w:p>
    <w:p>
      <w:pPr>
        <w:spacing w:after="0" w:line="207" w:lineRule="exact"/>
        <w:rPr>
          <w:rFonts w:ascii="Arial" w:cs="Arial" w:eastAsia="Arial" w:hAnsi="Arial"/>
          <w:sz w:val="18"/>
          <w:szCs w:val="18"/>
          <w:color w:val="auto"/>
        </w:rPr>
      </w:pPr>
    </w:p>
    <w:p>
      <w:pPr>
        <w:ind w:left="960" w:right="160" w:hanging="318"/>
        <w:spacing w:after="0" w:line="252" w:lineRule="auto"/>
        <w:tabs>
          <w:tab w:leader="none" w:pos="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This risk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 and</w:t>
      </w:r>
    </w:p>
    <w:p>
      <w:pPr>
        <w:spacing w:after="0" w:line="217" w:lineRule="exact"/>
        <w:rPr>
          <w:rFonts w:ascii="Arial" w:cs="Arial" w:eastAsia="Arial" w:hAnsi="Arial"/>
          <w:sz w:val="18"/>
          <w:szCs w:val="18"/>
          <w:color w:val="auto"/>
        </w:rPr>
      </w:pPr>
    </w:p>
    <w:p>
      <w:pPr>
        <w:ind w:left="960" w:right="100" w:hanging="318"/>
        <w:spacing w:after="0" w:line="264" w:lineRule="auto"/>
        <w:tabs>
          <w:tab w:leader="none" w:pos="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including the costs of manufacturing activities to support those clinical trials, may be greater than we anticipate.</w:t>
      </w:r>
    </w:p>
    <w:p>
      <w:pPr>
        <w:spacing w:after="0" w:line="207" w:lineRule="exact"/>
        <w:rPr>
          <w:sz w:val="20"/>
          <w:szCs w:val="20"/>
          <w:color w:val="auto"/>
        </w:rPr>
      </w:pPr>
    </w:p>
    <w:p>
      <w:pPr>
        <w:ind w:right="20" w:firstLine="397"/>
        <w:spacing w:after="0" w:line="255"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otherwise change our clinical development plans, if we are unable to successfully complete clinical trials of our product candidates or other testing, if the results of these trials or tests are not positive or are only modestly positive or if there are safety concerns, we may:</w:t>
      </w:r>
    </w:p>
    <w:p>
      <w:pPr>
        <w:spacing w:after="0" w:line="215" w:lineRule="exact"/>
        <w:rPr>
          <w:sz w:val="20"/>
          <w:szCs w:val="20"/>
          <w:color w:val="auto"/>
        </w:rPr>
      </w:pPr>
    </w:p>
    <w:p>
      <w:pPr>
        <w:ind w:left="960" w:hanging="318"/>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obtain approval with labeling that includes significant use limitations, distribution restrictions or safety warnings, including boxed warnings;</w:t>
      </w:r>
    </w:p>
    <w:p>
      <w:pPr>
        <w:spacing w:after="0" w:line="278" w:lineRule="exact"/>
        <w:rPr>
          <w:rFonts w:ascii="Arial" w:cs="Arial" w:eastAsia="Arial" w:hAnsi="Arial"/>
          <w:sz w:val="15"/>
          <w:szCs w:val="15"/>
          <w:color w:val="auto"/>
        </w:rPr>
      </w:pPr>
    </w:p>
    <w:p>
      <w:pPr>
        <w:ind w:left="960" w:hanging="318"/>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17" w:lineRule="exact"/>
        <w:rPr>
          <w:sz w:val="20"/>
          <w:szCs w:val="20"/>
          <w:color w:val="auto"/>
        </w:rPr>
      </w:pPr>
    </w:p>
    <w:p>
      <w:pPr>
        <w:ind w:firstLine="397"/>
        <w:spacing w:after="0" w:line="299" w:lineRule="auto"/>
        <w:rPr>
          <w:sz w:val="20"/>
          <w:szCs w:val="20"/>
          <w:color w:val="auto"/>
        </w:rPr>
      </w:pPr>
      <w:r>
        <w:rPr>
          <w:rFonts w:ascii="Arial" w:cs="Arial" w:eastAsia="Arial" w:hAnsi="Arial"/>
          <w:sz w:val="15"/>
          <w:szCs w:val="15"/>
          <w:color w:val="auto"/>
        </w:rPr>
        <w:t>Despite our ongoing efforts, we may not complete any of our ongoing or planned development activities for our product candidates. The timing of the completion of, and the availability of results from, development activities is difficult to predict. For clinical trials in particular, we do not know whether they will begin as planned, will need to be restructured or will be completed on schedule, or at all. The progress of our clinical trials may be dependent on macro-economic events beyond our control, such as the COVID-19 pandemic. For example, the pandemic and governmental measures instituted in response to the pandemic have caused a number of missed visits in the GATHER2 trial and may cause additional patients to miss visits or drop out of the trial, which could result in missing data from this trial. Furthermore, our development plans may change based on feedback we may receive from regulatory authorities throughout the development process or for other reasons. For example, our expectations regarding the remaining clinical requirements to demonstrate the safety and efficacy of Zimura for the treatment of GA secondary to AMD in a manner sufficient to support an application for marketing approval to the FDA are based on the Special Protocol Assessment, or SPA, we recently received from the FDA for the GATHER2 trial and our review of the 12-month and 18-month data from the GATHER1 trial. Our expectations regarding the minimum clinical requirements to demonstrate the safety and efficacy of Zimura for GA may change as we continue to have interactions with the FDA and potentially with the EMA and other regulatory authorities, as we conduct our GATHER2 trial, and as new regulatory or third party information, including that of our competitors, third-party clinical data or information from prospective collaborators or licensees, becomes available. If we experience delays in manufacturing, testing or marketing approvals, our product development costs would increase. Significant product development delays also could allow our competitors to bring products to market before we do, could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Our development of Zimura is based on a novel mechanism of action that is unproven in GA, intermediate AMD and STGD1 and poses a number of scientific and other risks, and we may not be successful in developing Zimura in the indications we are pursuing or in any other indication we may choose to pursue.</w:t>
      </w:r>
    </w:p>
    <w:p>
      <w:pPr>
        <w:spacing w:after="0" w:line="188" w:lineRule="exact"/>
        <w:rPr>
          <w:sz w:val="20"/>
          <w:szCs w:val="20"/>
          <w:color w:val="auto"/>
        </w:rPr>
      </w:pPr>
    </w:p>
    <w:p>
      <w:pPr>
        <w:ind w:right="40" w:firstLine="397"/>
        <w:spacing w:after="0" w:line="264" w:lineRule="auto"/>
        <w:rPr>
          <w:sz w:val="20"/>
          <w:szCs w:val="20"/>
          <w:color w:val="auto"/>
        </w:rPr>
      </w:pPr>
      <w:r>
        <w:rPr>
          <w:rFonts w:ascii="Arial" w:cs="Arial" w:eastAsia="Arial" w:hAnsi="Arial"/>
          <w:sz w:val="17"/>
          <w:szCs w:val="17"/>
          <w:color w:val="auto"/>
        </w:rPr>
        <w:t>We are currently targeting GA and intermediate AMD, which are an advanced form and an earlier form of AMD, respectively, and STGD1 with Zimura.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we believe there is a scientific rationale for pursuing the development of inhibitors of the complement system as potential pharmaceutical treatments for GA secondary to AMD, and that the results from our GATHER1 trial of Zimura in GA and from a competitor’s trials of its complement inhibitor in GA support our view, this approach may not prove successful for treating GA secondary to AMD in a clinically meaningful way. Similarly, although there is nonclinical scientific literature supporting the potential use of complement system inhibitors for the treatment of STGD1, we have not yet completed a clinical trial assessing Zimura for the treatment of STGD1 and do not have any unmasked data regarding the efficacy of Zimura in this indication. As a result, this approach may not prove clinically successful.</w:t>
      </w:r>
    </w:p>
    <w:p>
      <w:pPr>
        <w:spacing w:after="0" w:line="185" w:lineRule="exact"/>
        <w:rPr>
          <w:sz w:val="20"/>
          <w:szCs w:val="20"/>
          <w:color w:val="auto"/>
        </w:rPr>
      </w:pPr>
    </w:p>
    <w:p>
      <w:pPr>
        <w:ind w:right="60" w:firstLine="397"/>
        <w:spacing w:after="0" w:line="268" w:lineRule="auto"/>
        <w:rPr>
          <w:sz w:val="20"/>
          <w:szCs w:val="20"/>
          <w:color w:val="auto"/>
        </w:rPr>
      </w:pPr>
      <w:r>
        <w:rPr>
          <w:rFonts w:ascii="Arial" w:cs="Arial" w:eastAsia="Arial" w:hAnsi="Arial"/>
          <w:sz w:val="17"/>
          <w:szCs w:val="17"/>
          <w:color w:val="auto"/>
        </w:rPr>
        <w:t>Zimura is designed to inhibit complement protein C5. There are no FDA or EMA approved products that utilize C5 inhibition as a mechanism of action to treat GA, intermediate AMD or STGD1. There have been other investigational products using complement inhibition as a mechanism of action for the treatment of GA, including inhibition of C5, that ultimately proved to be unsuccessful. Even though our GATHER1 trial of Zimura in GA met its prespecified primary endpoint at month 12 and continued to show positive treatment effect at month 18, this mechanism of action may not prove safe and effective for the treatment of GA, intermediate AMD, STGD1 or any other indication for which we may develop Zimura.</w:t>
      </w:r>
    </w:p>
    <w:p>
      <w:pPr>
        <w:spacing w:after="0" w:line="207" w:lineRule="exact"/>
        <w:rPr>
          <w:sz w:val="20"/>
          <w:szCs w:val="20"/>
          <w:color w:val="auto"/>
        </w:rPr>
      </w:pPr>
    </w:p>
    <w:p>
      <w:pPr>
        <w:ind w:right="120" w:firstLine="397"/>
        <w:spacing w:after="0" w:line="264" w:lineRule="auto"/>
        <w:rPr>
          <w:sz w:val="20"/>
          <w:szCs w:val="20"/>
          <w:color w:val="auto"/>
        </w:rPr>
      </w:pPr>
      <w:r>
        <w:rPr>
          <w:rFonts w:ascii="Arial" w:cs="Arial" w:eastAsia="Arial" w:hAnsi="Arial"/>
          <w:sz w:val="17"/>
          <w:szCs w:val="17"/>
          <w:color w:val="auto"/>
        </w:rPr>
        <w:t>We are planning to initiate clinical development of Zimura in intermediate AMD based on results from a post-hoc analysis of data from our GATHER1 trial. Although there is nonclinical scientific literature supporting the potential use of complement system inhibitors for the treatment of intermediate AMD, we have not yet conducted a clinical trial assessing Zimura for the treatment of intermediate AMD. Intermediate AMD is a developing field of study whose patient population continues to be defined by, and any primary endpoints used to assess any treatments are new for, the medical community, and as such, the patient population and primary endpoint we choose for our planned Phase 3 clinical trial may not be accepted by regulators. We intend to seek regulatory feedback before initiating this trial in 2022, and regulatory authorities may disagree with our development and regulatory plans and strategy. We may also decide to pursue clinical development of Zimura for other indications, including those we previously studied such as wet AMD and IPCV. Similar to GA and STGD1, Zimura, and the use of C5 inhibition, are unproven in those indications and we may not be successful in our efforts to develop Zimura for those indications.</w:t>
      </w:r>
    </w:p>
    <w:p>
      <w:pPr>
        <w:spacing w:after="0" w:line="1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The GATHER2 trial may yield results that are different from the results observed in the GATHER1 trial. An unfavorable result from the GATHER2 trial likely would materially and adversely affect our ability to obtain approval for Zimura in GA.</w:t>
      </w:r>
    </w:p>
    <w:p>
      <w:pPr>
        <w:spacing w:after="0" w:line="181" w:lineRule="exact"/>
        <w:rPr>
          <w:sz w:val="20"/>
          <w:szCs w:val="20"/>
          <w:color w:val="auto"/>
        </w:rPr>
      </w:pPr>
    </w:p>
    <w:p>
      <w:pPr>
        <w:ind w:firstLine="397"/>
        <w:spacing w:after="0" w:line="300" w:lineRule="auto"/>
        <w:rPr>
          <w:sz w:val="20"/>
          <w:szCs w:val="20"/>
          <w:color w:val="auto"/>
        </w:rPr>
      </w:pPr>
      <w:r>
        <w:rPr>
          <w:rFonts w:ascii="Arial" w:cs="Arial" w:eastAsia="Arial" w:hAnsi="Arial"/>
          <w:sz w:val="15"/>
          <w:szCs w:val="15"/>
          <w:color w:val="auto"/>
        </w:rPr>
        <w:t>Unlike the GATHER1 trial, the GATHER2 trial includes only one treatment arm, Zimura 2 mg, in addition to a control arm. Several Phase 3 clinical trials for ophthalmic product candidates that have been, or are currently being, conducted by other sponsors include multiple treatment arms, either different doses or treatment regimens, in addition to a control arm. The FDA has expressed that including multiple study doses or treatment regimens within a single trial helps mitigate the risk of bias in the trial and is therefore recommended, although not required. We believe that the anatomical measure used as the primary efficacy endpoint in our GATHER2 trial, the mean rate of growth (slope) estimated based on GA area, as evaluated by an independent, masked reading center, is not subject to bias. We have decided to proceed with only one treatment arm in the GATHER2 trial consisting of a single monthly administration of Zimura 2 mg, because the 12-month data from the GATHER1 trial suggested that monthly administration of Zimura 2 mg provides a similar benefit (approximately 27%) in reducing the mean rate of GA growth over 12 months as compared to the corresponding sham control group, as measured by our primary endpoint, as Zimura 4 mg, and these results are supported by the results of the 18-month data, and because we want to avoid the treatment burden associated with the Zimura 4 mg dose evaluated in our GATHER1 trial. If the results from GATHER2 are positive, we plan to seek approval for the 2 mg dose of Zimura in GA. Additionally, for our GATHER2 trial, because we want to begin to evaluate the efficacy of a less frequent dosing regimen, we are re-randomizing the patients in the monthly Zimura 2 mg treatment arm at 12 months and evaluating dosing Zimura 2 mg every other month, a dosing regimen which we have not previously studied, in half of those patients during the second 12 months of the trial. The GATHER2 trial, however, is not designed to reliably assess any differences we observe between these treatment groups at 24 months with statistical significance and the label we would seek for Zimura in GA, if the results from the GATHER2 trial are positive, would in all likelihood provide for monthly administration of Zimura.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00" w:firstLine="397"/>
        <w:spacing w:after="0" w:line="271" w:lineRule="auto"/>
        <w:rPr>
          <w:sz w:val="20"/>
          <w:szCs w:val="20"/>
          <w:color w:val="auto"/>
        </w:rPr>
      </w:pPr>
      <w:r>
        <w:rPr>
          <w:rFonts w:ascii="Arial" w:cs="Arial" w:eastAsia="Arial" w:hAnsi="Arial"/>
          <w:sz w:val="17"/>
          <w:szCs w:val="17"/>
          <w:color w:val="auto"/>
        </w:rPr>
        <w:t>We are conducting the GATHER2 trial at many clinical trial sites and in many countries that were not included in the GATHER1 trial. The introduction of new sites, and the resulting involvement of new treating physicians, as well as potentially different patient demographics, can introduce additional variability into the conduct of the trial and may result in greater variability of patient outcomes, which could adversely affect our ability to detect statistically significant differences between patients treated with Zimura 2 mg and patients receiving sham control.</w:t>
      </w:r>
    </w:p>
    <w:p>
      <w:pPr>
        <w:spacing w:after="0" w:line="177" w:lineRule="exact"/>
        <w:rPr>
          <w:sz w:val="20"/>
          <w:szCs w:val="20"/>
          <w:color w:val="auto"/>
        </w:rPr>
      </w:pPr>
    </w:p>
    <w:p>
      <w:pPr>
        <w:ind w:firstLine="397"/>
        <w:spacing w:after="0" w:line="301" w:lineRule="auto"/>
        <w:rPr>
          <w:sz w:val="20"/>
          <w:szCs w:val="20"/>
          <w:color w:val="auto"/>
        </w:rPr>
      </w:pPr>
      <w:r>
        <w:rPr>
          <w:rFonts w:ascii="Arial" w:cs="Arial" w:eastAsia="Arial" w:hAnsi="Arial"/>
          <w:sz w:val="15"/>
          <w:szCs w:val="15"/>
          <w:color w:val="auto"/>
        </w:rPr>
        <w:t>In addition, the 12-month and 18-month data from the GATHER1 trial suggested there is an overall dose response relationship in which higher doses of Zimura (for example, the 4 mg and the 2 mg doses) corresponded to a greater reduction in the mean rate of GA growth as compared to the corresponding sham group as compared to lower doses of Zimura (for example, the 1 mg dose). For our GATHER2 trial, for the reasons stated above, we have decided to proceed with only a 2 mg dose treatment arm and not include a 4 mg dose treatment arm. The 2 mg dose may prove not to be efficacious in treating GA. Additionally, unlike the protocol for the GATHER1 trial, the protocol of the GATHER2 trial provides that patients who develop CNV in the study eye in the trial may remain in the trial and receive either Lucentis® or Eylea® in accordance with the label for that anti-VEGF agent, and that measurements of these patients' GA will be included in the primary efficacy analysis if their fundus autofluorescence, or FAF, images can be assessed by the masked reading center. The retention of these patients in the GATHER2 trial may introduce additional variability not present in the GATHER1 trial, as we do not have any data regarding the progression of GA in patients with CNV who receive treatment with an anti-VEGF agent. Moreover, if a significant number of patients develop CNV in the study eye and these patients' FAF images are not reliably assessable, or if more patients than we anticipate drop out or their data is otherwise missing, any such occurrence would reduce the number of patients from whom data is available for analyzing the primary endpoint for this trial and the GATHER2 trial could be underpowered to demonstrate a potential clinical benefit for Zimura in GA with statistical significance.</w:t>
      </w:r>
    </w:p>
    <w:p>
      <w:pPr>
        <w:spacing w:after="0" w:line="160"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b w:val="1"/>
          <w:bCs w:val="1"/>
          <w:i w:val="1"/>
          <w:iCs w:val="1"/>
          <w:color w:val="auto"/>
        </w:rPr>
        <w:t>Our intended regulatory pathway for generating sufficient safety and efficacy data to apply for and potentially obtain marketing approval for Zimura for GA is subject to several assumptions, including that we may be able to rely on the results from our GATHER1 and GATHER2 trials. Although we received a written agreement from the FDA under a SPA for the overall design of GATHER2 and the FDA indicated that as part of a future NDA submission, it will consider the GATHER1 data using the original prespecified primary efficacy endpoint analysis, together with the new FDA preferred method that we are using for GATHER2, the FDA, the EMA or other regulatory authorities may not accept the design or results of the GATHER1 or GATHER2 trials. We may decide to or may be required to enroll additional patients, collect additional safety data or conduct additional clinical trials or nonclinical studies to seek or obtain approval for Zimura in GA.</w:t>
      </w:r>
    </w:p>
    <w:p>
      <w:pPr>
        <w:spacing w:after="0" w:line="157" w:lineRule="exact"/>
        <w:rPr>
          <w:sz w:val="20"/>
          <w:szCs w:val="20"/>
          <w:color w:val="auto"/>
        </w:rPr>
      </w:pPr>
    </w:p>
    <w:p>
      <w:pPr>
        <w:ind w:firstLine="397"/>
        <w:spacing w:after="0" w:line="299" w:lineRule="auto"/>
        <w:rPr>
          <w:sz w:val="20"/>
          <w:szCs w:val="20"/>
          <w:color w:val="auto"/>
        </w:rPr>
      </w:pPr>
      <w:r>
        <w:rPr>
          <w:rFonts w:ascii="Arial" w:cs="Arial" w:eastAsia="Arial" w:hAnsi="Arial"/>
          <w:sz w:val="15"/>
          <w:szCs w:val="15"/>
          <w:color w:val="auto"/>
        </w:rPr>
        <w:t>Based on the results of our GATHER1 trial, additional statistical analysis we have performed and discussions we have had with the FDA, we believe that the efficacy results from this trial would satisfy the FDA’s requirements as one of the two pivotal clinical trials typically required for marketing approval. This belief is based on many assumptions, including that a reduction in mean rate of GA growth over 12 months, measured by FAF based on readings at three time points: baseline, month 6 and month 12, calculated using the square root transformation of the GA area, is a primary endpoint of clinical relevance, in the absence of a demonstrated reduction in the loss of vision, and that data from the GATHER1 trial is robust. The FDA, the EMA or other regulatory authorities may not agree with our view that the observed reduction in the rate of GA growth, calculated using the square root transformation, is clinically relevant or meaningful, or may require us to correlate this reduction in rate of GA growth with another outcome more directly associated with visual function. We are not currently planning to include visual function measures as primary or secondary efficacy endpoints in the GATHER2 trial and vision will be assessed as a safety endpoint. The FDA, the EMA or other regulatory authorities may disagree with our conclusion regarding the robustness of the data from the GATHER1 trial based on our sensitivity analyses or may conduct their own sensitivity analyses yielding different results. Even if we meet with the FDA, EMA or other regulatory authorities, we likely will not have an opportunity to obtain definitive confirmation from the FDA, EMA or other regulatory authorities regarding the sufficiency or robustness of the data from our clinical trials, including the GATHER1 trial, until such time as we submit an application for marketing approval and receive a response from the applicable authority. If the GATHER1 trial results are not considered robust, or if regulatory authorities do not accept the study designs of GATHER1 or GATHER2, including our selected primary efficacy endpoints, then in order to seek marketing approval we may need to conduct, in addition to the GATHER2 trial, one or more additional, adequate and well-controlled clinical trials that meet the applicable regulatory requirements in order to obtain marketing approval.</w:t>
      </w:r>
    </w:p>
    <w:p>
      <w:pPr>
        <w:spacing w:after="0" w:line="381" w:lineRule="exact"/>
        <w:rPr>
          <w:sz w:val="20"/>
          <w:szCs w:val="20"/>
          <w:color w:val="auto"/>
        </w:rPr>
      </w:pPr>
    </w:p>
    <w:p>
      <w:pPr>
        <w:ind w:right="60" w:firstLine="397"/>
        <w:spacing w:after="0" w:line="267" w:lineRule="auto"/>
        <w:rPr>
          <w:sz w:val="20"/>
          <w:szCs w:val="20"/>
          <w:color w:val="auto"/>
        </w:rPr>
      </w:pPr>
      <w:r>
        <w:rPr>
          <w:rFonts w:ascii="Arial" w:cs="Arial" w:eastAsia="Arial" w:hAnsi="Arial"/>
          <w:sz w:val="17"/>
          <w:szCs w:val="17"/>
          <w:color w:val="auto"/>
        </w:rPr>
        <w:t>In parallel discussions with those for the GATHER2 SPA, the FDA indicated that, as part of a future NDA for Zimura, it would consider the results from GATHER1 using the original prespecified primary efficacy endpoint analysis, together with a post-hoc analysis we performed using the FDA-preferred method that will be used for the GATHER2 trial (mean rate of growth (slope) estimated based on GA area measured by FAF in the relevant timepoints). Although we believe that the post-hoc analyses from the GATHER1 trial are consistent with the positive results from the original prespecified analysis from the trial, any analyses, whether prespecified or post-hoc, that are intended to support an application for marketing approval are a matter of review for the FDA and other regulatory authorities, who may disagree with our methodologies and analyses for any number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of reasons. The FDA, EMA or other regulatory authorities may take issue with the number of modifications we introduced to the GATHER1 trial following its commencement, which they may view as introducing additional uncontrolled variables. The FDA, EMA or other regulatory authorities may also take issue with the degree of data that are missing from the clinical data set from our GATHER1 trial, or with the rate at which patients withdrew from the trial. To the extent patients miss critical visits or drop out of the GATHER2 trial, we face a similar risk with GATHER2.</w:t>
      </w:r>
    </w:p>
    <w:p>
      <w:pPr>
        <w:spacing w:after="0" w:line="177" w:lineRule="exact"/>
        <w:rPr>
          <w:sz w:val="20"/>
          <w:szCs w:val="20"/>
          <w:color w:val="auto"/>
        </w:rPr>
      </w:pPr>
    </w:p>
    <w:p>
      <w:pPr>
        <w:ind w:firstLine="397"/>
        <w:spacing w:after="0" w:line="299" w:lineRule="auto"/>
        <w:rPr>
          <w:sz w:val="20"/>
          <w:szCs w:val="20"/>
          <w:color w:val="auto"/>
        </w:rPr>
      </w:pPr>
      <w:r>
        <w:rPr>
          <w:rFonts w:ascii="Arial" w:cs="Arial" w:eastAsia="Arial" w:hAnsi="Arial"/>
          <w:sz w:val="15"/>
          <w:szCs w:val="15"/>
          <w:color w:val="auto"/>
        </w:rPr>
        <w:t>Based on discussions with the FDA including through the SPA process, following the GATHER1 trial, we believe we need to conduct one additional clinical trial with enough patients such that we will have safety data for a minimum of 300 patients having received the dose of Zimura for which we are seeking approval, or a higher Zimura dose, independent of indication, for a minimum of 12 months, with 24-month safety data available for some portion, but not all, of these 300 patients. This additional clinical trial would need to be adequate and well-controlled, with a primary efficacy analysis at the 12 month time point or later. We believe that if we were to file an application for marketing approval for Zimura for GA, we would be able to rely on safety data from our GATHER1 and GATHER2 trials in GA, as well as our STAR trial evaluating Zimura for STGD1. We also believe that, if the data from the GATHER2 trial are positive, we would be able to submit our application following the primary efficacy and safety analysis for the GATHER2 study at the 12-month time point, without waiting for the full 24-month data package. We have designed our GATHER2 trial to meet these requirements, which, as we understand them, and if data from the GATHER2 trial are positive, will permit us to seek marketing approval for Zimura in GA in the United States and potentially the European Union. Since receiving the 12-month results from the GATHER1 trial, we have not had any scientific advice or other formal interactions with the EMA or competent national authorities in the European Union or United Kingdom regarding the sufficiency of the GATHER1 and GATHER2 trials, including our primary efficacy endpoint analyses, to support an application for marketing approval. As we continue to engage with regulatory authorities, including in Europe, we may receive feedback that is not consistent with our expectations, including potential disagreements by the EMA and other regulatory authorities with what we understand are the requirements of the FDA. Regulatory authorities may require us to enroll additional patients, collect additional safety data, conduct additional trials or take other actions, which would require us to revise our development plans for Zimura, including potentially changing the design of the GATHER2 trial, increase the costs of our Zimura clinical programs and delay our expected timelines. In addition, because of the COVID-19 pandemic or other reasons, we may experience a higher than anticipated rate of dropouts and missed visits and treatments in our GATHER2 trial, which could result in our not having adequate safety data for a sufficient number of patients to obtain marketing approval in GA, even if the primary efficacy endpoint is met and the results from the GATHER2 trial are otherwise positive.</w:t>
      </w:r>
    </w:p>
    <w:p>
      <w:pPr>
        <w:spacing w:after="0" w:line="200" w:lineRule="exact"/>
        <w:rPr>
          <w:sz w:val="20"/>
          <w:szCs w:val="20"/>
          <w:color w:val="auto"/>
        </w:rPr>
      </w:pPr>
    </w:p>
    <w:p>
      <w:pPr>
        <w:spacing w:after="0" w:line="387" w:lineRule="exact"/>
        <w:rPr>
          <w:sz w:val="20"/>
          <w:szCs w:val="20"/>
          <w:color w:val="auto"/>
        </w:rPr>
      </w:pPr>
    </w:p>
    <w:p>
      <w:pPr>
        <w:ind w:right="20" w:firstLine="397"/>
        <w:spacing w:after="0" w:line="303" w:lineRule="auto"/>
        <w:rPr>
          <w:sz w:val="20"/>
          <w:szCs w:val="20"/>
          <w:color w:val="auto"/>
        </w:rPr>
      </w:pPr>
      <w:r>
        <w:rPr>
          <w:rFonts w:ascii="Arial" w:cs="Arial" w:eastAsia="Arial" w:hAnsi="Arial"/>
          <w:sz w:val="15"/>
          <w:szCs w:val="15"/>
          <w:color w:val="auto"/>
        </w:rPr>
        <w:t>Furthermore, our previous and ongoing Zimura clinical trials have evaluated Zimura dosing levels and regimens that we have studied only in cohorts consisting of a small number of patients. This approach may increase the risk that patients in our ongoing trials experience adverse events and/or serious adverse events (either ocular, systemic or both) that we have not observed or at rates that we have not observed in prior trials. Although we have not observed any adverse events or serious adverse events attributable by the investigators to the drug product in our GATHER1 trial, they may manifest in our GATHER2 trial, in our STAR trial or in any other subsequent clinical trials we or a potential collaborator may undertake for Zimura. When we follow patients for a longer period of time or collect safety data from a greater number of patients, we may observe safety events that we have not previously observed. For a further discussion of the safety risks in our trials, see the risk factor herein entitled “</w:t>
      </w:r>
      <w:r>
        <w:rPr>
          <w:rFonts w:ascii="Arial" w:cs="Arial" w:eastAsia="Arial" w:hAnsi="Arial"/>
          <w:sz w:val="15"/>
          <w:szCs w:val="15"/>
          <w:i w:val="1"/>
          <w:iCs w:val="1"/>
          <w:color w:val="auto"/>
        </w:rPr>
        <w:t>If serious adverse or unacceptable side effects are identified during the</w:t>
      </w:r>
      <w:r>
        <w:rPr>
          <w:rFonts w:ascii="Arial" w:cs="Arial" w:eastAsia="Arial" w:hAnsi="Arial"/>
          <w:sz w:val="15"/>
          <w:szCs w:val="15"/>
          <w:color w:val="auto"/>
        </w:rPr>
        <w:t xml:space="preserve"> </w:t>
      </w:r>
      <w:r>
        <w:rPr>
          <w:rFonts w:ascii="Arial" w:cs="Arial" w:eastAsia="Arial" w:hAnsi="Arial"/>
          <w:sz w:val="15"/>
          <w:szCs w:val="15"/>
          <w:i w:val="1"/>
          <w:iCs w:val="1"/>
          <w:color w:val="auto"/>
        </w:rPr>
        <w:t>development of our product candidates, we may need to abandon or limit our development of such product candidates. There are a number of known safety risks associated with our product candidates and currently unknown safety issues may arise during development.</w:t>
      </w:r>
      <w:r>
        <w:rPr>
          <w:rFonts w:ascii="Arial" w:cs="Arial" w:eastAsia="Arial" w:hAnsi="Arial"/>
          <w:sz w:val="15"/>
          <w:szCs w:val="15"/>
          <w:color w:val="auto"/>
        </w:rPr>
        <w:t>"</w:t>
      </w:r>
    </w:p>
    <w:p>
      <w:pPr>
        <w:spacing w:after="0" w:line="160" w:lineRule="exact"/>
        <w:rPr>
          <w:sz w:val="20"/>
          <w:szCs w:val="20"/>
          <w:color w:val="auto"/>
        </w:rPr>
      </w:pPr>
    </w:p>
    <w:p>
      <w:pPr>
        <w:ind w:right="40" w:firstLine="397"/>
        <w:spacing w:after="0" w:line="252" w:lineRule="auto"/>
        <w:rPr>
          <w:sz w:val="20"/>
          <w:szCs w:val="20"/>
          <w:color w:val="auto"/>
        </w:rPr>
      </w:pPr>
      <w:r>
        <w:rPr>
          <w:rFonts w:ascii="Arial" w:cs="Arial" w:eastAsia="Arial" w:hAnsi="Arial"/>
          <w:sz w:val="18"/>
          <w:szCs w:val="18"/>
          <w:color w:val="auto"/>
        </w:rPr>
        <w:t>Our ongoing clinical trials and any future clinical trials or other studies for Zimura that we or a potential collaborator may undertake may yield inconsistent safety or efficacy results with those we have observed to date or otherwise fail to demonstrate sufficient safety or efficacy to justify further development or to ultimately seek or obtain marketing approval. Any negative results from our ongoing or any future clinical trials or other studies for Zimura will likely adversely affect our business and the value of your investment in our company.</w:t>
      </w:r>
    </w:p>
    <w:p>
      <w:pPr>
        <w:spacing w:after="0" w:line="19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b w:val="1"/>
          <w:bCs w:val="1"/>
          <w:i w:val="1"/>
          <w:iCs w:val="1"/>
          <w:color w:val="auto"/>
        </w:rPr>
        <w:t>We have no unmasked clinical data regarding the safety and efficacy of Zimura as a treatment of STGD1. The dropout rate or patients with missing visits may reduce the number of patients from whom we can collect and analyze data from STAR. We may not be able to recruit additional patients for this trial in line with our expectations.</w:t>
      </w:r>
    </w:p>
    <w:p>
      <w:pPr>
        <w:spacing w:after="0" w:line="188" w:lineRule="exact"/>
        <w:rPr>
          <w:sz w:val="20"/>
          <w:szCs w:val="20"/>
          <w:color w:val="auto"/>
        </w:rPr>
      </w:pPr>
    </w:p>
    <w:p>
      <w:pPr>
        <w:ind w:right="140" w:firstLine="397"/>
        <w:spacing w:after="0" w:line="267" w:lineRule="auto"/>
        <w:rPr>
          <w:sz w:val="20"/>
          <w:szCs w:val="20"/>
          <w:color w:val="auto"/>
        </w:rPr>
      </w:pPr>
      <w:r>
        <w:rPr>
          <w:rFonts w:ascii="Arial" w:cs="Arial" w:eastAsia="Arial" w:hAnsi="Arial"/>
          <w:sz w:val="17"/>
          <w:szCs w:val="17"/>
          <w:color w:val="auto"/>
        </w:rPr>
        <w:t>We have no unmasked clinical data regarding the safety and efficacy of Zimura as a treatment for STGD1. As STGD1 is an orphan indication, to our knowledge there is only very limited natural history data currently available regarding the variability of our planned primary efficacy endpoint in the STGD1 patient population we enrolled in this trial. Moreover, because Stargardt disease, like GA, is a degenerative disease, and in many cases, the rate of degeneration is slow, and because we are seeking to slow the progression of degeneration with Zimura, and not necessarily to reverse prior degeneration or restore visual function, patients participating in our STAR trial, who are generally younger and may experience vision loss that is more subtle than patients with GA or other forms of AMD, may not perceive a benefit from continuing to participate and therefore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may drop out of this trial or miss scheduled visits and treatments. This risk is particularly magnified during the COVID-19 pandemic, which may cause our patients to voluntarily or involuntarily drop out of the trial or miss scheduled visits and treatments in greater numbers than before. Although we and the investigators and their staffs take efforts to encourage continued patient participation, the dropout rate may exceed our expectations. A higher than expected dropout rate would reduce the number of patients from whom data is available for analyzing the primary endpoint for this trial. Given the information above, our STAR trial could be underpowered to demonstrate a potential clinical benefit for Zimura in STGD1 with statistical significance.</w:t>
      </w:r>
    </w:p>
    <w:p>
      <w:pPr>
        <w:spacing w:after="0" w:line="151" w:lineRule="exact"/>
        <w:rPr>
          <w:sz w:val="20"/>
          <w:szCs w:val="20"/>
          <w:color w:val="auto"/>
        </w:rPr>
      </w:pPr>
    </w:p>
    <w:p>
      <w:pPr>
        <w:ind w:firstLine="397"/>
        <w:spacing w:after="0" w:line="250" w:lineRule="auto"/>
        <w:rPr>
          <w:sz w:val="20"/>
          <w:szCs w:val="20"/>
          <w:color w:val="auto"/>
        </w:rPr>
      </w:pPr>
      <w:r>
        <w:rPr>
          <w:rFonts w:ascii="Arial" w:cs="Arial" w:eastAsia="Arial" w:hAnsi="Arial"/>
          <w:sz w:val="18"/>
          <w:szCs w:val="18"/>
          <w:color w:val="auto"/>
        </w:rPr>
        <w:t>We have decided to enroll approximately 25 additional patients in this trial, with the goal of enrolling a total of approximately 120 patients. This change to the trial will increase the costs associated with this trial and has delayed the timelines for receipt of data from this trial. We believe an expanded trial could allow us to collect additional data regarding the effect of Zimura on STGD1 patients and help us mitigate the risks from additional patient dropouts and missed visits; however, these expectations may prove to be incorrect. We are continuing to recruit and enroll patients in this trial. Patient recruitment may take longer or cost more than we would expect.</w:t>
      </w:r>
    </w:p>
    <w:p>
      <w:pPr>
        <w:spacing w:after="0" w:line="194"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b w:val="1"/>
          <w:bCs w:val="1"/>
          <w:i w:val="1"/>
          <w:iCs w:val="1"/>
          <w:color w:val="auto"/>
        </w:rPr>
        <w:t>The COVID-19 pandemic has affected and may continue to affect the initiation and conduct of our clinical trials, including the retention of patients for our GATHER2 clinical trial and patient recruitment and retention for our STAR clinical trial. It may have long-lasting effects on the conduct of clinical trials, which can make our ongoing and any future trials more difficult, costly or time consuming.</w:t>
      </w:r>
    </w:p>
    <w:p>
      <w:pPr>
        <w:spacing w:after="0" w:line="171" w:lineRule="exact"/>
        <w:rPr>
          <w:sz w:val="20"/>
          <w:szCs w:val="20"/>
          <w:color w:val="auto"/>
        </w:rPr>
      </w:pPr>
    </w:p>
    <w:p>
      <w:pPr>
        <w:ind w:right="60" w:firstLine="397"/>
        <w:spacing w:after="0" w:line="312" w:lineRule="auto"/>
        <w:rPr>
          <w:sz w:val="20"/>
          <w:szCs w:val="20"/>
          <w:color w:val="auto"/>
        </w:rPr>
      </w:pPr>
      <w:r>
        <w:rPr>
          <w:rFonts w:ascii="Arial" w:cs="Arial" w:eastAsia="Arial" w:hAnsi="Arial"/>
          <w:sz w:val="15"/>
          <w:szCs w:val="15"/>
          <w:color w:val="auto"/>
        </w:rPr>
        <w:t>Our GATHER1, GATHER2 and STAR trials involve sites located across the United States and in many countries outside the United States. At the start of the COVID-19 pandemic in early 2020, we were conducting startup activities for the GATHER2 trial, and we were in the process of completing patient visits for our GATHER1 trial and those of the initially enrolled patients in the STAR trial. We have made a number of operational changes to our clinical trials as a result of the COVID-19 pandemic, its effects on current and prospective participating patients, and various governmental and other measures in response to the pandemic. As the COVID-19 pandemic evolves, we may make further changes to how we conduct our ongoing and any future clinical trials.</w:t>
      </w:r>
    </w:p>
    <w:p>
      <w:pPr>
        <w:spacing w:after="0" w:line="177" w:lineRule="exact"/>
        <w:rPr>
          <w:sz w:val="20"/>
          <w:szCs w:val="20"/>
          <w:color w:val="auto"/>
        </w:rPr>
      </w:pPr>
    </w:p>
    <w:p>
      <w:pPr>
        <w:ind w:right="40" w:firstLine="397"/>
        <w:spacing w:after="0" w:line="265" w:lineRule="auto"/>
        <w:rPr>
          <w:sz w:val="20"/>
          <w:szCs w:val="20"/>
          <w:color w:val="auto"/>
        </w:rPr>
      </w:pPr>
      <w:r>
        <w:rPr>
          <w:rFonts w:ascii="Arial" w:cs="Arial" w:eastAsia="Arial" w:hAnsi="Arial"/>
          <w:sz w:val="17"/>
          <w:szCs w:val="17"/>
          <w:color w:val="auto"/>
        </w:rPr>
        <w:t>Patient enrollment, missed patient visits and patient retention remain key risks for our clinical trials. Due to the COVID-19 pandemic, we delayed the initiation of patient enrollment for the GATHER2 trial from March 2020 to June 2020. Even though we have completed patient enrollment for GATHER2, we are continuing to enroll patients in the STAR trial, where we may choose to or be required to slow down or stop patient enrollment in certain geographies due to the COVID-19 pandemic and any governmental measures taken in response. Patients, in turn, may be reluctant to enroll in clinical trials or to maintain their scheduled visits and treatments once enrolled due to their reluctance to visit clinical trial sites for fear of potential exposure to COVID-19 or ongoing restrictive measures requiring social distancing or limiting travel. These concerns may particularly apply to GA patients, many of whom are elderly and therefore at a higher risk for COVID-19 and other diseases than the general population.</w:t>
      </w:r>
    </w:p>
    <w:p>
      <w:pPr>
        <w:spacing w:after="0" w:line="212" w:lineRule="exact"/>
        <w:rPr>
          <w:sz w:val="20"/>
          <w:szCs w:val="20"/>
          <w:color w:val="auto"/>
        </w:rPr>
      </w:pPr>
    </w:p>
    <w:p>
      <w:pPr>
        <w:ind w:right="60" w:firstLine="397"/>
        <w:spacing w:after="0" w:line="302" w:lineRule="auto"/>
        <w:rPr>
          <w:sz w:val="20"/>
          <w:szCs w:val="20"/>
          <w:color w:val="auto"/>
        </w:rPr>
      </w:pPr>
      <w:r>
        <w:rPr>
          <w:rFonts w:ascii="Arial" w:cs="Arial" w:eastAsia="Arial" w:hAnsi="Arial"/>
          <w:sz w:val="15"/>
          <w:szCs w:val="15"/>
          <w:color w:val="auto"/>
        </w:rPr>
        <w:t>For patients who are enrolled in our trials, the COVID-19 pandemic may cause them to miss study visits or drop out in greater numbers than expected, which could affect our ability to complete our trials and obtain data in accordance with our expectations. Compared to the generally elderly patients in our GATHER2 trial, the patients in the STAR trial are generally younger and have work and family commitments, which may cause them to miss more visits or drop out in greater numbers. In addition to the risks posed by increased patient dropouts, if patients miss scheduled visits in greater numbers as a result of the pandemic, especially if a patient misses consecutive visits, it may affect our ability to draw meaningful conclusions from the clinical data. We are aware that a number of patients initially enrolled in the STAR trial missed consecutive visits during the early months of the COVID-19 pandemic and that a number of patients in our Latin America sites for GATHER2 missed visits because of the COVID-19 pandemic.We do not know yet whether the number of missed visits will increase or decrease in any of these trials, and whether and to what extent missed visits may impact patient retention in these trials or the results of the trials, especially since we are masked to the data until the conclusion of the trials. The duration of the GATHER2 and STAR trials, at 24 months and 18 months, respectively, plus time for recruiting patients, makes them more likely to be affected by any subsequent waves of the COVID-19 pandemic.</w:t>
      </w:r>
    </w:p>
    <w:p>
      <w:pPr>
        <w:spacing w:after="0" w:line="188" w:lineRule="exact"/>
        <w:rPr>
          <w:sz w:val="20"/>
          <w:szCs w:val="20"/>
          <w:color w:val="auto"/>
        </w:rPr>
      </w:pPr>
    </w:p>
    <w:p>
      <w:pPr>
        <w:ind w:right="240" w:firstLine="397"/>
        <w:spacing w:after="0" w:line="309" w:lineRule="auto"/>
        <w:rPr>
          <w:sz w:val="20"/>
          <w:szCs w:val="20"/>
          <w:color w:val="auto"/>
        </w:rPr>
      </w:pPr>
      <w:r>
        <w:rPr>
          <w:rFonts w:ascii="Arial" w:cs="Arial" w:eastAsia="Arial" w:hAnsi="Arial"/>
          <w:sz w:val="15"/>
          <w:szCs w:val="15"/>
          <w:color w:val="auto"/>
        </w:rPr>
        <w:t>The COVID-19 pandemic has caused many of our clinical trial sites and competent health authorities and ethics committees in certain countries to reduce their staff and operations. In 2020, this reduction in operations resulted in delays to the approval of and the site activation process for the GATHER2 trial in certain geographies. During late 2020 to early 2021, a number of our clinical trial sites scaled back their operations because of surges in COVID-19 cases or new lockdown measures being imposed. We expect to initiate our planned clinical trial studying Zimura in intermediate AMD during 2022 and we plan to use many of the same sites that are in the GATHER2 trial. The sites may be assisting with database lock and related activities for GATHER2 around the same time that they may be preparing for and starting up the intermediate AMD trial. If any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reductions in staff and operations continue to persist at the sites at that time, it may affect our conduct of the ongoing GATHER2 and planned intermediate AMD trials. Shortages of vaccines, personal protective equipment and other supplies for the prevention of COVID-19 and the proliferation of new variants of COVID-19 may cause our clinical trial sites to further scale back the number of staff on site and other operations, and may also cause prospective or enrolled patients to avoid clinical trial visits.</w:t>
      </w:r>
    </w:p>
    <w:p>
      <w:pPr>
        <w:spacing w:after="0" w:line="191" w:lineRule="exact"/>
        <w:rPr>
          <w:sz w:val="20"/>
          <w:szCs w:val="20"/>
          <w:color w:val="auto"/>
        </w:rPr>
      </w:pPr>
    </w:p>
    <w:p>
      <w:pPr>
        <w:ind w:right="40" w:firstLine="397"/>
        <w:spacing w:after="0" w:line="309" w:lineRule="auto"/>
        <w:rPr>
          <w:sz w:val="20"/>
          <w:szCs w:val="20"/>
          <w:color w:val="auto"/>
        </w:rPr>
      </w:pPr>
      <w:r>
        <w:rPr>
          <w:rFonts w:ascii="Arial" w:cs="Arial" w:eastAsia="Arial" w:hAnsi="Arial"/>
          <w:sz w:val="15"/>
          <w:szCs w:val="15"/>
          <w:color w:val="auto"/>
        </w:rPr>
        <w:t>In addition to the disruptions to the operations of many clinical trial sites, the COVID-19 pandemic affected our monitoring and audit operations, for example, by requiring remote monitoring, remote source document verification and remote auditing in many instances. Some countries prohibit or limit remote source document verification due to privacy and other concerns. During 2020 and until recently, we experienced difficulties and delays in performing audits on most of our clinical trial sites because of privacy and other concerns with remote auditing. Although we do not believe the COVID-19 pandemic has materially affected the robustness of our data verification process for the GATHER1 trial, we or regulatory authorities may find data verification discrepancies upon reviewing the data from the trial. This risk may also affect our data verification processes for the GATHER2 and STAR trials.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development of IC-500 is also based on a novel mechanism of action that is unproven and poses a number of scientific and other risks.</w:t>
      </w:r>
    </w:p>
    <w:p>
      <w:pPr>
        <w:spacing w:after="0" w:line="252" w:lineRule="exact"/>
        <w:rPr>
          <w:sz w:val="20"/>
          <w:szCs w:val="20"/>
          <w:color w:val="auto"/>
        </w:rPr>
      </w:pPr>
    </w:p>
    <w:p>
      <w:pPr>
        <w:ind w:firstLine="397"/>
        <w:spacing w:after="0" w:line="263" w:lineRule="auto"/>
        <w:rPr>
          <w:sz w:val="20"/>
          <w:szCs w:val="20"/>
          <w:color w:val="auto"/>
        </w:rPr>
      </w:pPr>
      <w:r>
        <w:rPr>
          <w:rFonts w:ascii="Arial" w:cs="Arial" w:eastAsia="Arial" w:hAnsi="Arial"/>
          <w:sz w:val="17"/>
          <w:szCs w:val="17"/>
          <w:color w:val="auto"/>
        </w:rPr>
        <w:t>IC-500, our selected product candidate from our HtrA1 inhibitor program, is in preclinical development. There are no FDA or EMA approved products that utilize HtrA1 inhibition as a mechanism of action for treating ophthalmic diseases, including GA and other age-related retinal diseases for which we may develop IC-500, and this mechanism of action may not prove safe and effective for these diseases. Although other companies are pursuing HtrA1 inhibition as a strategy for treating retinal diseases, including Genentech in an ongoing Phase 2 clinical trial in GA, to date, there is limited published clinical data regarding the safety and efficacy of HtrA1 inhibition in the target patient population. We are also aware that Genentech recently commenced a clinical trial to assess the long-term safety and tolerability of its monoclonal antibody HtrA1 inhibitor. We made the decision to acquire our HtrA1 inhibitors program in 2018 based on our interpretation of the scientific literature and rationale for this potential target that suggest an association between HtrA1 and the risk for AMD, as well as a limited set of preclinical data generated by Inception 4 prior to the acquisition. Even though genetic and histologic findings correlate HtrA1 with AMD, the development and progression of AMD may not be affected by HtrA1 or may be more strongly affected by other genes. Our hypothesis that targeting inhibition of HtrA1 may be a safe and effective method of treating AMD may ultimately be incorrect, which would likely adversely affect the value of IC-500 and its continued development.</w:t>
      </w:r>
    </w:p>
    <w:p>
      <w:pPr>
        <w:spacing w:after="0" w:line="214" w:lineRule="exact"/>
        <w:rPr>
          <w:sz w:val="20"/>
          <w:szCs w:val="20"/>
          <w:color w:val="auto"/>
        </w:rPr>
      </w:pPr>
    </w:p>
    <w:p>
      <w:pPr>
        <w:ind w:firstLine="397"/>
        <w:spacing w:after="0" w:line="248" w:lineRule="auto"/>
        <w:rPr>
          <w:sz w:val="20"/>
          <w:szCs w:val="20"/>
          <w:color w:val="auto"/>
        </w:rPr>
      </w:pPr>
      <w:r>
        <w:rPr>
          <w:rFonts w:ascii="Arial" w:cs="Arial" w:eastAsia="Arial" w:hAnsi="Arial"/>
          <w:sz w:val="18"/>
          <w:szCs w:val="18"/>
          <w:color w:val="auto"/>
        </w:rPr>
        <w:t>To our knowledge, there are no suitable animal models for GA or dry AMD. This absence of a suitable animal model makes designing a proof of concept study to assess the preclinical efficacy of IC-500 difficult. To date, we have only generated limited preclinical data of IC-500 in animal studies and we are conducting and planning additional studies to assess the safety, pharmacokinetics and target engagement of IC-500 in animals, which ultimately may fail to produce favorable results. In addition, we have not had any formal or informal interactions with the FDA or other regulatory authorities regarding our development plans for IC-500. We do not know whether the FDA or other regulatory authorities will accept any preclinical proof of concept study we may propose, or other aspects of our development plans for IC-500. The FDA may require us to change our plans or conduct additional studies, which would increase our costs and delay our timelines.</w:t>
      </w:r>
    </w:p>
    <w:p>
      <w:pPr>
        <w:spacing w:after="0" w:line="225" w:lineRule="exact"/>
        <w:rPr>
          <w:sz w:val="20"/>
          <w:szCs w:val="20"/>
          <w:color w:val="auto"/>
        </w:rPr>
      </w:pPr>
    </w:p>
    <w:p>
      <w:pPr>
        <w:jc w:val="both"/>
        <w:spacing w:after="0" w:line="330" w:lineRule="auto"/>
        <w:rPr>
          <w:sz w:val="20"/>
          <w:szCs w:val="20"/>
          <w:color w:val="auto"/>
        </w:rPr>
      </w:pPr>
      <w:r>
        <w:rPr>
          <w:rFonts w:ascii="Arial" w:cs="Arial" w:eastAsia="Arial" w:hAnsi="Arial"/>
          <w:sz w:val="15"/>
          <w:szCs w:val="15"/>
          <w:b w:val="1"/>
          <w:bCs w:val="1"/>
          <w:i w:val="1"/>
          <w:iCs w:val="1"/>
          <w:color w:val="auto"/>
        </w:rPr>
        <w:t>Gene therapy is an emerging field of drug development that poses many scientific and other risks. We are refocusing our gene therapy development efforts from IC-100 and IC-200 to earlier stage research programs, and need to continue building our gene therapy capabilities. Our limited experience with gene therapy and the limited patient populations for our gene therapy programs may limit our ability to be successful or may delay our development efforts.</w:t>
      </w:r>
    </w:p>
    <w:p>
      <w:pPr>
        <w:spacing w:after="0" w:line="163"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Gene therapy is an emerging field of drug development with only a small number of gene replacement therapies having received FDA approval to date. Our gene therapy research and development programs, which we decided to undertake based on a review of a limited set of preclinical data, are still at an early stage. Even with promising preclinical data, there remains several areas of drug development risk, including translational science, manufacturing processes and materials, safety concerns, regulatory pathway and clinical trial design and execution, which pose particular uncertainty for our programs given the relatively limited development history of, and our limited prior experience with, gene therapies. Furthermore, the medical community's understanding of the genetic causes of many diseases continues to evolve and further research may change the medical community's views on what therapies and approaches are most effective for addressing certain diseases.</w:t>
      </w:r>
    </w:p>
    <w:p>
      <w:pPr>
        <w:spacing w:after="0" w:line="212" w:lineRule="exact"/>
        <w:rPr>
          <w:sz w:val="20"/>
          <w:szCs w:val="20"/>
          <w:color w:val="auto"/>
        </w:rPr>
      </w:pPr>
    </w:p>
    <w:p>
      <w:pPr>
        <w:jc w:val="both"/>
        <w:ind w:right="60" w:firstLine="397"/>
        <w:spacing w:after="0" w:line="255" w:lineRule="auto"/>
        <w:rPr>
          <w:sz w:val="20"/>
          <w:szCs w:val="20"/>
          <w:color w:val="auto"/>
        </w:rPr>
      </w:pPr>
      <w:r>
        <w:rPr>
          <w:rFonts w:ascii="Arial" w:cs="Arial" w:eastAsia="Arial" w:hAnsi="Arial"/>
          <w:sz w:val="18"/>
          <w:szCs w:val="18"/>
          <w:color w:val="auto"/>
        </w:rPr>
        <w:t>We are refocusing our gene therapy development efforts from IC-100 and IC-200 to earlier stage research programs that we plan to pursue internally. As previously disclosed, we observed inconclusive results from two preclinical toxicology studies for IC-100 and have been considering development options for this product candidate. With our company focusing our efforts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and prioritizing the development of Zimura, we are also considering our development options for IC-200. At this time, we plan to seek a collaborator or licensee for the future development and potential commercialization of these product candidates.</w:t>
      </w:r>
    </w:p>
    <w:p>
      <w:pPr>
        <w:spacing w:after="0" w:line="181" w:lineRule="exact"/>
        <w:rPr>
          <w:sz w:val="20"/>
          <w:szCs w:val="20"/>
          <w:color w:val="auto"/>
        </w:rPr>
      </w:pPr>
    </w:p>
    <w:p>
      <w:pPr>
        <w:ind w:right="20" w:firstLine="397"/>
        <w:spacing w:after="0" w:line="265" w:lineRule="auto"/>
        <w:rPr>
          <w:sz w:val="20"/>
          <w:szCs w:val="20"/>
          <w:color w:val="auto"/>
        </w:rPr>
      </w:pPr>
      <w:r>
        <w:rPr>
          <w:rFonts w:ascii="Arial" w:cs="Arial" w:eastAsia="Arial" w:hAnsi="Arial"/>
          <w:sz w:val="17"/>
          <w:szCs w:val="17"/>
          <w:color w:val="auto"/>
        </w:rPr>
        <w:t>For our miniCEP290 program and other minigene programs, we are pursuing research using a novel approach that is largely untested and presents various scientific and regulatory risks. To date, all the data generated for our miniCEP290 program are in a newborn mouse model for LCA10, and we do not know whether the effect we observed with these minigenes in mice will be replicated in other animals or humans. 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research efforts may not fully elucidate all of the physiological risks associated with a particular minigene and the associated expressed protein. For these and other reasons, promising minigene candidates that emerge from our gene therapy research programs may not succeed in later stage preclinical and clinical development.</w:t>
      </w:r>
    </w:p>
    <w:p>
      <w:pPr>
        <w:spacing w:after="0" w:line="181" w:lineRule="exact"/>
        <w:rPr>
          <w:sz w:val="20"/>
          <w:szCs w:val="20"/>
          <w:color w:val="auto"/>
        </w:rPr>
      </w:pPr>
    </w:p>
    <w:p>
      <w:pPr>
        <w:ind w:right="40" w:firstLine="397"/>
        <w:spacing w:after="0" w:line="267" w:lineRule="auto"/>
        <w:rPr>
          <w:sz w:val="20"/>
          <w:szCs w:val="20"/>
          <w:color w:val="auto"/>
        </w:rPr>
      </w:pPr>
      <w:r>
        <w:rPr>
          <w:rFonts w:ascii="Arial" w:cs="Arial" w:eastAsia="Arial" w:hAnsi="Arial"/>
          <w:sz w:val="17"/>
          <w:szCs w:val="17"/>
          <w:color w:val="auto"/>
        </w:rPr>
        <w:t>We have particularly focused on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179" w:lineRule="exact"/>
        <w:rPr>
          <w:sz w:val="20"/>
          <w:szCs w:val="20"/>
          <w:color w:val="auto"/>
        </w:rPr>
      </w:pPr>
    </w:p>
    <w:p>
      <w:pPr>
        <w:ind w:right="40" w:firstLine="397"/>
        <w:spacing w:after="0" w:line="250" w:lineRule="auto"/>
        <w:rPr>
          <w:sz w:val="20"/>
          <w:szCs w:val="20"/>
          <w:color w:val="auto"/>
        </w:rPr>
      </w:pPr>
      <w:r>
        <w:rPr>
          <w:rFonts w:ascii="Arial" w:cs="Arial" w:eastAsia="Arial" w:hAnsi="Arial"/>
          <w:sz w:val="18"/>
          <w:szCs w:val="18"/>
          <w:color w:val="auto"/>
        </w:rPr>
        <w:t>As we pursue our gene therapy research programs, we expect we will need to continue to grow our own gene therapy scientific and technical capabilities through hiring internally and seeking assistance from outside service providers. We believe 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any promising product candidates that emerge from our gene therapy research programs.</w:t>
      </w:r>
    </w:p>
    <w:p>
      <w:pPr>
        <w:spacing w:after="0" w:line="194" w:lineRule="exact"/>
        <w:rPr>
          <w:sz w:val="20"/>
          <w:szCs w:val="20"/>
          <w:color w:val="auto"/>
        </w:rPr>
      </w:pPr>
    </w:p>
    <w:p>
      <w:pPr>
        <w:ind w:right="20" w:firstLine="397"/>
        <w:spacing w:after="0" w:line="264" w:lineRule="auto"/>
        <w:rPr>
          <w:sz w:val="20"/>
          <w:szCs w:val="20"/>
          <w:color w:val="auto"/>
        </w:rPr>
      </w:pPr>
      <w:r>
        <w:rPr>
          <w:rFonts w:ascii="Arial" w:cs="Arial" w:eastAsia="Arial" w:hAnsi="Arial"/>
          <w:sz w:val="17"/>
          <w:szCs w:val="17"/>
          <w:color w:val="auto"/>
        </w:rPr>
        <w:t>We have not previously conducted any clinical development involving gene therapies and, if and when we are ready to conduct our first gene therapy clinical trial, we will need to build our internal and external capabilities in designing and executing a gene therapy clinical trial. There are many known and unknown risks involved in translating preclinical development of gene therapies to clinical development, including selecting appropriate endpoints and dosage levels for dosing humans based on preclinical data. Many of the indications for which we are pursuing our gene therapy programs have limited natural history data and limited number of therapies in clinical development, which may make selecting an appropriate endpoint difficult. Furthermore, our gene therapy programs are targeting orphan diseases with relatively small populations, which limits the pool of potential patients for our gene therapy clinical trials. Because gene therapy trials generally require patients who have not previously received any other therapy for the same indication, we will also need to compete for the same group of potential clinical trial patients with our competitors who are also developing therapies for these same indications. If we are unable to initiate and conduct our gene therapy clinical trials in a manner that satisfies our expectations or regulatory requirements, the value of our gene therapy programs may be diminished.</w:t>
      </w:r>
    </w:p>
    <w:p>
      <w:pPr>
        <w:spacing w:after="0" w:line="182" w:lineRule="exact"/>
        <w:rPr>
          <w:sz w:val="20"/>
          <w:szCs w:val="20"/>
          <w:color w:val="auto"/>
        </w:rPr>
      </w:pPr>
    </w:p>
    <w:p>
      <w:pPr>
        <w:jc w:val="both"/>
        <w:ind w:right="180" w:firstLine="397"/>
        <w:spacing w:after="0" w:line="255" w:lineRule="auto"/>
        <w:rPr>
          <w:sz w:val="20"/>
          <w:szCs w:val="20"/>
          <w:color w:val="auto"/>
        </w:rPr>
      </w:pPr>
      <w:r>
        <w:rPr>
          <w:rFonts w:ascii="Arial" w:cs="Arial" w:eastAsia="Arial" w:hAnsi="Arial"/>
          <w:sz w:val="18"/>
          <w:szCs w:val="18"/>
          <w:color w:val="auto"/>
        </w:rPr>
        <w:t>For a further discussion of the risks associated with the manufacturing of gene therapy products, see the risk factor herein entitled “</w:t>
      </w:r>
      <w:r>
        <w:rPr>
          <w:rFonts w:ascii="Arial" w:cs="Arial" w:eastAsia="Arial" w:hAnsi="Arial"/>
          <w:sz w:val="18"/>
          <w:szCs w:val="18"/>
          <w:i w:val="1"/>
          <w:iCs w:val="1"/>
          <w:color w:val="auto"/>
        </w:rPr>
        <w:t>The manufacture of</w:t>
      </w:r>
      <w:r>
        <w:rPr>
          <w:rFonts w:ascii="Arial" w:cs="Arial" w:eastAsia="Arial" w:hAnsi="Arial"/>
          <w:sz w:val="18"/>
          <w:szCs w:val="18"/>
          <w:color w:val="auto"/>
        </w:rPr>
        <w:t xml:space="preserve"> </w:t>
      </w:r>
      <w:r>
        <w:rPr>
          <w:rFonts w:ascii="Arial" w:cs="Arial" w:eastAsia="Arial" w:hAnsi="Arial"/>
          <w:sz w:val="18"/>
          <w:szCs w:val="18"/>
          <w:i w:val="1"/>
          <w:iCs w:val="1"/>
          <w:color w:val="auto"/>
        </w:rPr>
        <w:t>gene therapy products is complex with a number of scientific and technical risks, some of which are common to the manufacture of drugs and biologics and others are unique to the manufacture of gene therapies.”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such product candidates. There are a number of known safety risks associated with our product candidates and currently unknown safety issues may arise during development.</w:t>
      </w:r>
    </w:p>
    <w:p>
      <w:pPr>
        <w:spacing w:after="0" w:line="95" w:lineRule="exact"/>
        <w:rPr>
          <w:sz w:val="20"/>
          <w:szCs w:val="20"/>
          <w:color w:val="auto"/>
        </w:rPr>
      </w:pPr>
    </w:p>
    <w:p>
      <w:pPr>
        <w:ind w:right="140" w:firstLine="397"/>
        <w:spacing w:after="0" w:line="312" w:lineRule="auto"/>
        <w:rPr>
          <w:sz w:val="20"/>
          <w:szCs w:val="20"/>
          <w:color w:val="auto"/>
        </w:rPr>
      </w:pPr>
      <w:r>
        <w:rPr>
          <w:rFonts w:ascii="Arial" w:cs="Arial" w:eastAsia="Arial" w:hAnsi="Arial"/>
          <w:sz w:val="15"/>
          <w:szCs w:val="15"/>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drugs that initially showed promise in clinical or earlier stage testing have later been found to cause side effects that prevented further development. Safety issues may arise due to reasons unrelated to the study drug, such as issues with the injection procedure or the syringes or needles being used.</w:t>
      </w:r>
    </w:p>
    <w:p>
      <w:pPr>
        <w:spacing w:after="0" w:line="151"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In our completed clinical trials for Zimura, we have observed only a single adverse event, mild subcapsular cataract, from our OPH2000 trial, assessed to be drug-related by participating investigators. Although not reported as related to Zimura by investigators, we observed an increase in the number of investigator-reported cases of choroidal neovascularization, or CNV, in the Zimura treatment groups in the GATHER1 trial as compared to the sham control groups. Additionally, we learned from our</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independent masked reading center that the retinal images of one of the patients in the Zimura 4 mg group showed evidence of CNV in the study eye that was not reported by the investigator. For the GATHER2 trial, because we are asking investigators to perform monthly OCT imaging and to submit cases where patients experience a decrease in visual acuity of five or more ETDRS letters between successive visits to the independent reading center for confirmation by multi-modal imaging, in addition to the cases the investigator suspects to be CNV, we may observe a higher rate of CNV cases in the GATHER2 trial, including, potentially in the Zimura 2 mg treatment group as compared to the sham group. We have no unmasked data regarding the safety, tolerability or efficacy of Zimura administered for the treatment of STGD1 or intermediate AMD. We have no human data regarding IC-500.</w:t>
      </w:r>
    </w:p>
    <w:p>
      <w:pPr>
        <w:spacing w:after="0" w:line="59" w:lineRule="exact"/>
        <w:rPr>
          <w:sz w:val="20"/>
          <w:szCs w:val="20"/>
          <w:color w:val="auto"/>
        </w:rPr>
      </w:pPr>
    </w:p>
    <w:p>
      <w:pPr>
        <w:ind w:firstLine="397"/>
        <w:spacing w:after="0" w:line="301" w:lineRule="auto"/>
        <w:rPr>
          <w:sz w:val="20"/>
          <w:szCs w:val="20"/>
          <w:color w:val="auto"/>
        </w:rPr>
      </w:pPr>
      <w:r>
        <w:rPr>
          <w:rFonts w:ascii="Arial" w:cs="Arial" w:eastAsia="Arial" w:hAnsi="Arial"/>
          <w:sz w:val="15"/>
          <w:szCs w:val="15"/>
          <w:color w:val="auto"/>
        </w:rPr>
        <w:t>Our clinical trials for Zimura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For example, although we view the rate of CNV incidence in the Zimura treatment groups, as compared to the corresponding sham control groups, as acceptable and within the range observed in other clinical trials of complement inhibitors in development for GA, the FDA, EMA, other regulatory authorities, treating physicians or patients may not agree, concluding that Zimura may increase the risk of patients developing CNV to an unacceptable degree. Moreover, our clinical trials for Zimura involve multiple intravitreal injections over an extended period of time and, as such, may involve risks involved with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Zimura. An unforeseen or unexpected safety event, or any safety finding that is inconsistent with our prior experience with Zimura, from any of our clinical trials for Zimura, including from the GATHER2 trial during which we will follow patients and collect safety data over 24 months, may impact our ability to continue to develop Zimura or the long-term viability of Zimura as a potential treatment for GA, intermediate AMD, STGD1 or any other indication for which we may seek to develop Zimura.</w:t>
      </w:r>
    </w:p>
    <w:p>
      <w:pPr>
        <w:spacing w:after="0" w:line="376" w:lineRule="exact"/>
        <w:rPr>
          <w:sz w:val="20"/>
          <w:szCs w:val="20"/>
          <w:color w:val="auto"/>
        </w:rPr>
      </w:pPr>
    </w:p>
    <w:p>
      <w:pPr>
        <w:ind w:firstLine="397"/>
        <w:spacing w:after="0" w:line="330" w:lineRule="auto"/>
        <w:rPr>
          <w:sz w:val="20"/>
          <w:szCs w:val="20"/>
          <w:color w:val="auto"/>
        </w:rPr>
      </w:pPr>
      <w:r>
        <w:rPr>
          <w:rFonts w:ascii="Arial" w:cs="Arial" w:eastAsia="Arial" w:hAnsi="Arial"/>
          <w:sz w:val="15"/>
          <w:szCs w:val="15"/>
          <w:color w:val="auto"/>
        </w:rPr>
        <w:t>As HtrA1 inhibition is a novel treatment approach for treating ocular disease, this treatment approach may present potentially unknown safety risks when tested in clinical trials that could not have been anticipated based on preclinical studies, including the tolerability studies we are conducting. In addition, we intend to administer IC-500 by intravitreal injection, which poses the same safety risks outlined above with respect to intravitreal injections of Zimura.</w:t>
      </w:r>
    </w:p>
    <w:p>
      <w:pPr>
        <w:spacing w:after="0" w:line="137" w:lineRule="exact"/>
        <w:rPr>
          <w:sz w:val="20"/>
          <w:szCs w:val="20"/>
          <w:color w:val="auto"/>
        </w:rPr>
      </w:pPr>
    </w:p>
    <w:p>
      <w:pPr>
        <w:ind w:right="80" w:firstLine="397"/>
        <w:spacing w:after="0" w:line="263" w:lineRule="auto"/>
        <w:rPr>
          <w:sz w:val="20"/>
          <w:szCs w:val="20"/>
          <w:color w:val="auto"/>
        </w:rPr>
      </w:pPr>
      <w:r>
        <w:rPr>
          <w:rFonts w:ascii="Arial" w:cs="Arial" w:eastAsia="Arial" w:hAnsi="Arial"/>
          <w:sz w:val="17"/>
          <w:szCs w:val="17"/>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retinal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The margin for error with subretinal injections is extremely low and there are a limited number of retinal surgeons with experience in performing subretinal injections in the eye. In order to generate useful clinical data for gene therapy clinical trials, one or more retinal surgeons must repeat the same subretinal injection procedure in multiple patients with consistency across patients and surgeons. In the event that we progress into clinical development with a gene therapy product candidate, we may experience delays or other challenges for our gene therapy development programs as a result of safety issues.</w:t>
      </w:r>
    </w:p>
    <w:p>
      <w:pPr>
        <w:spacing w:after="0" w:line="188" w:lineRule="exact"/>
        <w:rPr>
          <w:sz w:val="20"/>
          <w:szCs w:val="20"/>
          <w:color w:val="auto"/>
        </w:rPr>
      </w:pPr>
    </w:p>
    <w:p>
      <w:pPr>
        <w:ind w:right="60" w:firstLine="397"/>
        <w:spacing w:after="0" w:line="312" w:lineRule="auto"/>
        <w:rPr>
          <w:sz w:val="20"/>
          <w:szCs w:val="20"/>
          <w:color w:val="auto"/>
        </w:rPr>
      </w:pPr>
      <w:r>
        <w:rPr>
          <w:rFonts w:ascii="Arial" w:cs="Arial" w:eastAsia="Arial" w:hAnsi="Arial"/>
          <w:sz w:val="15"/>
          <w:szCs w:val="15"/>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The safety profile of minigenes and their associated proteins in humans remains largely unknown. If gene therapies prove to be unsafe for humans, we likely will need to curtail or eliminate our gene therapy development programs.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i w:val="1"/>
          <w:iCs w:val="1"/>
          <w:color w:val="auto"/>
        </w:rPr>
        <w:t>We do not have any internal manufacturing capabilities and use third parties to manufacture our product candidates on a contract or purchase order basis. We may encounter manufacturing issues that could cause delays in our development programs or increase costs. We may experience delays in regulatory approval of our product candidates if we or our contract manufacturers do not satisfy applicable regulatory requirements. If any of our product candidates is approved, a manufacturing issue could result in product shortages, which could impair our ability to commercialize our products and generate revenue.</w:t>
      </w:r>
    </w:p>
    <w:p>
      <w:pPr>
        <w:spacing w:after="0" w:line="194" w:lineRule="exact"/>
        <w:rPr>
          <w:sz w:val="20"/>
          <w:szCs w:val="20"/>
          <w:color w:val="auto"/>
        </w:rPr>
      </w:pPr>
    </w:p>
    <w:p>
      <w:pPr>
        <w:ind w:right="160" w:firstLine="397"/>
        <w:spacing w:after="0" w:line="267" w:lineRule="auto"/>
        <w:rPr>
          <w:sz w:val="20"/>
          <w:szCs w:val="20"/>
          <w:color w:val="auto"/>
        </w:rPr>
      </w:pPr>
      <w:r>
        <w:rPr>
          <w:rFonts w:ascii="Arial" w:cs="Arial" w:eastAsia="Arial" w:hAnsi="Arial"/>
          <w:sz w:val="17"/>
          <w:szCs w:val="17"/>
          <w:color w:val="auto"/>
        </w:rPr>
        <w:t>We do not have internal manufacturing facilities and use or plan to use outside contract manufacturers to manufacture Zimura, IC-500 and any other product candidates that we may acquire or in-license. The manufacturing processes for our product candidates are technically complex. Problems with developing, executing or scaling up the manufacturing process, even minor deviations from the established process, could result in product defects or manufacturing failures that result in lot failures, product recalls, product liability claims, insufficient inventory or delays to our programs. We may encounter problems achieving adequate quantities and quality of clinical-grade or commercial-grade materials that meet FDA, EMA or other applicable standards or specifications with consistent and acceptable production yields and costs.</w:t>
      </w:r>
    </w:p>
    <w:p>
      <w:pPr>
        <w:spacing w:after="0" w:line="179" w:lineRule="exact"/>
        <w:rPr>
          <w:sz w:val="20"/>
          <w:szCs w:val="20"/>
          <w:color w:val="auto"/>
        </w:rPr>
      </w:pPr>
    </w:p>
    <w:p>
      <w:pPr>
        <w:ind w:right="40" w:firstLine="397"/>
        <w:spacing w:after="0" w:line="302" w:lineRule="auto"/>
        <w:rPr>
          <w:sz w:val="20"/>
          <w:szCs w:val="20"/>
          <w:color w:val="auto"/>
        </w:rPr>
      </w:pPr>
      <w:r>
        <w:rPr>
          <w:rFonts w:ascii="Arial" w:cs="Arial" w:eastAsia="Arial" w:hAnsi="Arial"/>
          <w:sz w:val="15"/>
          <w:szCs w:val="15"/>
          <w:color w:val="auto"/>
        </w:rPr>
        <w:t>In addition, we have a limited number of personnel hired to supervise our outside contract manufacturers and, as we prepare for potential commercialization of Zimura, we expect we will need to increase our manufacturing personnel and bolster our quality control and quality assurance capabilities. We may encounter problems hiring and retaining scientific, manufacturing and quality assurance and control personnel needed to oversee our contract manufacturers, which could result in delays in our production or difficulties in maintaining compliance with applicable regulatory requirements. As our contract manufacturer scales up manufacturing of any product candidate, we may encounter unexpected issues relating to the manufacturing processes or the quality, purity or stability of the product, and we may be required to refine or alter our manufacturing processes to address these issues, or may need to use an alternative manufacturer. Resolving these issues could result in significant delays and may result in significantly increased costs. If we underestimate the demand for an approved product, given the long lead times required to manufacture or obtain regulatory approvals for our products and/or manufacturing facilities,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62" w:lineRule="exact"/>
        <w:rPr>
          <w:sz w:val="20"/>
          <w:szCs w:val="20"/>
          <w:color w:val="auto"/>
        </w:rPr>
      </w:pPr>
    </w:p>
    <w:p>
      <w:pPr>
        <w:ind w:right="40" w:firstLine="397"/>
        <w:spacing w:after="0" w:line="305" w:lineRule="auto"/>
        <w:rPr>
          <w:sz w:val="20"/>
          <w:szCs w:val="20"/>
          <w:color w:val="auto"/>
        </w:rPr>
      </w:pPr>
      <w:r>
        <w:rPr>
          <w:rFonts w:ascii="Arial" w:cs="Arial" w:eastAsia="Arial" w:hAnsi="Arial"/>
          <w:sz w:val="15"/>
          <w:szCs w:val="15"/>
          <w:color w:val="auto"/>
        </w:rPr>
        <w:t>The manufacturing processes and the facilities of our third-party manufacturers are subject to inspection and approval by the FDA, referred to as a pre-approval inspection, before we can commence the commercial sale of any approved product candidate, and thereafter on an ongoing basis. None of our third-party manufacturers have undergone a pre-approval inspection by the FDA for Zimura or any of our other product candidates. Failure by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141" w:lineRule="exact"/>
        <w:rPr>
          <w:sz w:val="20"/>
          <w:szCs w:val="20"/>
          <w:color w:val="auto"/>
        </w:rPr>
      </w:pPr>
    </w:p>
    <w:p>
      <w:pPr>
        <w:ind w:right="60" w:firstLine="397"/>
        <w:spacing w:after="0" w:line="229" w:lineRule="auto"/>
        <w:rPr>
          <w:sz w:val="20"/>
          <w:szCs w:val="20"/>
          <w:color w:val="auto"/>
        </w:rPr>
      </w:pPr>
      <w:r>
        <w:rPr>
          <w:rFonts w:ascii="Arial" w:cs="Arial" w:eastAsia="Arial" w:hAnsi="Arial"/>
          <w:sz w:val="18"/>
          <w:szCs w:val="18"/>
          <w:color w:val="auto"/>
        </w:rPr>
        <w:t>Any problems in our manufacturing process or our third-party contract manufacturers’ facilities could make us a less attractive collaborator for potential collaborations, including with larger pharmaceutical companies. Problems in our manufacturing process or facilities also could restrict our ability to meet market demand for our products.</w:t>
      </w:r>
    </w:p>
    <w:p>
      <w:pPr>
        <w:spacing w:after="0" w:line="189" w:lineRule="exact"/>
        <w:rPr>
          <w:sz w:val="20"/>
          <w:szCs w:val="20"/>
          <w:color w:val="auto"/>
        </w:rPr>
      </w:pPr>
    </w:p>
    <w:p>
      <w:pPr>
        <w:ind w:firstLine="397"/>
        <w:spacing w:after="0" w:line="267" w:lineRule="auto"/>
        <w:rPr>
          <w:sz w:val="20"/>
          <w:szCs w:val="20"/>
          <w:color w:val="auto"/>
        </w:rPr>
      </w:pPr>
      <w:r>
        <w:rPr>
          <w:rFonts w:ascii="Arial" w:cs="Arial" w:eastAsia="Arial" w:hAnsi="Arial"/>
          <w:sz w:val="17"/>
          <w:szCs w:val="17"/>
          <w:color w:val="auto"/>
        </w:rPr>
        <w:t>For a further discussion of the risks associated with our reliance on third-party manufacturers, including the effects of the COVID-19 pandemic on our third-party manufacturers, see the risk factor herein entitled, “</w:t>
      </w:r>
      <w:r>
        <w:rPr>
          <w:rFonts w:ascii="Arial" w:cs="Arial" w:eastAsia="Arial" w:hAnsi="Arial"/>
          <w:sz w:val="17"/>
          <w:szCs w:val="17"/>
          <w:i w:val="1"/>
          <w:iCs w:val="1"/>
          <w:color w:val="auto"/>
        </w:rPr>
        <w:t>We contract with third parties for the manufacture of and for providing starting materials for our</w:t>
      </w:r>
      <w:r>
        <w:rPr>
          <w:rFonts w:ascii="Arial" w:cs="Arial" w:eastAsia="Arial" w:hAnsi="Arial"/>
          <w:sz w:val="17"/>
          <w:szCs w:val="17"/>
          <w:color w:val="auto"/>
        </w:rPr>
        <w:t xml:space="preserve"> </w:t>
      </w:r>
      <w:r>
        <w:rPr>
          <w:rFonts w:ascii="Arial" w:cs="Arial" w:eastAsia="Arial" w:hAnsi="Arial"/>
          <w:sz w:val="17"/>
          <w:szCs w:val="17"/>
          <w:i w:val="1"/>
          <w:iCs w:val="1"/>
          <w:color w:val="auto"/>
        </w:rPr>
        <w:t>product candidates for preclinical development activities and clinical trials and expect to continue to do so in the future, including to support potential commercialization.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b w:val="1"/>
          <w:bCs w:val="1"/>
          <w:i w:val="1"/>
          <w:iCs w:val="1"/>
          <w:color w:val="auto"/>
        </w:rPr>
        <w:t>Our experience manufacturing Zimura is limited. As we plan for the potential commercialization of Zimura, we and our third-party manufacturers will need to complete several activities to ensure the continued supply of drug product for ongoing and future clinical trials we conduct for Zimura and to support potential future commercial supply of Zimura. Any delay or failure in completing these activities could cause delays in the development of Zimura or its potential approval or could result in inadequate clinical or commercial product supply.</w:t>
      </w:r>
    </w:p>
    <w:p>
      <w:pPr>
        <w:spacing w:after="0" w:line="146" w:lineRule="exact"/>
        <w:rPr>
          <w:sz w:val="20"/>
          <w:szCs w:val="20"/>
          <w:color w:val="auto"/>
        </w:rPr>
      </w:pPr>
    </w:p>
    <w:p>
      <w:pPr>
        <w:ind w:right="40" w:firstLine="397"/>
        <w:spacing w:after="0" w:line="312" w:lineRule="auto"/>
        <w:rPr>
          <w:sz w:val="20"/>
          <w:szCs w:val="20"/>
          <w:color w:val="auto"/>
        </w:rPr>
      </w:pPr>
      <w:r>
        <w:rPr>
          <w:rFonts w:ascii="Arial" w:cs="Arial" w:eastAsia="Arial" w:hAnsi="Arial"/>
          <w:sz w:val="15"/>
          <w:szCs w:val="15"/>
          <w:color w:val="auto"/>
        </w:rPr>
        <w:t>In order to obtain and maintain regulatory approval for Zimura, our third-party manufacturers will be required to produce Zimura drug substance with consistent quality and to execute fill/finish services on a repeated basis and document their ability to do so. In order for us to successfully commercialize Zimura, if approved, our manufacturers also need to be able to produce quantities at a commercial scale. If our third-party manufacturers are unable to satisfy these requirements, our business would be materially and adversely affected. To date, we have not yet scaled up the manufacturing process for Zimura beyond the scale used for developmental clinical batches, nor have we validated the manufacturing process.</w:t>
      </w:r>
    </w:p>
    <w:p>
      <w:pPr>
        <w:spacing w:after="0" w:line="151" w:lineRule="exact"/>
        <w:rPr>
          <w:sz w:val="20"/>
          <w:szCs w:val="20"/>
          <w:color w:val="auto"/>
        </w:rPr>
      </w:pPr>
    </w:p>
    <w:p>
      <w:pPr>
        <w:ind w:right="60" w:firstLine="397"/>
        <w:spacing w:after="0" w:line="263" w:lineRule="auto"/>
        <w:rPr>
          <w:sz w:val="20"/>
          <w:szCs w:val="20"/>
          <w:color w:val="auto"/>
        </w:rPr>
      </w:pPr>
      <w:r>
        <w:rPr>
          <w:rFonts w:ascii="Arial" w:cs="Arial" w:eastAsia="Arial" w:hAnsi="Arial"/>
          <w:sz w:val="17"/>
          <w:szCs w:val="17"/>
          <w:color w:val="auto"/>
        </w:rPr>
        <w:t>In early 2017, we completed the small scale manufacture of multiple batches of Zimura drug substance that we are using to support clinical drug supply for the GATHER2 trial and the expanded STAR trial. Although we believe we have adequate Zimura drug substance for the GATHER2 trial and the expanded STAR trial, this supply may not be sufficient for our needs over the duration of the trials or for any additional trials we may conduct, including our planned clinical trial for Zimura in intermediate AMD. We are working with our historical contract manufacturer for Zimura drug substance, Agilent Technologies, Inc., or Agilent, to scale up and potentially validate the manufacturing process for Zimura drug substance. Agilent may not be successful in producing Zimura drug substance at a larger scale. In parallel, we are working with a new contract manufacturer with the goal of assessing whether this manufacturer can produce Zimura drug substance at an adequate scale for potential commercial use. We have experienced issues with technology transfer of the existing manufacturing process to this manufacturer, which has resulted in delays to our timelines with this manufacturer. Subject to successful completion of scale up and validation activities, we currently plan to use both Agilent and the new manufacturer for the future supply of Zimura drug substance. Validation requires that we demonstrate that the drug substance produced through the scaled up process can be produced consistently, delivering quality product within a range of acceptable specifications.</w:t>
      </w:r>
    </w:p>
    <w:p>
      <w:pPr>
        <w:spacing w:after="0" w:line="214" w:lineRule="exact"/>
        <w:rPr>
          <w:sz w:val="20"/>
          <w:szCs w:val="20"/>
          <w:color w:val="auto"/>
        </w:rPr>
      </w:pPr>
    </w:p>
    <w:p>
      <w:pPr>
        <w:ind w:right="60" w:firstLine="397"/>
        <w:spacing w:after="0" w:line="248" w:lineRule="auto"/>
        <w:rPr>
          <w:sz w:val="20"/>
          <w:szCs w:val="20"/>
          <w:color w:val="auto"/>
        </w:rPr>
      </w:pPr>
      <w:r>
        <w:rPr>
          <w:rFonts w:ascii="Arial" w:cs="Arial" w:eastAsia="Arial" w:hAnsi="Arial"/>
          <w:sz w:val="18"/>
          <w:szCs w:val="18"/>
          <w:color w:val="auto"/>
        </w:rPr>
        <w:t>In 2020, we engaged a contract manufacturer to provide us with additional supply of finished Zimura drug product to support our needs for the GATHER2 trial and the expanded STAR trial. We expect that this contract manufacturer will be able to supply sufficient finished Zimura drug product for these two clinical trials. However, we may face issues with releasing batches of finished Zimura drug product produced by this contract manufacturer, or even if these batches can be successfully released, we may not have sufficient supply for our needs over the duration of these trials. In addition, we are working with our historical fill/finish manufacturer, Ajinomoto Bio-Pharma Services, or Ajinomoto, on fill/finish of Zimura drug product with a new vial, which we believe will allow us to support a more efficient and robust fill/finish operation at a commercial scale. We believe Ajinomoto has the capacity to supply us with finished Zimura drug product with the new vial for our expected commercial supply needs. If Ajinomoto is unable to provide us and/or a potential collaborator with Zimura drug product for potential commercial use, we will need to use alternative suppliers, which may increase our costs and delay our timelines.</w:t>
      </w:r>
    </w:p>
    <w:p>
      <w:pPr>
        <w:spacing w:after="0" w:line="222" w:lineRule="exact"/>
        <w:rPr>
          <w:sz w:val="20"/>
          <w:szCs w:val="20"/>
          <w:color w:val="auto"/>
        </w:rPr>
      </w:pPr>
    </w:p>
    <w:p>
      <w:pPr>
        <w:ind w:right="80" w:firstLine="397"/>
        <w:spacing w:after="0" w:line="248" w:lineRule="auto"/>
        <w:rPr>
          <w:sz w:val="20"/>
          <w:szCs w:val="20"/>
          <w:color w:val="auto"/>
        </w:rPr>
      </w:pPr>
      <w:r>
        <w:rPr>
          <w:rFonts w:ascii="Arial" w:cs="Arial" w:eastAsia="Arial" w:hAnsi="Arial"/>
          <w:sz w:val="18"/>
          <w:szCs w:val="18"/>
          <w:color w:val="auto"/>
        </w:rPr>
        <w:t>In order to obtain regulatory approval for Zimura, we expect we will need to demonstrate that the drug substance produced through the scaled up process, together with the finished drug product in the container closure system to be used commercially, are comparable to the drug substance and drug product we are currently using in our clinical trials. Under applicable regulatory guidance, comparability can be established through a combination of analytical, nonclinical or clinical data. Our plan to demonstrate comparability is subject to review by the FDA and other health authorities. If we are unable to sufficiently demonstrate comparability to the FDA or other health authorities, or if the FDA or other health authorities require analytical, nonclinical or clinical comparability data beyond what our plans currently provide for, our timelines to complete the development of and seek regulatory approval for Zimura could be impacted.</w:t>
      </w:r>
    </w:p>
    <w:p>
      <w:pPr>
        <w:spacing w:after="0" w:line="225" w:lineRule="exact"/>
        <w:rPr>
          <w:sz w:val="20"/>
          <w:szCs w:val="20"/>
          <w:color w:val="auto"/>
        </w:rPr>
      </w:pPr>
    </w:p>
    <w:p>
      <w:pPr>
        <w:ind w:firstLine="397"/>
        <w:spacing w:after="0" w:line="267" w:lineRule="auto"/>
        <w:rPr>
          <w:sz w:val="20"/>
          <w:szCs w:val="20"/>
          <w:color w:val="auto"/>
        </w:rPr>
      </w:pPr>
      <w:r>
        <w:rPr>
          <w:rFonts w:ascii="Arial" w:cs="Arial" w:eastAsia="Arial" w:hAnsi="Arial"/>
          <w:sz w:val="17"/>
          <w:szCs w:val="17"/>
          <w:color w:val="auto"/>
        </w:rPr>
        <w:t>We order the PEG starting material used to make Zimura drug substance from a sole source third-party manufacturer outside the United States. We currently procure the supply on a purchase order basis and are in discussions regarding a long-term supply agreement with this manufacturer for the PEG starting material. However, we may not be able to agree to terms or may need to agree to unfavorable terms in order to secure adequate supply. We believe this supplier will have the capacity to supply the PEG at the scale that we expect we will need for commercial manufacturing. If this supplier is unable to supply us the PEG in line with our expectations, we believe there are a limited number of alternative suppliers for this critical raw material, and if we need to use those suppliers, it could increase our costs and delay our manufacturing plans for Zimura.</w:t>
      </w:r>
    </w:p>
    <w:p>
      <w:pPr>
        <w:spacing w:after="0" w:line="206" w:lineRule="exact"/>
        <w:rPr>
          <w:sz w:val="20"/>
          <w:szCs w:val="20"/>
          <w:color w:val="auto"/>
        </w:rPr>
      </w:pPr>
    </w:p>
    <w:p>
      <w:pPr>
        <w:ind w:right="20" w:firstLine="397"/>
        <w:spacing w:after="0" w:line="252" w:lineRule="auto"/>
        <w:rPr>
          <w:sz w:val="20"/>
          <w:szCs w:val="20"/>
          <w:color w:val="auto"/>
        </w:rPr>
      </w:pPr>
      <w:r>
        <w:rPr>
          <w:rFonts w:ascii="Arial" w:cs="Arial" w:eastAsia="Arial" w:hAnsi="Arial"/>
          <w:sz w:val="18"/>
          <w:szCs w:val="18"/>
          <w:color w:val="auto"/>
        </w:rPr>
        <w:t>Each of these activities is costly, time-consuming and uncertain in outcome. We may not be able to successfully scale up our manufacturing process for Zimura, validate the scaled up process, demonstrate comparability of Zimura drug substance manufactured through the scaled up process or of the finished drug product in the container closure system to be used commercially, in each case, with the Zimura previously used in our clinical trials, or establish the long-term stability of the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Zimura drug product stored in the new vial container. The new manufacturers we have engaged or may engage in the future have not had previous experience with Zimura and there may be additional issues with technology transfer. We may need to perform additional work beyond what we currently plan to establish manufacturing and analytical capabilities sufficient to obtain regulatory approval of our manufacturing process for Zimura and to support potential commercial operations. In addition, we may not be able to secure adequate supply of Zimura drug substance, including the PEG starting material used to make Zimura drug substance, and Zimura drug product for our future needs, including to support potential commercial launch, and we may need to secure alternative contract manufacturers or suppliers sooner than we currently expect. If any of the foregoing events occur, it could result in delays or increased costs to support our future development and commercialization of Zimura, even if we successfully complete any required clinical trials for Zimura and obtain sufficient and favorable safety and efficacy data.</w:t>
      </w:r>
    </w:p>
    <w:p>
      <w:pPr>
        <w:spacing w:after="0" w:line="181" w:lineRule="exact"/>
        <w:rPr>
          <w:sz w:val="20"/>
          <w:szCs w:val="20"/>
          <w:color w:val="auto"/>
        </w:rPr>
      </w:pPr>
    </w:p>
    <w:p>
      <w:pPr>
        <w:ind w:right="20" w:firstLine="397"/>
        <w:spacing w:after="0" w:line="267" w:lineRule="auto"/>
        <w:rPr>
          <w:sz w:val="20"/>
          <w:szCs w:val="20"/>
          <w:color w:val="auto"/>
        </w:rPr>
      </w:pPr>
      <w:r>
        <w:rPr>
          <w:rFonts w:ascii="Arial" w:cs="Arial" w:eastAsia="Arial" w:hAnsi="Arial"/>
          <w:sz w:val="17"/>
          <w:szCs w:val="17"/>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limited established generally accepted manufacturing or quality standards for the production of oligonucleotides such as Zimura. The lack of uniform manufacturing and quality standards among regulatory agencies may delay regulatory approval of Zimura. Furthermore, there are a limited number of contract manufacturers with experience manufacturing oligonucleotides, which may limit our ability to find and use alternative manufacturers.</w:t>
      </w:r>
    </w:p>
    <w:p>
      <w:pPr>
        <w:spacing w:after="0" w:line="206" w:lineRule="exact"/>
        <w:rPr>
          <w:sz w:val="20"/>
          <w:szCs w:val="20"/>
          <w:color w:val="auto"/>
        </w:rPr>
      </w:pPr>
    </w:p>
    <w:p>
      <w:pPr>
        <w:ind w:right="800"/>
        <w:spacing w:after="0" w:line="264" w:lineRule="auto"/>
        <w:rPr>
          <w:sz w:val="20"/>
          <w:szCs w:val="20"/>
          <w:color w:val="auto"/>
        </w:rPr>
      </w:pPr>
      <w:r>
        <w:rPr>
          <w:rFonts w:ascii="Arial" w:cs="Arial" w:eastAsia="Arial" w:hAnsi="Arial"/>
          <w:sz w:val="18"/>
          <w:szCs w:val="18"/>
          <w:b w:val="1"/>
          <w:bCs w:val="1"/>
          <w:i w:val="1"/>
          <w:iCs w:val="1"/>
          <w:color w:val="auto"/>
        </w:rPr>
        <w:t>We are continuing to establish manufacturing capabilities for IC-500. We may need to conduct additional process development and formulation development activities.</w:t>
      </w:r>
    </w:p>
    <w:p>
      <w:pPr>
        <w:spacing w:after="0" w:line="181" w:lineRule="exact"/>
        <w:rPr>
          <w:sz w:val="20"/>
          <w:szCs w:val="20"/>
          <w:color w:val="auto"/>
        </w:rPr>
      </w:pPr>
    </w:p>
    <w:p>
      <w:pPr>
        <w:ind w:right="80" w:firstLine="397"/>
        <w:spacing w:after="0" w:line="268" w:lineRule="auto"/>
        <w:rPr>
          <w:sz w:val="20"/>
          <w:szCs w:val="20"/>
          <w:color w:val="auto"/>
        </w:rPr>
      </w:pPr>
      <w:r>
        <w:rPr>
          <w:rFonts w:ascii="Arial" w:cs="Arial" w:eastAsia="Arial" w:hAnsi="Arial"/>
          <w:sz w:val="17"/>
          <w:szCs w:val="17"/>
          <w:color w:val="auto"/>
        </w:rPr>
        <w:t>Before we can commence IND-enabling studies for IC-500, we need to conduct process development and formulation development to determine whether we can identify a viable manufacturing process for and formulate IC-500 for intravitreal administration that is safe to advance into preclinical studies and, depending on the outcome of such studies, into clinical trials. For example, as part of formulation development, we need to determine which inactive formulation components should be used in the preparation of IC-500, and derive a preparation that includes an adequate amount of drug substance with the necessary inactive ingredients to achieve the desired safety and efficacy profile for intravitreal injection.</w:t>
      </w:r>
    </w:p>
    <w:p>
      <w:pPr>
        <w:spacing w:after="0" w:line="207" w:lineRule="exact"/>
        <w:rPr>
          <w:sz w:val="20"/>
          <w:szCs w:val="20"/>
          <w:color w:val="auto"/>
        </w:rPr>
      </w:pPr>
    </w:p>
    <w:p>
      <w:pPr>
        <w:ind w:right="40" w:firstLine="397"/>
        <w:spacing w:after="0" w:line="306" w:lineRule="auto"/>
        <w:rPr>
          <w:sz w:val="20"/>
          <w:szCs w:val="20"/>
          <w:color w:val="auto"/>
        </w:rPr>
      </w:pPr>
      <w:r>
        <w:rPr>
          <w:rFonts w:ascii="Arial" w:cs="Arial" w:eastAsia="Arial" w:hAnsi="Arial"/>
          <w:sz w:val="15"/>
          <w:szCs w:val="15"/>
          <w:color w:val="auto"/>
        </w:rPr>
        <w:t>We are working with a CDMO to conduct scale up and cGMP manufacturing of the drug substance for IC-500 for early-stage clinical trials. We are working with a number of other CDMOs to conduct scale-up, cGMP manufacturing and fill/finish of the drug product for IC-500. Our contract manufacturers have developed a manufacturing process for IC-500 drug substance and a formulation of this produced drug substance. However, we have only recently begun to test this formulation in preclinical animal studies; the results of these studies may require us to refine or change our manufacturing process or conduct additional formulation development activities. Manufacturing, including process development, formulation development and drug product manufacturing, can be costly and time-consuming and our anticipated timelines for the development of IC-500 may be delayed. If we are unable to successfully manufacture and formulate IC-500 in line with our expectations, we may switch to a backup HtrA1 inhibitor or cease developing our HtrA1 inhibitor program altogether.</w:t>
      </w:r>
    </w:p>
    <w:p>
      <w:pPr>
        <w:spacing w:after="0" w:line="1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w:t>
      </w:r>
    </w:p>
    <w:p>
      <w:pPr>
        <w:spacing w:after="0" w:line="181" w:lineRule="exact"/>
        <w:rPr>
          <w:sz w:val="20"/>
          <w:szCs w:val="20"/>
          <w:color w:val="auto"/>
        </w:rPr>
      </w:pPr>
    </w:p>
    <w:p>
      <w:pPr>
        <w:ind w:right="20" w:firstLine="397"/>
        <w:spacing w:after="0" w:line="263" w:lineRule="auto"/>
        <w:rPr>
          <w:sz w:val="20"/>
          <w:szCs w:val="20"/>
          <w:color w:val="auto"/>
        </w:rPr>
      </w:pPr>
      <w:r>
        <w:rPr>
          <w:rFonts w:ascii="Arial" w:cs="Arial" w:eastAsia="Arial" w:hAnsi="Arial"/>
          <w:sz w:val="17"/>
          <w:szCs w:val="17"/>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including during process development and cGMP manufacturing, may result in unanticipated delays to our timelines, including delays attributable to securing additional manufacturing time slots. In 2020, we experienced several delays to our cGMP manufacturing activities for IC-100 and IC-200 because of a number of manufacturing issues at our CDMO. There may also be long lead times to manufacture or procure starting materials such as cell banks or plasmids. In particular, plasmids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As previously disclosed, due to an issue with one of the starting materials used for our manufacturing process for IC-100, we had to delay our cGMP manufacturing run at our CDMO and reschedule the run for a later date based on the CDMO’s availability. A failure to procure or a shortage of necessary starting materials likely would delay our manufacturing and development timelines.</w:t>
      </w:r>
    </w:p>
    <w:p>
      <w:pPr>
        <w:spacing w:after="0" w:line="188" w:lineRule="exact"/>
        <w:rPr>
          <w:sz w:val="20"/>
          <w:szCs w:val="20"/>
          <w:color w:val="auto"/>
        </w:rPr>
      </w:pPr>
    </w:p>
    <w:p>
      <w:pPr>
        <w:jc w:val="both"/>
        <w:ind w:right="40" w:firstLine="397"/>
        <w:spacing w:after="0" w:line="255" w:lineRule="auto"/>
        <w:rPr>
          <w:sz w:val="20"/>
          <w:szCs w:val="20"/>
          <w:color w:val="auto"/>
        </w:rPr>
      </w:pPr>
      <w:r>
        <w:rPr>
          <w:rFonts w:ascii="Arial" w:cs="Arial" w:eastAsia="Arial" w:hAnsi="Arial"/>
          <w:sz w:val="18"/>
          <w:szCs w:val="18"/>
          <w:color w:val="auto"/>
        </w:rPr>
        <w:t>A number of factors common to the manufacturing of biologics and drugs could also cause production or quality issues for gene therapies, including raw material or starting material variability in terms of quality, consistency in cell growth, productivity or cell line stability issues, product and process impurities, material shortages of any kind, shipping, distribution,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storage and supply chain failures, cell culture contamination, equipment malfunctions, operator errors, facility contamination, labor problems, natural disasters, disruption in utility services, terrorist activities, epidemics and pandemics, or acts of god that are beyond our or our contract manufacturer's control. It is often the case that early stage process development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Although we were successful in releasing cGMP batches of IC-100 and IC-200 produced by our CDMO, we have not yet conducted any manufacturing activities, including process development, for any of our minigene or other gene therapy research programs.</w:t>
      </w:r>
    </w:p>
    <w:p>
      <w:pPr>
        <w:spacing w:after="0" w:line="197" w:lineRule="exact"/>
        <w:rPr>
          <w:sz w:val="20"/>
          <w:szCs w:val="20"/>
          <w:color w:val="auto"/>
        </w:rPr>
      </w:pPr>
    </w:p>
    <w:p>
      <w:pPr>
        <w:ind w:right="100" w:firstLine="397"/>
        <w:spacing w:after="0" w:line="265" w:lineRule="auto"/>
        <w:rPr>
          <w:sz w:val="20"/>
          <w:szCs w:val="20"/>
          <w:color w:val="auto"/>
        </w:rPr>
      </w:pPr>
      <w:r>
        <w:rPr>
          <w:rFonts w:ascii="Arial" w:cs="Arial" w:eastAsia="Arial" w:hAnsi="Arial"/>
          <w:sz w:val="17"/>
          <w:szCs w:val="17"/>
          <w:color w:val="auto"/>
        </w:rPr>
        <w:t>An important part of manufacturing drug products is performing analytical testing. Analytical testing of gene therapies involves tests that are more complex in scope and take a longer time to develop and to conduct as compared to those used for traditional drugs. We, our contract manufacturers and our contract research organizations need to expend considerable time and resources to develop assays and other analytical tests for our gene therapy product candidates, including assays to assess the potency of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 development activities without having first fully characterized or released our manufactured materials. If the results of the testing fail to meet our expectations or applicable requirements, we may need to delay or repeat certain manufacturing and development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developing or commercializing products before or more successfully than we do.</w:t>
      </w:r>
    </w:p>
    <w:p>
      <w:pPr>
        <w:spacing w:after="0" w:line="252" w:lineRule="exact"/>
        <w:rPr>
          <w:sz w:val="20"/>
          <w:szCs w:val="20"/>
          <w:color w:val="auto"/>
        </w:rPr>
      </w:pPr>
    </w:p>
    <w:p>
      <w:pPr>
        <w:ind w:right="40" w:firstLine="397"/>
        <w:spacing w:after="0" w:line="309" w:lineRule="auto"/>
        <w:rPr>
          <w:sz w:val="20"/>
          <w:szCs w:val="20"/>
          <w:color w:val="auto"/>
        </w:rPr>
      </w:pPr>
      <w:r>
        <w:rPr>
          <w:rFonts w:ascii="Arial" w:cs="Arial" w:eastAsia="Arial" w:hAnsi="Arial"/>
          <w:sz w:val="15"/>
          <w:szCs w:val="15"/>
          <w:color w:val="auto"/>
        </w:rPr>
        <w:t>The development and commercialization of new drug products is highly competitive. We face competition with respect to our product candidates and other programs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w:t>
      </w:r>
    </w:p>
    <w:p>
      <w:pPr>
        <w:spacing w:after="0" w:line="152" w:lineRule="exact"/>
        <w:rPr>
          <w:sz w:val="20"/>
          <w:szCs w:val="20"/>
          <w:color w:val="auto"/>
        </w:rPr>
      </w:pPr>
    </w:p>
    <w:p>
      <w:pPr>
        <w:ind w:right="40" w:firstLine="397"/>
        <w:spacing w:after="0" w:line="248" w:lineRule="auto"/>
        <w:rPr>
          <w:sz w:val="20"/>
          <w:szCs w:val="20"/>
          <w:color w:val="auto"/>
        </w:rPr>
      </w:pPr>
      <w:r>
        <w:rPr>
          <w:rFonts w:ascii="Arial" w:cs="Arial" w:eastAsia="Arial" w:hAnsi="Arial"/>
          <w:sz w:val="18"/>
          <w:szCs w:val="18"/>
          <w:color w:val="auto"/>
        </w:rPr>
        <w:t>Our business strategy is focused on developing transformative therapies for retinal diseases, including GA secondary to age-related macular degeneration, intermediate AMD and a number of orphan inherited retinal diseases. There are multiple companies pursuing the development of therapeutics targeting the complement pathway for age-related retinal diseases. Some of them have better name recognition, more resources and a longer history of developing therapies than we do. Competition in this field is intense and especially for many inherited retinal diseases, there is a limited number of potential patients. If any of our competitors obtains FDA, EMA or other regulatory approval for their products more rapidly than we may obtain approval for ours, our competitors could establish a strong market position before we are able to enter the relevant market, which may significantly limit the commercial opportunity for our product candidates.</w:t>
      </w:r>
    </w:p>
    <w:p>
      <w:pPr>
        <w:spacing w:after="0" w:line="199" w:lineRule="exact"/>
        <w:rPr>
          <w:sz w:val="20"/>
          <w:szCs w:val="20"/>
          <w:color w:val="auto"/>
        </w:rPr>
      </w:pPr>
    </w:p>
    <w:p>
      <w:pPr>
        <w:ind w:right="20" w:firstLine="397"/>
        <w:spacing w:after="0" w:line="265" w:lineRule="auto"/>
        <w:rPr>
          <w:sz w:val="20"/>
          <w:szCs w:val="20"/>
          <w:color w:val="auto"/>
        </w:rPr>
      </w:pPr>
      <w:r>
        <w:rPr>
          <w:rFonts w:ascii="Arial" w:cs="Arial" w:eastAsia="Arial" w:hAnsi="Arial"/>
          <w:sz w:val="17"/>
          <w:szCs w:val="17"/>
          <w:color w:val="auto"/>
        </w:rPr>
        <w:t>Our commercial opportunity could also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Zimura, intravitreal injection, is commonly used to administer ophthalmic drugs for the treatment of severe diseases and is generally accepted by patients facing the prospect of severe visual loss or blindness. A therapy that offers a less invasive or less frequent method of administration, however, might have a competitive advantage over one administered by monthly intravitreal injections, depending on the relative safety of the other method of administration. Furthermore, our ability to compete may be affected in many cases by insurers or other third-party payors, particularly Medicare, seeking to encourage the use of less expensive or more convenient products.</w:t>
      </w:r>
    </w:p>
    <w:p>
      <w:pPr>
        <w:spacing w:after="0" w:line="185"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enrolling patients for clinical trials, as well as in acquiring technologies complementary to, or necessary for, our development programs. Our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timelines may be delayed to the extent clinical trials conducted by our competitors are enrolling patients that would otherwise be eligible to participate in our trials at the same time we are seeking to enroll these patients.</w:t>
      </w:r>
    </w:p>
    <w:p>
      <w:pPr>
        <w:spacing w:after="0" w:line="181" w:lineRule="exact"/>
        <w:rPr>
          <w:sz w:val="20"/>
          <w:szCs w:val="20"/>
          <w:color w:val="auto"/>
        </w:rPr>
      </w:pPr>
    </w:p>
    <w:p>
      <w:pPr>
        <w:ind w:right="140" w:firstLine="397"/>
        <w:spacing w:after="0" w:line="264" w:lineRule="auto"/>
        <w:rPr>
          <w:sz w:val="20"/>
          <w:szCs w:val="20"/>
          <w:color w:val="auto"/>
        </w:rPr>
      </w:pPr>
      <w:r>
        <w:rPr>
          <w:rFonts w:ascii="Arial" w:cs="Arial" w:eastAsia="Arial" w:hAnsi="Arial"/>
          <w:sz w:val="18"/>
          <w:szCs w:val="18"/>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GA or dry AMD:</w:t>
      </w:r>
    </w:p>
    <w:p>
      <w:pPr>
        <w:spacing w:after="0" w:line="244" w:lineRule="exact"/>
        <w:rPr>
          <w:sz w:val="20"/>
          <w:szCs w:val="20"/>
          <w:color w:val="auto"/>
        </w:rPr>
      </w:pPr>
    </w:p>
    <w:p>
      <w:pPr>
        <w:ind w:left="640" w:hanging="316"/>
        <w:spacing w:after="0" w:line="299" w:lineRule="auto"/>
        <w:tabs>
          <w:tab w:leader="none" w:pos="635"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are aware that LumiThera, Inc. has a medical device using its LT-300 light delivery system, which is approved in the European Union for the treatment of dry AMD. In addition, there are a number of products in preclinical and 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Alexion Pharmaceuticals, Inc., Annexon Inc., Apellis Pharmaceuticals, Inc., or Apellis, Applied Genetic Technologies Corporation, or AGTC, Biogen Inc., Gemini Therapeutics, Inc., Gyroscope Therapeutics, IONIS Pharmaceuticals, Inc. (in collaboration with Roche AG), Janssen Pharmaceuticals Inc. (which acquired its program through the acquisition of Hemera Biosciences, LLC), MorphoSys AG, NGM Biopharmaceuticals Inc. and Novartis AG each have complement inhibitors in development for GA or dry AMD, including, in the cases of Gemini Therapeutics, Gyroscope Therapeutics and Janssen Pharmaceuticals, complement inhibitor gene therapies and AGTC and Gemini Therapeutics each has a research program on complement factor H gene therapy. We believe that the most advanced of these programs is Apellis's pegylated, synthetic peptide targeting complement protein C3, for which Apellis announced top-line data from two Phase 3 clinical trials in September 2021 and Apellis stated it would file an application for marketing approval with the FDA during the first half of 2022. Apellis could obtain marketing approval for its product candidate in advance of when we might reasonably expect to obtain marketing approval for Zimura in GA or IC-500 in GA, if at all. Moreover, we are aware that several other companies, including Allergan Inc., Allegro Ophthalmics, LLC, Alkeus Pharmaceuticals Inc., Astellas Pharma Inc., Boehringer Ingelheim, Lineage Cell Therapeutics, Inc., Regenerative Patch Technologies, Roche AG and Stealth BioTherapeutics Corp., are pursuing development programs for the treatment GA or dry AMD using different mechanisms of action outside of the complement system, including Genentech, Inc. (an affiliate of Roche AG) and Gemini Therapeutics, which are pursuing HtrA1 inhibition as a mechanism of action. We believe that the most advanced HtrA1 inhibitor program in development is Genentech's monoclonal antibody HtrA1 inhibitor, which is currently being studied in a Phase 2 clinical trial and whose results are expected to become available in 2022.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44" w:lineRule="exact"/>
        <w:rPr>
          <w:sz w:val="20"/>
          <w:szCs w:val="20"/>
          <w:color w:val="auto"/>
        </w:rPr>
      </w:pPr>
    </w:p>
    <w:p>
      <w:pPr>
        <w:ind w:left="640" w:right="20" w:hanging="316"/>
        <w:spacing w:after="0" w:line="265"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There are a number of products in preclinical research and clinical development by third parties to treat Stargardt disease. We are aware that AGTC, Alkeus Pharmaceuticals, Inc., Beam Therapeutics Inc., Generation Bio Co., Kubota Vision Inc. (formerly Acucela), Lin BioScience, Inc., Nightstar Therapeutics plc (prior to its acquisition by Biogen), or Nightstar, ProQR Therapeutics N.V., or ProQR, and Spark Therapeutics each have research or development programs in Stargardt disease. Three of these programs, Alkeus, Kubota and Lin BioScience, are exploring the use of oral therapeutics, while AGTC, Nightstar and Spark are each using a gene therapy approach, Beam is using a base editing approach, and ProQR is using an RNA based approach. Kubota’s product candidate, to which the FDA and the EMA granted orphan drug designation in August 2020, is in Phase 3 development while Alkeus’s product candidate is in Phase 2 development. In addition, several academic organizations have early stage programs in Stargardt disease.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44" w:lineRule="exact"/>
        <w:rPr>
          <w:sz w:val="20"/>
          <w:szCs w:val="20"/>
          <w:color w:val="auto"/>
        </w:rPr>
      </w:pPr>
    </w:p>
    <w:p>
      <w:pPr>
        <w:ind w:left="640" w:right="20" w:hanging="316"/>
        <w:spacing w:after="0" w:line="252"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are aware that ProQR is developing an RNA-based therapeutic for RHO-adRP, for which it is currently conducting a Phase 1/2 clinical trial. Ocugen, Inc. is developing a gene therapy for RHO-adRP, for which the FDA granted orphan drug designation in July 2020. In addition, prior to its acquisition by Biogen, Nightstar had a preclinical AAV gene therapy program in RHO-adRP. 4D Molecular Therapeutics is developing an intravitreal gene therapy for RHO-adRP. Editas Medicine, Inc. is exploring a potential gene editing program in this disease. We are also aware that multiple academic institutions have early stage gene therapy development programs in RHO-adRP.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BEST1-related IRDs:</w:t>
      </w:r>
    </w:p>
    <w:p>
      <w:pPr>
        <w:spacing w:after="0" w:line="244"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are aware that, prior to its acquisition by Biogen, Nightstar had a preclinical AAV gene therapy program for one or more BEST1-related IRDs.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21"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44" w:lineRule="exact"/>
        <w:rPr>
          <w:sz w:val="20"/>
          <w:szCs w:val="20"/>
          <w:color w:val="auto"/>
        </w:rPr>
      </w:pPr>
    </w:p>
    <w:p>
      <w:pPr>
        <w:ind w:left="640" w:right="20" w:hanging="316"/>
        <w:spacing w:after="0" w:line="252"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aware that Editas Medicine, Inc. has a gene editing program for LCA10, for which a Phase 1/2 clinical trial is ongoing, ProQR is developing an RNA-based therapeutic for LCA10 that is currently in Phase 2/3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USH2A-related IRDs:</w:t>
      </w:r>
    </w:p>
    <w:p>
      <w:pPr>
        <w:spacing w:after="0" w:line="244" w:lineRule="exact"/>
        <w:rPr>
          <w:sz w:val="20"/>
          <w:szCs w:val="20"/>
          <w:color w:val="auto"/>
        </w:rPr>
      </w:pPr>
    </w:p>
    <w:p>
      <w:pPr>
        <w:ind w:left="640" w:right="20" w:hanging="316"/>
        <w:spacing w:after="0" w:line="252"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There are a number of products in preclinical research and clinical development by third parties to treat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We are aware that ProQR is pursuing two RNA based approaches for different mutations causing Usher 2A, one of which is currently in Phase 1/2 clinical development and the other of which is in preclinical development. We are also aware that Editas Medicine, Inc. and Odylia Therapeutics are exploring potential programs in </w:t>
      </w:r>
      <w:r>
        <w:rPr>
          <w:rFonts w:ascii="Arial" w:cs="Arial" w:eastAsia="Arial" w:hAnsi="Arial"/>
          <w:sz w:val="18"/>
          <w:szCs w:val="18"/>
          <w:i w:val="1"/>
          <w:iCs w:val="1"/>
          <w:color w:val="auto"/>
        </w:rPr>
        <w:t>USH2A</w:t>
      </w:r>
      <w:r>
        <w:rPr>
          <w:rFonts w:ascii="Arial" w:cs="Arial" w:eastAsia="Arial" w:hAnsi="Arial"/>
          <w:sz w:val="18"/>
          <w:szCs w:val="18"/>
          <w:color w:val="auto"/>
        </w:rPr>
        <w:t>-related IRDs.</w:t>
      </w:r>
    </w:p>
    <w:p>
      <w:pPr>
        <w:spacing w:after="0" w:line="191" w:lineRule="exact"/>
        <w:rPr>
          <w:sz w:val="20"/>
          <w:szCs w:val="20"/>
          <w:color w:val="auto"/>
        </w:rPr>
      </w:pPr>
    </w:p>
    <w:p>
      <w:pPr>
        <w:ind w:right="20"/>
        <w:spacing w:after="0" w:line="365"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Zimura or any of our other product candidates, if and when any such product candidate is approved.</w:t>
      </w:r>
    </w:p>
    <w:p>
      <w:pPr>
        <w:spacing w:after="0" w:line="19" w:lineRule="exact"/>
        <w:rPr>
          <w:sz w:val="20"/>
          <w:szCs w:val="20"/>
          <w:color w:val="auto"/>
        </w:rPr>
      </w:pPr>
    </w:p>
    <w:p>
      <w:pPr>
        <w:ind w:right="60" w:firstLine="397"/>
        <w:spacing w:after="0" w:line="264" w:lineRule="auto"/>
        <w:rPr>
          <w:sz w:val="20"/>
          <w:szCs w:val="20"/>
          <w:color w:val="auto"/>
        </w:rPr>
      </w:pPr>
      <w:r>
        <w:rPr>
          <w:rFonts w:ascii="Arial" w:cs="Arial" w:eastAsia="Arial" w:hAnsi="Arial"/>
          <w:sz w:val="17"/>
          <w:szCs w:val="17"/>
          <w:color w:val="auto"/>
        </w:rPr>
        <w:t>As a company, we have no experience in the sale, marketing or distribution of pharmaceutical products. We have only recently hired a chief commercial officer and are in the process of hiring additional commercialization personnel and planning our commercialization strategy for Zimura, including potentially setting up a sales, marketing and distribution infrastructure.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indications for which the product is approved, the territories in which the product may be marketed and the commercial potential for such product candidate. In addition, our commercial strategy would vary depending on whether the disease is typically treated by general ophthalmology practitioners or specialists, such as retinal specialists, and the likely degree of acceptance of our product candidate by the relevant physicians in various markets.</w:t>
      </w:r>
    </w:p>
    <w:p>
      <w:pPr>
        <w:spacing w:after="0" w:line="182" w:lineRule="exact"/>
        <w:rPr>
          <w:sz w:val="20"/>
          <w:szCs w:val="20"/>
          <w:color w:val="auto"/>
        </w:rPr>
      </w:pPr>
    </w:p>
    <w:p>
      <w:pPr>
        <w:ind w:right="300" w:firstLine="397"/>
        <w:spacing w:after="0" w:line="318" w:lineRule="auto"/>
        <w:rPr>
          <w:sz w:val="20"/>
          <w:szCs w:val="20"/>
          <w:color w:val="auto"/>
        </w:rPr>
      </w:pPr>
      <w:r>
        <w:rPr>
          <w:rFonts w:ascii="Arial" w:cs="Arial" w:eastAsia="Arial" w:hAnsi="Arial"/>
          <w:sz w:val="15"/>
          <w:szCs w:val="15"/>
          <w:color w:val="auto"/>
        </w:rPr>
        <w:t>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44" w:lineRule="exact"/>
        <w:rPr>
          <w:sz w:val="20"/>
          <w:szCs w:val="20"/>
          <w:color w:val="auto"/>
        </w:rPr>
      </w:pPr>
    </w:p>
    <w:p>
      <w:pPr>
        <w:ind w:left="960" w:hanging="318"/>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 and</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44"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There are also risks involved with having third parties perform sales, marketing and distribution services on our behalf. 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or are unable to establish sales, marketing and distribution capabilities successfully, either on our own or in collaboration with third parties, we would not be successful in commercializing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 candidates may be smaller than we estimate.</w:t>
      </w:r>
    </w:p>
    <w:p>
      <w:pPr>
        <w:spacing w:after="0" w:line="188" w:lineRule="exact"/>
        <w:rPr>
          <w:sz w:val="20"/>
          <w:szCs w:val="20"/>
          <w:color w:val="auto"/>
        </w:rPr>
      </w:pPr>
    </w:p>
    <w:p>
      <w:pPr>
        <w:ind w:right="60" w:firstLine="397"/>
        <w:spacing w:after="0" w:line="264" w:lineRule="auto"/>
        <w:rPr>
          <w:sz w:val="20"/>
          <w:szCs w:val="20"/>
          <w:color w:val="auto"/>
        </w:rPr>
      </w:pPr>
      <w:r>
        <w:rPr>
          <w:rFonts w:ascii="Arial" w:cs="Arial" w:eastAsia="Arial" w:hAnsi="Arial"/>
          <w:sz w:val="18"/>
          <w:szCs w:val="18"/>
          <w:color w:val="auto"/>
        </w:rPr>
        <w:t>The degree of market acceptance of any product candidate that we are developing or we may develop, if approved for commercial sale, will depend on a number of factors, including:</w:t>
      </w:r>
    </w:p>
    <w:p>
      <w:pPr>
        <w:spacing w:after="0" w:line="207" w:lineRule="exact"/>
        <w:rPr>
          <w:sz w:val="20"/>
          <w:szCs w:val="20"/>
          <w:color w:val="auto"/>
        </w:rPr>
      </w:pPr>
    </w:p>
    <w:p>
      <w:pPr>
        <w:ind w:left="960" w:hanging="31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 or with certain devices;</w:t>
      </w:r>
    </w:p>
    <w:p>
      <w:pPr>
        <w:spacing w:after="0" w:line="243" w:lineRule="exact"/>
        <w:rPr>
          <w:rFonts w:ascii="Arial" w:cs="Arial" w:eastAsia="Arial" w:hAnsi="Arial"/>
          <w:sz w:val="18"/>
          <w:szCs w:val="18"/>
          <w:color w:val="auto"/>
        </w:rPr>
      </w:pPr>
    </w:p>
    <w:p>
      <w:pPr>
        <w:ind w:left="960" w:hanging="318"/>
        <w:spacing w:after="0" w:line="250" w:lineRule="auto"/>
        <w:tabs>
          <w:tab w:leader="none" w:pos="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to or by a subgroup of patients, including, for example, for Zimura, if approved, restrictions on use of our product to patients with GA secondary to dry or non-neovascular AMD (as opposed to GA secondary to any or all forms of AMD or other stages of AMD, such as neovascular AMD) or to patients with specific GA lesion characteristics, such as non-foveal GA. Our GATHER1 and GATHER2 trials are limited to patients with non-foveal GA and as a result, our label for Zimura, if approved, may have a restriction limiting its use to those patients;</w:t>
      </w:r>
    </w:p>
    <w:p>
      <w:pPr>
        <w:spacing w:after="0" w:line="220" w:lineRule="exact"/>
        <w:rPr>
          <w:rFonts w:ascii="Arial" w:cs="Arial" w:eastAsia="Arial" w:hAnsi="Arial"/>
          <w:sz w:val="18"/>
          <w:szCs w:val="18"/>
          <w:color w:val="auto"/>
        </w:rPr>
      </w:pPr>
    </w:p>
    <w:p>
      <w:pPr>
        <w:ind w:left="960" w:right="140" w:hanging="318"/>
        <w:spacing w:after="0" w:line="264" w:lineRule="auto"/>
        <w:tabs>
          <w:tab w:leader="none" w:pos="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treatment regimens calling for multiple intravitreal injections on the same day, restrictions in the label imposing a waiting period in between intravitreal injections;</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availability and timeliness of governmental and third-party payor coverage and adequate reimbursement;</w:t>
      </w:r>
    </w:p>
    <w:p>
      <w:pPr>
        <w:spacing w:after="0" w:line="243" w:lineRule="exact"/>
        <w:rPr>
          <w:rFonts w:ascii="Arial" w:cs="Arial" w:eastAsia="Arial" w:hAnsi="Arial"/>
          <w:sz w:val="18"/>
          <w:szCs w:val="18"/>
          <w:color w:val="auto"/>
        </w:rPr>
      </w:pPr>
    </w:p>
    <w:p>
      <w:pPr>
        <w:ind w:left="960" w:right="540" w:hanging="318"/>
        <w:spacing w:after="0" w:line="294" w:lineRule="auto"/>
        <w:tabs>
          <w:tab w:leader="none" w:pos="9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83" w:lineRule="exact"/>
        <w:rPr>
          <w:rFonts w:ascii="Arial" w:cs="Arial" w:eastAsia="Arial" w:hAnsi="Arial"/>
          <w:sz w:val="17"/>
          <w:szCs w:val="17"/>
          <w:color w:val="auto"/>
        </w:rPr>
      </w:pPr>
    </w:p>
    <w:p>
      <w:pPr>
        <w:ind w:left="960" w:right="80" w:hanging="318"/>
        <w:spacing w:after="0" w:line="294" w:lineRule="auto"/>
        <w:tabs>
          <w:tab w:leader="none" w:pos="9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w:t>
      </w:r>
    </w:p>
    <w:p>
      <w:pPr>
        <w:spacing w:after="0" w:line="183" w:lineRule="exact"/>
        <w:rPr>
          <w:rFonts w:ascii="Arial" w:cs="Arial" w:eastAsia="Arial" w:hAnsi="Arial"/>
          <w:sz w:val="17"/>
          <w:szCs w:val="17"/>
          <w:color w:val="auto"/>
        </w:rPr>
      </w:pPr>
    </w:p>
    <w:p>
      <w:pPr>
        <w:ind w:left="960" w:hanging="31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prevalence and severity of any side effects or perceived safety concerns, such as CNV; and</w:t>
      </w:r>
    </w:p>
    <w:p>
      <w:pPr>
        <w:spacing w:after="0" w:line="243" w:lineRule="exact"/>
        <w:rPr>
          <w:rFonts w:ascii="Arial" w:cs="Arial" w:eastAsia="Arial" w:hAnsi="Arial"/>
          <w:sz w:val="18"/>
          <w:szCs w:val="18"/>
          <w:color w:val="auto"/>
        </w:rPr>
      </w:pPr>
    </w:p>
    <w:p>
      <w:pPr>
        <w:ind w:left="960" w:right="20" w:hanging="318"/>
        <w:spacing w:after="0" w:line="250" w:lineRule="auto"/>
        <w:tabs>
          <w:tab w:leader="none" w:pos="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competing products or other alternatives are more convenient or easier to administer, including alternatives that offer a less frequent dosing regimen than monthly intravitreal injections, in the case of Zimura, come to market. For example, Apellis is testing its complement inhibitor product candidate for GA with both monthly and every other month dosing regimens, and may obtain a label with an every other month dosing regimen, while we expect that any label we may obtain for Zimura in GA will require monthly administrations. If so, physicians and patients may find Apellis's dosing regimen more acceptable than ours.</w:t>
      </w:r>
    </w:p>
    <w:p>
      <w:pPr>
        <w:spacing w:after="0" w:line="194" w:lineRule="exact"/>
        <w:rPr>
          <w:sz w:val="20"/>
          <w:szCs w:val="20"/>
          <w:color w:val="auto"/>
        </w:rPr>
      </w:pPr>
    </w:p>
    <w:p>
      <w:pPr>
        <w:ind w:right="200" w:firstLine="397"/>
        <w:spacing w:after="0" w:line="264" w:lineRule="auto"/>
        <w:rPr>
          <w:sz w:val="20"/>
          <w:szCs w:val="20"/>
          <w:color w:val="auto"/>
        </w:rPr>
      </w:pPr>
      <w:r>
        <w:rPr>
          <w:rFonts w:ascii="Arial" w:cs="Arial" w:eastAsia="Arial" w:hAnsi="Arial"/>
          <w:sz w:val="17"/>
          <w:szCs w:val="17"/>
          <w:color w:val="auto"/>
        </w:rPr>
        <w:t>Our development program for Zimura in GA uses anatomical primary endpoints, the mean rate of change in GA growth over 12 months, in the case of GATHER1, and the mean rate of growth (slope) estimated based on GA area over 12 months, in the case of GATHER2. We believe that this efficacy assessment is most likely to demonstrate clinical relevance for an investigational product across a heterogeneous GA patient population and other potential assessments, such as comparisons of visual acuity, are not as clinically meaningful for patients with GA. However, to date there is no direct functional corollary to the anatomical measures that we are using as our primary endpoints for GATHER1 and GATHER2. Although we evaluated visual acuity as a secondary endpoint in the GATHER1 trial, the trial was not designed to reliably assess differences in mean changes in visual acuity with statistical significance. Patients, physicians and payors may not recognize the value of, and we may not be able to obtain marketing or reimbursement approval for, Zimura without demonstrating a functional benefit to vision. To do so, we may need to conduct additional clinical trials or sub-studies, which may not ultimately demonstrate a functional benefit to vision.</w:t>
      </w:r>
    </w:p>
    <w:p>
      <w:pPr>
        <w:spacing w:after="0" w:line="185"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the expected patient population for our product candidates, our industry knowledge, the competitive landscape for the indications for which we are developing our product candidates, market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right="100"/>
        <w:spacing w:after="0" w:line="330" w:lineRule="auto"/>
        <w:rPr>
          <w:sz w:val="20"/>
          <w:szCs w:val="20"/>
          <w:color w:val="auto"/>
        </w:rPr>
      </w:pPr>
      <w:r>
        <w:rPr>
          <w:rFonts w:ascii="Arial" w:cs="Arial" w:eastAsia="Arial" w:hAnsi="Arial"/>
          <w:sz w:val="15"/>
          <w:szCs w:val="15"/>
          <w:color w:val="auto"/>
        </w:rPr>
        <w:t>response to anti-VEGF agents currently approved for treatment of wet AMD, third-party research reports and other surveys. The potential market opportunity for our product candidates may also differ across geographies. While we believe that our internal assumptions are reasonable, any of these assumptions could prove to be inaccurate, and the actual market for such product candidates could be smaller than our estimates of our potential market opportunity.</w:t>
      </w:r>
    </w:p>
    <w:p>
      <w:pPr>
        <w:spacing w:after="0" w:line="137" w:lineRule="exact"/>
        <w:rPr>
          <w:sz w:val="20"/>
          <w:szCs w:val="20"/>
          <w:color w:val="auto"/>
        </w:rPr>
      </w:pPr>
    </w:p>
    <w:p>
      <w:pPr>
        <w:ind w:firstLine="397"/>
        <w:spacing w:after="0" w:line="263" w:lineRule="auto"/>
        <w:rPr>
          <w:sz w:val="20"/>
          <w:szCs w:val="20"/>
          <w:color w:val="auto"/>
        </w:rPr>
      </w:pPr>
      <w:r>
        <w:rPr>
          <w:rFonts w:ascii="Arial" w:cs="Arial" w:eastAsia="Arial" w:hAnsi="Arial"/>
          <w:sz w:val="17"/>
          <w:szCs w:val="17"/>
          <w:color w:val="auto"/>
        </w:rPr>
        <w:t>There is a variety of factors that could contribute to the actual number of patients who receive an approved therapy being less than our estimates of the potential addressable market. These estimates may prove to be incorrect and new studies may reduce the estimated incidence or prevalence of these diseases. The number of patients in the United States, the European Union and elsewhere may turn out to be lower than expected, patients may not be amenable to treatment with our products or patients may become increasingly difficult to identify and access, all of which would adversely affect our business, financial condition, results of operations and prospects. Further, the severity of the progression of a disease up to the time of treatment, especially in certain degenerative conditions such as GA, likely will diminish the therapeutic benefit conferred by a new drug product due to irreversible cell death. For example, certain GA patients may have experienced the loss of certain portions of retinal tissue that disproportionately affected their functional vision, and these patients may not value a treatment that can only slow the growth of additional GA lesions without providing a treatment to their loss of functional vision. On the other hand, patients with intermediate AMD are often asymptomatic as to loss of vision; therefore they may not seek or value having a treatment for their condition, especially a treatment involving monthly injections, which is the current dosing regimen for Zimura. If the number of patients that may benefit from the treatments we are seeking to develop is lower than we expect, our business, financial condition, results of operations and prospects may be adversely affected.</w:t>
      </w:r>
    </w:p>
    <w:p>
      <w:pPr>
        <w:spacing w:after="0" w:line="186" w:lineRule="exact"/>
        <w:rPr>
          <w:sz w:val="20"/>
          <w:szCs w:val="20"/>
          <w:color w:val="auto"/>
        </w:rPr>
      </w:pPr>
    </w:p>
    <w:p>
      <w:pPr>
        <w:ind w:right="780"/>
        <w:spacing w:after="0" w:line="365" w:lineRule="auto"/>
        <w:rPr>
          <w:sz w:val="20"/>
          <w:szCs w:val="20"/>
          <w:color w:val="auto"/>
        </w:rPr>
      </w:pPr>
      <w:r>
        <w:rPr>
          <w:rFonts w:ascii="Arial" w:cs="Arial" w:eastAsia="Arial" w:hAnsi="Arial"/>
          <w:sz w:val="15"/>
          <w:szCs w:val="15"/>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38" w:lineRule="exact"/>
        <w:rPr>
          <w:sz w:val="20"/>
          <w:szCs w:val="20"/>
          <w:color w:val="auto"/>
        </w:rPr>
      </w:pPr>
    </w:p>
    <w:p>
      <w:pPr>
        <w:ind w:right="20" w:firstLine="397"/>
        <w:spacing w:after="0" w:line="300" w:lineRule="auto"/>
        <w:rPr>
          <w:sz w:val="20"/>
          <w:szCs w:val="20"/>
          <w:color w:val="auto"/>
        </w:rPr>
      </w:pPr>
      <w:r>
        <w:rPr>
          <w:rFonts w:ascii="Arial" w:cs="Arial" w:eastAsia="Arial" w:hAnsi="Arial"/>
          <w:sz w:val="15"/>
          <w:szCs w:val="15"/>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In particular for Zimura in GA, we may need to demonstrate a relative benefit in functional vision in order to obtain reimbursement approval, although our clinical trials, which use an anatomic endpoint as the primary efficacy endpoint, are not designed to demonstrate a functional benefit with statistical significance.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200" w:lineRule="exact"/>
        <w:rPr>
          <w:sz w:val="20"/>
          <w:szCs w:val="20"/>
          <w:color w:val="auto"/>
        </w:rPr>
      </w:pPr>
    </w:p>
    <w:p>
      <w:pPr>
        <w:spacing w:after="0" w:line="204" w:lineRule="exact"/>
        <w:rPr>
          <w:sz w:val="20"/>
          <w:szCs w:val="20"/>
          <w:color w:val="auto"/>
        </w:rPr>
      </w:pPr>
    </w:p>
    <w:p>
      <w:pPr>
        <w:ind w:right="100" w:firstLine="397"/>
        <w:spacing w:after="0" w:line="265" w:lineRule="auto"/>
        <w:rPr>
          <w:sz w:val="20"/>
          <w:szCs w:val="20"/>
          <w:color w:val="auto"/>
        </w:rPr>
      </w:pPr>
      <w:r>
        <w:rPr>
          <w:rFonts w:ascii="Arial" w:cs="Arial" w:eastAsia="Arial" w:hAnsi="Arial"/>
          <w:sz w:val="17"/>
          <w:szCs w:val="17"/>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The perceived high cost for pharmaceutical products to treat orphan diseases, where manufacturers seek to recoup development costs and earn a profit for a therapy intended to treat a relatively small patient population, may attract increased political and public scrutiny, as seen recently with a number of gene therapies that entered the market. Moreover, if we obtain marketing approval for a product candidate, such as Zimura, in more than one indication, including, for example in an orphan indication such as STGD1 and a non-orphan indication such as GA secondary to AMD,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208" w:lineRule="exact"/>
        <w:rPr>
          <w:sz w:val="20"/>
          <w:szCs w:val="20"/>
          <w:color w:val="auto"/>
        </w:rPr>
      </w:pPr>
    </w:p>
    <w:p>
      <w:pPr>
        <w:ind w:right="60" w:firstLine="397"/>
        <w:spacing w:after="0" w:line="312" w:lineRule="auto"/>
        <w:rPr>
          <w:sz w:val="20"/>
          <w:szCs w:val="20"/>
          <w:color w:val="auto"/>
        </w:rPr>
      </w:pPr>
      <w:r>
        <w:rPr>
          <w:rFonts w:ascii="Arial" w:cs="Arial" w:eastAsia="Arial" w:hAnsi="Arial"/>
          <w:sz w:val="15"/>
          <w:szCs w:val="15"/>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reimbursement for particular medications and encouraging the substitution of lower cost or generic products. Pricing pressures recently experienced by the pharmaceutical industry may be further exacerbated by legislative and policy changes under consideration by the Biden Administration, the U.S. Congress and many states.</w:t>
      </w:r>
    </w:p>
    <w:p>
      <w:pPr>
        <w:spacing w:after="0" w:line="215" w:lineRule="exact"/>
        <w:rPr>
          <w:sz w:val="20"/>
          <w:szCs w:val="20"/>
          <w:color w:val="auto"/>
        </w:rPr>
      </w:pPr>
    </w:p>
    <w:p>
      <w:pPr>
        <w:ind w:firstLine="397"/>
        <w:spacing w:after="0" w:line="305" w:lineRule="auto"/>
        <w:rPr>
          <w:sz w:val="20"/>
          <w:szCs w:val="20"/>
          <w:color w:val="auto"/>
        </w:rPr>
      </w:pPr>
      <w:r>
        <w:rPr>
          <w:rFonts w:ascii="Arial" w:cs="Arial" w:eastAsia="Arial" w:hAnsi="Arial"/>
          <w:sz w:val="15"/>
          <w:szCs w:val="15"/>
          <w:color w:val="auto"/>
        </w:rPr>
        <w:t>For example, the previous Trump Administration, through the Center for Medicare &amp; Medicaid Service, or CMS, announced in late 2018 an advance notice of proposed rulemaking describing a potential mandatory reference pricing model for Medicare Part B drugs under which the prices paid for these drugs will be adjusted in relation to an international pricing index that includes prevailing prices from other countries with strict price controls. The reference pricing model has found support from some members of the U.S. Congress. In September 2020, the Trump Administration issued an executive order directing the Secretary of the Department of Health and Human Services, or HHS, to propose rulemaking that would limit the prices paid by Medicare for certain drugs and biologics to the “most favored nation” price. If this kind of rule were to be adopted, especially for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w:t>
      </w:r>
    </w:p>
    <w:p>
      <w:pPr>
        <w:spacing w:after="0" w:line="221" w:lineRule="exact"/>
        <w:rPr>
          <w:sz w:val="20"/>
          <w:szCs w:val="20"/>
          <w:color w:val="auto"/>
        </w:rPr>
      </w:pPr>
    </w:p>
    <w:p>
      <w:pPr>
        <w:ind w:right="180" w:firstLine="397"/>
        <w:spacing w:after="0" w:line="322" w:lineRule="auto"/>
        <w:rPr>
          <w:sz w:val="20"/>
          <w:szCs w:val="20"/>
          <w:color w:val="auto"/>
        </w:rPr>
      </w:pPr>
      <w:r>
        <w:rPr>
          <w:rFonts w:ascii="Arial" w:cs="Arial" w:eastAsia="Arial" w:hAnsi="Arial"/>
          <w:sz w:val="15"/>
          <w:szCs w:val="15"/>
          <w:color w:val="292929"/>
        </w:rPr>
        <w:t xml:space="preserve">On July 9, 2021, President Biden signed </w:t>
      </w:r>
      <w:r>
        <w:rPr>
          <w:rFonts w:ascii="Arial" w:cs="Arial" w:eastAsia="Arial" w:hAnsi="Arial"/>
          <w:sz w:val="15"/>
          <w:szCs w:val="15"/>
          <w:color w:val="000000"/>
        </w:rPr>
        <w:t>Executive Order 14063</w:t>
      </w:r>
      <w:r>
        <w:rPr>
          <w:rFonts w:ascii="Arial" w:cs="Arial" w:eastAsia="Arial" w:hAnsi="Arial"/>
          <w:sz w:val="15"/>
          <w:szCs w:val="15"/>
          <w:color w:val="292929"/>
        </w:rPr>
        <w:t>, which focuses on, among other things, the price of pharmaceuticals. To address these costs, the executive order directs HHS to create a plan within 45 days to combat “excessive pricing of prescription drugs and enhance domestic</w:t>
      </w:r>
    </w:p>
    <w:p>
      <w:pPr>
        <w:spacing w:after="0" w:line="1"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292929"/>
        </w:rPr>
        <w:t xml:space="preserve">pharmaceutical supply chains, to reduce the prices paid by the federal government for such drugs, and to address the recurrent problem of price gouging.” On August 21, 2021, CMS issued a new proposed rule similar to the previous administration’s “Most Favored Nation” drug pricing initiative under which Medicare Part B reimbursement for certain drugs would be based on lower prices in other countries. The proposed rule is meant to address certain legal issues by codifying the earlier interim rule, which had been the subject of substantial litigation. With issuance of the proposed rule, </w:t>
      </w:r>
      <w:r>
        <w:rPr>
          <w:rFonts w:ascii="Arial" w:cs="Arial" w:eastAsia="Arial" w:hAnsi="Arial"/>
          <w:sz w:val="15"/>
          <w:szCs w:val="15"/>
          <w:color w:val="222222"/>
        </w:rPr>
        <w:t>CMS stated that it will carefully</w:t>
      </w:r>
      <w:r>
        <w:rPr>
          <w:rFonts w:ascii="Arial" w:cs="Arial" w:eastAsia="Arial" w:hAnsi="Arial"/>
          <w:sz w:val="15"/>
          <w:szCs w:val="15"/>
          <w:color w:val="292929"/>
        </w:rPr>
        <w:t xml:space="preserve"> </w:t>
      </w:r>
      <w:r>
        <w:rPr>
          <w:rFonts w:ascii="Arial" w:cs="Arial" w:eastAsia="Arial" w:hAnsi="Arial"/>
          <w:sz w:val="15"/>
          <w:szCs w:val="15"/>
          <w:color w:val="222222"/>
        </w:rPr>
        <w:t>consider the comments received on the November 2020 interim final rule as it explores all options to incorporate value into payments for Medicare Part B drugs and improve beneficiaries' access to evidence-based care. More recently, on November 2, 2021, the Biden administration announced a prescription drug pricing plan as part of its Build Back Better framework. Under the plan, Medicare would be permitted to negotiate the prices for prescription drugs under Medicare Part B and under Medicare Part D, with a defined negotiation process to be followed by Medicare and drug manufacturers. Drug manufacturers who are unwilling to negotiate with Medicare would be subject to additional excise taxes. Additionally, the plan would impose tax penalties on drug manufacturers that increase the prices of drug products faster than the rate of inflation. If elements of the recently announced prescription drug pricing plan become law, our pricing strategy and commercial prospects may be adversely affected.</w:t>
      </w:r>
    </w:p>
    <w:p>
      <w:pPr>
        <w:spacing w:after="0" w:line="400" w:lineRule="exact"/>
        <w:rPr>
          <w:sz w:val="20"/>
          <w:szCs w:val="20"/>
          <w:color w:val="auto"/>
        </w:rPr>
      </w:pPr>
    </w:p>
    <w:p>
      <w:pPr>
        <w:ind w:right="140" w:firstLine="397"/>
        <w:spacing w:after="0" w:line="249"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We or any commercialization partner may be required to conduct expensive pharmacoeconomic studies to justify coverage and reimbursement or the level of 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222" w:lineRule="exact"/>
        <w:rPr>
          <w:sz w:val="20"/>
          <w:szCs w:val="20"/>
          <w:color w:val="auto"/>
        </w:rPr>
      </w:pPr>
    </w:p>
    <w:p>
      <w:pPr>
        <w:ind w:right="20" w:firstLine="397"/>
        <w:spacing w:after="0" w:line="301" w:lineRule="auto"/>
        <w:rPr>
          <w:sz w:val="20"/>
          <w:szCs w:val="20"/>
          <w:color w:val="auto"/>
        </w:rPr>
      </w:pPr>
      <w:r>
        <w:rPr>
          <w:rFonts w:ascii="Arial" w:cs="Arial" w:eastAsia="Arial" w:hAnsi="Arial"/>
          <w:sz w:val="15"/>
          <w:szCs w:val="15"/>
          <w:color w:val="auto"/>
        </w:rPr>
        <w:t>There may be significant delays in obtaining reimbursement for newly approved drugs, and coverage may be more limited than the purposes for which the drug is approved by the FDA or similar regulatory authorities outside the United States. Eligibility for reimbursement does not imply that any drug will be paid for in all cases or at a rate that covers our costs, including research, development, manufacture, sale and distribution costs.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which many members of the U.S. Congress expressed an interest in pursuing. In September 2020, HHS issued a rule permitting limited importation of drugs from Canada.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financial condition, or our ability to raise capital needed to commercialize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Ethical, legal and social issues related to genetic testing may reduce demand for any gene therapy product candidates we develop and for which we seek marketing approval.</w:t>
      </w:r>
    </w:p>
    <w:p>
      <w:pPr>
        <w:spacing w:after="0" w:line="181" w:lineRule="exact"/>
        <w:rPr>
          <w:sz w:val="20"/>
          <w:szCs w:val="20"/>
          <w:color w:val="auto"/>
        </w:rPr>
      </w:pPr>
    </w:p>
    <w:p>
      <w:pPr>
        <w:ind w:right="20" w:firstLine="397"/>
        <w:spacing w:after="0" w:line="305" w:lineRule="auto"/>
        <w:rPr>
          <w:sz w:val="20"/>
          <w:szCs w:val="20"/>
          <w:color w:val="auto"/>
        </w:rPr>
      </w:pPr>
      <w:r>
        <w:rPr>
          <w:rFonts w:ascii="Arial" w:cs="Arial" w:eastAsia="Arial" w:hAnsi="Arial"/>
          <w:sz w:val="15"/>
          <w:szCs w:val="15"/>
          <w:color w:val="auto"/>
        </w:rPr>
        <w:t>We anticipate that prior to receiving certain gene therapies, including as part of a clinical trial, patients would be required to undergo genetic testing. Genetic testing has raised concerns regarding the appropriate utilization and the confidentiality of information provided by genetic testing. The ownership of and the lawfulness of using genetic data is an area of the law that is unclear and varies across jurisdictions. Genetic tests for assessing a person’s likelihood of developing a chronic disease have focused public attention on the need to protect the privacy of genetic information. For example, concerns have been raised that insurance carriers and employers may use these tests to discriminate on the basis of genetic information, resulting in barriers to the acceptance of genetic tests by consumers. This dynamic could lead to governmental authorities restricting genetic testing or calling for limits on or regulating the use of genetic testing, particularly for diseases for which there is no known cure, as well as the use of genetic data. Any of these scenarios could decrease the pool of patients willing to participate in a clinical trial for a gene therapy and the demand for a gene therapy once it is approved.</w:t>
      </w:r>
    </w:p>
    <w:p>
      <w:pPr>
        <w:spacing w:after="0" w:line="15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81"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217" w:lineRule="exact"/>
        <w:rPr>
          <w:sz w:val="20"/>
          <w:szCs w:val="20"/>
          <w:color w:val="auto"/>
        </w:rPr>
      </w:pPr>
    </w:p>
    <w:p>
      <w:pPr>
        <w:ind w:left="960" w:hanging="31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17" w:lineRule="exact"/>
        <w:rPr>
          <w:sz w:val="20"/>
          <w:szCs w:val="20"/>
          <w:color w:val="auto"/>
        </w:rPr>
      </w:pPr>
    </w:p>
    <w:p>
      <w:pPr>
        <w:ind w:right="260" w:firstLine="397"/>
        <w:spacing w:after="0" w:line="265" w:lineRule="auto"/>
        <w:rPr>
          <w:sz w:val="20"/>
          <w:szCs w:val="20"/>
          <w:color w:val="auto"/>
        </w:rPr>
      </w:pPr>
      <w:r>
        <w:rPr>
          <w:rFonts w:ascii="Arial" w:cs="Arial" w:eastAsia="Arial" w:hAnsi="Arial"/>
          <w:sz w:val="17"/>
          <w:szCs w:val="17"/>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including coverage for any local jurisdictions where we conduct clinical trials.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3"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including to support potential commercialization of Zimura.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181" w:lineRule="exact"/>
        <w:rPr>
          <w:sz w:val="20"/>
          <w:szCs w:val="20"/>
          <w:color w:val="auto"/>
        </w:rPr>
      </w:pPr>
    </w:p>
    <w:p>
      <w:pPr>
        <w:ind w:right="80" w:firstLine="397"/>
        <w:spacing w:after="0" w:line="267"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any of our product candidates and have a limited number of personnel hired to supervise outside contract manufacturers.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raw materials, plasmids and other specialized components of production used in the manufacture and fill/finish of our product candidates.</w:t>
      </w:r>
    </w:p>
    <w:p>
      <w:pPr>
        <w:spacing w:after="0" w:line="179" w:lineRule="exact"/>
        <w:rPr>
          <w:sz w:val="20"/>
          <w:szCs w:val="20"/>
          <w:color w:val="auto"/>
        </w:rPr>
      </w:pPr>
    </w:p>
    <w:p>
      <w:pPr>
        <w:ind w:right="60" w:firstLine="397"/>
        <w:spacing w:after="0" w:line="302" w:lineRule="auto"/>
        <w:rPr>
          <w:sz w:val="20"/>
          <w:szCs w:val="20"/>
          <w:color w:val="auto"/>
        </w:rPr>
      </w:pPr>
      <w:r>
        <w:rPr>
          <w:rFonts w:ascii="Arial" w:cs="Arial" w:eastAsia="Arial" w:hAnsi="Arial"/>
          <w:sz w:val="15"/>
          <w:szCs w:val="15"/>
          <w:color w:val="auto"/>
        </w:rPr>
        <w:t>We have historically relied on, and purchased on a purchase order basis from, a single third-party manufacturer, Agilent, to provide Zimura drug substance. We are also working with a new manufacturer to conduct scale up and validation activities for Zimura drug substance. However, we do not currently have any contractual commitments with Agilent or the new manufacturer for the long-term clinical or commercial supply of Zimura drug substance. We expect to rely on both manufacturers and potentially other manufacturers for long-term supply of Zimura drug substance. We have also historically relied on a single third-party manufacturer, Ajinomoto, for Zimura drug product. We are working with a second fill/finish manufacturer for additional supply of Zimura drug product for our expected needs for the GATHER2 and STAR trials. We plan to rely on Ajinomoto for long-term supply of Zimura drug product using the new vial we have selected. However, we may ultimately need to rely on other manufacturers for long-term supply of Zimura drug product. We purchase the PEG starting material on a purchase order basis from a single third-party supplier. We are continuing discussions with this supplier for a long-term supply agreement for the PEG starting material. For these and any other manufacturers with which we do not have any contractual commitments for supply, the pricing and other terms for supply may vary, even substantially, over time and could adversely affect our financial results and operations.</w:t>
      </w:r>
    </w:p>
    <w:p>
      <w:pPr>
        <w:spacing w:after="0" w:line="162" w:lineRule="exact"/>
        <w:rPr>
          <w:sz w:val="20"/>
          <w:szCs w:val="20"/>
          <w:color w:val="auto"/>
        </w:rPr>
      </w:pPr>
    </w:p>
    <w:p>
      <w:pPr>
        <w:jc w:val="both"/>
        <w:ind w:right="160" w:firstLine="397"/>
        <w:spacing w:after="0" w:line="255" w:lineRule="auto"/>
        <w:rPr>
          <w:sz w:val="20"/>
          <w:szCs w:val="20"/>
          <w:color w:val="auto"/>
        </w:rPr>
      </w:pPr>
      <w:r>
        <w:rPr>
          <w:rFonts w:ascii="Arial" w:cs="Arial" w:eastAsia="Arial" w:hAnsi="Arial"/>
          <w:sz w:val="18"/>
          <w:szCs w:val="18"/>
          <w:color w:val="auto"/>
        </w:rPr>
        <w:t>For IC-500, we work with a CDMO to conduct process development, scale-up and cGMP manufacture of the drug substance for preclinical toxicology studies and early-stage clinical trials and a number of different CDMOs to conduct formulation optimization, cGMP scale-up and manufacture of the IC-500 drug product for early-stage clinical trials.</w:t>
      </w:r>
    </w:p>
    <w:p>
      <w:pPr>
        <w:spacing w:after="0" w:line="188" w:lineRule="exact"/>
        <w:rPr>
          <w:sz w:val="20"/>
          <w:szCs w:val="20"/>
          <w:color w:val="auto"/>
        </w:rPr>
      </w:pPr>
    </w:p>
    <w:p>
      <w:pPr>
        <w:ind w:right="60" w:firstLine="397"/>
        <w:spacing w:after="0" w:line="249" w:lineRule="auto"/>
        <w:rPr>
          <w:sz w:val="20"/>
          <w:szCs w:val="20"/>
          <w:color w:val="auto"/>
        </w:rPr>
      </w:pPr>
      <w:r>
        <w:rPr>
          <w:rFonts w:ascii="Arial" w:cs="Arial" w:eastAsia="Arial" w:hAnsi="Arial"/>
          <w:sz w:val="18"/>
          <w:szCs w:val="18"/>
          <w:color w:val="auto"/>
        </w:rPr>
        <w:t>Our current and anticipated future dependence upon others for the manufacture of the product candidates that we are developing or may develop may adversely affect our business plan and future growth. For example, any production constraints,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 We may not have adequate or timely visibility over issues at our third-party manufacturers, and may not become aware of any such issues until the effect on our programs, if any, has already materialized.</w:t>
      </w:r>
    </w:p>
    <w:p>
      <w:pPr>
        <w:spacing w:after="0" w:line="196" w:lineRule="exact"/>
        <w:rPr>
          <w:sz w:val="20"/>
          <w:szCs w:val="20"/>
          <w:color w:val="auto"/>
        </w:rPr>
      </w:pPr>
    </w:p>
    <w:p>
      <w:pPr>
        <w:ind w:right="60" w:firstLine="397"/>
        <w:spacing w:after="0" w:line="303" w:lineRule="auto"/>
        <w:rPr>
          <w:sz w:val="20"/>
          <w:szCs w:val="20"/>
          <w:color w:val="auto"/>
        </w:rPr>
      </w:pPr>
      <w:r>
        <w:rPr>
          <w:rFonts w:ascii="Arial" w:cs="Arial" w:eastAsia="Arial" w:hAnsi="Arial"/>
          <w:sz w:val="15"/>
          <w:szCs w:val="15"/>
          <w:color w:val="auto"/>
        </w:rPr>
        <w:t>Over the past few years, Agilent has been undergoing rapid expansion, including ramping up for production for existing clients, bringing on additional clients, opening new facilities, installing and validating new equipment, and hiring and training new personnel. Agilent previously informed us that as a result of competing demands from other customers, its ability to support our future manufacturing activities for Zimura was limited. As a result, we have engaged a new contract manufacturer for supply of Zimura drug substance, whom we had planned to be our primary manufacturer for Zimura drug substance. We encountered issues with technology transfer of the Zimura manufacturing process to this new manufacturer, which delayed our timelines with this new manufacturer. We plan to continue to rely on Agilent for Zimura drug substance as we prepare for potential commercialization. Agilent has recently indicated it may have additional capacity to manufacture Zimura drug substance and we are continuing discussions with Agilent. In addition, expansion experienced by other manufacturers and suppliers that we use, including any issues that they may experience while expanding, could negatively impact the timing, costs, progress, quality and outcome of our planned manufacturing activities with those manufacturers and delay or hinder our development plans.</w:t>
      </w:r>
    </w:p>
    <w:p>
      <w:pPr>
        <w:spacing w:after="0" w:line="160" w:lineRule="exact"/>
        <w:rPr>
          <w:sz w:val="20"/>
          <w:szCs w:val="20"/>
          <w:color w:val="auto"/>
        </w:rPr>
      </w:pPr>
    </w:p>
    <w:p>
      <w:pPr>
        <w:ind w:right="400" w:firstLine="397"/>
        <w:spacing w:after="0" w:line="255" w:lineRule="auto"/>
        <w:rPr>
          <w:sz w:val="20"/>
          <w:szCs w:val="20"/>
          <w:color w:val="auto"/>
        </w:rPr>
      </w:pPr>
      <w:r>
        <w:rPr>
          <w:rFonts w:ascii="Arial" w:cs="Arial" w:eastAsia="Arial" w:hAnsi="Arial"/>
          <w:sz w:val="18"/>
          <w:szCs w:val="18"/>
          <w:color w:val="auto"/>
        </w:rPr>
        <w:t>If any of our third-party manufacturers, fill/finish providers or sole-source suppliers fail to fulfill our contracts or purchase orders, or if any of these manufacturers or suppliers should become unavailable to us for any reason, including as a result of capacity constraints, differing priorities, regulatory compliance issues, financial difficulties or insolvency, we believe that there</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to do so on acceptable terms.</w:t>
      </w:r>
    </w:p>
    <w:p>
      <w:pPr>
        <w:spacing w:after="0" w:line="215" w:lineRule="exact"/>
        <w:rPr>
          <w:sz w:val="20"/>
          <w:szCs w:val="20"/>
          <w:color w:val="auto"/>
        </w:rPr>
      </w:pPr>
    </w:p>
    <w:p>
      <w:pPr>
        <w:ind w:firstLine="397"/>
        <w:spacing w:after="0" w:line="301" w:lineRule="auto"/>
        <w:rPr>
          <w:sz w:val="20"/>
          <w:szCs w:val="20"/>
          <w:color w:val="auto"/>
        </w:rPr>
      </w:pPr>
      <w:r>
        <w:rPr>
          <w:rFonts w:ascii="Arial" w:cs="Arial" w:eastAsia="Arial" w:hAnsi="Arial"/>
          <w:sz w:val="15"/>
          <w:szCs w:val="15"/>
          <w:color w:val="auto"/>
        </w:rPr>
        <w:t>As a result of the COVID-19 pandemic, our third-party contract manufacturers and many sole-source suppliers have limited their operations by reducing the number of staff on site and instituting restrictions on visitors. These changes have affected how we work with our manufacturers and have resulted in minor delays to the progress of our manufacturing activities. For example, we were unable to perform person-in-plant (PIP) observations on a number of critical manufacturing activities at our CDMO for IC-200 and IC-100, which caused minor delays to our manufacturing timelines for both product candidates. Additionally, shortages and governmental restrictions arising from the COVID-19 pandemic have disrupted and may continue to disrupt the ability of our contract manufacturers to procure items, such raw materials, that are essential for the manufacture of our product candidates. For example, in 2020, the COVID-19 pandemic and governmental measures in response caused a delay to the process development activities at our drug substance manufacturer for IC-500 as a result of difficulty in procuring one of the raw materials used in the manufacture of IC-500 from China. Over the past year, there have been increasing disruptions in the global supply chain for various materials, due to the effects of the COVID-19 pandemic and other reasons, and these disruptions may ultimately affect our operations. We recently learned that the new manufacturer we are working with for supply of Zimura drug substance has experienced issues with procuring an important raw material common to many manufacturing processes, which occurred due to recent supply chain interruptions and caused a slight delay to our manufacturing timelines with this contract manufacturer.</w:t>
      </w:r>
    </w:p>
    <w:p>
      <w:pPr>
        <w:spacing w:after="0" w:line="200" w:lineRule="exact"/>
        <w:rPr>
          <w:sz w:val="20"/>
          <w:szCs w:val="20"/>
          <w:color w:val="auto"/>
        </w:rPr>
      </w:pPr>
    </w:p>
    <w:p>
      <w:pPr>
        <w:spacing w:after="0" w:line="203" w:lineRule="exact"/>
        <w:rPr>
          <w:sz w:val="20"/>
          <w:szCs w:val="20"/>
          <w:color w:val="auto"/>
        </w:rPr>
      </w:pPr>
    </w:p>
    <w:p>
      <w:pPr>
        <w:ind w:right="20" w:firstLine="397"/>
        <w:spacing w:after="0" w:line="318" w:lineRule="auto"/>
        <w:rPr>
          <w:sz w:val="20"/>
          <w:szCs w:val="20"/>
          <w:color w:val="auto"/>
        </w:rPr>
      </w:pPr>
      <w:r>
        <w:rPr>
          <w:rFonts w:ascii="Arial" w:cs="Arial" w:eastAsia="Arial" w:hAnsi="Arial"/>
          <w:sz w:val="15"/>
          <w:szCs w:val="15"/>
          <w:color w:val="auto"/>
        </w:rPr>
        <w:t>In addition, we and our third party manufacturers source some of the raw and starting materials used in the manufacture of our product candidates from outside the United States. We source the PEG starting material from a supplier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could cause delays or disruptions in our supply of starting materials for our product candidates.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44" w:lineRule="exact"/>
        <w:rPr>
          <w:sz w:val="20"/>
          <w:szCs w:val="20"/>
          <w:color w:val="auto"/>
        </w:rPr>
      </w:pPr>
    </w:p>
    <w:p>
      <w:pPr>
        <w:ind w:left="960" w:right="560" w:hanging="318"/>
        <w:spacing w:after="0" w:line="264" w:lineRule="auto"/>
        <w:tabs>
          <w:tab w:leader="none" w:pos="9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cGMP conditions;</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control and quality assurance;</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43" w:lineRule="exact"/>
        <w:rPr>
          <w:rFonts w:ascii="Arial" w:cs="Arial" w:eastAsia="Arial" w:hAnsi="Arial"/>
          <w:sz w:val="18"/>
          <w:szCs w:val="18"/>
          <w:color w:val="auto"/>
        </w:rPr>
      </w:pPr>
    </w:p>
    <w:p>
      <w:pPr>
        <w:ind w:left="960" w:right="200" w:hanging="318"/>
        <w:spacing w:after="0" w:line="264" w:lineRule="auto"/>
        <w:tabs>
          <w:tab w:leader="none" w:pos="9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or the proprietary information of third parties that we are responsible for protecting; and</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7" w:lineRule="exact"/>
        <w:rPr>
          <w:sz w:val="20"/>
          <w:szCs w:val="20"/>
          <w:color w:val="auto"/>
        </w:rPr>
      </w:pPr>
    </w:p>
    <w:p>
      <w:pPr>
        <w:ind w:right="180" w:firstLine="397"/>
        <w:spacing w:after="0" w:line="250"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94"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b w:val="1"/>
          <w:bCs w:val="1"/>
          <w:i w:val="1"/>
          <w:iCs w:val="1"/>
          <w:color w:val="auto"/>
        </w:rPr>
        <w:t>We rely upon third parties in conducting our preclinical development activities and clinical trials, and those third parties may not perform satisfactorily, including failing to meet deadlines for the completion of such activities. The COVID-19 pandemic has affected operations at our academic collaborators and delayed some of our sponsored research activities.</w:t>
      </w:r>
    </w:p>
    <w:p>
      <w:pPr>
        <w:spacing w:after="0" w:line="188" w:lineRule="exact"/>
        <w:rPr>
          <w:sz w:val="20"/>
          <w:szCs w:val="20"/>
          <w:color w:val="auto"/>
        </w:rPr>
      </w:pPr>
    </w:p>
    <w:p>
      <w:pPr>
        <w:ind w:right="220" w:firstLine="397"/>
        <w:spacing w:after="0" w:line="309" w:lineRule="auto"/>
        <w:rPr>
          <w:sz w:val="20"/>
          <w:szCs w:val="20"/>
          <w:color w:val="auto"/>
        </w:rPr>
      </w:pPr>
      <w:r>
        <w:rPr>
          <w:rFonts w:ascii="Arial" w:cs="Arial" w:eastAsia="Arial" w:hAnsi="Arial"/>
          <w:sz w:val="15"/>
          <w:szCs w:val="15"/>
          <w:color w:val="auto"/>
        </w:rPr>
        <w:t>We are relying upon and expect in the future to rely upon third parties, such as contract research organizations, or CROs, clinical data management organizations, biostatisticians, medical institutions (including reading centers) and clinical investigators, in conducting our preclinical testing, analytical testing and clinical trials for our product candidates. Although we are planning to advance our minigene research programs internally after transitioning the preclinical research activities for these programs from UMMS to us, we expect to rely upon certain UMMS facilities for various services, including maintenance and care of research animals and production of viral vectors. These third parties may also have relationships with other entities, some of which may be our competitors. We or these third parties may terminate their engagements with us at any time for a</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variety of reasons, including a failure to perform by the third parties. If we need to enter into alternative arrangements, our product development activities could potentially be delayed and could potentially be very costly.</w:t>
      </w:r>
    </w:p>
    <w:p>
      <w:pPr>
        <w:spacing w:after="0" w:line="181" w:lineRule="exact"/>
        <w:rPr>
          <w:sz w:val="20"/>
          <w:szCs w:val="20"/>
          <w:color w:val="auto"/>
        </w:rPr>
      </w:pPr>
    </w:p>
    <w:p>
      <w:pPr>
        <w:ind w:firstLine="397"/>
        <w:spacing w:after="0" w:line="301" w:lineRule="auto"/>
        <w:rPr>
          <w:sz w:val="20"/>
          <w:szCs w:val="20"/>
          <w:color w:val="auto"/>
        </w:rPr>
      </w:pPr>
      <w:r>
        <w:rPr>
          <w:rFonts w:ascii="Arial" w:cs="Arial" w:eastAsia="Arial" w:hAnsi="Arial"/>
          <w:sz w:val="15"/>
          <w:szCs w:val="15"/>
          <w:color w:val="auto"/>
        </w:rPr>
        <w:t>The COVID-19 pandemic has caused our university collaborators to limit the number of staff on site and the types of activities that may be conducted in their laboratories. During 2020, Penn restricted their researchers from being on site in their laboratories and closed a number of research centers that our researchers use for data analysis, which limited their ability to analyze some of the data generated during our preclinical studies. As a result, our receipt of data and reports from some of those studies was delayed. The University of Florida, or UF, also limited staff on site in their laboratories and vector production facilities, which delayed our obtaining certain reagents and other materials used for our gene therapy programs. In addition, UMMS suspended researcher access to their laboratories and the conduct of certain animal studies, which delayed our timelines for our miniCEP290 and miniUSH2A sponsored research programs. Shortages and governmental restrictions arising from the COVID-19 pandemic may also disrupt the ability of our academic collaborators, clinical trial sites and other contract research organizations to procure items that are essential for our research and development activities, including, for example, medical and laboratory supplies used in our clinical trials, including personal protective equipment for site staff, or animals that are used for preclinical studies. For example, there have been shortages of various animals used in research studies, such as several types of monkeys, which are typically sourced from China, due to the COVID-19 pandemic and disruptions to the global supply chain. Although our development programs have not yet been affected by these shortages, we are continuing to monitor the situation. There is no guarantee that the COVID-19 pandemic will not further impact our supply chain, which could have a material impact on our research and development programs.</w:t>
      </w:r>
    </w:p>
    <w:p>
      <w:pPr>
        <w:spacing w:after="0" w:line="372" w:lineRule="exact"/>
        <w:rPr>
          <w:sz w:val="20"/>
          <w:szCs w:val="20"/>
          <w:color w:val="auto"/>
        </w:rPr>
      </w:pPr>
    </w:p>
    <w:p>
      <w:pPr>
        <w:ind w:firstLine="397"/>
        <w:spacing w:after="0" w:line="309" w:lineRule="auto"/>
        <w:rPr>
          <w:sz w:val="20"/>
          <w:szCs w:val="20"/>
          <w:color w:val="auto"/>
        </w:rPr>
      </w:pPr>
      <w:r>
        <w:rPr>
          <w:rFonts w:ascii="Arial" w:cs="Arial" w:eastAsia="Arial" w:hAnsi="Arial"/>
          <w:sz w:val="15"/>
          <w:szCs w:val="15"/>
          <w:color w:val="auto"/>
        </w:rPr>
        <w:t>Our reliance on these third parties for preclinical testing, analytical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and other regulatory authorities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various government-sponsored databases within specified timeframes. Failure to do so can result in fines, adverse publicity and civil and criminal sanctions.</w:t>
      </w:r>
    </w:p>
    <w:p>
      <w:pPr>
        <w:spacing w:after="0" w:line="152" w:lineRule="exact"/>
        <w:rPr>
          <w:sz w:val="20"/>
          <w:szCs w:val="20"/>
          <w:color w:val="auto"/>
        </w:rPr>
      </w:pPr>
    </w:p>
    <w:p>
      <w:pPr>
        <w:ind w:right="40" w:firstLine="397"/>
        <w:spacing w:after="0" w:line="263" w:lineRule="auto"/>
        <w:rPr>
          <w:sz w:val="20"/>
          <w:szCs w:val="20"/>
          <w:color w:val="auto"/>
        </w:rPr>
      </w:pPr>
      <w:r>
        <w:rPr>
          <w:rFonts w:ascii="Arial" w:cs="Arial" w:eastAsia="Arial" w:hAnsi="Arial"/>
          <w:sz w:val="17"/>
          <w:szCs w:val="17"/>
          <w:color w:val="auto"/>
        </w:rPr>
        <w:t>Over the past few years, there has been increasing oversight by the FDA and other regulatory authorities on data integrity, especially in the research and development of novel therapies such as gene therapies. We rely upon the practices of and systems in place at our third party collaborators in generating data to support our preclinical and clinical development programs and for quality control over this data. Their practices and systems vary in scope and effectiveness and we have a limited number of personnel to supervise, including to perform quality assurance of, those practices and systems. Until recently, the COVID-19 pandemic prevented us from performing audits on our vendors and clinical trial sites that we otherwise would have performed, which decreases the level of oversight we have over those vendors and clinical trial sites and increases the risk of non-compliance. Any failure of such practices or systems to comply with our stated protocols or regulatory requirements could adversely affect the quality of the data generated by these studies. For a number of our analytical development and testing providers, our CDMOs subcontract and manage that work on our behalf and we have less visibility into or control over their activities. If these third parties do not successfully carry out their contractual duties, meet expected deadlines or conduct our preclinical studies, analytical testing or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w:t>
      </w:r>
    </w:p>
    <w:p>
      <w:pPr>
        <w:spacing w:after="0" w:line="186" w:lineRule="exact"/>
        <w:rPr>
          <w:sz w:val="20"/>
          <w:szCs w:val="20"/>
          <w:color w:val="auto"/>
        </w:rPr>
      </w:pPr>
    </w:p>
    <w:p>
      <w:pPr>
        <w:ind w:right="60" w:firstLine="397"/>
        <w:spacing w:after="0" w:line="248" w:lineRule="auto"/>
        <w:rPr>
          <w:sz w:val="20"/>
          <w:szCs w:val="20"/>
          <w:color w:val="auto"/>
        </w:rPr>
      </w:pPr>
      <w:r>
        <w:rPr>
          <w:rFonts w:ascii="Arial" w:cs="Arial" w:eastAsia="Arial" w:hAnsi="Arial"/>
          <w:sz w:val="18"/>
          <w:szCs w:val="18"/>
          <w:color w:val="auto"/>
        </w:rPr>
        <w:t>We also rely upon other third parties to store, package, label and distribute drug supplies for our clinical trials and to store materials for our development activities. In particular, we rely on a limited number of third parties to store starting materials, drug substance and drug product for our product candidates and programs. Our product candidates are required to be stored and shipped at certain temperatures and a deviation from those requirements may result in delays or additional costs. In addition, a number of these vendors are also servicing other clients who are developing vaccines or medicines for the COVID-19 pandemic and those vendors may prioritize those other customers over us.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199" w:lineRule="exact"/>
        <w:rPr>
          <w:sz w:val="20"/>
          <w:szCs w:val="20"/>
          <w:color w:val="auto"/>
        </w:rPr>
      </w:pPr>
    </w:p>
    <w:p>
      <w:pPr>
        <w:ind w:right="200"/>
        <w:spacing w:after="0" w:line="365" w:lineRule="auto"/>
        <w:rPr>
          <w:sz w:val="20"/>
          <w:szCs w:val="20"/>
          <w:color w:val="auto"/>
        </w:rPr>
      </w:pPr>
      <w:r>
        <w:rPr>
          <w:rFonts w:ascii="Arial" w:cs="Arial" w:eastAsia="Arial" w:hAnsi="Arial"/>
          <w:sz w:val="15"/>
          <w:szCs w:val="15"/>
          <w:b w:val="1"/>
          <w:bCs w:val="1"/>
          <w:i w:val="1"/>
          <w:iCs w:val="1"/>
          <w:color w:val="auto"/>
        </w:rPr>
        <w:t>We have historically relied upon third-party researchers to advance our sponsored research programs. We may not be able to fully realize the benefits of any intellectual property generated by these arrangements. We are in the process of transitioning the minigenes research from UMMS to us.</w:t>
      </w:r>
    </w:p>
    <w:p>
      <w:pPr>
        <w:spacing w:after="0" w:line="111" w:lineRule="exact"/>
        <w:rPr>
          <w:sz w:val="20"/>
          <w:szCs w:val="20"/>
          <w:color w:val="auto"/>
        </w:rPr>
      </w:pPr>
    </w:p>
    <w:p>
      <w:pPr>
        <w:ind w:right="160" w:firstLine="397"/>
        <w:spacing w:after="0" w:line="264" w:lineRule="auto"/>
        <w:rPr>
          <w:sz w:val="20"/>
          <w:szCs w:val="20"/>
          <w:color w:val="auto"/>
        </w:rPr>
      </w:pPr>
      <w:r>
        <w:rPr>
          <w:rFonts w:ascii="Arial" w:cs="Arial" w:eastAsia="Arial" w:hAnsi="Arial"/>
          <w:sz w:val="18"/>
          <w:szCs w:val="18"/>
          <w:color w:val="auto"/>
        </w:rPr>
        <w:t>Part of our strategy to date involves collaborative sponsored research performed by third-party research institutions. Although we have sought to direct this research and advise on the design of these projects as well as critical development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decisions, this research has been performed by individuals who are not our employees and the timeline and quality of the research efforts are outside of our direct control. Academic investigators and other researchers may have different priorities than we do as a biopharmaceutical drug development company. The sponsored research agreements we have entered into for these programs generally provide that any inventions resulting from the research will be owned by the research institution performing the research, and that we have an option to negotiate for a license to develop and exploit any such inventions. If we exercise our option rights for a program that is attractive to us, we may not be successful at in-licensing rights to the inventions or may need to agree to unfavorable terms.</w:t>
      </w:r>
    </w:p>
    <w:p>
      <w:pPr>
        <w:spacing w:after="0" w:line="222" w:lineRule="exact"/>
        <w:rPr>
          <w:sz w:val="20"/>
          <w:szCs w:val="20"/>
          <w:color w:val="auto"/>
        </w:rPr>
      </w:pPr>
    </w:p>
    <w:p>
      <w:pPr>
        <w:ind w:right="40" w:firstLine="397"/>
        <w:spacing w:after="0" w:line="249" w:lineRule="auto"/>
        <w:rPr>
          <w:sz w:val="20"/>
          <w:szCs w:val="20"/>
          <w:color w:val="auto"/>
        </w:rPr>
      </w:pPr>
      <w:r>
        <w:rPr>
          <w:rFonts w:ascii="Arial" w:cs="Arial" w:eastAsia="Arial" w:hAnsi="Arial"/>
          <w:sz w:val="18"/>
          <w:szCs w:val="18"/>
          <w:color w:val="auto"/>
        </w:rPr>
        <w:t>Confidential information and new inventions derived from these research efforts may be disclosed through publications or other means prior to us or our third-party research collaborators being able to protect such intellectual property through the filing of patent applications. Our third-party research collaborators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222" w:lineRule="exact"/>
        <w:rPr>
          <w:sz w:val="20"/>
          <w:szCs w:val="20"/>
          <w:color w:val="auto"/>
        </w:rPr>
      </w:pPr>
    </w:p>
    <w:p>
      <w:pPr>
        <w:ind w:right="200" w:firstLine="397"/>
        <w:spacing w:after="0" w:line="318" w:lineRule="auto"/>
        <w:rPr>
          <w:sz w:val="20"/>
          <w:szCs w:val="20"/>
          <w:color w:val="auto"/>
        </w:rPr>
      </w:pPr>
      <w:r>
        <w:rPr>
          <w:rFonts w:ascii="Arial" w:cs="Arial" w:eastAsia="Arial" w:hAnsi="Arial"/>
          <w:sz w:val="15"/>
          <w:szCs w:val="15"/>
          <w:color w:val="auto"/>
        </w:rPr>
        <w:t>We are currently transitioning the miniABCA4 and miniUSH2A research programs from UMMS to us. Those programs were previously collaborative sponsored research programs overseen by researchers at UMMS, and we now plan to continue those research programs internally. As part of this transition, we need to obtain new animals for the miniABCA4 program and negotiate for rights to continue using the existing animals for the miniUSH2A program, which has led to delays in our timelines for receipt of data from both programs. We may not be successful in pursuing these research programs internally.</w:t>
      </w:r>
    </w:p>
    <w:p>
      <w:pPr>
        <w:spacing w:after="0" w:line="172" w:lineRule="exact"/>
        <w:rPr>
          <w:sz w:val="20"/>
          <w:szCs w:val="20"/>
          <w:color w:val="auto"/>
        </w:rPr>
      </w:pPr>
    </w:p>
    <w:p>
      <w:pPr>
        <w:ind w:right="220"/>
        <w:spacing w:after="0" w:line="330" w:lineRule="auto"/>
        <w:rPr>
          <w:sz w:val="20"/>
          <w:szCs w:val="20"/>
          <w:color w:val="auto"/>
        </w:rPr>
      </w:pPr>
      <w:r>
        <w:rPr>
          <w:rFonts w:ascii="Arial" w:cs="Arial" w:eastAsia="Arial" w:hAnsi="Arial"/>
          <w:sz w:val="15"/>
          <w:szCs w:val="15"/>
          <w:b w:val="1"/>
          <w:bCs w:val="1"/>
          <w:i w:val="1"/>
          <w:iCs w:val="1"/>
          <w:color w:val="auto"/>
        </w:rPr>
        <w:t>We may seek a collaborator for the further development and potential commercialization of Zimura in one or more territories outside the United States. We also plan to seek a collaborator or licensee for the further development of IC-100 and/or IC-200. If we are not able to establish collaborations to advance these or any of our other development programs, we may have to alter our development and commercialization plans.</w:t>
      </w:r>
    </w:p>
    <w:p>
      <w:pPr>
        <w:spacing w:after="0" w:line="137" w:lineRule="exact"/>
        <w:rPr>
          <w:sz w:val="20"/>
          <w:szCs w:val="20"/>
          <w:color w:val="auto"/>
        </w:rPr>
      </w:pPr>
    </w:p>
    <w:p>
      <w:pPr>
        <w:ind w:right="40" w:firstLine="397"/>
        <w:spacing w:after="0" w:line="306" w:lineRule="auto"/>
        <w:rPr>
          <w:sz w:val="20"/>
          <w:szCs w:val="20"/>
          <w:color w:val="auto"/>
        </w:rPr>
      </w:pPr>
      <w:r>
        <w:rPr>
          <w:rFonts w:ascii="Arial" w:cs="Arial" w:eastAsia="Arial" w:hAnsi="Arial"/>
          <w:sz w:val="15"/>
          <w:szCs w:val="15"/>
          <w:color w:val="auto"/>
        </w:rPr>
        <w:t>The development and potential commercialization of our product candidates is likely to require substantial additional cash to fund expenses and the hiring of additional qualified personnel. In addition, the development or commercialization of a product candidate in markets outside of the United States requires regulatory expertise and commercial capabilities that are specific to the local market. A number of countries require sponsors to perform a clinical trial in the local jurisdiction or with patients similar to the demographics of the local population as a condition to approving the drug. For some of our product candidates, we may seek to collaborate with pharmaceutical and biotechnology companies for the development and potential commercialization of those product candidates. In particular, we may seek a collaborator for the further development and potential commercialization of Zimura in one or more territories outside the United States. We also plan to seek a collaborator or licensee for the further development and potential commercialization of IC-100 and IC-200.</w:t>
      </w:r>
    </w:p>
    <w:p>
      <w:pPr>
        <w:spacing w:after="0" w:line="157" w:lineRule="exact"/>
        <w:rPr>
          <w:sz w:val="20"/>
          <w:szCs w:val="20"/>
          <w:color w:val="auto"/>
        </w:rPr>
      </w:pPr>
    </w:p>
    <w:p>
      <w:pPr>
        <w:ind w:right="20" w:firstLine="397"/>
        <w:spacing w:after="0" w:line="301" w:lineRule="auto"/>
        <w:rPr>
          <w:sz w:val="20"/>
          <w:szCs w:val="20"/>
          <w:color w:val="auto"/>
        </w:rPr>
      </w:pPr>
      <w:r>
        <w:rPr>
          <w:rFonts w:ascii="Arial" w:cs="Arial" w:eastAsia="Arial" w:hAnsi="Arial"/>
          <w:sz w:val="15"/>
          <w:szCs w:val="15"/>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and other data we have generated for the product candidate, the likelihood of approval by the FDA or similar regulatory authorities outside the United States, the potential market for the subject product candidate, the costs and complexities of manufacturing and delivering such product candidate to patients, any patent or other forms of exclusivity for such product candidate and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For our gene therapy programs including IC-100 and IC-200, we are party to in-license agreements that limit who we can collaborate with or may require the approval of our licensor for us to enter into a collaboration, and any future license agreements that we may enter into may have similar restrictions. Collaborations are complex and time-consuming to negotiate and document. In addition, there have been a significant number of business combinations among pharmaceutical and biotechnology companies over the past decade that have resulted in a reduced number of potential future collaborators and this trend is likely to continue.</w:t>
      </w:r>
    </w:p>
    <w:p>
      <w:pPr>
        <w:spacing w:after="0" w:line="372" w:lineRule="exact"/>
        <w:rPr>
          <w:sz w:val="20"/>
          <w:szCs w:val="20"/>
          <w:color w:val="auto"/>
        </w:rPr>
      </w:pPr>
    </w:p>
    <w:p>
      <w:pPr>
        <w:ind w:right="40" w:firstLine="397"/>
        <w:spacing w:after="0" w:line="318" w:lineRule="auto"/>
        <w:rPr>
          <w:sz w:val="20"/>
          <w:szCs w:val="20"/>
          <w:color w:val="auto"/>
        </w:rPr>
      </w:pPr>
      <w:r>
        <w:rPr>
          <w:rFonts w:ascii="Arial" w:cs="Arial" w:eastAsia="Arial" w:hAnsi="Arial"/>
          <w:sz w:val="15"/>
          <w:szCs w:val="15"/>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 in line with our expectations. For Zimura, if we choose to and are unable to find a collaborator for potential commercialization outside the United States, we likely will need to raise additional capital, hire additional personnel and undertake the effort ourselves, any of which may be unsuccessful.</w:t>
      </w:r>
    </w:p>
    <w:p>
      <w:pPr>
        <w:spacing w:after="0" w:line="194" w:lineRule="exact"/>
        <w:rPr>
          <w:sz w:val="20"/>
          <w:szCs w:val="20"/>
          <w:color w:val="auto"/>
        </w:rPr>
      </w:pPr>
    </w:p>
    <w:p>
      <w:pPr>
        <w:ind w:right="200"/>
        <w:spacing w:after="0" w:line="365" w:lineRule="auto"/>
        <w:rPr>
          <w:sz w:val="20"/>
          <w:szCs w:val="20"/>
          <w:color w:val="auto"/>
        </w:rPr>
      </w:pPr>
      <w:r>
        <w:rPr>
          <w:rFonts w:ascii="Arial" w:cs="Arial" w:eastAsia="Arial" w:hAnsi="Arial"/>
          <w:sz w:val="15"/>
          <w:szCs w:val="15"/>
          <w:b w:val="1"/>
          <w:bCs w:val="1"/>
          <w:i w:val="1"/>
          <w:iCs w:val="1"/>
          <w:color w:val="auto"/>
        </w:rPr>
        <w:t>If we enter into collaborations with third parties for the development or commercialization of our product candidates, any such collaborations will carry numerous risks. If any of our collaborations are not successful, we may not be able to capitalize on the market potential of these product candidates.</w:t>
      </w:r>
    </w:p>
    <w:p>
      <w:pPr>
        <w:spacing w:after="0" w:line="111" w:lineRule="exact"/>
        <w:rPr>
          <w:sz w:val="20"/>
          <w:szCs w:val="20"/>
          <w:color w:val="auto"/>
        </w:rPr>
      </w:pPr>
    </w:p>
    <w:p>
      <w:pPr>
        <w:ind w:right="40" w:firstLine="397"/>
        <w:spacing w:after="0" w:line="306" w:lineRule="auto"/>
        <w:rPr>
          <w:sz w:val="20"/>
          <w:szCs w:val="20"/>
          <w:color w:val="auto"/>
        </w:rPr>
      </w:pPr>
      <w:r>
        <w:rPr>
          <w:rFonts w:ascii="Arial" w:cs="Arial" w:eastAsia="Arial" w:hAnsi="Arial"/>
          <w:sz w:val="15"/>
          <w:szCs w:val="15"/>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enter into any arrangements with third parties,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44" w:lineRule="exact"/>
        <w:rPr>
          <w:sz w:val="20"/>
          <w:szCs w:val="20"/>
          <w:color w:val="auto"/>
        </w:rPr>
      </w:pPr>
    </w:p>
    <w:p>
      <w:pPr>
        <w:ind w:left="960" w:right="260" w:hanging="318"/>
        <w:spacing w:after="0" w:line="264" w:lineRule="auto"/>
        <w:tabs>
          <w:tab w:leader="none" w:pos="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207" w:lineRule="exact"/>
        <w:rPr>
          <w:rFonts w:ascii="Arial" w:cs="Arial" w:eastAsia="Arial" w:hAnsi="Arial"/>
          <w:sz w:val="18"/>
          <w:szCs w:val="18"/>
          <w:color w:val="auto"/>
        </w:rPr>
      </w:pPr>
    </w:p>
    <w:p>
      <w:pPr>
        <w:ind w:left="960" w:right="300" w:hanging="318"/>
        <w:spacing w:after="0" w:line="252" w:lineRule="auto"/>
        <w:tabs>
          <w:tab w:leader="none" w:pos="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217" w:lineRule="exact"/>
        <w:rPr>
          <w:rFonts w:ascii="Arial" w:cs="Arial" w:eastAsia="Arial" w:hAnsi="Arial"/>
          <w:sz w:val="18"/>
          <w:szCs w:val="18"/>
          <w:color w:val="auto"/>
        </w:rPr>
      </w:pPr>
    </w:p>
    <w:p>
      <w:pPr>
        <w:ind w:left="960" w:right="720" w:hanging="318"/>
        <w:spacing w:after="0" w:line="294" w:lineRule="auto"/>
        <w:tabs>
          <w:tab w:leader="none" w:pos="9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3" w:lineRule="exact"/>
        <w:rPr>
          <w:rFonts w:ascii="Arial" w:cs="Arial" w:eastAsia="Arial" w:hAnsi="Arial"/>
          <w:sz w:val="17"/>
          <w:szCs w:val="17"/>
          <w:color w:val="auto"/>
        </w:rPr>
      </w:pPr>
    </w:p>
    <w:p>
      <w:pPr>
        <w:ind w:left="960" w:right="140" w:hanging="318"/>
        <w:spacing w:after="0" w:line="255" w:lineRule="auto"/>
        <w:tabs>
          <w:tab w:leader="none" w:pos="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14" w:lineRule="exact"/>
        <w:rPr>
          <w:rFonts w:ascii="Arial" w:cs="Arial" w:eastAsia="Arial" w:hAnsi="Arial"/>
          <w:sz w:val="18"/>
          <w:szCs w:val="18"/>
          <w:color w:val="auto"/>
        </w:rPr>
      </w:pPr>
    </w:p>
    <w:p>
      <w:pPr>
        <w:ind w:left="960" w:hanging="318"/>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43" w:lineRule="exact"/>
        <w:rPr>
          <w:rFonts w:ascii="Arial" w:cs="Arial" w:eastAsia="Arial" w:hAnsi="Arial"/>
          <w:sz w:val="18"/>
          <w:szCs w:val="18"/>
          <w:color w:val="auto"/>
        </w:rPr>
      </w:pPr>
    </w:p>
    <w:p>
      <w:pPr>
        <w:ind w:left="960" w:right="220" w:hanging="318"/>
        <w:spacing w:after="0" w:line="264" w:lineRule="auto"/>
        <w:tabs>
          <w:tab w:leader="none" w:pos="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obligated to supply the collaborator with drug substance or drug product in an amount sufficient for its needs, or may be dependent on the supply of certain materials or products by the collaborator;</w:t>
      </w:r>
    </w:p>
    <w:p>
      <w:pPr>
        <w:spacing w:after="0" w:line="207" w:lineRule="exact"/>
        <w:rPr>
          <w:rFonts w:ascii="Arial" w:cs="Arial" w:eastAsia="Arial" w:hAnsi="Arial"/>
          <w:sz w:val="18"/>
          <w:szCs w:val="18"/>
          <w:color w:val="auto"/>
        </w:rPr>
      </w:pPr>
    </w:p>
    <w:p>
      <w:pPr>
        <w:ind w:left="960" w:hanging="318"/>
        <w:spacing w:after="0" w:line="318" w:lineRule="auto"/>
        <w:tabs>
          <w:tab w:leader="none" w:pos="955" w:val="left"/>
        </w:tabs>
        <w:numPr>
          <w:ilvl w:val="0"/>
          <w:numId w:val="45"/>
        </w:numPr>
        <w:rPr>
          <w:rFonts w:ascii="Arial" w:cs="Arial" w:eastAsia="Arial" w:hAnsi="Arial"/>
          <w:sz w:val="15"/>
          <w:szCs w:val="15"/>
          <w:color w:val="auto"/>
        </w:rPr>
      </w:pPr>
      <w:r>
        <w:rPr>
          <w:rFonts w:ascii="Arial" w:cs="Arial" w:eastAsia="Arial" w:hAnsi="Arial"/>
          <w:sz w:val="15"/>
          <w:szCs w:val="15"/>
          <w:color w:val="auto"/>
        </w:rPr>
        <w:t>disagreements or disputes with collaborators, including disagreements or disputes over proprietary rights, contract interpretation or the preferred course of development or commercialization,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expensive, and be uncertain in outcome;</w:t>
      </w:r>
    </w:p>
    <w:p>
      <w:pPr>
        <w:spacing w:after="0" w:line="172" w:lineRule="exact"/>
        <w:rPr>
          <w:rFonts w:ascii="Arial" w:cs="Arial" w:eastAsia="Arial" w:hAnsi="Arial"/>
          <w:sz w:val="15"/>
          <w:szCs w:val="15"/>
          <w:color w:val="auto"/>
        </w:rPr>
      </w:pPr>
    </w:p>
    <w:p>
      <w:pPr>
        <w:ind w:left="960" w:right="220" w:hanging="318"/>
        <w:spacing w:after="0" w:line="277" w:lineRule="auto"/>
        <w:tabs>
          <w:tab w:leader="none" w:pos="9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960" w:right="200" w:hanging="318"/>
        <w:spacing w:after="0" w:line="255" w:lineRule="auto"/>
        <w:tabs>
          <w:tab w:leader="none" w:pos="9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laws or practices in certain foreign jurisdictions may require that as a condition of working with a collaborator in such jurisdiction, we agree to certain foreign ownership restrictions, use certain local services or providers, share or license certain of our proprietary information or technology or agree to other conditions that are not attractive to us; and</w:t>
      </w:r>
    </w:p>
    <w:p>
      <w:pPr>
        <w:spacing w:after="0" w:line="214" w:lineRule="exact"/>
        <w:rPr>
          <w:rFonts w:ascii="Arial" w:cs="Arial" w:eastAsia="Arial" w:hAnsi="Arial"/>
          <w:sz w:val="18"/>
          <w:szCs w:val="18"/>
          <w:color w:val="auto"/>
        </w:rPr>
      </w:pPr>
    </w:p>
    <w:p>
      <w:pPr>
        <w:ind w:left="960" w:right="320" w:hanging="318"/>
        <w:spacing w:after="0" w:line="365" w:lineRule="auto"/>
        <w:tabs>
          <w:tab w:leader="none" w:pos="955" w:val="left"/>
        </w:tabs>
        <w:numPr>
          <w:ilvl w:val="0"/>
          <w:numId w:val="46"/>
        </w:numPr>
        <w:rPr>
          <w:rFonts w:ascii="Arial" w:cs="Arial" w:eastAsia="Arial" w:hAnsi="Arial"/>
          <w:sz w:val="15"/>
          <w:szCs w:val="15"/>
          <w:color w:val="auto"/>
        </w:rPr>
      </w:pPr>
      <w:r>
        <w:rPr>
          <w:rFonts w:ascii="Arial" w:cs="Arial" w:eastAsia="Arial" w:hAnsi="Arial"/>
          <w:sz w:val="15"/>
          <w:szCs w:val="15"/>
          <w:color w:val="auto"/>
        </w:rPr>
        <w:t>collaborations may be terminated at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11" w:lineRule="exact"/>
        <w:rPr>
          <w:sz w:val="20"/>
          <w:szCs w:val="20"/>
          <w:color w:val="auto"/>
        </w:rPr>
      </w:pPr>
    </w:p>
    <w:p>
      <w:pPr>
        <w:ind w:right="60" w:firstLine="397"/>
        <w:spacing w:after="0" w:line="252" w:lineRule="auto"/>
        <w:rPr>
          <w:sz w:val="20"/>
          <w:szCs w:val="20"/>
          <w:color w:val="auto"/>
        </w:rPr>
      </w:pPr>
      <w:r>
        <w:rPr>
          <w:rFonts w:ascii="Arial" w:cs="Arial" w:eastAsia="Arial" w:hAnsi="Arial"/>
          <w:sz w:val="18"/>
          <w:szCs w:val="18"/>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b w:val="1"/>
          <w:bCs w:val="1"/>
          <w:i w:val="1"/>
          <w:iCs w:val="1"/>
          <w:color w:val="auto"/>
        </w:rPr>
        <w:t>We depend on licenses and sublicenses for development and commercialization rights to Zimura, IC-100, IC-200 and our miniCEP290 program. These license arrangements, as well as the Inception 4 Merger Agreement, impose diligence obligations on us. We depend on research licenses from UMMS for our miniABCA4 and miniUSH2A programs. We may enter into similar arrangements for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151" w:lineRule="exact"/>
        <w:rPr>
          <w:sz w:val="20"/>
          <w:szCs w:val="20"/>
          <w:color w:val="auto"/>
        </w:rPr>
      </w:pPr>
    </w:p>
    <w:p>
      <w:pPr>
        <w:ind w:right="140" w:firstLine="397"/>
        <w:spacing w:after="0" w:line="302" w:lineRule="auto"/>
        <w:rPr>
          <w:sz w:val="20"/>
          <w:szCs w:val="20"/>
          <w:color w:val="auto"/>
        </w:rPr>
      </w:pPr>
      <w:r>
        <w:rPr>
          <w:rFonts w:ascii="Arial" w:cs="Arial" w:eastAsia="Arial" w:hAnsi="Arial"/>
          <w:sz w:val="15"/>
          <w:szCs w:val="15"/>
          <w:color w:val="auto"/>
        </w:rPr>
        <w:t>We are party to a license agreement with Archemix on which we depend for rights to Zimura. We are party to two different license agreements, each with UFRF and Penn, on which we depend for rights to IC-100 and IC-200. We are also party to a license agreement with UMMS for our miniCEP290 program. These 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For IC-100, IC-200 and our miniCEP290 program, we are party to agreements with academic institutions, and under those agreements, we must meet certain milestones by certain timelines and if we fail to do so, we may need to expend significant amounts of money to extend those timelines or otherwise be in breach of those agreements. For IC-100 and IC-200, those milestones include two upcoming development milestone deadlines, one for each program, which we do not currently expect to meet. We are in the process of negotiating those timelines with our licensors and seeking a collaborator for the further development of those product candidates. If we are unable to negotiate an extension to such timelines and fail to meet the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specified milestone timelines, UFRF and Penn have the right to terminate the license agreements on which we depend for</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rights to IC-100 and IC-200 and we could lose our rights to develop and market IC-100 and IC-200, or to have a potential collaborator or licensee do so.</w:t>
      </w:r>
    </w:p>
    <w:p>
      <w:pPr>
        <w:spacing w:after="0" w:line="267" w:lineRule="exact"/>
        <w:rPr>
          <w:sz w:val="20"/>
          <w:szCs w:val="20"/>
          <w:color w:val="auto"/>
        </w:rPr>
      </w:pPr>
    </w:p>
    <w:p>
      <w:pPr>
        <w:ind w:right="160" w:firstLine="397"/>
        <w:spacing w:after="0" w:line="250" w:lineRule="auto"/>
        <w:rPr>
          <w:sz w:val="20"/>
          <w:szCs w:val="20"/>
          <w:color w:val="auto"/>
        </w:rPr>
      </w:pPr>
      <w:r>
        <w:rPr>
          <w:rFonts w:ascii="Arial" w:cs="Arial" w:eastAsia="Arial" w:hAnsi="Arial"/>
          <w:sz w:val="18"/>
          <w:szCs w:val="18"/>
          <w:color w:val="auto"/>
        </w:rPr>
        <w:t>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IC-500, also imposes specified diligence and milestone payment obligations on us. We may enter into acquisition or licensing agreements in the future that could impose similar obligations on us.</w:t>
      </w:r>
    </w:p>
    <w:p>
      <w:pPr>
        <w:spacing w:after="0" w:line="220"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We are also party to research licenses with UMMS for rights to continue with the research and development of our miniABCA4 and miniUSH2A programs. The term of these research licenses is the same as the term for us to exercise our rights under option agreements pursuant to which UMMS granted us option rights to in-license certain patent applications covering these programs. If we fail to exercise our option rights or fail to agree to terms with UMMS for a license for further development and commercialization of the applicable program, we may lose our rights to continue with conducting research of that program.</w:t>
      </w:r>
    </w:p>
    <w:p>
      <w:pPr>
        <w:spacing w:after="0" w:line="194"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IC-100, IC-200, our miniCEP290 program,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equityholders of Inception 4 and result in potential liability to us of up to $5.0 million.</w:t>
      </w:r>
    </w:p>
    <w:p>
      <w:pPr>
        <w:spacing w:after="0" w:line="160"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82" w:lineRule="exact"/>
        <w:rPr>
          <w:sz w:val="20"/>
          <w:szCs w:val="20"/>
          <w:color w:val="auto"/>
        </w:rPr>
      </w:pPr>
    </w:p>
    <w:p>
      <w:pPr>
        <w:ind w:right="100" w:firstLine="397"/>
        <w:spacing w:after="0" w:line="265" w:lineRule="auto"/>
        <w:rPr>
          <w:sz w:val="20"/>
          <w:szCs w:val="20"/>
          <w:color w:val="auto"/>
        </w:rPr>
      </w:pPr>
      <w:r>
        <w:rPr>
          <w:rFonts w:ascii="Arial" w:cs="Arial" w:eastAsia="Arial" w:hAnsi="Arial"/>
          <w:sz w:val="17"/>
          <w:szCs w:val="17"/>
          <w:color w:val="auto"/>
        </w:rPr>
        <w:t>Moreover, the license agreements for IC-100, IC-200 and our miniCEP290 program and the research licenses for our miniABCA4 and miniUSH2A programs reserve for the licensing academic institutions the right to continue to practice for research and educational purposes, the inventions covered by the intellectual property rights that we have in-licensed. These licensing institutions or their collaborators may generate scientific, preclinical or clinical data with respect to our product candidates, separate from our research and development efforts, that is inconsistent with other data for such product candidates, including additional preclinical and clinical data that we develop. Investigators at these institutions may publish, present, or otherwise publicly disclose this data, which may have an adverse impact on the prospects of the development of our product candidates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b w:val="1"/>
          <w:bCs w:val="1"/>
          <w:i w:val="1"/>
          <w:iCs w:val="1"/>
          <w:color w:val="auto"/>
        </w:rPr>
        <w:t>If we are unable to obtain and maintain or do not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71" w:lineRule="exact"/>
        <w:rPr>
          <w:sz w:val="20"/>
          <w:szCs w:val="20"/>
          <w:color w:val="auto"/>
        </w:rPr>
      </w:pPr>
    </w:p>
    <w:p>
      <w:pPr>
        <w:ind w:right="40" w:firstLine="397"/>
        <w:spacing w:after="0" w:line="301" w:lineRule="auto"/>
        <w:rPr>
          <w:sz w:val="20"/>
          <w:szCs w:val="20"/>
          <w:color w:val="auto"/>
        </w:rPr>
      </w:pPr>
      <w:r>
        <w:rPr>
          <w:rFonts w:ascii="Arial" w:cs="Arial" w:eastAsia="Arial" w:hAnsi="Arial"/>
          <w:sz w:val="15"/>
          <w:szCs w:val="15"/>
          <w:color w:val="auto"/>
        </w:rPr>
        <w:t>We currently rely on and expect to continue to rely on patent rights to protect our competitive position. Once our patents expire, we may not be able to exclude competitors from commercializing products similar or identical to ours. 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 with Zimura are expected to expire in 2025. We expect the clinical development of, and if clinical development is successful, the process for filing and obtaining marketing approval for, Zimura to continue for the next few years. If so, the patents covering Zimura may expire before the date by which we or a potential commercial partner would be able to commercialize Zimura in the United States or Europe if we seek and obtain marketing approval. Even if we are able to obtain marketing approval for and commercially launch Zimura prior to the expiration of these patents, the remaining term of those patents may be shorter than we anticipate. If we are successful in developing a sustained release delivery technology for Zimura, we may be able to obtain patent protection for Zimura with the sustained release delivery technology beyond the current patent life for Zimura; however, obtaining the additional patent protection from these efforts or other efforts to extend the patent life of Zimura is not guaranteed. Although the patent rights under existing patent applications for IC-500, IC-100, IC-200 and our miniCEP290 program are not expected to expire until 2037 or after, we face the same risk with those product candidates and programs and any future product candidates that we may develop.</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firstLine="397"/>
        <w:spacing w:after="0" w:line="301" w:lineRule="auto"/>
        <w:rPr>
          <w:sz w:val="20"/>
          <w:szCs w:val="20"/>
          <w:color w:val="auto"/>
        </w:rPr>
      </w:pPr>
      <w:r>
        <w:rPr>
          <w:rFonts w:ascii="Arial" w:cs="Arial" w:eastAsia="Arial" w:hAnsi="Arial"/>
          <w:sz w:val="15"/>
          <w:szCs w:val="15"/>
          <w:color w:val="auto"/>
        </w:rPr>
        <w:t>Our licensed patent rights for IC-200 and certain of our licensed patent rights for Zimura and IC-100 are method-of-treatment patents and patent applications.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drug substance as our product candidates would limit our ability to generate revenue from the sale of such product candidates, if approved for commercial sale. In addition, patent laws in Europe and some other jurisdictions generally make the issuance and enforcement of patents that cover methods of treatment of the human body difficult in those jurisdictions. Further, once the composition-of-matter patents relating to Zimura or IC-100 in a particular jurisdiction, if any, expire, competitors will be able to make, offer and sell products containing the same drug substance as Zimura or IC-100 in that jurisdiction so long as these competitors do not infringe any of our other patents covering Zimura’s or IC-100's composition of matter or method of use or manufacture, do not violate the terms of any marketing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Zimura or IC-100, even if such use infringes any of our method-of-treatment patents.</w:t>
      </w:r>
    </w:p>
    <w:p>
      <w:pPr>
        <w:spacing w:after="0" w:line="372" w:lineRule="exact"/>
        <w:rPr>
          <w:sz w:val="20"/>
          <w:szCs w:val="20"/>
          <w:color w:val="auto"/>
        </w:rPr>
      </w:pPr>
    </w:p>
    <w:p>
      <w:pPr>
        <w:ind w:right="220" w:firstLine="397"/>
        <w:spacing w:after="0" w:line="252" w:lineRule="auto"/>
        <w:rPr>
          <w:sz w:val="20"/>
          <w:szCs w:val="20"/>
          <w:color w:val="auto"/>
        </w:rPr>
      </w:pPr>
      <w:r>
        <w:rPr>
          <w:rFonts w:ascii="Arial" w:cs="Arial" w:eastAsia="Arial" w:hAnsi="Arial"/>
          <w:sz w:val="18"/>
          <w:szCs w:val="18"/>
          <w:color w:val="auto"/>
        </w:rPr>
        <w:t>Additionally, we do not currently have any composition-of-matter patent applications or patents covering IC-200. The method-of-treatment patent applications that Penn filed and which we in-licensed may not issue as patents. Even if they are issued as patents, any of the claims covering IC-200 may be declared unpatentable or invalid, or the patents may be declared unenforceable. An inability to secure patent coverage for IC-200 may diminish the value of IC-200 and our competitive position.</w:t>
      </w:r>
    </w:p>
    <w:p>
      <w:pPr>
        <w:spacing w:after="0" w:line="191" w:lineRule="exact"/>
        <w:rPr>
          <w:sz w:val="20"/>
          <w:szCs w:val="20"/>
          <w:color w:val="auto"/>
        </w:rPr>
      </w:pPr>
    </w:p>
    <w:p>
      <w:pPr>
        <w:ind w:firstLine="397"/>
        <w:spacing w:after="0" w:line="302" w:lineRule="auto"/>
        <w:rPr>
          <w:sz w:val="20"/>
          <w:szCs w:val="20"/>
          <w:color w:val="auto"/>
        </w:rPr>
      </w:pPr>
      <w:r>
        <w:rPr>
          <w:rFonts w:ascii="Arial" w:cs="Arial" w:eastAsia="Arial" w:hAnsi="Arial"/>
          <w:sz w:val="15"/>
          <w:szCs w:val="15"/>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the portion of the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374" w:lineRule="exact"/>
        <w:rPr>
          <w:sz w:val="20"/>
          <w:szCs w:val="20"/>
          <w:color w:val="auto"/>
        </w:rPr>
      </w:pPr>
    </w:p>
    <w:p>
      <w:pPr>
        <w:ind w:right="60" w:firstLine="397"/>
        <w:spacing w:after="0" w:line="250" w:lineRule="auto"/>
        <w:rPr>
          <w:sz w:val="20"/>
          <w:szCs w:val="20"/>
          <w:color w:val="auto"/>
        </w:rPr>
      </w:pPr>
      <w:r>
        <w:rPr>
          <w:rFonts w:ascii="Arial" w:cs="Arial" w:eastAsia="Arial" w:hAnsi="Arial"/>
          <w:sz w:val="18"/>
          <w:szCs w:val="18"/>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in-licensed without infringing such patents. This might enable our competitors to develop during the lifetime of these patents drugs that compete with our product candidates.</w:t>
      </w:r>
    </w:p>
    <w:p>
      <w:pPr>
        <w:spacing w:after="0" w:line="194" w:lineRule="exact"/>
        <w:rPr>
          <w:sz w:val="20"/>
          <w:szCs w:val="20"/>
          <w:color w:val="auto"/>
        </w:rPr>
      </w:pPr>
    </w:p>
    <w:p>
      <w:pPr>
        <w:ind w:right="100" w:firstLine="397"/>
        <w:spacing w:after="0" w:line="252"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w:t>
      </w:r>
    </w:p>
    <w:p>
      <w:pPr>
        <w:spacing w:after="0" w:line="191" w:lineRule="exact"/>
        <w:rPr>
          <w:sz w:val="20"/>
          <w:szCs w:val="20"/>
          <w:color w:val="auto"/>
        </w:rPr>
      </w:pPr>
    </w:p>
    <w:p>
      <w:pPr>
        <w:ind w:right="200" w:firstLine="397"/>
        <w:spacing w:after="0" w:line="312" w:lineRule="auto"/>
        <w:rPr>
          <w:sz w:val="20"/>
          <w:szCs w:val="20"/>
          <w:color w:val="auto"/>
        </w:rPr>
      </w:pPr>
      <w:r>
        <w:rPr>
          <w:rFonts w:ascii="Arial" w:cs="Arial" w:eastAsia="Arial" w:hAnsi="Arial"/>
          <w:sz w:val="15"/>
          <w:szCs w:val="15"/>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88" w:lineRule="exact"/>
        <w:rPr>
          <w:sz w:val="20"/>
          <w:szCs w:val="20"/>
          <w:color w:val="auto"/>
        </w:rPr>
      </w:pPr>
    </w:p>
    <w:p>
      <w:pPr>
        <w:ind w:right="420" w:firstLine="397"/>
        <w:spacing w:after="0" w:line="277"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71"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or protect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82" w:lineRule="exact"/>
        <w:rPr>
          <w:sz w:val="20"/>
          <w:szCs w:val="20"/>
          <w:color w:val="auto"/>
        </w:rPr>
      </w:pPr>
    </w:p>
    <w:p>
      <w:pPr>
        <w:ind w:right="40" w:firstLine="397"/>
        <w:spacing w:after="0" w:line="303" w:lineRule="auto"/>
        <w:rPr>
          <w:sz w:val="20"/>
          <w:szCs w:val="20"/>
          <w:color w:val="auto"/>
        </w:rPr>
      </w:pPr>
      <w:r>
        <w:rPr>
          <w:rFonts w:ascii="Arial" w:cs="Arial" w:eastAsia="Arial" w:hAnsi="Arial"/>
          <w:sz w:val="15"/>
          <w:szCs w:val="15"/>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patent laws in Europe and some other jurisdictions restrict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term, validity, enforceability and commercial value of our patent rights are highly uncertain.</w:t>
      </w:r>
    </w:p>
    <w:p>
      <w:pPr>
        <w:spacing w:after="0" w:line="160" w:lineRule="exact"/>
        <w:rPr>
          <w:sz w:val="20"/>
          <w:szCs w:val="20"/>
          <w:color w:val="auto"/>
        </w:rPr>
      </w:pPr>
    </w:p>
    <w:p>
      <w:pPr>
        <w:ind w:right="20" w:firstLine="397"/>
        <w:spacing w:after="0" w:line="264"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In addition, the issuance of any patents will depend on the existence of any prior art that comes to the patent examiner's attention during prosecution, sometimes through the actions of third parties, and whether our claimed invention meets the statutory criteria for being granted a patent in light of the prior art.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85"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The Leahy-Smith America Invents Act, or the Leahy-Smith Act, revised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20"/>
        <w:spacing w:after="0" w:line="330" w:lineRule="auto"/>
        <w:rPr>
          <w:sz w:val="20"/>
          <w:szCs w:val="20"/>
          <w:color w:val="auto"/>
        </w:rPr>
      </w:pPr>
      <w:r>
        <w:rPr>
          <w:rFonts w:ascii="Arial" w:cs="Arial" w:eastAsia="Arial" w:hAnsi="Arial"/>
          <w:sz w:val="15"/>
          <w:szCs w:val="15"/>
          <w:color w:val="auto"/>
        </w:rPr>
        <w:t>United States patent law in part by changing the standard for patent approval from a “first to invent” standard, which had existed before March 2013, to a “first to file” standard and developing a post-grant review system. For example, if we are the first to invent a new product or its use, but another party is the first to file a patent application on this invention, under the new law the other party may be entitled to the patent rights on the invention.</w:t>
      </w:r>
    </w:p>
    <w:p>
      <w:pPr>
        <w:spacing w:after="0" w:line="137" w:lineRule="exact"/>
        <w:rPr>
          <w:sz w:val="20"/>
          <w:szCs w:val="20"/>
          <w:color w:val="auto"/>
        </w:rPr>
      </w:pPr>
    </w:p>
    <w:p>
      <w:pPr>
        <w:ind w:right="100" w:firstLine="397"/>
        <w:spacing w:after="0" w:line="303" w:lineRule="auto"/>
        <w:rPr>
          <w:sz w:val="20"/>
          <w:szCs w:val="20"/>
          <w:color w:val="auto"/>
        </w:rPr>
      </w:pPr>
      <w:r>
        <w:rPr>
          <w:rFonts w:ascii="Arial" w:cs="Arial" w:eastAsia="Arial" w:hAnsi="Arial"/>
          <w:sz w:val="15"/>
          <w:szCs w:val="15"/>
          <w:color w:val="auto"/>
        </w:rPr>
        <w:t xml:space="preserve">Moreover, we may be subject to a third-party preissuance submission of prior art to the USPTO, or become involved in opposition, derivation, reexamination, inter partes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18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81" w:lineRule="exact"/>
        <w:rPr>
          <w:sz w:val="20"/>
          <w:szCs w:val="20"/>
          <w:color w:val="auto"/>
        </w:rPr>
      </w:pPr>
    </w:p>
    <w:p>
      <w:pPr>
        <w:ind w:firstLine="397"/>
        <w:spacing w:after="0" w:line="302" w:lineRule="auto"/>
        <w:rPr>
          <w:sz w:val="20"/>
          <w:szCs w:val="20"/>
          <w:color w:val="auto"/>
        </w:rPr>
      </w:pPr>
      <w:r>
        <w:rPr>
          <w:rFonts w:ascii="Arial" w:cs="Arial" w:eastAsia="Arial" w:hAnsi="Arial"/>
          <w:sz w:val="15"/>
          <w:szCs w:val="15"/>
          <w:color w:val="auto"/>
        </w:rPr>
        <w:t>Competitors may infringe or otherwise violate our patents, trademarks, copyrights or other intellectual property. To counter infringement or other violations, we may be required to file claims, which can be expensive and time consuming. For some of our licensed patent rights, we may need the cooperation of our licensors to file such claims.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and we may not be able to obtain injunctive relief.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374" w:lineRule="exact"/>
        <w:rPr>
          <w:sz w:val="20"/>
          <w:szCs w:val="20"/>
          <w:color w:val="auto"/>
        </w:rPr>
      </w:pPr>
    </w:p>
    <w:p>
      <w:pPr>
        <w:ind w:right="200"/>
        <w:spacing w:after="0" w:line="294"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57" w:lineRule="exact"/>
        <w:rPr>
          <w:sz w:val="20"/>
          <w:szCs w:val="20"/>
          <w:color w:val="auto"/>
        </w:rPr>
      </w:pPr>
    </w:p>
    <w:p>
      <w:pPr>
        <w:ind w:right="180" w:firstLine="397"/>
        <w:spacing w:after="0" w:line="252" w:lineRule="auto"/>
        <w:rPr>
          <w:sz w:val="20"/>
          <w:szCs w:val="20"/>
          <w:color w:val="auto"/>
        </w:rPr>
      </w:pPr>
      <w:r>
        <w:rPr>
          <w:rFonts w:ascii="Arial" w:cs="Arial" w:eastAsia="Arial" w:hAnsi="Arial"/>
          <w:sz w:val="18"/>
          <w:szCs w:val="18"/>
          <w:color w:val="auto"/>
        </w:rPr>
        <w:t>Our commercial success depends upon our ability and the ability of our collaborators, including our contract manufacturers and any commercial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are being filed at a rapid pace.</w:t>
      </w:r>
    </w:p>
    <w:p>
      <w:pPr>
        <w:spacing w:after="0" w:line="191" w:lineRule="exact"/>
        <w:rPr>
          <w:sz w:val="20"/>
          <w:szCs w:val="20"/>
          <w:color w:val="auto"/>
        </w:rPr>
      </w:pPr>
    </w:p>
    <w:p>
      <w:pPr>
        <w:ind w:firstLine="397"/>
        <w:spacing w:after="0" w:line="318" w:lineRule="auto"/>
        <w:rPr>
          <w:sz w:val="20"/>
          <w:szCs w:val="20"/>
          <w:color w:val="auto"/>
        </w:rPr>
      </w:pPr>
      <w:r>
        <w:rPr>
          <w:rFonts w:ascii="Arial" w:cs="Arial" w:eastAsia="Arial" w:hAnsi="Arial"/>
          <w:sz w:val="15"/>
          <w:szCs w:val="15"/>
          <w:color w:val="auto"/>
        </w:rPr>
        <w:t>There is considerable intellectual property litigation in the biotechnology and pharmaceutical industries. We or any collaborators may become party to, or threatened with, future adversarial proceedings or litigation regarding intellectual property rights with respect to our products and technology, including interference, derivation, re-examination, post-grant review, inter partes review, opposition, cancellation or similar proceedings before the USPTO or its foreign counterparts. The risks of being involved in such litigation and proceedings may increase as our product candidates near commercialization.</w:t>
      </w:r>
    </w:p>
    <w:p>
      <w:pPr>
        <w:spacing w:after="0" w:line="146" w:lineRule="exact"/>
        <w:rPr>
          <w:sz w:val="20"/>
          <w:szCs w:val="20"/>
          <w:color w:val="auto"/>
        </w:rPr>
      </w:pPr>
    </w:p>
    <w:p>
      <w:pPr>
        <w:ind w:right="80" w:firstLine="397"/>
        <w:spacing w:after="0" w:line="265" w:lineRule="auto"/>
        <w:rPr>
          <w:sz w:val="20"/>
          <w:szCs w:val="20"/>
          <w:color w:val="auto"/>
        </w:rPr>
      </w:pPr>
      <w:r>
        <w:rPr>
          <w:rFonts w:ascii="Arial" w:cs="Arial" w:eastAsia="Arial" w:hAnsi="Arial"/>
          <w:sz w:val="17"/>
          <w:szCs w:val="17"/>
          <w:color w:val="auto"/>
        </w:rPr>
        <w:t>Third parties may assert infringement or other claims against us or our collaborators based on existing or future intellectual property rights. We or they may not be aware of all such intellectual property rights potentially relating to our product candidates and their manufacture, use or sale. In addition, contract manufacturers may inadvertently incorporate intellectual property belonging to third parties into our products or the manufacturing processes for these products without our knowledge.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manufacture or commercialization thereof, does not and will not infringe or otherwise violate any third party’s intellectual property.</w:t>
      </w:r>
    </w:p>
    <w:p>
      <w:pPr>
        <w:spacing w:after="0" w:line="194" w:lineRule="exact"/>
        <w:rPr>
          <w:sz w:val="20"/>
          <w:szCs w:val="20"/>
          <w:color w:val="auto"/>
        </w:rPr>
      </w:pPr>
    </w:p>
    <w:p>
      <w:pPr>
        <w:ind w:firstLine="397"/>
        <w:spacing w:after="0" w:line="303" w:lineRule="auto"/>
        <w:rPr>
          <w:sz w:val="20"/>
          <w:szCs w:val="20"/>
          <w:color w:val="auto"/>
        </w:rPr>
      </w:pPr>
      <w:r>
        <w:rPr>
          <w:rFonts w:ascii="Arial" w:cs="Arial" w:eastAsia="Arial" w:hAnsi="Arial"/>
          <w:sz w:val="15"/>
          <w:szCs w:val="15"/>
          <w:color w:val="auto"/>
        </w:rPr>
        <w:t>If we are or any of our collaborators is found to infringe or otherwise violate a third party’s intellectual property rights, we or they could be required to obtain a license from such third party to continue developing, manufacturing and marketing our product candidates or products or to continue using a trademark. However, we or our collaborators may not be able to obtain any required license on commercially reasonable terms or at all. Even if we or they were able to obtain a license, it could be non-exclusive, thereby giving our competitors access to the same technologies licensed to us or our collaborators and could require us or them to make substantial licensing and royalty payments. We or our collaborators could be forced, including by court order, to cease using or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collaborators from making or commercializing our product candidates or force us or them to cease some of our business operations, which could materially harm our business. Claims that we or our collaborators have misappropriated the confidential information or trade secrets of third parties could expose us or them to similar liabilities and have a similar negative impact on our business.</w:t>
      </w:r>
    </w:p>
    <w:p>
      <w:pPr>
        <w:spacing w:after="0" w:line="372"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or contractors have misappropriated their intellectual property, or claiming ownership of what we regard as our own intellectual property.</w:t>
      </w:r>
    </w:p>
    <w:p>
      <w:pPr>
        <w:spacing w:after="0" w:line="181" w:lineRule="exact"/>
        <w:rPr>
          <w:sz w:val="20"/>
          <w:szCs w:val="20"/>
          <w:color w:val="auto"/>
        </w:rPr>
      </w:pPr>
    </w:p>
    <w:p>
      <w:pPr>
        <w:ind w:right="60" w:firstLine="397"/>
        <w:spacing w:after="0" w:line="318" w:lineRule="auto"/>
        <w:rPr>
          <w:sz w:val="20"/>
          <w:szCs w:val="20"/>
          <w:color w:val="auto"/>
        </w:rPr>
      </w:pPr>
      <w:r>
        <w:rPr>
          <w:rFonts w:ascii="Arial" w:cs="Arial" w:eastAsia="Arial" w:hAnsi="Arial"/>
          <w:sz w:val="15"/>
          <w:szCs w:val="15"/>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such employee’s or contractor’s former employer. Litigation may be necessary to defend against these claims.</w:t>
      </w:r>
    </w:p>
    <w:p>
      <w:pPr>
        <w:spacing w:after="0" w:line="146" w:lineRule="exact"/>
        <w:rPr>
          <w:sz w:val="20"/>
          <w:szCs w:val="20"/>
          <w:color w:val="auto"/>
        </w:rPr>
      </w:pPr>
    </w:p>
    <w:p>
      <w:pPr>
        <w:ind w:right="20" w:firstLine="397"/>
        <w:spacing w:after="0" w:line="265"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some of the rights to our product candidates from third parties, we must rely upon these third parties' practices, and those of their predecessors, with regard to the assignment of intellectual property therein, including the intellectual property rights protecting IC-500 and the other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5" w:lineRule="exact"/>
        <w:rPr>
          <w:sz w:val="20"/>
          <w:szCs w:val="20"/>
          <w:color w:val="auto"/>
        </w:rPr>
      </w:pPr>
    </w:p>
    <w:p>
      <w:pPr>
        <w:ind w:right="360" w:firstLine="397"/>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could cause us to spend substantial resources and could distract our personnel from their normal responsibilities.</w:t>
      </w:r>
    </w:p>
    <w:p>
      <w:pPr>
        <w:spacing w:after="0" w:line="252" w:lineRule="exact"/>
        <w:rPr>
          <w:sz w:val="20"/>
          <w:szCs w:val="20"/>
          <w:color w:val="auto"/>
        </w:rPr>
      </w:pPr>
    </w:p>
    <w:p>
      <w:pPr>
        <w:ind w:right="100" w:firstLine="397"/>
        <w:spacing w:after="0" w:line="305" w:lineRule="auto"/>
        <w:rPr>
          <w:sz w:val="20"/>
          <w:szCs w:val="20"/>
          <w:color w:val="auto"/>
        </w:rPr>
      </w:pPr>
      <w:r>
        <w:rPr>
          <w:rFonts w:ascii="Arial" w:cs="Arial" w:eastAsia="Arial" w:hAnsi="Arial"/>
          <w:sz w:val="15"/>
          <w:szCs w:val="15"/>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400"/>
        <w:spacing w:after="0" w:line="365"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11" w:lineRule="exact"/>
        <w:rPr>
          <w:sz w:val="20"/>
          <w:szCs w:val="20"/>
          <w:color w:val="auto"/>
        </w:rPr>
      </w:pPr>
    </w:p>
    <w:p>
      <w:pPr>
        <w:ind w:right="20" w:firstLine="397"/>
        <w:spacing w:after="0" w:line="265"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181" w:lineRule="exact"/>
        <w:rPr>
          <w:sz w:val="20"/>
          <w:szCs w:val="20"/>
          <w:color w:val="auto"/>
        </w:rPr>
      </w:pPr>
    </w:p>
    <w:p>
      <w:pPr>
        <w:ind w:right="120" w:firstLine="397"/>
        <w:spacing w:after="0" w:line="271" w:lineRule="auto"/>
        <w:rPr>
          <w:sz w:val="20"/>
          <w:szCs w:val="20"/>
          <w:color w:val="auto"/>
        </w:rPr>
      </w:pPr>
      <w:r>
        <w:rPr>
          <w:rFonts w:ascii="Arial" w:cs="Arial" w:eastAsia="Arial" w:hAnsi="Arial"/>
          <w:sz w:val="17"/>
          <w:szCs w:val="17"/>
          <w:color w:val="auto"/>
        </w:rPr>
        <w:t>In addition, we may decide not to pursue patent prosecution in certain markets or jurisdictions. For example, we may decide that the costs of obtaining and maintaining patent protection in a certain jurisdiction may outweigh the commercial benefits of patent protection. If so, our competitors may enter into and commercialize identical or similar products in that jurisdiction and if we choose to commercialize our products in that jurisdiction, we may not be able to exclude our competitors in the same way as if we had chosen to pursue patent prosecution in that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17" w:lineRule="exact"/>
        <w:rPr>
          <w:sz w:val="20"/>
          <w:szCs w:val="20"/>
          <w:color w:val="auto"/>
        </w:rPr>
      </w:pPr>
    </w:p>
    <w:p>
      <w:pPr>
        <w:ind w:right="40" w:firstLine="397"/>
        <w:spacing w:after="0" w:line="301" w:lineRule="auto"/>
        <w:rPr>
          <w:sz w:val="20"/>
          <w:szCs w:val="20"/>
          <w:color w:val="auto"/>
        </w:rPr>
      </w:pPr>
      <w:r>
        <w:rPr>
          <w:rFonts w:ascii="Arial" w:cs="Arial" w:eastAsia="Arial" w:hAnsi="Arial"/>
          <w:sz w:val="15"/>
          <w:szCs w:val="15"/>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potential business development counterparties,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IC-500 and our other HtrA1 inhibitors through the acquisition of Inception 4, we are relying upon Inception 4's, and its prior owner's,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 including our trade secrets, and we may not become aware of such breach or may not be able to obtain adequate remedies. As we work on transitioning from a development-stage company to a company capable of commercializing a pharmaceutical product, we are hiring many new employees and engaging additional consultants and service providers, which increases the risk of disclosure or misuse of our proprietary information. Our proprietary information may also be obtained by third parties by other means, such as breaches of our physical or computer security systems.</w:t>
      </w:r>
    </w:p>
    <w:p>
      <w:pPr>
        <w:spacing w:after="0" w:line="160" w:lineRule="exact"/>
        <w:rPr>
          <w:sz w:val="20"/>
          <w:szCs w:val="20"/>
          <w:color w:val="auto"/>
        </w:rPr>
      </w:pPr>
    </w:p>
    <w:p>
      <w:pPr>
        <w:ind w:right="60" w:firstLine="397"/>
        <w:spacing w:after="0" w:line="250" w:lineRule="auto"/>
        <w:rPr>
          <w:sz w:val="20"/>
          <w:szCs w:val="20"/>
          <w:color w:val="auto"/>
        </w:rPr>
      </w:pPr>
      <w:r>
        <w:rPr>
          <w:rFonts w:ascii="Arial" w:cs="Arial" w:eastAsia="Arial" w:hAnsi="Arial"/>
          <w:sz w:val="18"/>
          <w:szCs w:val="18"/>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and Data Protection</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We rely significantly upon our information technology systems and any failure, inadequacy, interruption or security lapse of those systems could harm our ability to operate our business effectively. Information technology risks have become more significant over time, including as a result of widespread remote working during the COVID-19 pandemic.</w:t>
      </w:r>
    </w:p>
    <w:p>
      <w:pPr>
        <w:spacing w:after="0" w:line="188" w:lineRule="exact"/>
        <w:rPr>
          <w:sz w:val="20"/>
          <w:szCs w:val="20"/>
          <w:color w:val="auto"/>
        </w:rPr>
      </w:pPr>
    </w:p>
    <w:p>
      <w:pPr>
        <w:ind w:right="80" w:firstLine="397"/>
        <w:spacing w:after="0" w:line="250" w:lineRule="auto"/>
        <w:rPr>
          <w:sz w:val="20"/>
          <w:szCs w:val="20"/>
          <w:color w:val="auto"/>
        </w:rPr>
      </w:pPr>
      <w:r>
        <w:rPr>
          <w:rFonts w:ascii="Arial" w:cs="Arial" w:eastAsia="Arial" w:hAnsi="Arial"/>
          <w:sz w:val="18"/>
          <w:szCs w:val="18"/>
          <w:color w:val="auto"/>
        </w:rPr>
        <w:t>In the ordinary course of business, we collect, process and maintain personal and other sensitive data on our information technology networks. These data include our intellectual property and other proprietary or confidential information relating to our business as well as proprietary or confidential information of third parties including business collaborators. These data also include personal information relating to our clinical trial participants, employees and contractors, clinical investigators and other study staff and healthcare professionals. The secure maintenance of this sensitive information is critical to our business and reputation.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60" w:firstLine="397"/>
        <w:spacing w:after="0" w:line="318" w:lineRule="auto"/>
        <w:rPr>
          <w:sz w:val="20"/>
          <w:szCs w:val="20"/>
          <w:color w:val="auto"/>
        </w:rPr>
      </w:pPr>
      <w:r>
        <w:rPr>
          <w:rFonts w:ascii="Arial" w:cs="Arial" w:eastAsia="Arial" w:hAnsi="Arial"/>
          <w:sz w:val="15"/>
          <w:szCs w:val="15"/>
          <w:color w:val="auto"/>
        </w:rPr>
        <w:t>We have implemented a number of measures to protect our information technology systems. These measures include, among others, creation of a cyber-security governance team and an incident response plan and other standard operating procedures for responding to any cyber-security incidents, mandatory routine cyber-security training, including social engineering training, for our employees and consultants with access to our information technology systems, and engagement of a third-party vendor to regularly assess our informational technology systems and potential vulnerabilities.</w:t>
      </w:r>
    </w:p>
    <w:p>
      <w:pPr>
        <w:spacing w:after="0" w:line="146" w:lineRule="exact"/>
        <w:rPr>
          <w:sz w:val="20"/>
          <w:szCs w:val="20"/>
          <w:color w:val="auto"/>
        </w:rPr>
      </w:pPr>
    </w:p>
    <w:p>
      <w:pPr>
        <w:ind w:right="20" w:firstLine="397"/>
        <w:spacing w:after="0" w:line="306" w:lineRule="auto"/>
        <w:rPr>
          <w:sz w:val="20"/>
          <w:szCs w:val="20"/>
          <w:color w:val="auto"/>
        </w:rPr>
      </w:pPr>
      <w:r>
        <w:rPr>
          <w:rFonts w:ascii="Arial" w:cs="Arial" w:eastAsia="Arial" w:hAnsi="Arial"/>
          <w:sz w:val="15"/>
          <w:szCs w:val="15"/>
          <w:color w:val="auto"/>
        </w:rPr>
        <w:t>Despite the implementation of security measures, our information technology systems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cyber and ransomware 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In particular, there have been increasing number of cyber threats and attempts by foreign hackers targeted towards U.S. pharmaceutical and biotechnology companies and vendors they work with.</w:t>
      </w:r>
    </w:p>
    <w:p>
      <w:pPr>
        <w:spacing w:after="0" w:line="157" w:lineRule="exact"/>
        <w:rPr>
          <w:sz w:val="20"/>
          <w:szCs w:val="20"/>
          <w:color w:val="auto"/>
        </w:rPr>
      </w:pPr>
    </w:p>
    <w:p>
      <w:pPr>
        <w:ind w:right="680" w:firstLine="397"/>
        <w:spacing w:after="0" w:line="330" w:lineRule="auto"/>
        <w:rPr>
          <w:sz w:val="20"/>
          <w:szCs w:val="20"/>
          <w:color w:val="auto"/>
        </w:rPr>
      </w:pPr>
      <w:r>
        <w:rPr>
          <w:rFonts w:ascii="Arial" w:cs="Arial" w:eastAsia="Arial" w:hAnsi="Arial"/>
          <w:sz w:val="15"/>
          <w:szCs w:val="15"/>
          <w:color w:val="auto"/>
        </w:rPr>
        <w:t>As a result of the COVID-19 pandemic, we have switched to remote working since March 2020 and as a result, have increasingly relied upon teleconferencing and cloud-based means of communication and data storage. Many other companies have done the same. There have been numerous publicized attempts of bad actors attempting to intercept proprietary communications. We may be similarly susceptible to those kinds of threats.</w:t>
      </w:r>
    </w:p>
    <w:p>
      <w:pPr>
        <w:spacing w:after="0" w:line="137" w:lineRule="exact"/>
        <w:rPr>
          <w:sz w:val="20"/>
          <w:szCs w:val="20"/>
          <w:color w:val="auto"/>
        </w:rPr>
      </w:pPr>
    </w:p>
    <w:p>
      <w:pPr>
        <w:ind w:right="180" w:firstLine="397"/>
        <w:spacing w:after="0" w:line="309" w:lineRule="auto"/>
        <w:rPr>
          <w:sz w:val="20"/>
          <w:szCs w:val="20"/>
          <w:color w:val="auto"/>
        </w:rPr>
      </w:pPr>
      <w:r>
        <w:rPr>
          <w:rFonts w:ascii="Arial" w:cs="Arial" w:eastAsia="Arial" w:hAnsi="Arial"/>
          <w:sz w:val="15"/>
          <w:szCs w:val="15"/>
          <w:color w:val="auto"/>
        </w:rPr>
        <w:t>Cyber-attacks have become more prevalent and much harder to detect and defend against. Our networks and storage applications may be subject to unauthorized access by hackers or breached due to human error, malfeasance or other system disruptions. We may not anticipate or immediately detect such incidents and the damage caused by such incidents. System failures, data breaches and any unauthorized access, use or disclosure of our information or data could compromise our intellectual property and expose sensitive business information; lead to unauthorized exposure of personal information of our clinical trial participants, our employees or contractors, our clinical investigators or other study staff, or others we work with; and/or result in disruptions to our research and development activities and business operations, including potential product development, regulatory approval and commercialization delays.</w:t>
      </w:r>
    </w:p>
    <w:p>
      <w:pPr>
        <w:spacing w:after="0" w:line="152" w:lineRule="exact"/>
        <w:rPr>
          <w:sz w:val="20"/>
          <w:szCs w:val="20"/>
          <w:color w:val="auto"/>
        </w:rPr>
      </w:pPr>
    </w:p>
    <w:p>
      <w:pPr>
        <w:ind w:right="20" w:firstLine="397"/>
        <w:spacing w:after="0" w:line="265" w:lineRule="auto"/>
        <w:rPr>
          <w:sz w:val="20"/>
          <w:szCs w:val="20"/>
          <w:color w:val="auto"/>
        </w:rPr>
      </w:pPr>
      <w:r>
        <w:rPr>
          <w:rFonts w:ascii="Arial" w:cs="Arial" w:eastAsia="Arial" w:hAnsi="Arial"/>
          <w:sz w:val="17"/>
          <w:szCs w:val="17"/>
          <w:color w:val="auto"/>
        </w:rPr>
        <w:t>In addition, cyber-attacks and the measures we implement to prevent, detect, and respond to them could cause us to incur significant remediation costs, including costs to recover or reproduce any compromised data, expose us to contractual damages and/or regulatory and other liability, require us to make certain breach notifications, and divert the attention of our management and key information technology resources. Any loss of preclinical data or clinical trial data could result in delays to our product development, marketing approval and commercialization efforts. We may not have adequate insurance coverage to provide compensation for any losses associated with such events and cybersecurity insurance is becoming more expensive. Any breach of security could harm our reputation and deter patients, clinical investigators, or other healthcare professionals and business collaborators from participating in our clinical trials or otherwise working with us.</w:t>
      </w:r>
    </w:p>
    <w:p>
      <w:pPr>
        <w:spacing w:after="0" w:line="185" w:lineRule="exact"/>
        <w:rPr>
          <w:sz w:val="20"/>
          <w:szCs w:val="20"/>
          <w:color w:val="auto"/>
        </w:rPr>
      </w:pPr>
    </w:p>
    <w:p>
      <w:pPr>
        <w:jc w:val="both"/>
        <w:ind w:right="460"/>
        <w:spacing w:after="0" w:line="255" w:lineRule="auto"/>
        <w:rPr>
          <w:sz w:val="20"/>
          <w:szCs w:val="20"/>
          <w:color w:val="auto"/>
        </w:rPr>
      </w:pPr>
      <w:r>
        <w:rPr>
          <w:rFonts w:ascii="Arial" w:cs="Arial" w:eastAsia="Arial" w:hAnsi="Arial"/>
          <w:sz w:val="18"/>
          <w:szCs w:val="18"/>
          <w:b w:val="1"/>
          <w:bCs w:val="1"/>
          <w:i w:val="1"/>
          <w:iCs w:val="1"/>
          <w:color w:val="auto"/>
        </w:rPr>
        <w:t>We also rely significantly upon the information technology systems of our third-party service providers and any failure, inadequacy, interruption or security lapse of those systems could harm our ability to operate our business effectively. We have limited control and oversight over the information security systems and practices of third parties.</w:t>
      </w:r>
    </w:p>
    <w:p>
      <w:pPr>
        <w:spacing w:after="0" w:line="215" w:lineRule="exact"/>
        <w:rPr>
          <w:sz w:val="20"/>
          <w:szCs w:val="20"/>
          <w:color w:val="auto"/>
        </w:rPr>
      </w:pPr>
    </w:p>
    <w:p>
      <w:pPr>
        <w:ind w:right="80" w:firstLine="397"/>
        <w:spacing w:after="0" w:line="268" w:lineRule="auto"/>
        <w:rPr>
          <w:sz w:val="20"/>
          <w:szCs w:val="20"/>
          <w:color w:val="auto"/>
        </w:rPr>
      </w:pPr>
      <w:r>
        <w:rPr>
          <w:rFonts w:ascii="Arial" w:cs="Arial" w:eastAsia="Arial" w:hAnsi="Arial"/>
          <w:sz w:val="17"/>
          <w:szCs w:val="17"/>
          <w:color w:val="auto"/>
        </w:rPr>
        <w:t>In the ordinary course of business, we rely on third parties, including clinical trial sites, CROs, CDMOs and other service providers, to collect, process and maintain personal and other sensitive data on their respective networks for our research and development activities and other business operations. These data include our intellectual property and other proprietary or confidential information relating to our business, as well as personal information relating to our clinical trial participants, employees and contractors, and clinical investigators and other study staff. The maintenance of our data by third parties does not absolve us of our responsibility for the security and integrity of this data.</w:t>
      </w:r>
    </w:p>
    <w:p>
      <w:pPr>
        <w:spacing w:after="0" w:line="207" w:lineRule="exact"/>
        <w:rPr>
          <w:sz w:val="20"/>
          <w:szCs w:val="20"/>
          <w:color w:val="auto"/>
        </w:rPr>
      </w:pPr>
    </w:p>
    <w:p>
      <w:pPr>
        <w:ind w:right="200" w:firstLine="397"/>
        <w:spacing w:after="0" w:line="365" w:lineRule="auto"/>
        <w:rPr>
          <w:sz w:val="20"/>
          <w:szCs w:val="20"/>
          <w:color w:val="auto"/>
        </w:rPr>
      </w:pPr>
      <w:r>
        <w:rPr>
          <w:rFonts w:ascii="Arial" w:cs="Arial" w:eastAsia="Arial" w:hAnsi="Arial"/>
          <w:sz w:val="15"/>
          <w:szCs w:val="15"/>
          <w:color w:val="auto"/>
        </w:rPr>
        <w:t>We have limited control and oversight over the information security systems and practices of third parties. Those systems and practices vary widely in sophistication and robustness. We have limited personnel and resources to oversee the information security systems of third parties with whom we work.</w:t>
      </w:r>
    </w:p>
    <w:p>
      <w:pPr>
        <w:spacing w:after="0" w:line="138" w:lineRule="exact"/>
        <w:rPr>
          <w:sz w:val="20"/>
          <w:szCs w:val="20"/>
          <w:color w:val="auto"/>
        </w:rPr>
      </w:pPr>
    </w:p>
    <w:p>
      <w:pPr>
        <w:ind w:firstLine="397"/>
        <w:spacing w:after="0" w:line="318" w:lineRule="auto"/>
        <w:rPr>
          <w:sz w:val="20"/>
          <w:szCs w:val="20"/>
          <w:color w:val="auto"/>
        </w:rPr>
      </w:pPr>
      <w:r>
        <w:rPr>
          <w:rFonts w:ascii="Arial" w:cs="Arial" w:eastAsia="Arial" w:hAnsi="Arial"/>
          <w:sz w:val="15"/>
          <w:szCs w:val="15"/>
          <w:color w:val="auto"/>
        </w:rPr>
        <w:t>Like our information security systems, those of our third-party service providers are vulnerable to compromise, damage, loss or exfiltration from cyber-attacks, computer viruses, unauthorized access and other causes. Our third-party service providers may not anticipate or immediately detect such incidents and the damage caused by such incidents or notify us in a timely or complete manner. System failures, data breaches and any unauthorized access, use or disclosure of our information or data maintained by our third-party service providers could lead to similar consequences for us as similar events involving our</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information technology systems, including compromise of our intellectual property or other sensitive personal or business information, disruptions and delays to our research and development activities and other operations, contractual and regulatory liability, data breach notifications, expenditure of significant costs and resources for remediation and harm to our reputation. Recently, there has been an increasing number of and severity of cyber-attacks, especially ransomware attacks, against the information security systems of companies across the supply chain and other critical infrastructure service providers.</w:t>
      </w:r>
    </w:p>
    <w:p>
      <w:pPr>
        <w:spacing w:after="0" w:line="172"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In September 2020, one of our vendors for the GATHER2 trial suffered a ransomware attack on several of its servers. While this vendor investigated and worked to mitigate the effects of the incident, we deployed a backup process for the work this vendor was performing for us. Although we do not believe this incident had a material impact on the GATHER2 trial or otherwise on our business or operations, similar kinds of incidents may occur in the future with this or our other vendors.</w:t>
      </w:r>
    </w:p>
    <w:p>
      <w:pPr>
        <w:spacing w:after="0" w:line="217"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in line with our expectations, and the failure to comply with such requirements could have a material adverse effect on our business, financial condition or results of operations.</w:t>
      </w:r>
    </w:p>
    <w:p>
      <w:pPr>
        <w:spacing w:after="0" w:line="188" w:lineRule="exact"/>
        <w:rPr>
          <w:sz w:val="20"/>
          <w:szCs w:val="20"/>
          <w:color w:val="auto"/>
        </w:rPr>
      </w:pPr>
    </w:p>
    <w:p>
      <w:pPr>
        <w:ind w:right="20" w:firstLine="397"/>
        <w:spacing w:after="0" w:line="299" w:lineRule="auto"/>
        <w:rPr>
          <w:sz w:val="20"/>
          <w:szCs w:val="20"/>
          <w:color w:val="auto"/>
        </w:rPr>
      </w:pPr>
      <w:r>
        <w:rPr>
          <w:rFonts w:ascii="Arial" w:cs="Arial" w:eastAsia="Arial" w:hAnsi="Arial"/>
          <w:sz w:val="15"/>
          <w:szCs w:val="15"/>
          <w:color w:val="auto"/>
        </w:rPr>
        <w:t>The regulatory framework for the collection, use, safeguarding, sharing, transfer and other processing of personal information is rapidly evolving worldwide and is likely to remain uncertain for the foreseeable future. Globally, virtually every jurisdiction in which we operate has established its own data security and privacy frameworks with which we must comply, and those frameworks may not be consistent. For example, the collection, use, disclosure, transfer, or other processing of personal data regarding individuals in the European Union, including personal health data, is subject to the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and their rights, conducting data protection impact assessments before starting certain processing activities, implementing safeguards to protect the security and confidentiality of personal data, providing notification of data breaches, and taking certain measures when engaging third-party data processors. The GDPR also imposes strict rules on the transfer of personal data to countries outside the European Union, including the United States, some of which are currently in flux,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also provides certain discretion to individual European member states, and many of them have enacted local legislation implementing the GDPR that differ from one another. The GDPR compliance framework is evolving as data protection authorities enforce applicable requirements and as European courts interpret the GDPR. We are aware that many other countries have enacted or are considering legislation similar to the GDPR.</w:t>
      </w:r>
    </w:p>
    <w:p>
      <w:pPr>
        <w:spacing w:after="0" w:line="381" w:lineRule="exact"/>
        <w:rPr>
          <w:sz w:val="20"/>
          <w:szCs w:val="20"/>
          <w:color w:val="auto"/>
        </w:rPr>
      </w:pPr>
    </w:p>
    <w:p>
      <w:pPr>
        <w:ind w:right="20" w:firstLine="397"/>
        <w:spacing w:after="0" w:line="300" w:lineRule="auto"/>
        <w:rPr>
          <w:sz w:val="20"/>
          <w:szCs w:val="20"/>
          <w:color w:val="auto"/>
        </w:rPr>
      </w:pPr>
      <w:r>
        <w:rPr>
          <w:rFonts w:ascii="Arial" w:cs="Arial" w:eastAsia="Arial" w:hAnsi="Arial"/>
          <w:sz w:val="15"/>
          <w:szCs w:val="15"/>
          <w:color w:val="auto"/>
        </w:rPr>
        <w:t>Similar actions are either in place or under way in the United States. There are a broad variety of data protection laws that are applicable to our activities, and a wide range of enforcement agencies at both the state and federal levels with the authority to review our privacy and data security practices. The Federal Trade Commission and state Attorneys General have been increasingly active in reviewing companies' privacy and data security practices in relation to consumer information. New legislation and regulations are being considered, and in certain cases enacted, at both the state and federal levels. For example, the California Consumer Privacy Act, or the CCPA, which went into effect on January 1, 2020, and its replacement, the California Privacy Rights Act, which will become effective on January 1, 2023, are creating similar risks and obligations as those created by the GDPR, although the CCPA exempts certain information collected as part of a clinical trial that is subject to the Federal Policy for the Protection of Human Subjects (the Common Rule). The New York SHIELD Act, which became fully effective in March 2020, imposes certain data security and data breach notification requirements on organizations that collect personal information of New York residents. Many other states are considering similar legislation. A broad range of legislative measures are being introduced at the federal level. Accordingly, failure to comply with federal and state laws (both those currently in effect and future legislation) regarding privacy and security of personal information could expose us to fines and penalties under such laws. We also may be subject to consumer class action litigation related to alleged noncompliance with these laws. Even if we are not determined to have violated these laws, responding to government investigations and/or consumer litigation in these areas typically requires the expenditure of significant resources and has the potential to generate negative publicity, which could harm our reputation and our business.</w:t>
      </w:r>
    </w:p>
    <w:p>
      <w:pPr>
        <w:spacing w:after="0" w:line="377" w:lineRule="exact"/>
        <w:rPr>
          <w:sz w:val="20"/>
          <w:szCs w:val="20"/>
          <w:color w:val="auto"/>
        </w:rPr>
      </w:pPr>
    </w:p>
    <w:p>
      <w:pPr>
        <w:ind w:right="220" w:firstLine="397"/>
        <w:spacing w:after="0" w:line="312" w:lineRule="auto"/>
        <w:rPr>
          <w:sz w:val="20"/>
          <w:szCs w:val="20"/>
          <w:color w:val="auto"/>
        </w:rPr>
      </w:pPr>
      <w:r>
        <w:rPr>
          <w:rFonts w:ascii="Arial" w:cs="Arial" w:eastAsia="Arial" w:hAnsi="Arial"/>
          <w:sz w:val="15"/>
          <w:szCs w:val="15"/>
          <w:color w:val="auto"/>
        </w:rPr>
        <w:t>Given the breadth and depth of changes in data protection obligations, preparing for and complying with these requirements has required and will continue to require significant time, resources and a review of our technologies, systems and practices, as well as those of any third-party collaborators, service providers, contractors or consultants that process or transfer personal data on our behalf. The GDPR and other changes in laws or regulations associated with the enhanced protection of certain types of sensitive data, such as healthcare data or other personal information from our clinical trials, have resulted in certain changes to our business practices, such as additional consideration given to the GDPR and other relevant data protection</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laws in setting up clinical trial agreements and informed consent forms for our GATHER2 trial, and may require further changes to our business practices. Any non-compliance by us or our employees, consultants or contractors with the GDPR or other applicable data protection laws could lead to setbacks in the development or approval of our product candidates, government enforcement actions, private litigation, significant fines and penalties, or reputational harm and could have a material adverse effect on our business, financial condition or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144" w:lineRule="exact"/>
        <w:rPr>
          <w:sz w:val="20"/>
          <w:szCs w:val="20"/>
          <w:color w:val="auto"/>
        </w:rPr>
      </w:pPr>
    </w:p>
    <w:p>
      <w:pPr>
        <w:ind w:right="160"/>
        <w:spacing w:after="0" w:line="330" w:lineRule="auto"/>
        <w:rPr>
          <w:sz w:val="20"/>
          <w:szCs w:val="20"/>
          <w:color w:val="auto"/>
        </w:rPr>
      </w:pPr>
      <w:r>
        <w:rPr>
          <w:rFonts w:ascii="Arial" w:cs="Arial" w:eastAsia="Arial" w:hAnsi="Arial"/>
          <w:sz w:val="15"/>
          <w:szCs w:val="15"/>
          <w:b w:val="1"/>
          <w:bCs w:val="1"/>
          <w:i w:val="1"/>
          <w:iCs w:val="1"/>
          <w:color w:val="auto"/>
        </w:rPr>
        <w:t>We are a development-stage company with a limited number of employees to oversee our research and development programs and general and administrative functions. We are in the process of recruiting new personnel to prepare for the potential commercialization of Zimura and to support our growth. We may experience difficulties in recruiting necessary personnel and in retaining key employees and consultants.</w:t>
      </w:r>
    </w:p>
    <w:p>
      <w:pPr>
        <w:spacing w:after="0" w:line="44" w:lineRule="exact"/>
        <w:rPr>
          <w:sz w:val="20"/>
          <w:szCs w:val="20"/>
          <w:color w:val="auto"/>
        </w:rPr>
      </w:pPr>
    </w:p>
    <w:p>
      <w:pPr>
        <w:ind w:right="140" w:firstLine="397"/>
        <w:spacing w:after="0" w:line="271" w:lineRule="auto"/>
        <w:rPr>
          <w:sz w:val="20"/>
          <w:szCs w:val="20"/>
          <w:color w:val="auto"/>
        </w:rPr>
      </w:pPr>
      <w:r>
        <w:rPr>
          <w:rFonts w:ascii="Arial" w:cs="Arial" w:eastAsia="Arial" w:hAnsi="Arial"/>
          <w:sz w:val="17"/>
          <w:szCs w:val="17"/>
          <w:color w:val="auto"/>
        </w:rPr>
        <w:t>We are a development-stage company with a total of 80 full-time employees as of November 1, 2021. These employees support key areas of our business and operations, including commercial operations, clinical operations, regulatory affairs, drug safety, data management, medical affairs, scientific research, process and analytical development, drug substance and drug product manufacturing, quality control, materials and supply chain management, and quality assurance, as well as all of our general and administrative functions and public company infrastructure.</w:t>
      </w:r>
    </w:p>
    <w:p>
      <w:pPr>
        <w:spacing w:after="0" w:line="177" w:lineRule="exact"/>
        <w:rPr>
          <w:sz w:val="20"/>
          <w:szCs w:val="20"/>
          <w:color w:val="auto"/>
        </w:rPr>
      </w:pPr>
    </w:p>
    <w:p>
      <w:pPr>
        <w:ind w:right="40" w:firstLine="397"/>
        <w:spacing w:after="0" w:line="306" w:lineRule="auto"/>
        <w:rPr>
          <w:sz w:val="20"/>
          <w:szCs w:val="20"/>
          <w:color w:val="auto"/>
        </w:rPr>
      </w:pPr>
      <w:r>
        <w:rPr>
          <w:rFonts w:ascii="Arial" w:cs="Arial" w:eastAsia="Arial" w:hAnsi="Arial"/>
          <w:sz w:val="15"/>
          <w:szCs w:val="15"/>
          <w:color w:val="auto"/>
        </w:rPr>
        <w:t>We remain highly dependent on Glenn P. Sblendorio, our chief executive officer, and Dr. Pravin U. Dugel, our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whom we expect to retain to assist with the growth of our business may choose not to remain employees. Additionally, we have only a small number of employees supporting some of the key areas of our business and operations. If any of those employees were to leave our company or become unavailable due to the COVID-19 pandemic or other reasons, the loss of their services could seriously disrupt our ability to carry on our operations as planned and seriously harm our ability to successfully implement our business plan.</w:t>
      </w:r>
    </w:p>
    <w:p>
      <w:pPr>
        <w:spacing w:after="0" w:line="64" w:lineRule="exact"/>
        <w:rPr>
          <w:sz w:val="20"/>
          <w:szCs w:val="20"/>
          <w:color w:val="auto"/>
        </w:rPr>
      </w:pPr>
    </w:p>
    <w:p>
      <w:pPr>
        <w:ind w:firstLine="397"/>
        <w:spacing w:after="0" w:line="302" w:lineRule="auto"/>
        <w:rPr>
          <w:sz w:val="20"/>
          <w:szCs w:val="20"/>
          <w:color w:val="auto"/>
        </w:rPr>
      </w:pPr>
      <w:r>
        <w:rPr>
          <w:rFonts w:ascii="Arial" w:cs="Arial" w:eastAsia="Arial" w:hAnsi="Arial"/>
          <w:sz w:val="15"/>
          <w:szCs w:val="15"/>
          <w:color w:val="auto"/>
        </w:rPr>
        <w:t>Furthermore, replacing any of our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As we conduct our GATHER2 trial and prepare for the potential filing of an NDA and an MAA for and the potential commercialization of Zimura, and continue the development of IC-500, we have been and expect we will need to continue hiring additional commercial operations, medical affairs, clinical operations, quality assurance, manufacturing, analytical, regulatory, pharmacovigilance and other personnel from this limited pool. We have only recently hired a chief commercial officer and will need to hire additional commercialization and medical affairs personnel as we prepare for the potential commercialization of Zimura. If we experience any challenges or delays in the hiring and integration of necessary personnel due to the COVID-19 pandemic or other reasons, it could impede our ability to finish development of, file for marketing approval for, and potentially commercialize Zimura in line with our expectations.</w:t>
      </w:r>
    </w:p>
    <w:p>
      <w:pPr>
        <w:spacing w:after="0" w:line="162" w:lineRule="exact"/>
        <w:rPr>
          <w:sz w:val="20"/>
          <w:szCs w:val="20"/>
          <w:color w:val="auto"/>
        </w:rPr>
      </w:pPr>
    </w:p>
    <w:p>
      <w:pPr>
        <w:ind w:right="240" w:firstLine="397"/>
        <w:spacing w:after="0" w:line="268" w:lineRule="auto"/>
        <w:rPr>
          <w:sz w:val="20"/>
          <w:szCs w:val="20"/>
          <w:color w:val="auto"/>
        </w:rPr>
      </w:pPr>
      <w:r>
        <w:rPr>
          <w:rFonts w:ascii="Arial" w:cs="Arial" w:eastAsia="Arial" w:hAnsi="Arial"/>
          <w:sz w:val="17"/>
          <w:szCs w:val="17"/>
          <w:color w:val="auto"/>
        </w:rPr>
        <w:t>In addition to our employees, we rely on consultants and advisors, including scientific, technical and clinical advisors, to assist us in formulating our research and development, manufacturing, commercialization and lifecycle management strategies. Our consultants and advisors may be employed by employers other than us and may have commitments under consulting or advisory contracts with other entities that may limit their availability to us. Many consultants and advisors, especially those with specialized medical or clinical knowledge, are high demand and we may not be able to obtain or retain their services for any number of reasons, which could limit our ability to pursue our strategy.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b w:val="1"/>
          <w:bCs w:val="1"/>
          <w:i w:val="1"/>
          <w:iCs w:val="1"/>
          <w:color w:val="auto"/>
        </w:rPr>
        <w:t>As a result of the COVID-19 pandemic, our company has been working remotely since March 2020 and we expect to work mostly remotely for the near future. Our ability to continue to work remotely and when the conditions are appropriate, transition effectively to working in our offices, may affect our operations and the success of our company going forward.</w:t>
      </w:r>
    </w:p>
    <w:p>
      <w:pPr>
        <w:spacing w:after="0" w:line="95" w:lineRule="exact"/>
        <w:rPr>
          <w:sz w:val="20"/>
          <w:szCs w:val="20"/>
          <w:color w:val="auto"/>
        </w:rPr>
      </w:pPr>
    </w:p>
    <w:p>
      <w:pPr>
        <w:ind w:right="20" w:firstLine="397"/>
        <w:spacing w:after="0" w:line="263" w:lineRule="auto"/>
        <w:rPr>
          <w:sz w:val="20"/>
          <w:szCs w:val="20"/>
          <w:color w:val="auto"/>
        </w:rPr>
      </w:pPr>
      <w:r>
        <w:rPr>
          <w:rFonts w:ascii="Arial" w:cs="Arial" w:eastAsia="Arial" w:hAnsi="Arial"/>
          <w:sz w:val="17"/>
          <w:szCs w:val="17"/>
          <w:color w:val="auto"/>
        </w:rPr>
        <w:t>In March 2020, we instituted a company-wide working from home policy, which has remained in effect. Our working from home policy may negatively impact productivity or disrupt our business, the magnitude of which will depend, in part, on the length of this remote working arrangement and other limitations on our ability to conduct our business in the ordinary course. We are planning for a gradual return to working in our offices and expect to work mostly remotely for the near future. We will closely follow the guidance from federal and state authorities, including the Centers for Disease Control and Prevention, the New York State Department of Health and the New Jersey Department of Health, in deciding how and when to transition back to working in our offices. We expect the transition to working in our offices to occur in stages, which will depend on, among other factors, the local COVID-19 and public safety situation and the degree to which our employees have received vaccines. If and when we transition back to working at company sites, there may be an increased risk to our employees and contractors, including as a result of a subsequent waves of the COVID-19 pandemic. If any of them contracts COVID-19 as a result of or while conducting services for us, we may be subject to workers compensation or other claims. Because of our small size and the importance of our employees and contractors to the success of our company, their exposure to the COVID-19 pandemic may adversely affect our ability to carry on our operations.</w:t>
      </w:r>
    </w:p>
    <w:p>
      <w:pPr>
        <w:spacing w:after="0" w:line="188"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181" w:lineRule="exact"/>
        <w:rPr>
          <w:sz w:val="20"/>
          <w:szCs w:val="20"/>
          <w:color w:val="auto"/>
        </w:rPr>
      </w:pPr>
    </w:p>
    <w:p>
      <w:pPr>
        <w:ind w:right="20" w:firstLine="397"/>
        <w:spacing w:after="0" w:line="302" w:lineRule="auto"/>
        <w:rPr>
          <w:sz w:val="20"/>
          <w:szCs w:val="20"/>
          <w:color w:val="auto"/>
        </w:rPr>
      </w:pPr>
      <w:r>
        <w:rPr>
          <w:rFonts w:ascii="Arial" w:cs="Arial" w:eastAsia="Arial" w:hAnsi="Arial"/>
          <w:sz w:val="15"/>
          <w:szCs w:val="15"/>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2015 our management concluded that we experienced a material weakness in internal controls that required us to restate the relevant financial statements and we took steps that year to address the deficiency and prevent similar deficiencies in the future. Although we have remediated this deficiency in internal control over financial reporting, we cannot be certain that the remedial measures that we took in the past or other measures we take in the future, especially in light of the decrease in staffing in our accounting and finance areas following our reduction in force during 2017, will ensure that we maintain adequate controls over our financial reporting going forward and, accordingly, additional material weaknesses could occur or be identified. The COVID-19 pandemic may also affect the effectiveness of our internal controls. Any future material weaknesses or combination of deficiencies could materially and adversely affect our ability to provide timely and accurate financial information and investors’ confidence in our internal controls and our company, which could cause our stock price to decline.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91" w:lineRule="exact"/>
        <w:rPr>
          <w:sz w:val="20"/>
          <w:szCs w:val="20"/>
          <w:color w:val="auto"/>
        </w:rPr>
      </w:pPr>
    </w:p>
    <w:p>
      <w:pPr>
        <w:jc w:val="both"/>
        <w:ind w:right="60" w:firstLine="397"/>
        <w:spacing w:after="0" w:line="255"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recordkeeping, labeling, storage, advertising, promotion, sale and distribution and import and export, are subject to comprehensive regulation by the FDA, the EMA and comparable regulatory agencies in other countries.</w:t>
      </w:r>
    </w:p>
    <w:p>
      <w:pPr>
        <w:spacing w:after="0" w:line="188" w:lineRule="exact"/>
        <w:rPr>
          <w:sz w:val="20"/>
          <w:szCs w:val="20"/>
          <w:color w:val="auto"/>
        </w:rPr>
      </w:pPr>
    </w:p>
    <w:p>
      <w:pPr>
        <w:ind w:firstLine="397"/>
        <w:spacing w:after="0" w:line="303" w:lineRule="auto"/>
        <w:rPr>
          <w:sz w:val="20"/>
          <w:szCs w:val="20"/>
          <w:color w:val="auto"/>
        </w:rPr>
      </w:pPr>
      <w:r>
        <w:rPr>
          <w:rFonts w:ascii="Arial" w:cs="Arial" w:eastAsia="Arial" w:hAnsi="Arial"/>
          <w:sz w:val="15"/>
          <w:szCs w:val="15"/>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product's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20" w:firstLine="397"/>
        <w:spacing w:after="0" w:line="305" w:lineRule="auto"/>
        <w:rPr>
          <w:sz w:val="20"/>
          <w:szCs w:val="20"/>
          <w:color w:val="auto"/>
        </w:rPr>
      </w:pPr>
      <w:r>
        <w:rPr>
          <w:rFonts w:ascii="Arial" w:cs="Arial" w:eastAsia="Arial" w:hAnsi="Arial"/>
          <w:sz w:val="15"/>
          <w:szCs w:val="15"/>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and information concerning similar product candidates as our product candidates.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nonclinical,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54"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Marketing approval of novel product candidates, for example aptamers such as Zimura, manufactured using specialized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to date. This lack of experience may lengthen the regulatory review process, require us to conduct additional nonclinical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196" w:lineRule="exact"/>
        <w:rPr>
          <w:sz w:val="20"/>
          <w:szCs w:val="20"/>
          <w:color w:val="auto"/>
        </w:rPr>
      </w:pPr>
    </w:p>
    <w:p>
      <w:pPr>
        <w:ind w:right="840" w:firstLine="397"/>
        <w:spacing w:after="0" w:line="365" w:lineRule="auto"/>
        <w:rPr>
          <w:sz w:val="20"/>
          <w:szCs w:val="20"/>
          <w:color w:val="auto"/>
        </w:rPr>
      </w:pPr>
      <w:r>
        <w:rPr>
          <w:rFonts w:ascii="Arial" w:cs="Arial" w:eastAsia="Arial" w:hAnsi="Arial"/>
          <w:sz w:val="15"/>
          <w:szCs w:val="15"/>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13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Although we have obtained agreement with the FDA on a SPA for GATHER2, a SPA does not guarantee marketing approval of, or any other particular outcome from, regulatory review.</w:t>
      </w:r>
    </w:p>
    <w:p>
      <w:pPr>
        <w:spacing w:after="0" w:line="207" w:lineRule="exact"/>
        <w:rPr>
          <w:sz w:val="20"/>
          <w:szCs w:val="20"/>
          <w:color w:val="auto"/>
        </w:rPr>
      </w:pPr>
    </w:p>
    <w:p>
      <w:pPr>
        <w:ind w:right="20" w:firstLine="397"/>
        <w:spacing w:after="0" w:line="248" w:lineRule="auto"/>
        <w:rPr>
          <w:sz w:val="20"/>
          <w:szCs w:val="20"/>
          <w:color w:val="auto"/>
        </w:rPr>
      </w:pPr>
      <w:r>
        <w:rPr>
          <w:rFonts w:ascii="Arial" w:cs="Arial" w:eastAsia="Arial" w:hAnsi="Arial"/>
          <w:sz w:val="18"/>
          <w:szCs w:val="18"/>
          <w:color w:val="auto"/>
        </w:rPr>
        <w:t>In July 2021, the FDA agreed to a SPA for GATHER2. Under the SPA procedure, the FDA provides a clinical trial sponsor with an official evaluation and written guidance on the design of a proposed protocol intended to form the basis for an NDA. A SPA agreement indicates concurrence by the FDA with the adequacy and acceptability of specific critical elements of the overall protocol design for a clinical trial intended to support a future marketing application, but it does not indicate FDA concurrence on every protocol detail. A SPA agreement also does not ensure the receipt of marketing approval or that the approval process will be faster than conventional procedures. A determination regarding marketing approval is addressed during the review of a submitted NDA and depends on efficacy and safety results and an evaluation of the overall benefits and risks of treatment after review of the data from the development program in its totality.</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Even after the FDA agrees to the design, execution, and analysis proposed in a protocol reviewed under the</w:t>
      </w:r>
    </w:p>
    <w:p>
      <w:pPr>
        <w:spacing w:after="0" w:line="1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SPA process, the FDA may revoke or alter its agreement if a substantial scientific issue essential to determining the safety or effectiveness of the drug has been identified after the testing has begun. A SPA agreement may also be changed through written agreement between the sponsor and the FDA. A revocation or alteration in our existing SPA could delay or prevent approval of our planned NDA for Zimura. In addition, any significant change to the protocol for a clinical trial subject to a SPA would require prior FDA approval, which could delay implementation of such a change and the conduct of the related clinical trial. The FDA retains significant discretion in interpreting the terms of the SPA agreement and the data and results from any study that is the subject of the SPA agreement.</w:t>
      </w:r>
    </w:p>
    <w:p>
      <w:pPr>
        <w:spacing w:after="0" w:line="226" w:lineRule="exact"/>
        <w:rPr>
          <w:sz w:val="20"/>
          <w:szCs w:val="20"/>
          <w:color w:val="auto"/>
        </w:rPr>
      </w:pPr>
    </w:p>
    <w:p>
      <w:pPr>
        <w:ind w:right="520"/>
        <w:spacing w:after="0" w:line="294" w:lineRule="auto"/>
        <w:rPr>
          <w:sz w:val="20"/>
          <w:szCs w:val="20"/>
          <w:color w:val="auto"/>
        </w:rPr>
      </w:pPr>
      <w:r>
        <w:rPr>
          <w:rFonts w:ascii="Arial" w:cs="Arial" w:eastAsia="Arial" w:hAnsi="Arial"/>
          <w:sz w:val="17"/>
          <w:szCs w:val="17"/>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157" w:lineRule="exact"/>
        <w:rPr>
          <w:sz w:val="20"/>
          <w:szCs w:val="20"/>
          <w:color w:val="auto"/>
        </w:rPr>
      </w:pPr>
    </w:p>
    <w:p>
      <w:pPr>
        <w:ind w:right="40" w:firstLine="397"/>
        <w:spacing w:after="0" w:line="264" w:lineRule="auto"/>
        <w:rPr>
          <w:sz w:val="20"/>
          <w:szCs w:val="20"/>
          <w:color w:val="auto"/>
        </w:rPr>
      </w:pPr>
      <w:r>
        <w:rPr>
          <w:rFonts w:ascii="Arial" w:cs="Arial" w:eastAsia="Arial" w:hAnsi="Arial"/>
          <w:sz w:val="17"/>
          <w:szCs w:val="17"/>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nonclinical or clinical testing. For example, although we have obtained a SPA from the FDA for the GATHER2 trial, the EMA or other regulatory authorities may not agree with the overall protocol design for the GATHER2 trial.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our third-party commercialization partners may not obtain marketing and/or reimbursement approvals from regulatory authorities outside the United States on a timely basis, if at all. Approval by the FDA does not ensure approval by regulatory authorities in other countries or</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 If our third-party commercial partners fail to obtain marketing approval in certain jurisdictions, it may diminish the value of our product candidate to them and cause them to terminate their relationship with us.</w:t>
      </w:r>
    </w:p>
    <w:p>
      <w:pPr>
        <w:spacing w:after="0" w:line="177" w:lineRule="exact"/>
        <w:rPr>
          <w:sz w:val="20"/>
          <w:szCs w:val="20"/>
          <w:color w:val="auto"/>
        </w:rPr>
      </w:pPr>
    </w:p>
    <w:p>
      <w:pPr>
        <w:ind w:right="60" w:firstLine="397"/>
        <w:spacing w:after="0" w:line="264" w:lineRule="auto"/>
        <w:rPr>
          <w:sz w:val="20"/>
          <w:szCs w:val="20"/>
          <w:color w:val="auto"/>
        </w:rPr>
      </w:pPr>
      <w:r>
        <w:rPr>
          <w:rFonts w:ascii="Arial" w:cs="Arial" w:eastAsia="Arial" w:hAnsi="Arial"/>
          <w:sz w:val="17"/>
          <w:szCs w:val="17"/>
          <w:color w:val="auto"/>
        </w:rPr>
        <w:t>In June 2016, the electorate in the United Kingdom, or UK, voted in favor of leaving the European Union, commonly referred to as “Brexit”. Following protracted negotiations, the UK left the European Union on January 31, 2020 and European Union rules and regulations ceased to apply to the UK starting on January 1, 2021. In December 2020, the UK government and the European Union agreed on a long-term trade agreement to govern economic relations going forward. Since the existing regulatory framework for pharmaceutical products in the UK is derived from European Union directives and regulations, Brexit could materially impact the future regulatory regime for pharmaceutical products in the UK, which remains uncertain. We are continuing to analyze how Brexit and the trade agreement will affect the future regulatory regime for pharmaceutical products in the United Kingdom.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8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 or for other reasons.</w:t>
      </w:r>
    </w:p>
    <w:p>
      <w:pPr>
        <w:spacing w:after="0" w:line="188" w:lineRule="exact"/>
        <w:rPr>
          <w:sz w:val="20"/>
          <w:szCs w:val="20"/>
          <w:color w:val="auto"/>
        </w:rPr>
      </w:pPr>
    </w:p>
    <w:p>
      <w:pPr>
        <w:ind w:right="80" w:firstLine="397"/>
        <w:spacing w:after="0" w:line="305" w:lineRule="auto"/>
        <w:rPr>
          <w:sz w:val="20"/>
          <w:szCs w:val="20"/>
          <w:color w:val="auto"/>
        </w:rPr>
      </w:pPr>
      <w:r>
        <w:rPr>
          <w:rFonts w:ascii="Arial" w:cs="Arial" w:eastAsia="Arial" w:hAnsi="Arial"/>
          <w:sz w:val="15"/>
          <w:szCs w:val="15"/>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or for other reasons.</w:t>
      </w:r>
    </w:p>
    <w:p>
      <w:pPr>
        <w:spacing w:after="0" w:line="154" w:lineRule="exact"/>
        <w:rPr>
          <w:sz w:val="20"/>
          <w:szCs w:val="20"/>
          <w:color w:val="auto"/>
        </w:rPr>
      </w:pPr>
    </w:p>
    <w:p>
      <w:pPr>
        <w:ind w:right="40" w:firstLine="397"/>
        <w:spacing w:after="0" w:line="249" w:lineRule="auto"/>
        <w:rPr>
          <w:sz w:val="20"/>
          <w:szCs w:val="20"/>
          <w:color w:val="auto"/>
        </w:rPr>
      </w:pPr>
      <w:r>
        <w:rPr>
          <w:rFonts w:ascii="Arial" w:cs="Arial" w:eastAsia="Arial" w:hAnsi="Arial"/>
          <w:sz w:val="18"/>
          <w:szCs w:val="18"/>
          <w:color w:val="auto"/>
        </w:rPr>
        <w:t>In April 2020, the FDA granted fast track designation to Zimura for the treatment of GA secondary to dry AMD. Even though Zimura has received fast track designation, we must continue to follow the requirements of the program in order to maintain the fast track designation, and even if we maintain the designation, we may not ultimately experience a faster development process, review or approval compared to conventional FDA procedures. The FDA's grant of fast track designation to Zimura for the treatment of GA secondary to dry AMD does not imply that the FDA will grant fast track designation to Zimura for another indication, such as intermediate AMD or STGD1, or that the FDA will grant fast track designation for any of our other product candidates, if we choose to apply for fast track designation.</w:t>
      </w:r>
    </w:p>
    <w:p>
      <w:pPr>
        <w:spacing w:after="0" w:line="196" w:lineRule="exact"/>
        <w:rPr>
          <w:sz w:val="20"/>
          <w:szCs w:val="20"/>
          <w:color w:val="auto"/>
        </w:rPr>
      </w:pPr>
    </w:p>
    <w:p>
      <w:pPr>
        <w:ind w:right="600"/>
        <w:spacing w:after="0" w:line="294"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57"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help design the clinical trials in an efficient manner.</w:t>
      </w:r>
    </w:p>
    <w:p>
      <w:pPr>
        <w:spacing w:after="0" w:line="181" w:lineRule="exact"/>
        <w:rPr>
          <w:sz w:val="20"/>
          <w:szCs w:val="20"/>
          <w:color w:val="auto"/>
        </w:rPr>
      </w:pPr>
    </w:p>
    <w:p>
      <w:pPr>
        <w:ind w:right="380" w:firstLine="397"/>
        <w:spacing w:after="0" w:line="264"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decide not to</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make such designation. In any event, the receipt of a breakthrough therapy designation for a product candidate may not result in a faster development process, review or approval compared to drugs considered for approval under conventional FDA procedures and does not ensure ultimate approval by the FDA. In addition, even if one or more of our product candidates qualify as breakthrough therapies, the FDA may later decide that the products no longer meet the conditions for qualification or that the time period for FDA review or approval will not be shortened.</w:t>
      </w:r>
    </w:p>
    <w:p>
      <w:pPr>
        <w:spacing w:after="0" w:line="204"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b w:val="1"/>
          <w:bCs w:val="1"/>
          <w:i w:val="1"/>
          <w:iCs w:val="1"/>
          <w:color w:val="auto"/>
        </w:rPr>
        <w:t>We currently do not have orphan drug designations or orphan drug exclusivity for any product candidate. If our competitors are able to obtain orphan drug exclusivity for products that constitute the same or similar drug and treat the same indications as our product candidates, we may not be able to have our product candidates approved by the applicable regulatory authority for a significant period of time.</w:t>
      </w:r>
    </w:p>
    <w:p>
      <w:pPr>
        <w:spacing w:after="0" w:line="137" w:lineRule="exact"/>
        <w:rPr>
          <w:sz w:val="20"/>
          <w:szCs w:val="20"/>
          <w:color w:val="auto"/>
        </w:rPr>
      </w:pPr>
    </w:p>
    <w:p>
      <w:pPr>
        <w:ind w:right="40" w:firstLine="397"/>
        <w:spacing w:after="0" w:line="305" w:lineRule="auto"/>
        <w:rPr>
          <w:sz w:val="20"/>
          <w:szCs w:val="20"/>
          <w:color w:val="auto"/>
        </w:rPr>
      </w:pPr>
      <w:r>
        <w:rPr>
          <w:rFonts w:ascii="Arial" w:cs="Arial" w:eastAsia="Arial" w:hAnsi="Arial"/>
          <w:sz w:val="15"/>
          <w:szCs w:val="15"/>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and that there exists no satisfactory method of diagnosis, prevention or treatment of the condition in question that has been authorized in the European Community or, if such method exists, that the medicinal product will be of significant benefit to those affected by that condition.</w:t>
      </w:r>
    </w:p>
    <w:p>
      <w:pPr>
        <w:spacing w:after="0" w:line="154" w:lineRule="exact"/>
        <w:rPr>
          <w:sz w:val="20"/>
          <w:szCs w:val="20"/>
          <w:color w:val="auto"/>
        </w:rPr>
      </w:pPr>
    </w:p>
    <w:p>
      <w:pPr>
        <w:ind w:right="120" w:firstLine="397"/>
        <w:spacing w:after="0" w:line="268"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1" w:lineRule="exact"/>
        <w:rPr>
          <w:sz w:val="20"/>
          <w:szCs w:val="20"/>
          <w:color w:val="auto"/>
        </w:rPr>
      </w:pPr>
    </w:p>
    <w:p>
      <w:pPr>
        <w:ind w:right="20" w:firstLine="397"/>
        <w:spacing w:after="0" w:line="263"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as the case may be, during that marketing exclusivity period from approving another marketing application for a product that constitutes the same or similar drug treating the same indication, except in limited circumstances. If another sponsor receives such approval before we do, regardless of our orphan drug designation, we may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In the European Union, the exclusivity period can be extended by two years following the completion of an agreed pediatric investigation plan. The exclusivity period in the European Union can be reduced to six years if a product no longer meets the criteria for orphan drug designation or if the product is sufficiently profitable so that market exclusivity is no longer justified. Orphan drug exclusivity may be revoked, or a competing sponsor may be allowed on the market, if any regulatory agency determines that the request for designation was materially defective or if the sponsor having orphan drug exclusivity is unable to assure sufficient quantity of the product to meet the needs of patients with the rare disease or condition.</w:t>
      </w:r>
    </w:p>
    <w:p>
      <w:pPr>
        <w:spacing w:after="0" w:line="186" w:lineRule="exact"/>
        <w:rPr>
          <w:sz w:val="20"/>
          <w:szCs w:val="20"/>
          <w:color w:val="auto"/>
        </w:rPr>
      </w:pPr>
    </w:p>
    <w:p>
      <w:pPr>
        <w:ind w:right="100" w:firstLine="397"/>
        <w:spacing w:after="0" w:line="306" w:lineRule="auto"/>
        <w:rPr>
          <w:sz w:val="20"/>
          <w:szCs w:val="20"/>
          <w:color w:val="auto"/>
        </w:rPr>
      </w:pPr>
      <w:r>
        <w:rPr>
          <w:rFonts w:ascii="Arial" w:cs="Arial" w:eastAsia="Arial" w:hAnsi="Arial"/>
          <w:sz w:val="15"/>
          <w:szCs w:val="15"/>
          <w:color w:val="auto"/>
        </w:rPr>
        <w:t>Even if we obtain orphan drug exclusivity for a product candidate, that exclusivity may not effectively protect the product candidate from competition because a competing sponsor's drug could nevertheless be approved for the same condition if certain requirements are met.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remains in flux in the context of gene therapies, and the FDA has issued draft guidance suggesting that it would not consider two gene therapy products to be different drugs solely based on minor differences in the transgenes or vectors. In the European Union, marketing authorization may be granted to a similar medicinal product for the same orphan indication if:</w:t>
      </w:r>
    </w:p>
    <w:p>
      <w:pPr>
        <w:spacing w:after="0" w:line="183" w:lineRule="exact"/>
        <w:rPr>
          <w:sz w:val="20"/>
          <w:szCs w:val="20"/>
          <w:color w:val="auto"/>
        </w:rPr>
      </w:pPr>
    </w:p>
    <w:p>
      <w:pPr>
        <w:ind w:left="960" w:right="720" w:hanging="318"/>
        <w:spacing w:after="0" w:line="264" w:lineRule="auto"/>
        <w:tabs>
          <w:tab w:leader="none" w:pos="9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holder of the marketing authorization for the original orphan medicinal product consents to a second orphan medicinal product application; or</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0" w:right="200" w:hanging="318"/>
        <w:spacing w:after="0" w:line="264" w:lineRule="auto"/>
        <w:tabs>
          <w:tab w:leader="none" w:pos="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the orphan medicinal product.</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177" w:lineRule="exact"/>
        <w:rPr>
          <w:sz w:val="20"/>
          <w:szCs w:val="20"/>
          <w:color w:val="auto"/>
        </w:rPr>
      </w:pPr>
    </w:p>
    <w:p>
      <w:pPr>
        <w:ind w:right="80" w:firstLine="397"/>
        <w:spacing w:after="0" w:line="305" w:lineRule="auto"/>
        <w:rPr>
          <w:sz w:val="20"/>
          <w:szCs w:val="20"/>
          <w:color w:val="auto"/>
        </w:rPr>
      </w:pPr>
      <w:r>
        <w:rPr>
          <w:rFonts w:ascii="Arial" w:cs="Arial" w:eastAsia="Arial" w:hAnsi="Arial"/>
          <w:sz w:val="15"/>
          <w:szCs w:val="15"/>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tracking of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possible requirement to implement a risk evaluation and mitigation strategy.</w:t>
      </w:r>
    </w:p>
    <w:p>
      <w:pPr>
        <w:spacing w:after="0" w:line="154" w:lineRule="exact"/>
        <w:rPr>
          <w:sz w:val="20"/>
          <w:szCs w:val="20"/>
          <w:color w:val="auto"/>
        </w:rPr>
      </w:pPr>
    </w:p>
    <w:p>
      <w:pPr>
        <w:ind w:right="40" w:firstLine="397"/>
        <w:spacing w:after="0" w:line="306" w:lineRule="auto"/>
        <w:rPr>
          <w:sz w:val="20"/>
          <w:szCs w:val="20"/>
          <w:color w:val="auto"/>
        </w:rPr>
      </w:pPr>
      <w:r>
        <w:rPr>
          <w:rFonts w:ascii="Arial" w:cs="Arial" w:eastAsia="Arial" w:hAnsi="Arial"/>
          <w:sz w:val="15"/>
          <w:szCs w:val="15"/>
          <w:color w:val="auto"/>
        </w:rPr>
        <w:t>The FDA and other agencies, including the Department of Justice, or the DOJ, closely regulate and monitor the pre- and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preapproval promotion and off-label use and if we engage in inappropriate pre-approval promotion or if we do not market our products for their approved indications, we may be subject to enforcement action. Over the past few years, there has been increasing enforcement activity from the FDA targeting preapproval promotion.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57" w:lineRule="exact"/>
        <w:rPr>
          <w:sz w:val="20"/>
          <w:szCs w:val="20"/>
          <w:color w:val="auto"/>
        </w:rPr>
      </w:pPr>
    </w:p>
    <w:p>
      <w:pPr>
        <w:ind w:right="240" w:firstLine="397"/>
        <w:spacing w:after="0" w:line="264"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207" w:lineRule="exact"/>
        <w:rPr>
          <w:sz w:val="20"/>
          <w:szCs w:val="20"/>
          <w:color w:val="auto"/>
        </w:rPr>
      </w:pPr>
    </w:p>
    <w:p>
      <w:pPr>
        <w:ind w:left="960" w:hanging="318"/>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0" w:hanging="318"/>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17" w:lineRule="exact"/>
        <w:rPr>
          <w:sz w:val="20"/>
          <w:szCs w:val="20"/>
          <w:color w:val="auto"/>
        </w:rPr>
      </w:pPr>
    </w:p>
    <w:p>
      <w:pPr>
        <w:ind w:right="100" w:firstLine="397"/>
        <w:spacing w:after="0" w:line="264"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any applicable requirements related to the development of products for the pediatric population, can also result in significant penalties.</w:t>
      </w:r>
    </w:p>
    <w:p>
      <w:pPr>
        <w:spacing w:after="0" w:line="181" w:lineRule="exact"/>
        <w:rPr>
          <w:sz w:val="20"/>
          <w:szCs w:val="20"/>
          <w:color w:val="auto"/>
        </w:rPr>
      </w:pPr>
    </w:p>
    <w:p>
      <w:pPr>
        <w:ind w:right="500"/>
        <w:spacing w:after="0" w:line="330" w:lineRule="auto"/>
        <w:rPr>
          <w:sz w:val="20"/>
          <w:szCs w:val="20"/>
          <w:color w:val="auto"/>
        </w:rPr>
      </w:pPr>
      <w:r>
        <w:rPr>
          <w:rFonts w:ascii="Arial" w:cs="Arial" w:eastAsia="Arial" w:hAnsi="Arial"/>
          <w:sz w:val="15"/>
          <w:szCs w:val="15"/>
          <w:b w:val="1"/>
          <w:bCs w:val="1"/>
          <w:i w:val="1"/>
          <w:iCs w:val="1"/>
          <w:color w:val="auto"/>
        </w:rPr>
        <w:t>Our and our potential commercialization partners’ relationships with healthcare professionals, patients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37" w:lineRule="exact"/>
        <w:rPr>
          <w:sz w:val="20"/>
          <w:szCs w:val="20"/>
          <w:color w:val="auto"/>
        </w:rPr>
      </w:pPr>
    </w:p>
    <w:p>
      <w:pPr>
        <w:ind w:right="180" w:firstLine="397"/>
        <w:spacing w:after="0" w:line="268"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future arrangements with healthcare providers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207" w:lineRule="exact"/>
        <w:rPr>
          <w:sz w:val="20"/>
          <w:szCs w:val="20"/>
          <w:color w:val="auto"/>
        </w:rPr>
      </w:pPr>
    </w:p>
    <w:p>
      <w:pPr>
        <w:ind w:left="960" w:hanging="318"/>
        <w:spacing w:after="0" w:line="252" w:lineRule="auto"/>
        <w:tabs>
          <w:tab w:leader="none" w:pos="9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17" w:lineRule="exact"/>
        <w:rPr>
          <w:rFonts w:ascii="Arial" w:cs="Arial" w:eastAsia="Arial" w:hAnsi="Arial"/>
          <w:sz w:val="18"/>
          <w:szCs w:val="18"/>
          <w:color w:val="auto"/>
        </w:rPr>
      </w:pPr>
    </w:p>
    <w:p>
      <w:pPr>
        <w:ind w:left="960" w:right="20" w:hanging="318"/>
        <w:spacing w:after="0" w:line="250" w:lineRule="auto"/>
        <w:tabs>
          <w:tab w:leader="none" w:pos="9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$11,803 and a maximum of $23,607 per false claim;</w:t>
      </w:r>
    </w:p>
    <w:p>
      <w:pPr>
        <w:spacing w:after="0" w:line="220" w:lineRule="exact"/>
        <w:rPr>
          <w:rFonts w:ascii="Arial" w:cs="Arial" w:eastAsia="Arial" w:hAnsi="Arial"/>
          <w:sz w:val="18"/>
          <w:szCs w:val="18"/>
          <w:color w:val="auto"/>
        </w:rPr>
      </w:pPr>
    </w:p>
    <w:p>
      <w:pPr>
        <w:ind w:left="960" w:hanging="318"/>
        <w:spacing w:after="0" w:line="255" w:lineRule="auto"/>
        <w:tabs>
          <w:tab w:leader="none" w:pos="9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in connection with the delivery of or payment for benefits, items or services involving a healthcare benefit program;</w:t>
      </w:r>
    </w:p>
    <w:p>
      <w:pPr>
        <w:spacing w:after="0" w:line="214" w:lineRule="exact"/>
        <w:rPr>
          <w:rFonts w:ascii="Arial" w:cs="Arial" w:eastAsia="Arial" w:hAnsi="Arial"/>
          <w:sz w:val="18"/>
          <w:szCs w:val="18"/>
          <w:color w:val="auto"/>
        </w:rPr>
      </w:pPr>
    </w:p>
    <w:p>
      <w:pPr>
        <w:ind w:left="960" w:right="160" w:hanging="318"/>
        <w:spacing w:after="0" w:line="330" w:lineRule="auto"/>
        <w:tabs>
          <w:tab w:leader="none" w:pos="955" w:val="left"/>
        </w:tabs>
        <w:numPr>
          <w:ilvl w:val="0"/>
          <w:numId w:val="51"/>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and providing notifications of the breach of such information, by covered entities and certain business partners;</w:t>
      </w:r>
    </w:p>
    <w:p>
      <w:pPr>
        <w:spacing w:after="0" w:line="163" w:lineRule="exact"/>
        <w:rPr>
          <w:rFonts w:ascii="Arial" w:cs="Arial" w:eastAsia="Arial" w:hAnsi="Arial"/>
          <w:sz w:val="15"/>
          <w:szCs w:val="15"/>
          <w:color w:val="auto"/>
        </w:rPr>
      </w:pPr>
    </w:p>
    <w:p>
      <w:pPr>
        <w:ind w:left="960" w:right="520" w:hanging="318"/>
        <w:spacing w:after="0" w:line="365" w:lineRule="auto"/>
        <w:tabs>
          <w:tab w:leader="none" w:pos="955"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federal Physician Payments Sunshine Act requires certain manufacturers of drugs, medical devices and biological products covered by federal healthcare benefit programs to report payments and other transfers of value to physicians and teaching hospitals; and</w:t>
      </w:r>
    </w:p>
    <w:p>
      <w:pPr>
        <w:spacing w:after="0" w:line="137" w:lineRule="exact"/>
        <w:rPr>
          <w:rFonts w:ascii="Arial" w:cs="Arial" w:eastAsia="Arial" w:hAnsi="Arial"/>
          <w:sz w:val="15"/>
          <w:szCs w:val="15"/>
          <w:color w:val="auto"/>
        </w:rPr>
      </w:pPr>
    </w:p>
    <w:p>
      <w:pPr>
        <w:ind w:left="960" w:right="100" w:hanging="318"/>
        <w:spacing w:after="0" w:line="255" w:lineRule="auto"/>
        <w:tabs>
          <w:tab w:leader="none" w:pos="9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188" w:lineRule="exact"/>
        <w:rPr>
          <w:sz w:val="20"/>
          <w:szCs w:val="20"/>
          <w:color w:val="auto"/>
        </w:rPr>
      </w:pPr>
    </w:p>
    <w:p>
      <w:pPr>
        <w:ind w:right="160" w:firstLine="397"/>
        <w:spacing w:after="0" w:line="268"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 may require the licensing or listing of pharmaceutical sales representatives. State and foreign laws, such as the GDPR, also govern the privacy and security of health information in some circumstances, many of which differ from HIPAA and each other in significant ways, thus complicating compliance efforts.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20" w:firstLine="397"/>
        <w:spacing w:after="0" w:line="305" w:lineRule="auto"/>
        <w:rPr>
          <w:sz w:val="20"/>
          <w:szCs w:val="20"/>
          <w:color w:val="auto"/>
        </w:rPr>
      </w:pPr>
      <w:r>
        <w:rPr>
          <w:rFonts w:ascii="Arial" w:cs="Arial" w:eastAsia="Arial" w:hAnsi="Arial"/>
          <w:sz w:val="15"/>
          <w:szCs w:val="15"/>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These risks are becoming more important for our operations as Zimura advances in clinical development and as we prepare for potential commercialization. We are working to develop and implement a corporate compliance program to ensure that we will market and sell any future products that we successfully develop in compliance with 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54"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including damages, fines, imprisonment, exclusion of products from government funded healthcare programs, such as Medicare and Medicaid, and the curtailment or restructuring of our or their operations. If any of the physicians or other healthcare providers or entities with whom we are doing business or expect to do business is found to be not in compliance with applicable laws, they may be subject to criminal, civil or administrative sanctions, including exclusions from government funded healthcare programs, and as a result, our relationships with those healthcare providers or third parties may be adversely affected and our business and reputation may suffer.</w:t>
      </w:r>
    </w:p>
    <w:p>
      <w:pPr>
        <w:spacing w:after="0" w:line="211"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costs for us and any future collaborators to obtain reimbursement for any of our product candidates that may receive marketing approval and our ability to generate revenue will be materially impaired.</w:t>
      </w:r>
    </w:p>
    <w:p>
      <w:pPr>
        <w:spacing w:after="0" w:line="183" w:lineRule="exact"/>
        <w:rPr>
          <w:sz w:val="20"/>
          <w:szCs w:val="20"/>
          <w:color w:val="auto"/>
        </w:rPr>
      </w:pPr>
    </w:p>
    <w:p>
      <w:pPr>
        <w:ind w:right="140" w:firstLine="397"/>
        <w:spacing w:after="0" w:line="249"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 If reimbursement of our products is unavailable or limited in scope, our business could be materially harmed.</w:t>
      </w:r>
    </w:p>
    <w:p>
      <w:pPr>
        <w:spacing w:after="0" w:line="222" w:lineRule="exact"/>
        <w:rPr>
          <w:sz w:val="20"/>
          <w:szCs w:val="20"/>
          <w:color w:val="auto"/>
        </w:rPr>
      </w:pPr>
    </w:p>
    <w:p>
      <w:pPr>
        <w:ind w:right="80" w:firstLine="397"/>
        <w:spacing w:after="0" w:line="305" w:lineRule="auto"/>
        <w:rPr>
          <w:sz w:val="20"/>
          <w:szCs w:val="20"/>
          <w:color w:val="auto"/>
        </w:rPr>
      </w:pPr>
      <w:r>
        <w:rPr>
          <w:rFonts w:ascii="Arial" w:cs="Arial" w:eastAsia="Arial" w:hAnsi="Arial"/>
          <w:sz w:val="15"/>
          <w:szCs w:val="15"/>
          <w:color w:val="auto"/>
        </w:rPr>
        <w:t>In March 2010, President Obama signed into law the Patient Protection and Affordable Care Act, as amended by the Health Care and Education Affordability Reconciliation Act, or collectively the ACA. Since enactment of the 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U.S. Supreme Court reversed this decision and dismissed the case on standing grounds. Litigation and legislation over the ACA may continue, with unpredictable and uncertain results.</w:t>
      </w:r>
    </w:p>
    <w:p>
      <w:pPr>
        <w:spacing w:after="0" w:line="181" w:lineRule="exact"/>
        <w:rPr>
          <w:sz w:val="20"/>
          <w:szCs w:val="20"/>
          <w:color w:val="auto"/>
        </w:rPr>
      </w:pPr>
    </w:p>
    <w:p>
      <w:pPr>
        <w:ind w:right="40" w:firstLine="397"/>
        <w:spacing w:after="0" w:line="264" w:lineRule="auto"/>
        <w:rPr>
          <w:sz w:val="20"/>
          <w:szCs w:val="20"/>
          <w:color w:val="auto"/>
        </w:rPr>
      </w:pPr>
      <w:r>
        <w:rPr>
          <w:rFonts w:ascii="Arial" w:cs="Arial" w:eastAsia="Arial" w:hAnsi="Arial"/>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January 2021, however, President Biden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Current and future legislative efforts may limit the prices for our products, if and when they are licensed for marketing, which could materially impact our ability to generate revenues.</w:t>
      </w:r>
    </w:p>
    <w:p>
      <w:pPr>
        <w:spacing w:after="0" w:line="207" w:lineRule="exact"/>
        <w:rPr>
          <w:sz w:val="20"/>
          <w:szCs w:val="20"/>
          <w:color w:val="auto"/>
        </w:rPr>
      </w:pPr>
    </w:p>
    <w:p>
      <w:pPr>
        <w:ind w:right="80" w:firstLine="397"/>
        <w:spacing w:after="0" w:line="303" w:lineRule="auto"/>
        <w:rPr>
          <w:sz w:val="20"/>
          <w:szCs w:val="20"/>
          <w:color w:val="auto"/>
        </w:rPr>
      </w:pPr>
      <w:r>
        <w:rPr>
          <w:rFonts w:ascii="Arial" w:cs="Arial" w:eastAsia="Arial" w:hAnsi="Arial"/>
          <w:sz w:val="15"/>
          <w:szCs w:val="15"/>
          <w:color w:val="auto"/>
        </w:rPr>
        <w:t>The containment of healthcare costs also has become a priority of federal, state and foreign governments and the prices of pharmaceutical products have been a focus in this effort. Governments have shown significant interest in implementing cost-containment programs, including rebate programs, price controls, restrictions on reimbursement and requirements for substitution of generic products. Efforts to control drug pricing have garnered bipartisan support in U.S. Congress. To that end, the Trump Administration published final rules that would allow states or certain other non-federal government entities to submit importation program proposals to the FDA for review and approval. Applicants would be required to demonstrate their importation plans pose no additional risk to public health and safety and will result in significant cost savings for consumers. Earlier, the FDA had issued draft guidance that would allow manufacturers to import their own FDA-approved drugs that are authorized for sale in other countries (multi-market approved products). Further, President Trump issued five executive orders intended to lower the costs of prescription drug products. Several of these orders are reflected in recently promulgated regulations, and one of these regulations is currently subject to a nationwide preliminary injunction.</w:t>
      </w:r>
    </w:p>
    <w:p>
      <w:pPr>
        <w:spacing w:after="0" w:line="173" w:lineRule="exact"/>
        <w:rPr>
          <w:sz w:val="20"/>
          <w:szCs w:val="20"/>
          <w:color w:val="auto"/>
        </w:rPr>
      </w:pPr>
    </w:p>
    <w:p>
      <w:pPr>
        <w:ind w:right="20" w:firstLine="397"/>
        <w:spacing w:after="0" w:line="231" w:lineRule="auto"/>
        <w:rPr>
          <w:sz w:val="20"/>
          <w:szCs w:val="20"/>
          <w:color w:val="auto"/>
        </w:rPr>
      </w:pPr>
      <w:r>
        <w:rPr>
          <w:rFonts w:ascii="Arial" w:cs="Arial" w:eastAsia="Arial" w:hAnsi="Arial"/>
          <w:sz w:val="17"/>
          <w:szCs w:val="17"/>
          <w:color w:val="auto"/>
        </w:rPr>
        <w:t>In September 2021, the Biden Administration released its blueprint for curbing prescription drug prices, including plans to allow Medicare to directly negotiate drug prices with manufacturers, establishing a ceiling for the launch prices of all branded, biologic, and certain generic drugs under Medicare Part D by referencing the average price of these drugs in other developed countries, and seeking to limit Medicare Part D and public option drug prices through a tax penalty on manufacturers for increases in the cost of drugs and biologics above the general inflation rate. Elements of this proposed plan are currently being debated in the U.S. Congress. The American Rescue Plan Act of 2021, a comprehensive COVID-19 relief law enacted under the Biden Administration, includes a number of healthcare-related provisions, such as support to rural health care providers, increased tax subsidies for health insurance purchased through insurance exchange marketplaces, financial incentives to states to expand Medicaid programs and elimination of the Medicaid drug rebate cap effective in 2024. The Biden Administration has also frozen certain of the previous administration’s measures to reform drug prices, pending further review. It remains to be seen how the Biden Administration will address this issue but, under Medicare Part D, the new administration may seek to establish a ceiling for the launch prices of all branded, biologic, and certain generic drugs by referencing the average price of these drugs in other developed countries. At the same time, the administration may seek to limit Medicare Part D and public option drug prices through a tax penalty on manufacturers for increases in the cost of drugs and biologics above the general inflation rate. The Biden Administration has agreed to delay for a year the implementation of one of former President Trump’s signature drug pricing policies, from January 2022 to 2023. The policy at issue would have prevented drug makers and middlemen from negotiating rebates on prescription drugs.</w:t>
      </w:r>
    </w:p>
    <w:p>
      <w:pPr>
        <w:spacing w:after="0" w:line="215" w:lineRule="exact"/>
        <w:rPr>
          <w:sz w:val="20"/>
          <w:szCs w:val="20"/>
          <w:color w:val="auto"/>
        </w:rPr>
      </w:pPr>
    </w:p>
    <w:p>
      <w:pPr>
        <w:ind w:right="100" w:firstLine="397"/>
        <w:spacing w:after="0" w:line="305" w:lineRule="auto"/>
        <w:rPr>
          <w:sz w:val="20"/>
          <w:szCs w:val="20"/>
          <w:color w:val="auto"/>
        </w:rPr>
      </w:pPr>
      <w:r>
        <w:rPr>
          <w:rFonts w:ascii="Arial" w:cs="Arial" w:eastAsia="Arial" w:hAnsi="Arial"/>
          <w:sz w:val="15"/>
          <w:szCs w:val="15"/>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additional regulation of pharmacy benefit managers,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1" w:lineRule="exact"/>
        <w:rPr>
          <w:sz w:val="20"/>
          <w:szCs w:val="20"/>
          <w:color w:val="auto"/>
        </w:rPr>
      </w:pPr>
    </w:p>
    <w:p>
      <w:pPr>
        <w:ind w:firstLine="397"/>
        <w:spacing w:after="0" w:line="250" w:lineRule="auto"/>
        <w:rPr>
          <w:sz w:val="20"/>
          <w:szCs w:val="20"/>
          <w:color w:val="auto"/>
        </w:rPr>
      </w:pPr>
      <w:r>
        <w:rPr>
          <w:rFonts w:ascii="Arial" w:cs="Arial" w:eastAsia="Arial" w:hAnsi="Arial"/>
          <w:sz w:val="18"/>
          <w:szCs w:val="18"/>
          <w:color w:val="auto"/>
        </w:rPr>
        <w:t>Finally, outside the United States, in some nations,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pricing for our products, if approved and licensed, is set at unsatisfactory levels, our business could be materially harmed.</w:t>
      </w:r>
    </w:p>
    <w:p>
      <w:pPr>
        <w:spacing w:after="0" w:line="220" w:lineRule="exact"/>
        <w:rPr>
          <w:sz w:val="20"/>
          <w:szCs w:val="20"/>
          <w:color w:val="auto"/>
        </w:rPr>
      </w:pPr>
    </w:p>
    <w:p>
      <w:pPr>
        <w:ind w:right="460"/>
        <w:spacing w:after="0" w:line="365" w:lineRule="auto"/>
        <w:rPr>
          <w:sz w:val="20"/>
          <w:szCs w:val="20"/>
          <w:color w:val="auto"/>
        </w:rPr>
      </w:pPr>
      <w:r>
        <w:rPr>
          <w:rFonts w:ascii="Arial" w:cs="Arial" w:eastAsia="Arial" w:hAnsi="Arial"/>
          <w:sz w:val="15"/>
          <w:szCs w:val="15"/>
          <w:b w:val="1"/>
          <w:bCs w:val="1"/>
          <w:i w:val="1"/>
          <w:iCs w:val="1"/>
          <w:color w:val="auto"/>
        </w:rPr>
        <w:t>Reporting and payment obligations under the Medicaid Drug Rebate Program and other governmental drug pricing programs are complex and may involve subjective decisions. Any failure to comply with those obligations could subject us to penalties and sanctions.</w:t>
      </w:r>
    </w:p>
    <w:p>
      <w:pPr>
        <w:spacing w:after="0" w:line="138" w:lineRule="exact"/>
        <w:rPr>
          <w:sz w:val="20"/>
          <w:szCs w:val="20"/>
          <w:color w:val="auto"/>
        </w:rPr>
      </w:pPr>
    </w:p>
    <w:p>
      <w:pPr>
        <w:jc w:val="both"/>
        <w:ind w:right="80" w:firstLine="433"/>
        <w:spacing w:after="0" w:line="318" w:lineRule="auto"/>
        <w:rPr>
          <w:sz w:val="20"/>
          <w:szCs w:val="20"/>
          <w:color w:val="auto"/>
        </w:rPr>
      </w:pPr>
      <w:r>
        <w:rPr>
          <w:rFonts w:ascii="Arial" w:cs="Arial" w:eastAsia="Arial" w:hAnsi="Arial"/>
          <w:sz w:val="15"/>
          <w:szCs w:val="15"/>
          <w:color w:val="auto"/>
        </w:rPr>
        <w:t>As a condition of reimbursement by various federal and state health insurance programs, pharmaceutical companies are required to calculate and report certain pricing information to federal and state agencies. The regulations governing the calculations, price reporting and payment obligations are complex and subject to interpretation by various government and regulatory agencies, as well as the courts. Reasonable assumptions have been made where there is lack of regulations or clear guidance and such assumptions involve subjective decisions and estimates. Pharmaceutical companies are required to report</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any revisions to our calculation, price reporting and payment obligations previously reported or paid. Such revisions could affect liability to federal and state payers and also adversely impact reported financial results of operations in the period of such restatement.</w:t>
      </w:r>
    </w:p>
    <w:p>
      <w:pPr>
        <w:spacing w:after="0" w:line="207" w:lineRule="exact"/>
        <w:rPr>
          <w:sz w:val="20"/>
          <w:szCs w:val="20"/>
          <w:color w:val="auto"/>
        </w:rPr>
      </w:pPr>
    </w:p>
    <w:p>
      <w:pPr>
        <w:ind w:right="260" w:firstLine="433"/>
        <w:spacing w:after="0" w:line="309" w:lineRule="auto"/>
        <w:rPr>
          <w:sz w:val="20"/>
          <w:szCs w:val="20"/>
          <w:color w:val="auto"/>
        </w:rPr>
      </w:pPr>
      <w:r>
        <w:rPr>
          <w:rFonts w:ascii="Arial" w:cs="Arial" w:eastAsia="Arial" w:hAnsi="Arial"/>
          <w:sz w:val="15"/>
          <w:szCs w:val="15"/>
          <w:color w:val="auto"/>
        </w:rPr>
        <w:t>Uncertainty exists as new laws, regulations, judicial decisions, or new interpretations of existing laws, or regulations related to our calculations, price reporting or payments obligations increases the chances of a legal challenge, restatement or investigation. If a company becomes subject to investigations, restatements, or other inquiries concerning compliance with price reporting laws and regulations, it could be required to pay or be subject to additional reimbursements, penalties, sanctions or fines, which could have a material adverse effect on the business, financial condition and results of operations. In addition, it is possible that future healthcare reform measures could be adopted, which could result in increased pressure on pricing and reimbursement of products and thus have an adverse impact on financial position or business operations.</w:t>
      </w:r>
    </w:p>
    <w:p>
      <w:pPr>
        <w:spacing w:after="0" w:line="178" w:lineRule="exact"/>
        <w:rPr>
          <w:sz w:val="20"/>
          <w:szCs w:val="20"/>
          <w:color w:val="auto"/>
        </w:rPr>
      </w:pPr>
    </w:p>
    <w:p>
      <w:pPr>
        <w:ind w:right="220" w:firstLine="433"/>
        <w:spacing w:after="0" w:line="252" w:lineRule="auto"/>
        <w:rPr>
          <w:sz w:val="20"/>
          <w:szCs w:val="20"/>
          <w:color w:val="auto"/>
        </w:rPr>
      </w:pPr>
      <w:r>
        <w:rPr>
          <w:rFonts w:ascii="Arial" w:cs="Arial" w:eastAsia="Arial" w:hAnsi="Arial"/>
          <w:sz w:val="18"/>
          <w:szCs w:val="18"/>
          <w:color w:val="auto"/>
        </w:rPr>
        <w:t>Further, state Medicaid programs may be slow to invoice pharmaceutical companies for calculated rebates resulting in a lag between the time a sale is recorded and the time the rebate is paid. This results in a company having to carry a liability on its consolidated balance sheets for the estimate of rebate claims expected for Medicaid patients. If actual claims are higher than current estimates, the company’s financial position and results of operations could be adversely affected.</w:t>
      </w:r>
    </w:p>
    <w:p>
      <w:pPr>
        <w:spacing w:after="0" w:line="217" w:lineRule="exact"/>
        <w:rPr>
          <w:sz w:val="20"/>
          <w:szCs w:val="20"/>
          <w:color w:val="auto"/>
        </w:rPr>
      </w:pPr>
    </w:p>
    <w:p>
      <w:pPr>
        <w:jc w:val="both"/>
        <w:ind w:right="80" w:firstLine="433"/>
        <w:spacing w:after="0" w:line="318" w:lineRule="auto"/>
        <w:rPr>
          <w:sz w:val="20"/>
          <w:szCs w:val="20"/>
          <w:color w:val="auto"/>
        </w:rPr>
      </w:pPr>
      <w:r>
        <w:rPr>
          <w:rFonts w:ascii="Arial" w:cs="Arial" w:eastAsia="Arial" w:hAnsi="Arial"/>
          <w:sz w:val="15"/>
          <w:szCs w:val="15"/>
          <w:color w:val="auto"/>
        </w:rPr>
        <w:t>In addition to retroactive rebates and the potential for 340B Program refunds, if a pharmaceutical firm is found to have knowingly submitted any false price information related to the Medicaid Drug Rebate Program to CMS, it may be liable for civil monetary penalties. Such failure could also be grounds for CMS to terminate the Medicaid drug rebate agreement, pursuant to which companies participate in the Medicaid program. In the event that CMS terminates a rebate agreement, federal payments may not be available under government programs, including Medicaid or Medicare Part B, for covered outpatient drugs.</w:t>
      </w:r>
    </w:p>
    <w:p>
      <w:pPr>
        <w:spacing w:after="0" w:line="172"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Additionally, if a pharmaceutical company overcharges the government in connection with the FSS program or Tricare Retail Pharmacy Program, whether due to a misstated federal ceiling price or otherwise, it is required to refund the difference to the government. Failure to make necessary disclosures and/or to identify contract overcharges can result in allegations against a company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07" w:lineRule="exact"/>
        <w:rPr>
          <w:sz w:val="20"/>
          <w:szCs w:val="20"/>
          <w:color w:val="auto"/>
        </w:rPr>
      </w:pPr>
    </w:p>
    <w:p>
      <w:pPr>
        <w:jc w:val="both"/>
        <w:ind w:right="260" w:firstLine="433"/>
        <w:spacing w:after="0" w:line="255" w:lineRule="auto"/>
        <w:rPr>
          <w:sz w:val="20"/>
          <w:szCs w:val="20"/>
          <w:color w:val="auto"/>
        </w:rPr>
      </w:pPr>
      <w:r>
        <w:rPr>
          <w:rFonts w:ascii="Arial" w:cs="Arial" w:eastAsia="Arial" w:hAnsi="Arial"/>
          <w:sz w:val="18"/>
          <w:szCs w:val="18"/>
          <w:color w:val="auto"/>
        </w:rPr>
        <w:t>Our collaborators are also subject to similar requirements outside of the U.S. and thus the attendant risks and uncertainties. If our collaborators suffer material and adverse effects from such risks and uncertainties, our rights and benefits for our licensed products could be negatively impacted, which could have a material and adverse impact on our revenues.</w:t>
      </w:r>
    </w:p>
    <w:p>
      <w:pPr>
        <w:spacing w:after="0" w:line="188"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b w:val="1"/>
          <w:bCs w:val="1"/>
          <w:i w:val="1"/>
          <w:iCs w:val="1"/>
          <w:color w:val="auto"/>
        </w:rPr>
        <w:t>Our operations may be dependent on the normal function of the FDA, the SEC and other government agencies. The inability of those agencies to obtain necessary funding and other effects from the political process could prevent those agencies from performing normal functions on which the operation of our business may rely, which could negatively impact our business.</w:t>
      </w:r>
    </w:p>
    <w:p>
      <w:pPr>
        <w:spacing w:after="0" w:line="188" w:lineRule="exact"/>
        <w:rPr>
          <w:sz w:val="20"/>
          <w:szCs w:val="20"/>
          <w:color w:val="auto"/>
        </w:rPr>
      </w:pPr>
    </w:p>
    <w:p>
      <w:pPr>
        <w:ind w:right="60" w:firstLine="397"/>
        <w:spacing w:after="0" w:line="303" w:lineRule="auto"/>
        <w:rPr>
          <w:sz w:val="20"/>
          <w:szCs w:val="20"/>
          <w:color w:val="auto"/>
        </w:rPr>
      </w:pPr>
      <w:r>
        <w:rPr>
          <w:rFonts w:ascii="Arial" w:cs="Arial" w:eastAsia="Arial" w:hAnsi="Arial"/>
          <w:sz w:val="15"/>
          <w:szCs w:val="15"/>
          <w:color w:val="auto"/>
        </w:rPr>
        <w:t>The ability of the FDA to review and approve new product applications such as INDs, new drug applications and biologics license applications can be affected by a variety of factors, including government funding levels, ability to hire and retain key personnel and to accept the payment of user fees, and statutory, regulatory, and policy changes. Government funding of the FDA, the SEC and other government agencies on which our operations rely is subject to the political process, which is fluid and unpredictable. For example, over the past decade, the U.S. government has shut down several times and certain regulatory agencies, such as the FDA and the SEC, have had to furlough critical employees and stop critical activities. Additionally, the COVID-19 pandemic has caused many regulatory agencies, including the FDA, to reduce staff availability and operations. We may face impediments to scheduling or conducting regulatory meetings, inspections and approvals due to measures intended to limit in-person interactions. If a prolonged government restriction or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37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are subject to the U.S. Foreign Corrupt Practices Act of 1977, as amended, or the FCPA, the U.S. domestic bribery statute contained in 18 U.S.C.</w:t>
      </w:r>
    </w:p>
    <w:p>
      <w:pPr>
        <w:spacing w:after="0" w:line="51" w:lineRule="exact"/>
        <w:rPr>
          <w:sz w:val="20"/>
          <w:szCs w:val="20"/>
          <w:color w:val="auto"/>
        </w:rPr>
      </w:pPr>
    </w:p>
    <w:p>
      <w:pPr>
        <w:ind w:left="5540" w:right="4700" w:hanging="5534"/>
        <w:spacing w:after="0" w:line="947" w:lineRule="auto"/>
        <w:tabs>
          <w:tab w:leader="none" w:pos="1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201, the U.S. International Travel Act of 1961, the USA PATRIOT Act, and possibly other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-309245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have relationships with certain officials and employees of government agencies or government-affiliated hospitals, universities, and other organizations, including a number of public hospitals that are our clinical trial sites.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57" w:lineRule="exact"/>
        <w:rPr>
          <w:sz w:val="20"/>
          <w:szCs w:val="20"/>
          <w:color w:val="auto"/>
        </w:rPr>
      </w:pPr>
    </w:p>
    <w:p>
      <w:pPr>
        <w:ind w:right="80" w:firstLine="397"/>
        <w:spacing w:after="0" w:line="265"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or governmental programs,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14" w:lineRule="exact"/>
        <w:rPr>
          <w:sz w:val="20"/>
          <w:szCs w:val="20"/>
          <w:color w:val="auto"/>
        </w:rPr>
      </w:pPr>
    </w:p>
    <w:p>
      <w:pPr>
        <w:ind w:right="60" w:firstLine="397"/>
        <w:spacing w:after="0" w:line="309" w:lineRule="auto"/>
        <w:rPr>
          <w:sz w:val="20"/>
          <w:szCs w:val="20"/>
          <w:color w:val="auto"/>
        </w:rPr>
      </w:pPr>
      <w:r>
        <w:rPr>
          <w:rFonts w:ascii="Arial" w:cs="Arial" w:eastAsia="Arial" w:hAnsi="Arial"/>
          <w:sz w:val="15"/>
          <w:szCs w:val="15"/>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or our contractors'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72" w:lineRule="exact"/>
        <w:rPr>
          <w:sz w:val="20"/>
          <w:szCs w:val="20"/>
          <w:color w:val="auto"/>
        </w:rPr>
      </w:pPr>
    </w:p>
    <w:p>
      <w:pPr>
        <w:jc w:val="both"/>
        <w:ind w:right="20" w:firstLine="397"/>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122" w:lineRule="exact"/>
        <w:rPr>
          <w:sz w:val="20"/>
          <w:szCs w:val="20"/>
          <w:color w:val="auto"/>
        </w:rPr>
      </w:pPr>
    </w:p>
    <w:p>
      <w:pPr>
        <w:ind w:firstLine="397"/>
        <w:spacing w:after="0" w:line="330" w:lineRule="auto"/>
        <w:rPr>
          <w:sz w:val="20"/>
          <w:szCs w:val="20"/>
          <w:color w:val="auto"/>
        </w:rPr>
      </w:pPr>
      <w:r>
        <w:rPr>
          <w:rFonts w:ascii="Arial" w:cs="Arial" w:eastAsia="Arial" w:hAnsi="Arial"/>
          <w:sz w:val="15"/>
          <w:szCs w:val="15"/>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We expect the Biden Administration to pass additional such laws and regulations.</w:t>
      </w:r>
    </w:p>
    <w:p>
      <w:pPr>
        <w:spacing w:after="0" w:line="70" w:lineRule="exact"/>
        <w:rPr>
          <w:sz w:val="20"/>
          <w:szCs w:val="20"/>
          <w:color w:val="auto"/>
        </w:rPr>
      </w:pPr>
    </w:p>
    <w:p>
      <w:pPr>
        <w:ind w:right="240" w:firstLine="397"/>
        <w:spacing w:after="0" w:line="330" w:lineRule="auto"/>
        <w:rPr>
          <w:sz w:val="20"/>
          <w:szCs w:val="20"/>
          <w:color w:val="auto"/>
        </w:rPr>
      </w:pPr>
      <w:r>
        <w:rPr>
          <w:rFonts w:ascii="Arial" w:cs="Arial" w:eastAsia="Arial" w:hAnsi="Arial"/>
          <w:sz w:val="15"/>
          <w:szCs w:val="15"/>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57" w:lineRule="exact"/>
        <w:rPr>
          <w:sz w:val="20"/>
          <w:szCs w:val="20"/>
          <w:color w:val="auto"/>
        </w:rPr>
      </w:pPr>
    </w:p>
    <w:p>
      <w:pPr>
        <w:ind w:right="300"/>
        <w:spacing w:after="0" w:line="36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11" w:lineRule="exact"/>
        <w:rPr>
          <w:sz w:val="20"/>
          <w:szCs w:val="20"/>
          <w:color w:val="auto"/>
        </w:rPr>
      </w:pPr>
    </w:p>
    <w:p>
      <w:pPr>
        <w:ind w:firstLine="397"/>
        <w:spacing w:after="0" w:line="267"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0" w:hanging="318"/>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43" w:lineRule="exact"/>
        <w:rPr>
          <w:rFonts w:ascii="Arial" w:cs="Arial" w:eastAsia="Arial" w:hAnsi="Arial"/>
          <w:sz w:val="18"/>
          <w:szCs w:val="18"/>
          <w:color w:val="auto"/>
        </w:rPr>
      </w:pPr>
    </w:p>
    <w:p>
      <w:pPr>
        <w:ind w:left="960" w:right="100" w:hanging="318"/>
        <w:spacing w:after="0" w:line="264" w:lineRule="auto"/>
        <w:tabs>
          <w:tab w:leader="none" w:pos="9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207" w:lineRule="exact"/>
        <w:rPr>
          <w:rFonts w:ascii="Arial" w:cs="Arial" w:eastAsia="Arial" w:hAnsi="Arial"/>
          <w:sz w:val="18"/>
          <w:szCs w:val="18"/>
          <w:color w:val="auto"/>
        </w:rPr>
      </w:pPr>
    </w:p>
    <w:p>
      <w:pPr>
        <w:ind w:left="960" w:right="600" w:hanging="318"/>
        <w:spacing w:after="0" w:line="264" w:lineRule="auto"/>
        <w:tabs>
          <w:tab w:leader="none" w:pos="9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207" w:lineRule="exact"/>
        <w:rPr>
          <w:rFonts w:ascii="Arial" w:cs="Arial" w:eastAsia="Arial" w:hAnsi="Arial"/>
          <w:sz w:val="18"/>
          <w:szCs w:val="18"/>
          <w:color w:val="auto"/>
        </w:rPr>
      </w:pPr>
    </w:p>
    <w:p>
      <w:pPr>
        <w:ind w:left="960" w:hanging="318"/>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43" w:lineRule="exact"/>
        <w:rPr>
          <w:rFonts w:ascii="Arial" w:cs="Arial" w:eastAsia="Arial" w:hAnsi="Arial"/>
          <w:sz w:val="18"/>
          <w:szCs w:val="18"/>
          <w:color w:val="auto"/>
        </w:rPr>
      </w:pPr>
    </w:p>
    <w:p>
      <w:pPr>
        <w:jc w:val="both"/>
        <w:ind w:left="960" w:right="20" w:hanging="318"/>
        <w:spacing w:after="0" w:line="255" w:lineRule="auto"/>
        <w:tabs>
          <w:tab w:leader="none" w:pos="9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14" w:lineRule="exact"/>
        <w:rPr>
          <w:rFonts w:ascii="Arial" w:cs="Arial" w:eastAsia="Arial" w:hAnsi="Arial"/>
          <w:sz w:val="18"/>
          <w:szCs w:val="18"/>
          <w:color w:val="auto"/>
        </w:rPr>
      </w:pPr>
    </w:p>
    <w:p>
      <w:pPr>
        <w:ind w:left="960" w:right="480" w:hanging="318"/>
        <w:spacing w:after="0" w:line="264" w:lineRule="auto"/>
        <w:tabs>
          <w:tab w:leader="none" w:pos="9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81" w:lineRule="exact"/>
        <w:rPr>
          <w:sz w:val="20"/>
          <w:szCs w:val="20"/>
          <w:color w:val="auto"/>
        </w:rPr>
      </w:pPr>
    </w:p>
    <w:p>
      <w:pPr>
        <w:ind w:right="20" w:firstLine="397"/>
        <w:spacing w:after="0" w:line="252"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stockholders.</w:t>
      </w:r>
    </w:p>
    <w:p>
      <w:pPr>
        <w:spacing w:after="0" w:line="229" w:lineRule="exact"/>
        <w:rPr>
          <w:sz w:val="20"/>
          <w:szCs w:val="20"/>
          <w:color w:val="auto"/>
        </w:rPr>
      </w:pPr>
    </w:p>
    <w:p>
      <w:pPr>
        <w:ind w:firstLine="397"/>
        <w:spacing w:after="0" w:line="268" w:lineRule="auto"/>
        <w:rPr>
          <w:sz w:val="20"/>
          <w:szCs w:val="20"/>
          <w:color w:val="auto"/>
        </w:rPr>
      </w:pPr>
      <w:r>
        <w:rPr>
          <w:rFonts w:ascii="Arial" w:cs="Arial" w:eastAsia="Arial" w:hAnsi="Arial"/>
          <w:sz w:val="17"/>
          <w:szCs w:val="17"/>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including as a result of short selling by institutional and retail investors.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207" w:lineRule="exact"/>
        <w:rPr>
          <w:sz w:val="20"/>
          <w:szCs w:val="20"/>
          <w:color w:val="auto"/>
        </w:rPr>
      </w:pPr>
    </w:p>
    <w:p>
      <w:pPr>
        <w:ind w:left="960" w:hanging="318"/>
        <w:spacing w:after="0"/>
        <w:tabs>
          <w:tab w:leader="none" w:pos="9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results of research, preclinical development activities and clinical trials for our product candidates and the timing of the receipt of such results;</w:t>
      </w:r>
    </w:p>
    <w:p>
      <w:pPr>
        <w:spacing w:after="0" w:line="278" w:lineRule="exact"/>
        <w:rPr>
          <w:rFonts w:ascii="Arial" w:cs="Arial" w:eastAsia="Arial" w:hAnsi="Arial"/>
          <w:sz w:val="15"/>
          <w:szCs w:val="15"/>
          <w:color w:val="auto"/>
        </w:rPr>
      </w:pPr>
    </w:p>
    <w:p>
      <w:pPr>
        <w:ind w:left="960" w:hanging="318"/>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of regulatory interactions and review for our product candidates;</w:t>
      </w:r>
    </w:p>
    <w:p>
      <w:pPr>
        <w:spacing w:after="0" w:line="243" w:lineRule="exact"/>
        <w:rPr>
          <w:rFonts w:ascii="Arial" w:cs="Arial" w:eastAsia="Arial" w:hAnsi="Arial"/>
          <w:sz w:val="18"/>
          <w:szCs w:val="18"/>
          <w:color w:val="auto"/>
        </w:rPr>
      </w:pPr>
    </w:p>
    <w:p>
      <w:pPr>
        <w:ind w:left="960" w:right="20" w:hanging="318"/>
        <w:spacing w:after="0" w:line="252" w:lineRule="auto"/>
        <w:tabs>
          <w:tab w:leader="none" w:pos="9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 For example, in September 2021, Apellis announced top-line data from its Phase 3 trials for GA, and the price of our common stock was affected following the release of those results. Any subsequent developments from Apellis or other competitors may have a significant impact on our stock price;</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55" w:lineRule="exact"/>
        <w:rPr>
          <w:rFonts w:ascii="Arial" w:cs="Arial" w:eastAsia="Arial" w:hAnsi="Arial"/>
          <w:sz w:val="17"/>
          <w:szCs w:val="17"/>
          <w:color w:val="auto"/>
        </w:rPr>
      </w:pPr>
    </w:p>
    <w:p>
      <w:pPr>
        <w:ind w:left="960" w:hanging="318"/>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43" w:lineRule="exact"/>
        <w:rPr>
          <w:rFonts w:ascii="Arial" w:cs="Arial" w:eastAsia="Arial" w:hAnsi="Arial"/>
          <w:sz w:val="18"/>
          <w:szCs w:val="18"/>
          <w:color w:val="auto"/>
        </w:rPr>
      </w:pPr>
    </w:p>
    <w:p>
      <w:pPr>
        <w:ind w:left="960" w:right="440" w:hanging="318"/>
        <w:spacing w:after="0" w:line="264" w:lineRule="auto"/>
        <w:tabs>
          <w:tab w:leader="none" w:pos="9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the rights to other product candidates and technologies for the treatment of retinal diseases, including sustained release delivery technologies for Zimura;</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0" w:hanging="318"/>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relevant scientific and medical developments;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economic, industry and market conditions, such as those caused by the COVID-19 pandemic;</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political, social, regulatory or legal developments in the United States and other countries; and</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44" w:lineRule="exact"/>
        <w:rPr>
          <w:sz w:val="20"/>
          <w:szCs w:val="20"/>
          <w:color w:val="auto"/>
        </w:rPr>
      </w:pPr>
    </w:p>
    <w:p>
      <w:pPr>
        <w:ind w:right="20" w:firstLine="397"/>
        <w:spacing w:after="0" w:line="264" w:lineRule="auto"/>
        <w:rPr>
          <w:sz w:val="20"/>
          <w:szCs w:val="20"/>
          <w:color w:val="auto"/>
        </w:rPr>
      </w:pPr>
      <w:r>
        <w:rPr>
          <w:rFonts w:ascii="Arial" w:cs="Arial" w:eastAsia="Arial" w:hAnsi="Arial"/>
          <w:sz w:val="17"/>
          <w:szCs w:val="17"/>
          <w:color w:val="auto"/>
        </w:rPr>
        <w:t>In addition, the COVID-19 pandemic has caused significant disruptions in the financial markets, and may continue to cause such disruptions, and has also impacted, and may continue to impact, the volatility of our stock price and trading in our stock. Following periods of volatility in the market price of a company’s stock, securities class-action litigation has often been instituted against that company. For example, we and certain of our current and former executive officers were named as defendants in a purported class action lawsuit and a related shareholder derivative action following our announcement in December 2016 of the initial, top-line results from the first two of our Phase 3 Fovista trials for the treatment of wet AMD, which caused our stock price to decline significantly. See “</w:t>
      </w:r>
      <w:r>
        <w:rPr>
          <w:rFonts w:ascii="Arial" w:cs="Arial" w:eastAsia="Arial" w:hAnsi="Arial"/>
          <w:sz w:val="17"/>
          <w:szCs w:val="17"/>
          <w:i w:val="1"/>
          <w:iCs w:val="1"/>
          <w:color w:val="auto"/>
        </w:rPr>
        <w:t>Risks Related to Our Business Plan, Financial Position and Need for Additional Capital—We and certain of our current and former</w:t>
      </w:r>
      <w:r>
        <w:rPr>
          <w:rFonts w:ascii="Arial" w:cs="Arial" w:eastAsia="Arial" w:hAnsi="Arial"/>
          <w:sz w:val="17"/>
          <w:szCs w:val="17"/>
          <w:color w:val="auto"/>
        </w:rPr>
        <w:t xml:space="preserve"> </w:t>
      </w:r>
      <w:r>
        <w:rPr>
          <w:rFonts w:ascii="Arial" w:cs="Arial" w:eastAsia="Arial" w:hAnsi="Arial"/>
          <w:sz w:val="17"/>
          <w:szCs w:val="17"/>
          <w:i w:val="1"/>
          <w:iCs w:val="1"/>
          <w:color w:val="auto"/>
        </w:rPr>
        <w:t>executive officers were named as defendants in lawsuits that could result in substantial costs and divert management’s attention</w:t>
      </w:r>
      <w:r>
        <w:rPr>
          <w:rFonts w:ascii="Arial" w:cs="Arial" w:eastAsia="Arial" w:hAnsi="Arial"/>
          <w:sz w:val="17"/>
          <w:szCs w:val="17"/>
          <w:color w:val="auto"/>
        </w:rPr>
        <w:t>.</w:t>
      </w:r>
      <w:r>
        <w:rPr>
          <w:rFonts w:ascii="Arial" w:cs="Arial" w:eastAsia="Arial" w:hAnsi="Arial"/>
          <w:sz w:val="17"/>
          <w:szCs w:val="17"/>
          <w:i w:val="1"/>
          <w:iCs w:val="1"/>
          <w:color w:val="auto"/>
        </w:rPr>
        <w:t xml:space="preserve"> We are in the process of settling those lawsuits but the settlements are not yet final</w:t>
      </w:r>
      <w:r>
        <w:rPr>
          <w:rFonts w:ascii="Arial" w:cs="Arial" w:eastAsia="Arial" w:hAnsi="Arial"/>
          <w:sz w:val="17"/>
          <w:szCs w:val="17"/>
          <w:color w:val="auto"/>
        </w:rPr>
        <w:t>.” These proceedings and other similar litigation, if instituted against us, could cause us to incur</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 costs to defend such claims and divert management’s attention and resources, which could seriously harm our business, and cause additional volatility in the price of our common stock.</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81"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For example, we issued 8,649,453 shares of our common stock to funds affiliated with Vivo Capital, LLC and Samsara BioCapital, LP in a private placement in June 2020. In accordance with our obligations under a stock purchase agreement executed in connection with the private placement, we have filed a registration statement on Form S-3 with the Securities and Exchange Commission for the purposes of registering for resale these shares, which has been declared effective by the SEC, pursuant to which such shares can be freely sold and traded. If the holders of a significant number of shares our common stock sell, or the market perceives that these holders will sell, the shares currently held by them, the price of our common stock may decline.</w:t>
      </w:r>
    </w:p>
    <w:p>
      <w:pPr>
        <w:spacing w:after="0" w:line="185" w:lineRule="exact"/>
        <w:rPr>
          <w:sz w:val="20"/>
          <w:szCs w:val="20"/>
          <w:color w:val="auto"/>
        </w:rPr>
      </w:pPr>
    </w:p>
    <w:p>
      <w:pPr>
        <w:ind w:right="260" w:firstLine="397"/>
        <w:spacing w:after="0" w:line="255" w:lineRule="auto"/>
        <w:rPr>
          <w:sz w:val="20"/>
          <w:szCs w:val="20"/>
          <w:color w:val="auto"/>
        </w:rPr>
      </w:pPr>
      <w:r>
        <w:rPr>
          <w:rFonts w:ascii="Arial" w:cs="Arial" w:eastAsia="Arial" w:hAnsi="Arial"/>
          <w:sz w:val="18"/>
          <w:szCs w:val="18"/>
          <w:color w:val="auto"/>
        </w:rPr>
        <w:t>Moreover, we have filed, and expect to continue to file,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The ownership percentage of our stockholders may be diluted in the future, which could dilute the voting power or reduce the value of our outstanding shares of common stock.</w:t>
      </w:r>
    </w:p>
    <w:p>
      <w:pPr>
        <w:spacing w:after="0" w:line="114" w:lineRule="exact"/>
        <w:rPr>
          <w:sz w:val="20"/>
          <w:szCs w:val="20"/>
          <w:color w:val="auto"/>
        </w:rPr>
      </w:pPr>
    </w:p>
    <w:p>
      <w:pPr>
        <w:ind w:right="180" w:firstLine="397"/>
        <w:spacing w:after="0" w:line="252" w:lineRule="auto"/>
        <w:rPr>
          <w:sz w:val="20"/>
          <w:szCs w:val="20"/>
          <w:color w:val="auto"/>
        </w:rPr>
      </w:pPr>
      <w:r>
        <w:rPr>
          <w:rFonts w:ascii="Arial" w:cs="Arial" w:eastAsia="Arial" w:hAnsi="Arial"/>
          <w:sz w:val="18"/>
          <w:szCs w:val="18"/>
          <w:color w:val="auto"/>
        </w:rPr>
        <w:t>As with any publicly traded company, the ownership percentage of our stockholders may be diluted in the future because of equity issuances for acquisitions, capital markets transactions, business development transactions or otherwise, including equity awards that we intend to continue to grant to our directors, officers and employees pursuant to our equity compensation plans. Our employees are also entitled, subject to certain conditions, to purchase our common stock at a discount pursuant to our Employee Stock Purchase Plan.</w:t>
      </w:r>
    </w:p>
    <w:p>
      <w:pPr>
        <w:spacing w:after="0" w:line="191" w:lineRule="exact"/>
        <w:rPr>
          <w:sz w:val="20"/>
          <w:szCs w:val="20"/>
          <w:color w:val="auto"/>
        </w:rPr>
      </w:pPr>
    </w:p>
    <w:p>
      <w:pPr>
        <w:ind w:right="120" w:firstLine="397"/>
        <w:spacing w:after="0" w:line="255" w:lineRule="auto"/>
        <w:rPr>
          <w:sz w:val="20"/>
          <w:szCs w:val="20"/>
          <w:color w:val="auto"/>
        </w:rPr>
      </w:pPr>
      <w:r>
        <w:rPr>
          <w:rFonts w:ascii="Arial" w:cs="Arial" w:eastAsia="Arial" w:hAnsi="Arial"/>
          <w:sz w:val="18"/>
          <w:szCs w:val="18"/>
          <w:color w:val="auto"/>
        </w:rPr>
        <w:t>In addition, the pre-funded warrants that we issued in connection with our December 2019 and June 2020 public offerings are exercisable at any time, and any exercise of such warrants will increase the number of shares of our outstanding common stock, which may dilute the ownership percentage or voting power of our stockholders. To date, pre-funded warrants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representing approximately 2.5 million shares of common stock have been exercised and as of September 30, 2021, pre-funded warrants representing 3,164,280 shares of common stock remain outstanding.</w:t>
      </w:r>
    </w:p>
    <w:p>
      <w:pPr>
        <w:spacing w:after="0" w:line="181" w:lineRule="exact"/>
        <w:rPr>
          <w:sz w:val="20"/>
          <w:szCs w:val="20"/>
          <w:color w:val="auto"/>
        </w:rPr>
      </w:pPr>
    </w:p>
    <w:p>
      <w:pPr>
        <w:ind w:right="100" w:firstLine="397"/>
        <w:spacing w:after="0" w:line="268" w:lineRule="auto"/>
        <w:rPr>
          <w:sz w:val="20"/>
          <w:szCs w:val="20"/>
          <w:color w:val="auto"/>
        </w:rPr>
      </w:pPr>
      <w:r>
        <w:rPr>
          <w:rFonts w:ascii="Arial" w:cs="Arial" w:eastAsia="Arial" w:hAnsi="Arial"/>
          <w:sz w:val="17"/>
          <w:szCs w:val="17"/>
          <w:color w:val="auto"/>
        </w:rPr>
        <w:t>Also, our certificate of incorporation authorizes us to issue, without the approval of our shareholders, one or more classes or series of preferred stock having such designation, powers, preferences and relative, participating, optional and other special rights, including preferences over our common stock with respect to dividends and distributions, as our board of directors generally may determine. The terms of one or more classes or series of preferred stock could dilute the voting power or reduce the value of our common stock. Similarly, the repurchase or redemption rights or liquidation preferences we could assign to holders of preferred stock could affect the residual value of our common stock.</w:t>
      </w:r>
    </w:p>
    <w:p>
      <w:pPr>
        <w:spacing w:after="0" w:line="114" w:lineRule="exact"/>
        <w:rPr>
          <w:sz w:val="20"/>
          <w:szCs w:val="20"/>
          <w:color w:val="auto"/>
        </w:rPr>
      </w:pPr>
    </w:p>
    <w:p>
      <w:pPr>
        <w:jc w:val="both"/>
        <w:ind w:right="40" w:firstLine="397"/>
        <w:spacing w:after="0" w:line="365" w:lineRule="auto"/>
        <w:rPr>
          <w:sz w:val="20"/>
          <w:szCs w:val="20"/>
          <w:color w:val="auto"/>
        </w:rPr>
      </w:pPr>
      <w:r>
        <w:rPr>
          <w:rFonts w:ascii="Arial" w:cs="Arial" w:eastAsia="Arial" w:hAnsi="Arial"/>
          <w:sz w:val="15"/>
          <w:szCs w:val="15"/>
          <w:color w:val="auto"/>
        </w:rPr>
        <w:t>For more information about the dilutive effects of financing or business development transactions we may undertake, see the risk factor above, “</w:t>
      </w:r>
      <w:r>
        <w:rPr>
          <w:rFonts w:ascii="Arial" w:cs="Arial" w:eastAsia="Arial" w:hAnsi="Arial"/>
          <w:sz w:val="15"/>
          <w:szCs w:val="15"/>
          <w:i w:val="1"/>
          <w:iCs w:val="1"/>
          <w:color w:val="auto"/>
        </w:rPr>
        <w:t>Raising</w:t>
      </w:r>
      <w:r>
        <w:rPr>
          <w:rFonts w:ascii="Arial" w:cs="Arial" w:eastAsia="Arial" w:hAnsi="Arial"/>
          <w:sz w:val="15"/>
          <w:szCs w:val="15"/>
          <w:color w:val="auto"/>
        </w:rPr>
        <w:t xml:space="preserve"> </w:t>
      </w:r>
      <w:r>
        <w:rPr>
          <w:rFonts w:ascii="Arial" w:cs="Arial" w:eastAsia="Arial" w:hAnsi="Arial"/>
          <w:sz w:val="15"/>
          <w:szCs w:val="15"/>
          <w:i w:val="1"/>
          <w:iCs w:val="1"/>
          <w:color w:val="auto"/>
        </w:rPr>
        <w:t>additional capital may cause dilution to our stockholders, restrict our operations or require us to relinquish rights to our technologies or product candidates</w:t>
      </w:r>
      <w:r>
        <w:rPr>
          <w:rFonts w:ascii="Arial" w:cs="Arial" w:eastAsia="Arial" w:hAnsi="Arial"/>
          <w:sz w:val="15"/>
          <w:szCs w:val="15"/>
          <w:color w:val="auto"/>
        </w:rPr>
        <w:t>.”</w:t>
      </w:r>
    </w:p>
    <w:p>
      <w:pPr>
        <w:spacing w:after="0" w:line="45"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is required to devote substantial time to compliance initiatives and corporate governance practices.</w:t>
      </w:r>
    </w:p>
    <w:p>
      <w:pPr>
        <w:spacing w:after="0" w:line="114" w:lineRule="exact"/>
        <w:rPr>
          <w:sz w:val="20"/>
          <w:szCs w:val="20"/>
          <w:color w:val="auto"/>
        </w:rPr>
      </w:pPr>
    </w:p>
    <w:p>
      <w:pPr>
        <w:ind w:firstLine="397"/>
        <w:spacing w:after="0" w:line="312" w:lineRule="auto"/>
        <w:rPr>
          <w:sz w:val="20"/>
          <w:szCs w:val="20"/>
          <w:color w:val="auto"/>
        </w:rPr>
      </w:pPr>
      <w:r>
        <w:rPr>
          <w:rFonts w:ascii="Arial" w:cs="Arial" w:eastAsia="Arial" w:hAnsi="Arial"/>
          <w:sz w:val="15"/>
          <w:szCs w:val="15"/>
          <w:color w:val="auto"/>
        </w:rPr>
        <w:t>As a public company, we incur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Pursuant to Section 404 of the Sarbanes-Oxley Act of 2002, or Section 404, we are required to furnish with our periodic Exchange Act reports a report</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by our management on our internal control over financial reporting. To achieve compliance with Section 404, we must document and evaluate our internal</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control over financial reporting, which is both costly and challenging. In this regard, we will need to continue to dedicate internal resources and engage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outside consultants to assess and document the adequacy of internal control over financial reporting, continue steps to improve control processes as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appropriate, validate through testing that controls are functioning as documented and implement a continuous reporting and improvement process for internal</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control over financial reporting. There is a risk that our internal control over financial reporting may, in the future, be found to be ineffective under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Section 404. Our identification of one or more material weaknesses could result in an adverse reaction in the financial markets due to a loss of confidence in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reliability of our financial statements.</w:t>
      </w:r>
    </w:p>
    <w:p>
      <w:pPr>
        <w:spacing w:after="0" w:line="206"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81" w:lineRule="exact"/>
        <w:rPr>
          <w:sz w:val="20"/>
          <w:szCs w:val="20"/>
          <w:color w:val="auto"/>
        </w:rPr>
      </w:pPr>
    </w:p>
    <w:p>
      <w:pPr>
        <w:ind w:right="340" w:firstLine="397"/>
        <w:spacing w:after="0" w:line="277"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of our business. In addition, the terms of any future debt agreements that we enter into may preclude us from paying dividends. As a result, capital appreciation, if any, of our common stock will be our stockholders’ sole source of gain for the foreseeable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did not sell any unregistered equity securities during the period covered by this Quarterly Report on Form 10-Q.</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did not purchase any of our registered equity securities during the period covered by this Quarterly Report on Form 10-Q.</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144" w:lineRule="exact"/>
        <w:rPr>
          <w:sz w:val="20"/>
          <w:szCs w:val="20"/>
          <w:color w:val="auto"/>
        </w:rPr>
      </w:pPr>
    </w:p>
    <w:p>
      <w:pPr>
        <w:ind w:right="80" w:firstLine="397"/>
        <w:spacing w:after="0" w:line="264" w:lineRule="auto"/>
        <w:rPr>
          <w:sz w:val="20"/>
          <w:szCs w:val="20"/>
          <w:color w:val="auto"/>
        </w:rPr>
      </w:pPr>
      <w:r>
        <w:rPr>
          <w:rFonts w:ascii="Arial" w:cs="Arial" w:eastAsia="Arial" w:hAnsi="Arial"/>
          <w:sz w:val="17"/>
          <w:szCs w:val="17"/>
          <w:color w:val="auto"/>
        </w:rPr>
        <w:t>We have been informed that Glenn P. Sblendorio, Chief Executive Officer, intends to enter into a pre-arranged stock trading plan in November 2021 pursuant to Exchange Act Rule 10b5-1(c). Mr. Sblendorio’s plan is expected to provide for the potential sale between December 21, 2021 and December 21, 2022 of up to 100,000 shares of our common stock owned by Mr. Sblendorio and up to 125,000 shares of common stock issuable upon the exercise of vested stock options, which, in the aggregate represent approximately 11% of Mr. Sblendorio’s combined holdings in our common stock as of the date of this Quarterly Report on Form 10-Q, inclusive of Mr. Sblendorio’s shares of common stock and vested and unvested equity awards and excluding any future equity grants. Mr. Sblendorio’s plan is permitted under our Insider Trading Policy and Stock Retention and Ownership Guidelines. The foregoing information is being provided on a voluntary basis. Actual transactions completed under Mr. Sblendorio’s plan will be reported from time to time on Forms 4 filed by Mr. Sblendorio with the Securities and Exchange Commission. Except as may be required by law, we are not undertaking to report modifications, terminations or other activities under Mr. Sblendorio’s plan or the adoption, modification, termination or other activities under any future Rule 10b5-1 trading plans established by Mr. Sblendorio or any other officers or directors.</w:t>
      </w:r>
    </w:p>
    <w:p>
      <w:pPr>
        <w:spacing w:after="0" w:line="1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exhibits filed as part of this Quarterly Report on Form 10-Q are set forth on the Exhibit Index, which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57" w:lineRule="exact"/>
        <w:rPr>
          <w:sz w:val="20"/>
          <w:szCs w:val="20"/>
          <w:color w:val="auto"/>
        </w:rPr>
      </w:pPr>
    </w:p>
    <w:p>
      <w:pPr>
        <w:ind w:right="100" w:firstLine="397"/>
        <w:spacing w:after="0" w:line="264" w:lineRule="auto"/>
        <w:rPr>
          <w:sz w:val="20"/>
          <w:szCs w:val="20"/>
          <w:color w:val="auto"/>
        </w:rPr>
      </w:pPr>
      <w:r>
        <w:rPr>
          <w:rFonts w:ascii="Arial" w:cs="Arial" w:eastAsia="Arial" w:hAnsi="Arial"/>
          <w:sz w:val="18"/>
          <w:szCs w:val="18"/>
          <w:color w:val="auto"/>
        </w:rPr>
        <w:t>No financial statement schedules have been filed as part of this Quarterly Report on Form 10-Q because they are not applicable, not required or because the information is otherwise included in our financial statements or notes thereto.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20" w:type="dxa"/>
            <w:vAlign w:val="bottom"/>
            <w:gridSpan w:val="12"/>
            <w:vMerge w:val="restart"/>
          </w:tcPr>
          <w:p>
            <w:pPr>
              <w:ind w:left="2500"/>
              <w:spacing w:after="0"/>
              <w:rPr>
                <w:sz w:val="20"/>
                <w:szCs w:val="20"/>
                <w:color w:val="auto"/>
              </w:rPr>
            </w:pPr>
            <w:r>
              <w:rPr>
                <w:rFonts w:ascii="Arial" w:cs="Arial" w:eastAsia="Arial" w:hAnsi="Arial"/>
                <w:sz w:val="14"/>
                <w:szCs w:val="14"/>
                <w:b w:val="1"/>
                <w:bCs w:val="1"/>
                <w:color w:val="auto"/>
              </w:rPr>
              <w:t>Description of Exhibit</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2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20" w:type="dxa"/>
            <w:vAlign w:val="bottom"/>
            <w:tcBorders>
              <w:bottom w:val="single" w:sz="8" w:color="auto"/>
            </w:tcBorders>
            <w:gridSpan w:val="1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gridSpan w:val="4"/>
          </w:tcPr>
          <w:p>
            <w:pPr>
              <w:jc w:val="right"/>
              <w:spacing w:after="0" w:line="180" w:lineRule="exact"/>
              <w:rPr>
                <w:rFonts w:ascii="Arial" w:cs="Arial" w:eastAsia="Arial" w:hAnsi="Arial"/>
                <w:sz w:val="18"/>
                <w:szCs w:val="18"/>
                <w:color w:val="0000FF"/>
              </w:rPr>
            </w:pPr>
            <w:hyperlink r:id="rId11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16"/>
          </w:tcPr>
          <w:p>
            <w:pPr>
              <w:spacing w:after="0" w:line="180" w:lineRule="exact"/>
              <w:rPr>
                <w:rFonts w:ascii="Arial" w:cs="Arial" w:eastAsia="Arial" w:hAnsi="Arial"/>
                <w:sz w:val="18"/>
                <w:szCs w:val="18"/>
                <w:color w:val="0000FF"/>
                <w:w w:val="94"/>
              </w:rPr>
            </w:pPr>
            <w:hyperlink r:id="rId116">
              <w:r>
                <w:rPr>
                  <w:rFonts w:ascii="Arial" w:cs="Arial" w:eastAsia="Arial" w:hAnsi="Arial"/>
                  <w:sz w:val="18"/>
                  <w:szCs w:val="18"/>
                  <w:color w:val="0000FF"/>
                  <w:w w:val="94"/>
                </w:rPr>
                <w:t>Restated Certificate of Incorporation of the Registrant, as amended April 16, 2019 (incorporated by reference to Exhibit 3.1 of the</w:t>
              </w:r>
            </w:hyperlink>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w w:val="94"/>
              </w:rPr>
            </w:pPr>
            <w:hyperlink r:id="rId116">
              <w:r>
                <w:rPr>
                  <w:rFonts w:ascii="Arial" w:cs="Arial" w:eastAsia="Arial" w:hAnsi="Arial"/>
                  <w:sz w:val="17"/>
                  <w:szCs w:val="17"/>
                  <w:color w:val="0000FF"/>
                  <w:w w:val="94"/>
                </w:rPr>
                <w:t>Registrant's Annual Report on Form 10-K filed with the Securities and Exchange Commission on March 4, 2021)</w:t>
              </w:r>
            </w:hyperlink>
          </w:p>
        </w:tc>
        <w:tc>
          <w:tcPr>
            <w:tcW w:w="11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260" w:type="dxa"/>
            <w:vAlign w:val="bottom"/>
            <w:gridSpan w:val="4"/>
          </w:tcPr>
          <w:p>
            <w:pPr>
              <w:jc w:val="right"/>
              <w:spacing w:after="0" w:line="205" w:lineRule="exact"/>
              <w:rPr>
                <w:rFonts w:ascii="Arial" w:cs="Arial" w:eastAsia="Arial" w:hAnsi="Arial"/>
                <w:sz w:val="18"/>
                <w:szCs w:val="18"/>
                <w:color w:val="0000FF"/>
              </w:rPr>
            </w:pPr>
            <w:hyperlink r:id="rId11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6"/>
          </w:tcPr>
          <w:p>
            <w:pPr>
              <w:spacing w:after="0" w:line="205" w:lineRule="exact"/>
              <w:rPr>
                <w:rFonts w:ascii="Arial" w:cs="Arial" w:eastAsia="Arial" w:hAnsi="Arial"/>
                <w:sz w:val="18"/>
                <w:szCs w:val="18"/>
                <w:color w:val="0000FF"/>
                <w:w w:val="93"/>
              </w:rPr>
            </w:pPr>
            <w:hyperlink r:id="rId117">
              <w:r>
                <w:rPr>
                  <w:rFonts w:ascii="Arial" w:cs="Arial" w:eastAsia="Arial" w:hAnsi="Arial"/>
                  <w:sz w:val="18"/>
                  <w:szCs w:val="18"/>
                  <w:color w:val="0000FF"/>
                  <w:w w:val="93"/>
                </w:rPr>
                <w:t>Amended and Restated Bylaws of the Registrant (incorporated by reference to Exhibit 3.4 to Amendment No. 2 of the Registrant's</w:t>
              </w:r>
            </w:hyperlink>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180" w:type="dxa"/>
            <w:vAlign w:val="bottom"/>
            <w:tcBorders>
              <w:top w:val="single" w:sz="8" w:color="0000FF"/>
              <w:bottom w:val="single" w:sz="8" w:color="0000FF"/>
            </w:tcBorders>
            <w:gridSpan w:val="9"/>
          </w:tcPr>
          <w:p>
            <w:pPr>
              <w:spacing w:after="0" w:line="133" w:lineRule="exact"/>
              <w:rPr>
                <w:rFonts w:ascii="Arial" w:cs="Arial" w:eastAsia="Arial" w:hAnsi="Arial"/>
                <w:sz w:val="15"/>
                <w:szCs w:val="15"/>
                <w:color w:val="0000FF"/>
              </w:rPr>
            </w:pPr>
            <w:hyperlink r:id="rId117">
              <w:r>
                <w:rPr>
                  <w:rFonts w:ascii="Arial" w:cs="Arial" w:eastAsia="Arial" w:hAnsi="Arial"/>
                  <w:sz w:val="15"/>
                  <w:szCs w:val="15"/>
                  <w:color w:val="0000FF"/>
                </w:rPr>
                <w:t>Registration Statement on Form S-1 (File No. 333-190643) filed with the Securities and Exchange Commission on September 9,</w:t>
              </w:r>
            </w:hyperlink>
          </w:p>
        </w:tc>
        <w:tc>
          <w:tcPr>
            <w:tcW w:w="340" w:type="dxa"/>
            <w:vAlign w:val="bottom"/>
            <w:tcBorders>
              <w:bottom w:val="single" w:sz="8" w:color="0000FF"/>
            </w:tcBorders>
            <w:gridSpan w:val="3"/>
          </w:tcPr>
          <w:p>
            <w:pPr>
              <w:jc w:val="right"/>
              <w:spacing w:after="0" w:line="133" w:lineRule="exact"/>
              <w:rPr>
                <w:rFonts w:ascii="Arial" w:cs="Arial" w:eastAsia="Arial" w:hAnsi="Arial"/>
                <w:sz w:val="15"/>
                <w:szCs w:val="15"/>
                <w:color w:val="0000FF"/>
                <w:w w:val="83"/>
              </w:rPr>
            </w:pPr>
            <w:hyperlink r:id="rId117">
              <w:r>
                <w:rPr>
                  <w:rFonts w:ascii="Arial" w:cs="Arial" w:eastAsia="Arial" w:hAnsi="Arial"/>
                  <w:sz w:val="15"/>
                  <w:szCs w:val="15"/>
                  <w:color w:val="0000FF"/>
                  <w:w w:val="83"/>
                </w:rPr>
                <w:t>2013)</w:t>
              </w:r>
            </w:hyperlink>
          </w:p>
        </w:tc>
        <w:tc>
          <w:tcPr>
            <w:tcW w:w="10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1260" w:type="dxa"/>
            <w:vAlign w:val="bottom"/>
            <w:gridSpan w:val="4"/>
          </w:tcPr>
          <w:p>
            <w:pPr>
              <w:jc w:val="right"/>
              <w:spacing w:after="0" w:line="205" w:lineRule="exact"/>
              <w:rPr>
                <w:rFonts w:ascii="Arial" w:cs="Arial" w:eastAsia="Arial" w:hAnsi="Arial"/>
                <w:sz w:val="18"/>
                <w:szCs w:val="18"/>
                <w:color w:val="0000FF"/>
              </w:rPr>
            </w:pPr>
            <w:hyperlink w:anchor="page102">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0" w:type="dxa"/>
            <w:vAlign w:val="bottom"/>
          </w:tcPr>
          <w:p>
            <w:pPr>
              <w:spacing w:after="0"/>
              <w:rPr>
                <w:sz w:val="17"/>
                <w:szCs w:val="17"/>
                <w:color w:val="auto"/>
              </w:rPr>
            </w:pPr>
          </w:p>
        </w:tc>
        <w:tc>
          <w:tcPr>
            <w:tcW w:w="9940" w:type="dxa"/>
            <w:vAlign w:val="bottom"/>
            <w:gridSpan w:val="18"/>
          </w:tcPr>
          <w:p>
            <w:pPr>
              <w:spacing w:after="0" w:line="205"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102">
              <w:r>
                <w:rPr>
                  <w:rFonts w:ascii="Arial" w:cs="Arial" w:eastAsia="Arial" w:hAnsi="Arial"/>
                  <w:sz w:val="18"/>
                  <w:szCs w:val="18"/>
                  <w:color w:val="0000FF"/>
                </w:rPr>
                <w:t>Offer of Employment between the Registrant and Christopher Simms, dated June 16, 2021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60" w:type="dxa"/>
            <w:vAlign w:val="bottom"/>
            <w:gridSpan w:val="4"/>
          </w:tcPr>
          <w:p>
            <w:pPr>
              <w:jc w:val="right"/>
              <w:spacing w:after="0" w:line="205" w:lineRule="exact"/>
              <w:rPr>
                <w:rFonts w:ascii="Arial" w:cs="Arial" w:eastAsia="Arial" w:hAnsi="Arial"/>
                <w:sz w:val="18"/>
                <w:szCs w:val="18"/>
                <w:color w:val="0000FF"/>
              </w:rPr>
            </w:pPr>
            <w:hyperlink w:anchor="page107">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40" w:type="dxa"/>
            <w:vAlign w:val="bottom"/>
          </w:tcPr>
          <w:p>
            <w:pPr>
              <w:spacing w:after="0"/>
              <w:rPr>
                <w:sz w:val="17"/>
                <w:szCs w:val="17"/>
                <w:color w:val="auto"/>
              </w:rPr>
            </w:pPr>
          </w:p>
        </w:tc>
        <w:tc>
          <w:tcPr>
            <w:tcW w:w="9940" w:type="dxa"/>
            <w:vAlign w:val="bottom"/>
            <w:gridSpan w:val="18"/>
          </w:tcPr>
          <w:p>
            <w:pPr>
              <w:spacing w:after="0" w:line="205"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107">
              <w:r>
                <w:rPr>
                  <w:rFonts w:ascii="Arial" w:cs="Arial" w:eastAsia="Arial" w:hAnsi="Arial"/>
                  <w:sz w:val="18"/>
                  <w:szCs w:val="18"/>
                  <w:color w:val="0000FF"/>
                </w:rPr>
                <w:t>Letter Agreement between the Registrant and Christopher Simms, dated June 16, 2021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60" w:type="dxa"/>
            <w:vAlign w:val="bottom"/>
            <w:gridSpan w:val="4"/>
          </w:tcPr>
          <w:p>
            <w:pPr>
              <w:jc w:val="right"/>
              <w:spacing w:after="0" w:line="205" w:lineRule="exact"/>
              <w:rPr>
                <w:rFonts w:ascii="Arial" w:cs="Arial" w:eastAsia="Arial" w:hAnsi="Arial"/>
                <w:sz w:val="18"/>
                <w:szCs w:val="18"/>
                <w:color w:val="0000FF"/>
              </w:rPr>
            </w:pPr>
            <w:hyperlink w:anchor="page114">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40" w:type="dxa"/>
            <w:vAlign w:val="bottom"/>
          </w:tcPr>
          <w:p>
            <w:pPr>
              <w:spacing w:after="0"/>
              <w:rPr>
                <w:sz w:val="17"/>
                <w:szCs w:val="17"/>
                <w:color w:val="auto"/>
              </w:rPr>
            </w:pPr>
          </w:p>
        </w:tc>
        <w:tc>
          <w:tcPr>
            <w:tcW w:w="9940" w:type="dxa"/>
            <w:vAlign w:val="bottom"/>
            <w:gridSpan w:val="18"/>
          </w:tcPr>
          <w:p>
            <w:pPr>
              <w:spacing w:after="0" w:line="205"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114">
              <w:r>
                <w:rPr>
                  <w:rFonts w:ascii="Arial" w:cs="Arial" w:eastAsia="Arial" w:hAnsi="Arial"/>
                  <w:sz w:val="18"/>
                  <w:szCs w:val="18"/>
                  <w:color w:val="0000FF"/>
                </w:rPr>
                <w:t>Amendment No. 3 to the 2019 Inducement Stock Incentive Plan of the Registrant</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60" w:type="dxa"/>
            <w:vAlign w:val="bottom"/>
            <w:gridSpan w:val="4"/>
          </w:tcPr>
          <w:p>
            <w:pPr>
              <w:jc w:val="right"/>
              <w:spacing w:after="0" w:line="205" w:lineRule="exact"/>
              <w:rPr>
                <w:rFonts w:ascii="Arial" w:cs="Arial" w:eastAsia="Arial" w:hAnsi="Arial"/>
                <w:sz w:val="18"/>
                <w:szCs w:val="18"/>
                <w:color w:val="0000FF"/>
              </w:rPr>
            </w:pPr>
            <w:hyperlink w:anchor="page115">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40" w:type="dxa"/>
            <w:vAlign w:val="bottom"/>
          </w:tcPr>
          <w:p>
            <w:pPr>
              <w:spacing w:after="0"/>
              <w:rPr>
                <w:sz w:val="17"/>
                <w:szCs w:val="17"/>
                <w:color w:val="auto"/>
              </w:rPr>
            </w:pPr>
          </w:p>
        </w:tc>
        <w:tc>
          <w:tcPr>
            <w:tcW w:w="9940" w:type="dxa"/>
            <w:vAlign w:val="bottom"/>
            <w:gridSpan w:val="18"/>
          </w:tcPr>
          <w:p>
            <w:pPr>
              <w:spacing w:after="0" w:line="205"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115">
              <w:r>
                <w:rPr>
                  <w:rFonts w:ascii="Arial" w:cs="Arial" w:eastAsia="Arial" w:hAnsi="Arial"/>
                  <w:sz w:val="18"/>
                  <w:szCs w:val="18"/>
                  <w:color w:val="0000FF"/>
                </w:rPr>
                <w:t>Letter Agreement between the Registrant and Glenn P. Sblendorio, dated November 3, 2021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60" w:type="dxa"/>
            <w:vAlign w:val="bottom"/>
            <w:gridSpan w:val="4"/>
          </w:tcPr>
          <w:p>
            <w:pPr>
              <w:jc w:val="right"/>
              <w:spacing w:after="0" w:line="205" w:lineRule="exact"/>
              <w:rPr>
                <w:rFonts w:ascii="Arial" w:cs="Arial" w:eastAsia="Arial" w:hAnsi="Arial"/>
                <w:sz w:val="18"/>
                <w:szCs w:val="18"/>
                <w:color w:val="0000FF"/>
              </w:rPr>
            </w:pPr>
            <w:hyperlink w:anchor="page122">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16"/>
          </w:tcPr>
          <w:p>
            <w:pPr>
              <w:spacing w:after="0" w:line="205" w:lineRule="exact"/>
              <w:rPr>
                <w:rFonts w:ascii="Arial" w:cs="Arial" w:eastAsia="Arial" w:hAnsi="Arial"/>
                <w:sz w:val="18"/>
                <w:szCs w:val="18"/>
                <w:color w:val="0000FF"/>
                <w:w w:val="92"/>
              </w:rPr>
            </w:pPr>
            <w:hyperlink w:anchor="page122">
              <w:r>
                <w:rPr>
                  <w:rFonts w:ascii="Arial" w:cs="Arial" w:eastAsia="Arial" w:hAnsi="Arial"/>
                  <w:sz w:val="18"/>
                  <w:szCs w:val="18"/>
                  <w:color w:val="0000FF"/>
                  <w:w w:val="92"/>
                </w:rPr>
                <w:t>Certification of principal executive officer pursuant to Rule 13a-14(a)/15d-14(a) of the Securities Exchange Act of 1934, as amended</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680" w:type="dxa"/>
            <w:vAlign w:val="bottom"/>
            <w:gridSpan w:val="8"/>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60" w:type="dxa"/>
            <w:vAlign w:val="bottom"/>
            <w:gridSpan w:val="4"/>
          </w:tcPr>
          <w:p>
            <w:pPr>
              <w:jc w:val="right"/>
              <w:spacing w:after="0" w:line="205" w:lineRule="exact"/>
              <w:rPr>
                <w:rFonts w:ascii="Arial" w:cs="Arial" w:eastAsia="Arial" w:hAnsi="Arial"/>
                <w:sz w:val="18"/>
                <w:szCs w:val="18"/>
                <w:color w:val="0000FF"/>
              </w:rPr>
            </w:pPr>
            <w:hyperlink w:anchor="page123">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16"/>
          </w:tcPr>
          <w:p>
            <w:pPr>
              <w:spacing w:after="0" w:line="205" w:lineRule="exact"/>
              <w:rPr>
                <w:rFonts w:ascii="Arial" w:cs="Arial" w:eastAsia="Arial" w:hAnsi="Arial"/>
                <w:sz w:val="18"/>
                <w:szCs w:val="18"/>
                <w:color w:val="0000FF"/>
                <w:w w:val="93"/>
              </w:rPr>
            </w:pPr>
            <w:hyperlink w:anchor="page123">
              <w:r>
                <w:rPr>
                  <w:rFonts w:ascii="Arial" w:cs="Arial" w:eastAsia="Arial" w:hAnsi="Arial"/>
                  <w:sz w:val="18"/>
                  <w:szCs w:val="18"/>
                  <w:color w:val="0000FF"/>
                  <w:w w:val="93"/>
                </w:rPr>
                <w:t>Certification of principal financial officer pursuant to Rule 13a-14(a)/15d-14(a) of the Securities Exchange Act of 1934, as amended</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gridSpan w:val="4"/>
          </w:tcPr>
          <w:p>
            <w:pPr>
              <w:jc w:val="right"/>
              <w:spacing w:after="0" w:line="205" w:lineRule="exact"/>
              <w:rPr>
                <w:rFonts w:ascii="Arial" w:cs="Arial" w:eastAsia="Arial" w:hAnsi="Arial"/>
                <w:sz w:val="18"/>
                <w:szCs w:val="18"/>
                <w:color w:val="0000FF"/>
              </w:rPr>
            </w:pPr>
            <w:hyperlink w:anchor="page12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6"/>
          </w:tcPr>
          <w:p>
            <w:pPr>
              <w:spacing w:after="0" w:line="205" w:lineRule="exact"/>
              <w:rPr>
                <w:rFonts w:ascii="Arial" w:cs="Arial" w:eastAsia="Arial" w:hAnsi="Arial"/>
                <w:sz w:val="18"/>
                <w:szCs w:val="18"/>
                <w:color w:val="0000FF"/>
                <w:w w:val="90"/>
              </w:rPr>
            </w:pPr>
            <w:hyperlink w:anchor="page124">
              <w:r>
                <w:rPr>
                  <w:rFonts w:ascii="Arial" w:cs="Arial" w:eastAsia="Arial" w:hAnsi="Arial"/>
                  <w:sz w:val="18"/>
                  <w:szCs w:val="18"/>
                  <w:color w:val="0000FF"/>
                  <w:w w:val="90"/>
                </w:rPr>
                <w:t>Certification of principal executive officer pursuant to 18 U.S.C. §1350, as adopted pursuant to Section 906 of the Sarbanes-Oxley Act</w:t>
              </w:r>
            </w:hyperlink>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0000FF"/>
              <w:bottom w:val="single" w:sz="8" w:color="0000FF"/>
            </w:tcBorders>
          </w:tcPr>
          <w:p>
            <w:pPr>
              <w:spacing w:after="0" w:line="133" w:lineRule="exact"/>
              <w:rPr>
                <w:rFonts w:ascii="Arial" w:cs="Arial" w:eastAsia="Arial" w:hAnsi="Arial"/>
                <w:sz w:val="15"/>
                <w:szCs w:val="15"/>
                <w:color w:val="0000FF"/>
                <w:w w:val="99"/>
              </w:rPr>
            </w:pPr>
            <w:hyperlink w:anchor="page124">
              <w:r>
                <w:rPr>
                  <w:rFonts w:ascii="Arial" w:cs="Arial" w:eastAsia="Arial" w:hAnsi="Arial"/>
                  <w:sz w:val="15"/>
                  <w:szCs w:val="15"/>
                  <w:color w:val="0000FF"/>
                  <w:w w:val="99"/>
                </w:rPr>
                <w:t>of 2002</w:t>
              </w:r>
            </w:hyperlink>
          </w:p>
        </w:tc>
        <w:tc>
          <w:tcPr>
            <w:tcW w:w="8980" w:type="dxa"/>
            <w:vAlign w:val="bottom"/>
            <w:tcBorders>
              <w:top w:val="single" w:sz="8" w:color="0000FF"/>
            </w:tcBorders>
            <w:gridSpan w:val="10"/>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1260" w:type="dxa"/>
            <w:vAlign w:val="bottom"/>
            <w:gridSpan w:val="4"/>
          </w:tcPr>
          <w:p>
            <w:pPr>
              <w:jc w:val="right"/>
              <w:spacing w:after="0" w:line="205" w:lineRule="exact"/>
              <w:rPr>
                <w:rFonts w:ascii="Arial" w:cs="Arial" w:eastAsia="Arial" w:hAnsi="Arial"/>
                <w:sz w:val="18"/>
                <w:szCs w:val="18"/>
                <w:color w:val="0000FF"/>
              </w:rPr>
            </w:pPr>
            <w:hyperlink w:anchor="page125">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16"/>
          </w:tcPr>
          <w:p>
            <w:pPr>
              <w:spacing w:after="0" w:line="205" w:lineRule="exact"/>
              <w:rPr>
                <w:rFonts w:ascii="Arial" w:cs="Arial" w:eastAsia="Arial" w:hAnsi="Arial"/>
                <w:sz w:val="18"/>
                <w:szCs w:val="18"/>
                <w:color w:val="0000FF"/>
                <w:w w:val="90"/>
              </w:rPr>
            </w:pPr>
            <w:hyperlink w:anchor="page125">
              <w:r>
                <w:rPr>
                  <w:rFonts w:ascii="Arial" w:cs="Arial" w:eastAsia="Arial" w:hAnsi="Arial"/>
                  <w:sz w:val="18"/>
                  <w:szCs w:val="18"/>
                  <w:color w:val="0000FF"/>
                  <w:w w:val="90"/>
                </w:rPr>
                <w:t>Certification of principal financial officer pursuant to 18 U.S.C. §1350, as adopted pursuant to Section 906 of the Sarbanes-Oxley Act of</w:t>
              </w:r>
            </w:hyperlink>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4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4"/>
              </w:rPr>
            </w:pPr>
            <w:hyperlink w:anchor="page125">
              <w:r>
                <w:rPr>
                  <w:rFonts w:ascii="Arial" w:cs="Arial" w:eastAsia="Arial" w:hAnsi="Arial"/>
                  <w:sz w:val="17"/>
                  <w:szCs w:val="17"/>
                  <w:color w:val="0000FF"/>
                  <w:w w:val="94"/>
                </w:rPr>
                <w:t>2002Oxley Act of 2002</w:t>
              </w:r>
            </w:hyperlink>
          </w:p>
        </w:tc>
        <w:tc>
          <w:tcPr>
            <w:tcW w:w="7980" w:type="dxa"/>
            <w:vAlign w:val="bottom"/>
            <w:tcBorders>
              <w:top w:val="single" w:sz="8" w:color="0000FF"/>
            </w:tcBorders>
            <w:gridSpan w:val="11"/>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0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6"/>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6"/>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6"/>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25"/>
        </w:trPr>
        <w:tc>
          <w:tcPr>
            <w:tcW w:w="1260" w:type="dxa"/>
            <w:vAlign w:val="bottom"/>
            <w:gridSpan w:val="4"/>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6"/>
          </w:tcPr>
          <w:p>
            <w:pPr>
              <w:spacing w:after="0"/>
              <w:rPr>
                <w:sz w:val="20"/>
                <w:szCs w:val="20"/>
                <w:color w:val="auto"/>
              </w:rPr>
            </w:pPr>
            <w:r>
              <w:rPr>
                <w:rFonts w:ascii="Arial" w:cs="Arial" w:eastAsia="Arial" w:hAnsi="Arial"/>
                <w:sz w:val="18"/>
                <w:szCs w:val="18"/>
                <w:color w:val="auto"/>
              </w:rPr>
              <w:t>The cover page from this Quarterly Report on Form 10-Q, formatted in Inline XBRL</w:t>
            </w:r>
          </w:p>
        </w:tc>
        <w:tc>
          <w:tcPr>
            <w:tcW w:w="0" w:type="dxa"/>
            <w:vAlign w:val="bottom"/>
          </w:tcPr>
          <w:p>
            <w:pPr>
              <w:spacing w:after="0"/>
              <w:rPr>
                <w:sz w:val="1"/>
                <w:szCs w:val="1"/>
                <w:color w:val="auto"/>
              </w:rPr>
            </w:pPr>
          </w:p>
        </w:tc>
      </w:tr>
      <w:tr>
        <w:trPr>
          <w:trHeight w:val="980"/>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80" w:type="dxa"/>
            <w:vAlign w:val="bottom"/>
            <w:gridSpan w:val="6"/>
          </w:tcPr>
          <w:p>
            <w:pPr>
              <w:ind w:left="4240"/>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Submitted electronically herewith.</w:t>
      </w:r>
    </w:p>
    <w:p>
      <w:pPr>
        <w:spacing w:after="0" w:line="310"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Attached as Exhibit 101 to this report are the following formatted in XBRL (Extensible Business Reporting Language): (i) Condensed Consolidated Balance Sheets at September 30, 2021 (unaudited) and December 31, 2020, (ii) Condensed Consolidated Statements of Operations and Comprehensive Loss (unaudited) for the three and nine month periods ended September 30, 2021 and 2020, (iii) Condensed Consolidated Statements of Stockholders' Equity</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(unaudited) for the three and nine month periods ended September 30, 2021 and 2020, (iv) Condensed Consolidated Statements of Cash Flows (unaudited) for the nine month periods ended September 30, 2021 and 2020 and (v) Notes to Condensed Financial Statements (unaudited).</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right="740" w:firstLine="397"/>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660" w:type="dxa"/>
            <w:vAlign w:val="bottom"/>
          </w:tcPr>
          <w:p>
            <w:pPr>
              <w:spacing w:after="0"/>
              <w:rPr>
                <w:sz w:val="19"/>
                <w:szCs w:val="19"/>
                <w:color w:val="auto"/>
              </w:rPr>
            </w:pPr>
          </w:p>
        </w:tc>
        <w:tc>
          <w:tcPr>
            <w:tcW w:w="7540" w:type="dxa"/>
            <w:vAlign w:val="bottom"/>
            <w:gridSpan w:val="2"/>
          </w:tcPr>
          <w:p>
            <w:pPr>
              <w:ind w:left="1900"/>
              <w:spacing w:after="0"/>
              <w:rPr>
                <w:sz w:val="20"/>
                <w:szCs w:val="20"/>
                <w:color w:val="auto"/>
              </w:rPr>
            </w:pPr>
            <w:r>
              <w:rPr>
                <w:rFonts w:ascii="Arial" w:cs="Arial" w:eastAsia="Arial" w:hAnsi="Arial"/>
                <w:sz w:val="18"/>
                <w:szCs w:val="18"/>
                <w:b w:val="1"/>
                <w:bCs w:val="1"/>
                <w:color w:val="auto"/>
              </w:rPr>
              <w:t>IVERIC bio, Inc.</w:t>
            </w:r>
          </w:p>
        </w:tc>
      </w:tr>
      <w:tr>
        <w:trPr>
          <w:trHeight w:val="676"/>
        </w:trPr>
        <w:tc>
          <w:tcPr>
            <w:tcW w:w="3660" w:type="dxa"/>
            <w:vAlign w:val="bottom"/>
          </w:tcPr>
          <w:p>
            <w:pPr>
              <w:spacing w:after="0"/>
              <w:rPr>
                <w:sz w:val="20"/>
                <w:szCs w:val="20"/>
                <w:color w:val="auto"/>
              </w:rPr>
            </w:pPr>
            <w:r>
              <w:rPr>
                <w:rFonts w:ascii="Arial" w:cs="Arial" w:eastAsia="Arial" w:hAnsi="Arial"/>
                <w:sz w:val="18"/>
                <w:szCs w:val="18"/>
                <w:color w:val="auto"/>
              </w:rPr>
              <w:t>Date: November 9, 2021</w:t>
            </w:r>
          </w:p>
        </w:tc>
        <w:tc>
          <w:tcPr>
            <w:tcW w:w="2620" w:type="dxa"/>
            <w:vAlign w:val="bottom"/>
          </w:tcPr>
          <w:p>
            <w:pPr>
              <w:ind w:left="19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F. Carroll</w:t>
            </w:r>
          </w:p>
        </w:tc>
      </w:tr>
      <w:tr>
        <w:trPr>
          <w:trHeight w:val="218"/>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David F. Carroll</w:t>
            </w:r>
          </w:p>
        </w:tc>
      </w:tr>
      <w:tr>
        <w:trPr>
          <w:trHeight w:val="225"/>
        </w:trPr>
        <w:tc>
          <w:tcPr>
            <w:tcW w:w="3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5"/>
        </w:trPr>
        <w:tc>
          <w:tcPr>
            <w:tcW w:w="3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127" w:right="35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1455420" cy="967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455420" cy="96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color w:val="auto"/>
        </w:rPr>
        <w:t>June 16, 2021</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Mr. Christopher Simms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1 Beverly Road</w:t>
      </w:r>
    </w:p>
    <w:p>
      <w:pPr>
        <w:spacing w:after="0"/>
        <w:rPr>
          <w:sz w:val="20"/>
          <w:szCs w:val="20"/>
          <w:color w:val="auto"/>
        </w:rPr>
      </w:pPr>
      <w:r>
        <w:rPr>
          <w:rFonts w:ascii="Arial" w:cs="Arial" w:eastAsia="Arial" w:hAnsi="Arial"/>
          <w:sz w:val="21"/>
          <w:szCs w:val="21"/>
          <w:color w:val="auto"/>
        </w:rPr>
        <w:t>Madison, NJ 07940</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Dear Chris: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On behalf of IVERIC bio, Inc. (the “Company”) it is my pleasure to extend to you this offer of employment with the Company for</w:t>
      </w:r>
    </w:p>
    <w:p>
      <w:pPr>
        <w:spacing w:after="0" w:line="35"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the position of Senior Vice President &amp; Chief Commercial Officer, reporting to Glenn Sblendorio, Chief Executive Officer</w:t>
      </w:r>
      <w:r>
        <w:rPr>
          <w:rFonts w:ascii="Arial" w:cs="Arial" w:eastAsia="Arial" w:hAnsi="Arial"/>
          <w:sz w:val="24"/>
          <w:szCs w:val="24"/>
          <w:color w:val="auto"/>
        </w:rPr>
        <w:t>.</w:t>
      </w:r>
      <w:r>
        <w:rPr>
          <w:rFonts w:ascii="Arial" w:cs="Arial" w:eastAsia="Arial" w:hAnsi="Arial"/>
          <w:sz w:val="21"/>
          <w:szCs w:val="21"/>
          <w:color w:val="auto"/>
        </w:rPr>
        <w:t xml:space="preserve"> The terms of this offer, which are contingent on you and us determining a mutually agreed upon start date (the “Start Date”) and satisfactory completion of a background investigation, are as follows:</w:t>
      </w:r>
    </w:p>
    <w:p>
      <w:pPr>
        <w:spacing w:after="0" w:line="173" w:lineRule="exact"/>
        <w:rPr>
          <w:sz w:val="20"/>
          <w:szCs w:val="20"/>
          <w:color w:val="auto"/>
        </w:rPr>
      </w:pPr>
    </w:p>
    <w:p>
      <w:pPr>
        <w:jc w:val="both"/>
        <w:ind w:left="840" w:hanging="452"/>
        <w:spacing w:after="0" w:line="242" w:lineRule="auto"/>
        <w:tabs>
          <w:tab w:leader="none" w:pos="832" w:val="left"/>
        </w:tabs>
        <w:numPr>
          <w:ilvl w:val="0"/>
          <w:numId w:val="56"/>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You will be employed on a full-time basis. You will carry out duties and responsibilities consistent with</w:t>
      </w:r>
      <w:r>
        <w:rPr>
          <w:rFonts w:ascii="Arial" w:cs="Arial" w:eastAsia="Arial" w:hAnsi="Arial"/>
          <w:sz w:val="21"/>
          <w:szCs w:val="21"/>
          <w:b w:val="1"/>
          <w:bCs w:val="1"/>
          <w:color w:val="auto"/>
        </w:rPr>
        <w:t xml:space="preserve"> </w:t>
      </w:r>
      <w:r>
        <w:rPr>
          <w:rFonts w:ascii="Arial" w:cs="Arial" w:eastAsia="Arial" w:hAnsi="Arial"/>
          <w:sz w:val="21"/>
          <w:szCs w:val="21"/>
          <w:color w:val="auto"/>
        </w:rPr>
        <w:t>your position and other duties as may from time to time be assigned to you by the Company. The Company reserves the right to change your title and responsibilities at any time, with or without notice. You shall perform and discharge faithfully and diligently your duties and responsibilities hereunder. You agree to devote your full business time, efforts, skill, knowledge, attention and energies to the advancement of the Company’s business and interests and to the performance of your duties and responsibilities as an employee of the Company. You agree to abide by the rules, regulations, instructions, practices and policies of the Company and any changes to these that may be adopted from time to time by the Company.</w:t>
      </w:r>
    </w:p>
    <w:p>
      <w:pPr>
        <w:spacing w:after="0" w:line="304" w:lineRule="exact"/>
        <w:rPr>
          <w:rFonts w:ascii="Arial" w:cs="Arial" w:eastAsia="Arial" w:hAnsi="Arial"/>
          <w:sz w:val="19"/>
          <w:szCs w:val="19"/>
          <w:b w:val="1"/>
          <w:bCs w:val="1"/>
          <w:color w:val="auto"/>
        </w:rPr>
      </w:pPr>
    </w:p>
    <w:p>
      <w:pPr>
        <w:jc w:val="both"/>
        <w:ind w:left="840" w:hanging="452"/>
        <w:spacing w:after="0" w:line="245" w:lineRule="auto"/>
        <w:tabs>
          <w:tab w:leader="none" w:pos="832" w:val="left"/>
        </w:tabs>
        <w:numPr>
          <w:ilvl w:val="0"/>
          <w:numId w:val="56"/>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Base Salary.</w:t>
      </w:r>
      <w:r>
        <w:rPr>
          <w:rFonts w:ascii="Arial" w:cs="Arial" w:eastAsia="Arial" w:hAnsi="Arial"/>
          <w:sz w:val="21"/>
          <w:szCs w:val="21"/>
          <w:b w:val="1"/>
          <w:bCs w:val="1"/>
          <w:color w:val="auto"/>
        </w:rPr>
        <w:t xml:space="preserve"> </w:t>
      </w:r>
      <w:r>
        <w:rPr>
          <w:rFonts w:ascii="Arial" w:cs="Arial" w:eastAsia="Arial" w:hAnsi="Arial"/>
          <w:sz w:val="21"/>
          <w:szCs w:val="21"/>
          <w:color w:val="auto"/>
        </w:rPr>
        <w:t>Your base salary will be at the annual rate of $415,000, less all applicable taxes and withholdings, to be paid</w:t>
      </w:r>
      <w:r>
        <w:rPr>
          <w:rFonts w:ascii="Arial" w:cs="Arial" w:eastAsia="Arial" w:hAnsi="Arial"/>
          <w:sz w:val="21"/>
          <w:szCs w:val="21"/>
          <w:b w:val="1"/>
          <w:bCs w:val="1"/>
          <w:color w:val="auto"/>
        </w:rPr>
        <w:t xml:space="preserve"> </w:t>
      </w:r>
      <w:r>
        <w:rPr>
          <w:rFonts w:ascii="Arial" w:cs="Arial" w:eastAsia="Arial" w:hAnsi="Arial"/>
          <w:sz w:val="21"/>
          <w:szCs w:val="21"/>
          <w:color w:val="auto"/>
        </w:rPr>
        <w:t>in accordance with the Company’s regular payroll practices. Such base salary may be adjusted from time to time in accordance with normal business practices and in the sole discretion of the Company. Your position is classified as “exempt” according to federal wage law which means you are not eligible for overtime pay for hours worked in excess of 40 in a given week.</w:t>
      </w:r>
    </w:p>
    <w:p>
      <w:pPr>
        <w:spacing w:after="0" w:line="304" w:lineRule="exact"/>
        <w:rPr>
          <w:rFonts w:ascii="Arial" w:cs="Arial" w:eastAsia="Arial" w:hAnsi="Arial"/>
          <w:sz w:val="19"/>
          <w:szCs w:val="19"/>
          <w:b w:val="1"/>
          <w:bCs w:val="1"/>
          <w:color w:val="auto"/>
        </w:rPr>
      </w:pPr>
    </w:p>
    <w:p>
      <w:pPr>
        <w:jc w:val="both"/>
        <w:ind w:left="840" w:hanging="452"/>
        <w:spacing w:after="0" w:line="261" w:lineRule="auto"/>
        <w:tabs>
          <w:tab w:leader="none" w:pos="832" w:val="left"/>
        </w:tabs>
        <w:numPr>
          <w:ilvl w:val="0"/>
          <w:numId w:val="56"/>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Discretionary Bonus.</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the end of each calendar year and subject to the approval of the Company’s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(the “Board”), you will be eligible for a performance bonus of up to 45% of your annualized base salary, based on your personal performance and the Company’s performance during the applicable calendar year, as determined by the Company in its sole discretion. To receive a bonus for the current performance year, you must be an active employee by September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and you must be an active employee of the Company on the date the bonus is distributed in order to be eligible for and to earn any bonus award. Provided that you are an active employee of the Company on the date the bonus is distributed, we will guarantee your full bonus payout (based on your 45% target, but subject to the Company’s and your performance) for 2021 and you will be able to participate (on a pro rata basis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478790</wp:posOffset>
            </wp:positionV>
            <wp:extent cx="5250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5250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580"/>
        <w:spacing w:after="0"/>
        <w:rPr>
          <w:sz w:val="20"/>
          <w:szCs w:val="20"/>
          <w:color w:val="auto"/>
        </w:rPr>
      </w:pPr>
      <w:r>
        <w:rPr>
          <w:rFonts w:ascii="Arial" w:cs="Arial" w:eastAsia="Arial" w:hAnsi="Arial"/>
          <w:sz w:val="16"/>
          <w:szCs w:val="16"/>
          <w:color w:val="44546A"/>
        </w:rPr>
        <w:t>www.ivericbio.com</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2"/>
        <w:spacing w:after="0"/>
        <w:rPr>
          <w:sz w:val="20"/>
          <w:szCs w:val="20"/>
          <w:color w:val="auto"/>
        </w:rPr>
      </w:pPr>
      <w:r>
        <w:rPr>
          <w:rFonts w:ascii="Arial" w:cs="Arial" w:eastAsia="Arial" w:hAnsi="Arial"/>
          <w:sz w:val="20"/>
          <w:szCs w:val="20"/>
          <w:color w:val="auto"/>
        </w:rPr>
        <w:t>your hire date) to the extent the Company achieves its stretch goals for up to an additional 50% of your target bonus.</w:t>
      </w:r>
    </w:p>
    <w:p>
      <w:pPr>
        <w:spacing w:after="0" w:line="215" w:lineRule="exact"/>
        <w:rPr>
          <w:sz w:val="20"/>
          <w:szCs w:val="20"/>
          <w:color w:val="auto"/>
        </w:rPr>
      </w:pPr>
    </w:p>
    <w:p>
      <w:pPr>
        <w:jc w:val="both"/>
        <w:ind w:left="452" w:hanging="452"/>
        <w:spacing w:after="0" w:line="252" w:lineRule="auto"/>
        <w:tabs>
          <w:tab w:leader="none" w:pos="444" w:val="left"/>
        </w:tabs>
        <w:numPr>
          <w:ilvl w:val="0"/>
          <w:numId w:val="57"/>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Equity.</w:t>
      </w:r>
      <w:r>
        <w:rPr>
          <w:rFonts w:ascii="Arial" w:cs="Arial" w:eastAsia="Arial" w:hAnsi="Arial"/>
          <w:sz w:val="20"/>
          <w:szCs w:val="20"/>
          <w:b w:val="1"/>
          <w:bCs w:val="1"/>
          <w:color w:val="auto"/>
        </w:rPr>
        <w:t xml:space="preserve"> </w:t>
      </w:r>
      <w:r>
        <w:rPr>
          <w:rFonts w:ascii="Arial" w:cs="Arial" w:eastAsia="Arial" w:hAnsi="Arial"/>
          <w:sz w:val="20"/>
          <w:szCs w:val="20"/>
          <w:color w:val="auto"/>
        </w:rPr>
        <w:t>In connection with the commencement of your employment and as an inducement to becoming an employee, you</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eligible to receive an option to purchase 160,000 shares of the Company’s common stock (the “Option”), subject to approval by the Board (acting in its sole discretion) and contingent upon your execution of the corresponding stock option agreement. The Option would be issued with an exercise price equal to the fair market value of the Company’s common stock (as determined by the Board) as of your Start Date (the “Grant Date”) and would vest over a four-year period, with 25% of the shares vesting on the first anniversary of the Grant Date and the remainder of the shares vesting in equal monthly amounts thereafter until the fourth anniversary of the Grant Date, pursuant to the terms of the stock option agreement and subject to your continued employment with the Company. In addition, in connection with the commencement of your employment and as an inducement to becoming an employee, you will be eligible to receive a restricted stock unit grant for 75,000 shares (the “Joining RSU Grant”) on the Grant Date, subject to approval by the Board (acting in its sole discretion) and contingent upon your execution of a corresponding restricted stock unit agreement. The Joining RSU Grant would vest over a four-year period, with 25% of the shares vesting on each of the first, second, third and fourth anniversaries of the Grant Date, pursuant to the terms of the restricted stock unit agreement and subject to your continued employment with the Company. Subject to Board approval each year, the Company grants additional equity awards annually based on performance. You would be eligible for an annual performance-based equity award for 2021 on a pro-rata basis (pro-rated at 75%).</w:t>
      </w:r>
    </w:p>
    <w:p>
      <w:pPr>
        <w:spacing w:after="0" w:line="190" w:lineRule="exact"/>
        <w:rPr>
          <w:rFonts w:ascii="Arial" w:cs="Arial" w:eastAsia="Arial" w:hAnsi="Arial"/>
          <w:sz w:val="18"/>
          <w:szCs w:val="18"/>
          <w:b w:val="1"/>
          <w:bCs w:val="1"/>
          <w:color w:val="auto"/>
        </w:rPr>
      </w:pPr>
    </w:p>
    <w:p>
      <w:pPr>
        <w:jc w:val="both"/>
        <w:ind w:left="452" w:hanging="452"/>
        <w:spacing w:after="0" w:line="274" w:lineRule="auto"/>
        <w:tabs>
          <w:tab w:leader="none" w:pos="444" w:val="left"/>
        </w:tabs>
        <w:numPr>
          <w:ilvl w:val="0"/>
          <w:numId w:val="57"/>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Sign On Bonus:</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the commencement of your employment and as an inducement to becoming an</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you will be eligible receive, as a sign-on bonus, a restricted stock unit grant for 15,000 shares of the Company’s common stock (the “Sign-On RSU Grant”) on the Grant Date, subject to approval by the Board (acting in its sole discretion) and contingent upon your execution of a corresponding restricted stock unit agreement. The Sign-On RSU Grant would vest with respect to 100% of the shares underlying the grant on the first anniversary of the Grant Date, pursuant to the terms of the restricted stock unit agreement and subject to your continued employment with the Company.</w:t>
      </w:r>
    </w:p>
    <w:p>
      <w:pPr>
        <w:spacing w:after="0" w:line="278" w:lineRule="exact"/>
        <w:rPr>
          <w:rFonts w:ascii="Arial" w:cs="Arial" w:eastAsia="Arial" w:hAnsi="Arial"/>
          <w:sz w:val="17"/>
          <w:szCs w:val="17"/>
          <w:b w:val="1"/>
          <w:bCs w:val="1"/>
          <w:color w:val="auto"/>
        </w:rPr>
      </w:pPr>
    </w:p>
    <w:p>
      <w:pPr>
        <w:jc w:val="both"/>
        <w:ind w:left="452" w:hanging="452"/>
        <w:spacing w:after="0" w:line="248" w:lineRule="auto"/>
        <w:tabs>
          <w:tab w:leader="none" w:pos="444" w:val="left"/>
        </w:tabs>
        <w:numPr>
          <w:ilvl w:val="0"/>
          <w:numId w:val="57"/>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Benefits.</w:t>
      </w:r>
      <w:r>
        <w:rPr>
          <w:rFonts w:ascii="Arial" w:cs="Arial" w:eastAsia="Arial" w:hAnsi="Arial"/>
          <w:sz w:val="21"/>
          <w:szCs w:val="21"/>
          <w:b w:val="1"/>
          <w:bCs w:val="1"/>
          <w:color w:val="auto"/>
        </w:rPr>
        <w:t xml:space="preserve"> </w:t>
      </w:r>
      <w:r>
        <w:rPr>
          <w:rFonts w:ascii="Arial" w:cs="Arial" w:eastAsia="Arial" w:hAnsi="Arial"/>
          <w:sz w:val="21"/>
          <w:szCs w:val="21"/>
          <w:color w:val="auto"/>
        </w:rPr>
        <w:t>You may participate in any and all benefit programs that the Company establishes and makes generally available</w:t>
      </w:r>
      <w:r>
        <w:rPr>
          <w:rFonts w:ascii="Arial" w:cs="Arial" w:eastAsia="Arial" w:hAnsi="Arial"/>
          <w:sz w:val="21"/>
          <w:szCs w:val="21"/>
          <w:b w:val="1"/>
          <w:bCs w:val="1"/>
          <w:color w:val="auto"/>
        </w:rPr>
        <w:t xml:space="preserve"> </w:t>
      </w:r>
      <w:r>
        <w:rPr>
          <w:rFonts w:ascii="Arial" w:cs="Arial" w:eastAsia="Arial" w:hAnsi="Arial"/>
          <w:sz w:val="21"/>
          <w:szCs w:val="21"/>
          <w:color w:val="auto"/>
        </w:rPr>
        <w:t>to similarly situated employees from time to time, provided that you are eligible under (and subject to all provisions of) the plan documents that govern those programs. A summary of current benefits is enclosed with this letter. Benefits are subject to change at any time in the Company’s sole discretion.</w:t>
      </w:r>
    </w:p>
    <w:p>
      <w:pPr>
        <w:sectPr>
          <w:pgSz w:w="11900" w:h="16838" w:orient="portrait"/>
          <w:cols w:equalWidth="0" w:num="1">
            <w:col w:w="10852"/>
          </w:cols>
          <w:pgMar w:left="708" w:top="1440" w:right="33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2" w:right="520" w:hanging="452"/>
        <w:spacing w:after="0" w:line="272" w:lineRule="auto"/>
        <w:tabs>
          <w:tab w:leader="none" w:pos="444" w:val="left"/>
        </w:tabs>
        <w:numPr>
          <w:ilvl w:val="0"/>
          <w:numId w:val="58"/>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Severance.</w:t>
      </w:r>
      <w:r>
        <w:rPr>
          <w:rFonts w:ascii="Arial" w:cs="Arial" w:eastAsia="Arial" w:hAnsi="Arial"/>
          <w:sz w:val="21"/>
          <w:szCs w:val="21"/>
          <w:b w:val="1"/>
          <w:bCs w:val="1"/>
          <w:color w:val="auto"/>
        </w:rPr>
        <w:t xml:space="preserve"> </w:t>
      </w:r>
      <w:r>
        <w:rPr>
          <w:rFonts w:ascii="Arial" w:cs="Arial" w:eastAsia="Arial" w:hAnsi="Arial"/>
          <w:sz w:val="21"/>
          <w:szCs w:val="21"/>
          <w:color w:val="auto"/>
        </w:rPr>
        <w:t>You will be eligible to receive the severance and change in control benefits set forth in a separate written</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with the Company to be executed contemporaneous herewith.</w:t>
      </w:r>
    </w:p>
    <w:p>
      <w:pPr>
        <w:spacing w:after="0" w:line="168" w:lineRule="exact"/>
        <w:rPr>
          <w:rFonts w:ascii="Arial" w:cs="Arial" w:eastAsia="Arial" w:hAnsi="Arial"/>
          <w:sz w:val="19"/>
          <w:szCs w:val="19"/>
          <w:b w:val="1"/>
          <w:bCs w:val="1"/>
          <w:color w:val="auto"/>
        </w:rPr>
      </w:pPr>
    </w:p>
    <w:p>
      <w:pPr>
        <w:ind w:left="432" w:hanging="432"/>
        <w:spacing w:after="0"/>
        <w:tabs>
          <w:tab w:leader="none" w:pos="432" w:val="left"/>
        </w:tabs>
        <w:numPr>
          <w:ilvl w:val="0"/>
          <w:numId w:val="58"/>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Car Allowance.</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receive a semi-monthly car allowance in the amount of $675 less taxes ($1,350 per month).</w:t>
      </w:r>
    </w:p>
    <w:p>
      <w:pPr>
        <w:spacing w:after="0" w:line="220" w:lineRule="exact"/>
        <w:rPr>
          <w:rFonts w:ascii="Arial" w:cs="Arial" w:eastAsia="Arial" w:hAnsi="Arial"/>
          <w:sz w:val="18"/>
          <w:szCs w:val="18"/>
          <w:b w:val="1"/>
          <w:bCs w:val="1"/>
          <w:color w:val="auto"/>
        </w:rPr>
      </w:pPr>
    </w:p>
    <w:p>
      <w:pPr>
        <w:ind w:left="452" w:hanging="452"/>
        <w:spacing w:after="0" w:line="272" w:lineRule="auto"/>
        <w:tabs>
          <w:tab w:leader="none" w:pos="444" w:val="left"/>
        </w:tabs>
        <w:numPr>
          <w:ilvl w:val="0"/>
          <w:numId w:val="58"/>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Vacation.</w:t>
      </w:r>
      <w:r>
        <w:rPr>
          <w:rFonts w:ascii="Arial" w:cs="Arial" w:eastAsia="Arial" w:hAnsi="Arial"/>
          <w:sz w:val="21"/>
          <w:szCs w:val="21"/>
          <w:b w:val="1"/>
          <w:bCs w:val="1"/>
          <w:color w:val="auto"/>
        </w:rPr>
        <w:t xml:space="preserve"> </w:t>
      </w:r>
      <w:r>
        <w:rPr>
          <w:rFonts w:ascii="Arial" w:cs="Arial" w:eastAsia="Arial" w:hAnsi="Arial"/>
          <w:sz w:val="21"/>
          <w:szCs w:val="21"/>
          <w:color w:val="auto"/>
        </w:rPr>
        <w:t>You will be entitled to vacation time as set forth in the Employee Handbook, as such vacation policy may be</w:t>
      </w:r>
      <w:r>
        <w:rPr>
          <w:rFonts w:ascii="Arial" w:cs="Arial" w:eastAsia="Arial" w:hAnsi="Arial"/>
          <w:sz w:val="21"/>
          <w:szCs w:val="21"/>
          <w:b w:val="1"/>
          <w:bCs w:val="1"/>
          <w:color w:val="auto"/>
        </w:rPr>
        <w:t xml:space="preserve"> </w:t>
      </w:r>
      <w:r>
        <w:rPr>
          <w:rFonts w:ascii="Arial" w:cs="Arial" w:eastAsia="Arial" w:hAnsi="Arial"/>
          <w:sz w:val="21"/>
          <w:szCs w:val="21"/>
          <w:color w:val="auto"/>
        </w:rPr>
        <w:t>amended by the Company from time to time.</w:t>
      </w:r>
    </w:p>
    <w:p>
      <w:pPr>
        <w:spacing w:after="0" w:line="141" w:lineRule="exact"/>
        <w:rPr>
          <w:rFonts w:ascii="Arial" w:cs="Arial" w:eastAsia="Arial" w:hAnsi="Arial"/>
          <w:sz w:val="19"/>
          <w:szCs w:val="19"/>
          <w:b w:val="1"/>
          <w:bCs w:val="1"/>
          <w:color w:val="auto"/>
        </w:rPr>
      </w:pPr>
    </w:p>
    <w:p>
      <w:pPr>
        <w:ind w:left="452" w:hanging="452"/>
        <w:spacing w:after="0" w:line="272" w:lineRule="auto"/>
        <w:tabs>
          <w:tab w:leader="none" w:pos="449" w:val="left"/>
        </w:tabs>
        <w:numPr>
          <w:ilvl w:val="0"/>
          <w:numId w:val="58"/>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Fair Competition &amp; Confidentiality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As a condition of employment, you will be required to execute the</w:t>
      </w:r>
      <w:r>
        <w:rPr>
          <w:rFonts w:ascii="Arial" w:cs="Arial" w:eastAsia="Arial" w:hAnsi="Arial"/>
          <w:sz w:val="21"/>
          <w:szCs w:val="21"/>
          <w:b w:val="1"/>
          <w:bCs w:val="1"/>
          <w:color w:val="auto"/>
        </w:rPr>
        <w:t xml:space="preserve"> </w:t>
      </w:r>
      <w:r>
        <w:rPr>
          <w:rFonts w:ascii="Arial" w:cs="Arial" w:eastAsia="Arial" w:hAnsi="Arial"/>
          <w:sz w:val="21"/>
          <w:szCs w:val="21"/>
          <w:color w:val="auto"/>
        </w:rPr>
        <w:t>attached Fair Competition &amp; Confidentiality Agreement.</w:t>
      </w:r>
    </w:p>
    <w:p>
      <w:pPr>
        <w:spacing w:after="0" w:line="141" w:lineRule="exact"/>
        <w:rPr>
          <w:rFonts w:ascii="Arial" w:cs="Arial" w:eastAsia="Arial" w:hAnsi="Arial"/>
          <w:sz w:val="19"/>
          <w:szCs w:val="19"/>
          <w:b w:val="1"/>
          <w:bCs w:val="1"/>
          <w:color w:val="auto"/>
        </w:rPr>
      </w:pPr>
    </w:p>
    <w:p>
      <w:pPr>
        <w:jc w:val="both"/>
        <w:ind w:left="452" w:hanging="452"/>
        <w:spacing w:after="0" w:line="254" w:lineRule="auto"/>
        <w:tabs>
          <w:tab w:leader="none" w:pos="438" w:val="left"/>
        </w:tabs>
        <w:numPr>
          <w:ilvl w:val="0"/>
          <w:numId w:val="58"/>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No Conflict.</w:t>
      </w:r>
      <w:r>
        <w:rPr>
          <w:rFonts w:ascii="Arial" w:cs="Arial" w:eastAsia="Arial" w:hAnsi="Arial"/>
          <w:sz w:val="21"/>
          <w:szCs w:val="21"/>
          <w:b w:val="1"/>
          <w:bCs w:val="1"/>
          <w:color w:val="auto"/>
        </w:rPr>
        <w:t xml:space="preserve"> </w:t>
      </w:r>
      <w:r>
        <w:rPr>
          <w:rFonts w:ascii="Arial" w:cs="Arial" w:eastAsia="Arial" w:hAnsi="Arial"/>
          <w:sz w:val="21"/>
          <w:szCs w:val="21"/>
          <w:color w:val="auto"/>
        </w:rPr>
        <w:t>You represent that you are not bound by any employment contract, restrictive covenant or other restriction</w:t>
      </w:r>
      <w:r>
        <w:rPr>
          <w:rFonts w:ascii="Arial" w:cs="Arial" w:eastAsia="Arial" w:hAnsi="Arial"/>
          <w:sz w:val="21"/>
          <w:szCs w:val="21"/>
          <w:b w:val="1"/>
          <w:bCs w:val="1"/>
          <w:color w:val="auto"/>
        </w:rPr>
        <w:t xml:space="preserve"> </w:t>
      </w:r>
      <w:r>
        <w:rPr>
          <w:rFonts w:ascii="Arial" w:cs="Arial" w:eastAsia="Arial" w:hAnsi="Arial"/>
          <w:sz w:val="21"/>
          <w:szCs w:val="21"/>
          <w:color w:val="auto"/>
        </w:rPr>
        <w:t>preventing you from entering into employment with or carrying out your responsibilities for the Company, or which is in any way inconsistent with the terms of this offer letter.</w:t>
      </w:r>
    </w:p>
    <w:p>
      <w:pPr>
        <w:spacing w:after="0" w:line="160" w:lineRule="exact"/>
        <w:rPr>
          <w:rFonts w:ascii="Arial" w:cs="Arial" w:eastAsia="Arial" w:hAnsi="Arial"/>
          <w:sz w:val="19"/>
          <w:szCs w:val="19"/>
          <w:b w:val="1"/>
          <w:bCs w:val="1"/>
          <w:color w:val="auto"/>
        </w:rPr>
      </w:pPr>
    </w:p>
    <w:p>
      <w:pPr>
        <w:jc w:val="both"/>
        <w:ind w:left="452" w:hanging="452"/>
        <w:spacing w:after="0" w:line="248" w:lineRule="auto"/>
        <w:tabs>
          <w:tab w:leader="none" w:pos="449" w:val="left"/>
        </w:tabs>
        <w:numPr>
          <w:ilvl w:val="0"/>
          <w:numId w:val="58"/>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Proof of Legal Right to Work.</w:t>
      </w:r>
      <w:r>
        <w:rPr>
          <w:rFonts w:ascii="Arial" w:cs="Arial" w:eastAsia="Arial" w:hAnsi="Arial"/>
          <w:sz w:val="21"/>
          <w:szCs w:val="21"/>
          <w:b w:val="1"/>
          <w:bCs w:val="1"/>
          <w:color w:val="auto"/>
        </w:rPr>
        <w:t xml:space="preserve"> </w:t>
      </w:r>
      <w:r>
        <w:rPr>
          <w:rFonts w:ascii="Arial" w:cs="Arial" w:eastAsia="Arial" w:hAnsi="Arial"/>
          <w:sz w:val="21"/>
          <w:szCs w:val="21"/>
          <w:color w:val="auto"/>
        </w:rPr>
        <w:t>You will be required to complete an Employment Eligibility Verification Form and</w:t>
      </w:r>
      <w:r>
        <w:rPr>
          <w:rFonts w:ascii="Arial" w:cs="Arial" w:eastAsia="Arial" w:hAnsi="Arial"/>
          <w:sz w:val="21"/>
          <w:szCs w:val="21"/>
          <w:b w:val="1"/>
          <w:bCs w:val="1"/>
          <w:color w:val="auto"/>
        </w:rPr>
        <w:t xml:space="preserve"> </w:t>
      </w:r>
      <w:r>
        <w:rPr>
          <w:rFonts w:ascii="Arial" w:cs="Arial" w:eastAsia="Arial" w:hAnsi="Arial"/>
          <w:sz w:val="21"/>
          <w:szCs w:val="21"/>
          <w:color w:val="auto"/>
        </w:rPr>
        <w:t>submit an original document or documents that establish identity and employment eligibility within 3 business days of starting employment. Your employment with the Company is contingent on your satisfactory completion of this requirement.</w:t>
      </w:r>
    </w:p>
    <w:p>
      <w:pPr>
        <w:spacing w:after="0" w:line="167" w:lineRule="exact"/>
        <w:rPr>
          <w:rFonts w:ascii="Arial" w:cs="Arial" w:eastAsia="Arial" w:hAnsi="Arial"/>
          <w:sz w:val="19"/>
          <w:szCs w:val="19"/>
          <w:b w:val="1"/>
          <w:bCs w:val="1"/>
          <w:color w:val="auto"/>
        </w:rPr>
      </w:pPr>
    </w:p>
    <w:p>
      <w:pPr>
        <w:jc w:val="both"/>
        <w:ind w:left="452" w:hanging="452"/>
        <w:spacing w:after="0" w:line="270" w:lineRule="auto"/>
        <w:tabs>
          <w:tab w:leader="none" w:pos="449" w:val="left"/>
        </w:tabs>
        <w:numPr>
          <w:ilvl w:val="0"/>
          <w:numId w:val="58"/>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At-Will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letter shall not be construed as an agreement, either express or implied, to employ you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stated term, and shall in no way alter the Company’s policy of employment at-will, under which both the Company and you remain free to end the employment relationship for any reason, at any time, with or without cause or notice. Although your job duties, title, compensation and benefits, as well as the Company’s personnel policies and procedures, may change from time to time, the “at-will” nature of your employment may only be changed by a written agreement signed by you and the Company’s Chief Executive Officer that expressly states the intention to modify the at-will nature of your employment. Similarly, nothing in this letter shall be construed as an agreement, either express or implied, to pay you any compensation or grant you any benefit beyond the end of your employment with the Company. This letter supersedes all prior understandings, whether written or oral, relating to the terms of your employment.</w:t>
      </w:r>
    </w:p>
    <w:p>
      <w:pPr>
        <w:spacing w:after="0" w:line="146" w:lineRule="exact"/>
        <w:rPr>
          <w:rFonts w:ascii="Arial" w:cs="Arial" w:eastAsia="Arial" w:hAnsi="Arial"/>
          <w:sz w:val="17"/>
          <w:szCs w:val="17"/>
          <w:b w:val="1"/>
          <w:bCs w:val="1"/>
          <w:color w:val="auto"/>
        </w:rPr>
      </w:pPr>
    </w:p>
    <w:p>
      <w:pPr>
        <w:jc w:val="both"/>
        <w:ind w:left="452" w:hanging="452"/>
        <w:spacing w:after="0" w:line="254" w:lineRule="auto"/>
        <w:tabs>
          <w:tab w:leader="none" w:pos="449" w:val="left"/>
        </w:tabs>
        <w:numPr>
          <w:ilvl w:val="0"/>
          <w:numId w:val="58"/>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Background Investigation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required notices and forms for our background investigation are enclosed herewith. You</w:t>
      </w:r>
      <w:r>
        <w:rPr>
          <w:rFonts w:ascii="Arial" w:cs="Arial" w:eastAsia="Arial" w:hAnsi="Arial"/>
          <w:sz w:val="21"/>
          <w:szCs w:val="21"/>
          <w:b w:val="1"/>
          <w:bCs w:val="1"/>
          <w:color w:val="auto"/>
        </w:rPr>
        <w:t xml:space="preserve"> </w:t>
      </w:r>
      <w:r>
        <w:rPr>
          <w:rFonts w:ascii="Arial" w:cs="Arial" w:eastAsia="Arial" w:hAnsi="Arial"/>
          <w:sz w:val="21"/>
          <w:szCs w:val="21"/>
          <w:color w:val="auto"/>
        </w:rPr>
        <w:t>must submit a completed form with your signed offer letter. Employment is contingent upon successful completion of the background check.</w:t>
      </w:r>
    </w:p>
    <w:p>
      <w:pPr>
        <w:sectPr>
          <w:pgSz w:w="11900" w:h="16838" w:orient="portrait"/>
          <w:cols w:equalWidth="0" w:num="1">
            <w:col w:w="10852"/>
          </w:cols>
          <w:pgMar w:left="708" w:top="1440" w:right="339" w:bottom="1440" w:gutter="0" w:footer="0" w:header="0"/>
        </w:sectPr>
      </w:pPr>
    </w:p>
    <w:bookmarkStart w:id="104" w:name="page105"/>
    <w:bookmarkEnd w:id="104"/>
    <w:p>
      <w:pPr>
        <w:jc w:val="both"/>
        <w:spacing w:after="0" w:line="254" w:lineRule="auto"/>
        <w:tabs>
          <w:tab w:leader="none" w:pos="449" w:val="left"/>
        </w:tabs>
        <w:rPr>
          <w:sz w:val="20"/>
          <w:szCs w:val="20"/>
          <w:color w:val="auto"/>
        </w:rPr>
      </w:pPr>
    </w:p>
    <w:p>
      <w:pPr>
        <w:sectPr>
          <w:pgSz w:w="11900" w:h="16838" w:orient="portrait"/>
          <w:cols w:equalWidth="1" w:num="1" w:space="0"/>
          <w:pgMar w:left="1440" w:top="1440" w:right="1440" w:bottom="875"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319" w:lineRule="auto"/>
        <w:rPr>
          <w:sz w:val="20"/>
          <w:szCs w:val="20"/>
          <w:color w:val="auto"/>
        </w:rPr>
      </w:pPr>
      <w:r>
        <w:rPr>
          <w:rFonts w:ascii="Arial" w:cs="Arial" w:eastAsia="Arial" w:hAnsi="Arial"/>
          <w:sz w:val="19"/>
          <w:szCs w:val="19"/>
          <w:color w:val="auto"/>
        </w:rPr>
        <w:t>If you decide to accept this offer, and agree to the employment terms set forth in this letter, please sign the letter in the space provided below and return it to me. If you do not accept this offer by Thursday, June 24, 2021, the offer will be deemed withdrawn.</w:t>
      </w:r>
    </w:p>
    <w:p>
      <w:pPr>
        <w:spacing w:after="0" w:line="108"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Sincerely,</w:t>
      </w:r>
    </w:p>
    <w:p>
      <w:pPr>
        <w:spacing w:after="0" w:line="200" w:lineRule="exact"/>
        <w:rPr>
          <w:sz w:val="20"/>
          <w:szCs w:val="20"/>
          <w:color w:val="auto"/>
        </w:rPr>
      </w:pPr>
    </w:p>
    <w:p>
      <w:pPr>
        <w:spacing w:after="0" w:line="221"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By: _</w:t>
      </w:r>
      <w:r>
        <w:rPr>
          <w:rFonts w:ascii="Arial" w:cs="Arial" w:eastAsia="Arial" w:hAnsi="Arial"/>
          <w:sz w:val="21"/>
          <w:szCs w:val="21"/>
          <w:u w:val="single" w:color="auto"/>
          <w:color w:val="auto"/>
        </w:rPr>
        <w:t>/s/ Amy Sheehan</w:t>
      </w:r>
      <w:r>
        <w:rPr>
          <w:rFonts w:ascii="Arial" w:cs="Arial" w:eastAsia="Arial" w:hAnsi="Arial"/>
          <w:sz w:val="21"/>
          <w:szCs w:val="21"/>
          <w:color w:val="auto"/>
        </w:rPr>
        <w:t>_______________________</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21"/>
          <w:szCs w:val="21"/>
          <w:color w:val="auto"/>
        </w:rPr>
        <w:t>Amy R. Sheehan</w:t>
      </w:r>
    </w:p>
    <w:p>
      <w:pPr>
        <w:ind w:left="1120"/>
        <w:spacing w:after="0"/>
        <w:rPr>
          <w:sz w:val="20"/>
          <w:szCs w:val="20"/>
          <w:color w:val="auto"/>
        </w:rPr>
      </w:pPr>
      <w:r>
        <w:rPr>
          <w:rFonts w:ascii="Arial" w:cs="Arial" w:eastAsia="Arial" w:hAnsi="Arial"/>
          <w:sz w:val="21"/>
          <w:szCs w:val="21"/>
          <w:color w:val="auto"/>
        </w:rPr>
        <w:t>Senior Vice President &amp; Chief HR Officer</w:t>
      </w:r>
    </w:p>
    <w:p>
      <w:pPr>
        <w:spacing w:after="0" w:line="218" w:lineRule="exact"/>
        <w:rPr>
          <w:sz w:val="20"/>
          <w:szCs w:val="20"/>
          <w:color w:val="auto"/>
        </w:rPr>
      </w:pPr>
    </w:p>
    <w:p>
      <w:pPr>
        <w:ind w:right="80"/>
        <w:spacing w:after="0" w:line="251" w:lineRule="auto"/>
        <w:rPr>
          <w:sz w:val="20"/>
          <w:szCs w:val="20"/>
          <w:color w:val="auto"/>
        </w:rPr>
      </w:pPr>
      <w:r>
        <w:rPr>
          <w:rFonts w:ascii="Arial" w:cs="Arial" w:eastAsia="Arial" w:hAnsi="Arial"/>
          <w:sz w:val="21"/>
          <w:szCs w:val="21"/>
          <w:color w:val="auto"/>
        </w:rPr>
        <w:t>The foregoing letter correctly sets forth the terms of my at-will employment with IVERIC bio, Inc., which I hereby accept. Nothing contained in this letter abrogates the at-will status of my proposed employment. I am not relying on any representations other than those set forth above.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80" w:type="dxa"/>
            <w:vAlign w:val="bottom"/>
            <w:gridSpan w:val="4"/>
          </w:tcPr>
          <w:p>
            <w:pPr>
              <w:spacing w:after="0"/>
              <w:rPr>
                <w:sz w:val="20"/>
                <w:szCs w:val="20"/>
                <w:color w:val="auto"/>
              </w:rPr>
            </w:pPr>
            <w:r>
              <w:rPr>
                <w:rFonts w:ascii="Arial" w:cs="Arial" w:eastAsia="Arial" w:hAnsi="Arial"/>
                <w:sz w:val="21"/>
                <w:szCs w:val="21"/>
                <w:color w:val="auto"/>
                <w:w w:val="96"/>
              </w:rPr>
              <w:t>_/s/ Chris Simms_________________</w:t>
            </w:r>
          </w:p>
        </w:tc>
        <w:tc>
          <w:tcPr>
            <w:tcW w:w="2760" w:type="dxa"/>
            <w:vAlign w:val="bottom"/>
          </w:tcPr>
          <w:p>
            <w:pPr>
              <w:jc w:val="right"/>
              <w:spacing w:after="0"/>
              <w:rPr>
                <w:sz w:val="20"/>
                <w:szCs w:val="20"/>
                <w:color w:val="auto"/>
              </w:rPr>
            </w:pPr>
            <w:r>
              <w:rPr>
                <w:rFonts w:ascii="Arial" w:cs="Arial" w:eastAsia="Arial" w:hAnsi="Arial"/>
                <w:sz w:val="21"/>
                <w:szCs w:val="21"/>
                <w:color w:val="auto"/>
                <w:w w:val="97"/>
              </w:rPr>
              <w:t>________________________</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vMerge w:val="restart"/>
          </w:tcPr>
          <w:p>
            <w:pPr>
              <w:ind w:left="520"/>
              <w:spacing w:after="0"/>
              <w:rPr>
                <w:sz w:val="20"/>
                <w:szCs w:val="20"/>
                <w:color w:val="auto"/>
              </w:rPr>
            </w:pPr>
            <w:r>
              <w:rPr>
                <w:rFonts w:ascii="Arial" w:cs="Arial" w:eastAsia="Arial" w:hAnsi="Arial"/>
                <w:sz w:val="21"/>
                <w:szCs w:val="21"/>
                <w:color w:val="auto"/>
              </w:rPr>
              <w:t>Date</w:t>
            </w: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180" w:type="dxa"/>
            <w:vAlign w:val="bottom"/>
            <w:gridSpan w:val="3"/>
          </w:tcPr>
          <w:p>
            <w:pPr>
              <w:spacing w:after="0"/>
              <w:rPr>
                <w:sz w:val="20"/>
                <w:szCs w:val="20"/>
                <w:color w:val="auto"/>
              </w:rPr>
            </w:pPr>
            <w:r>
              <w:rPr>
                <w:rFonts w:ascii="Arial" w:cs="Arial" w:eastAsia="Arial" w:hAnsi="Arial"/>
                <w:sz w:val="21"/>
                <w:szCs w:val="21"/>
                <w:color w:val="auto"/>
              </w:rPr>
              <w:t>Christopher Simms</w:t>
            </w:r>
          </w:p>
        </w:tc>
        <w:tc>
          <w:tcPr>
            <w:tcW w:w="1300" w:type="dxa"/>
            <w:vAlign w:val="bottom"/>
            <w:vMerge w:val="continue"/>
          </w:tcPr>
          <w:p>
            <w:pPr>
              <w:spacing w:after="0"/>
              <w:rPr>
                <w:sz w:val="23"/>
                <w:szCs w:val="23"/>
                <w:color w:val="auto"/>
              </w:rPr>
            </w:pP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3050540</wp:posOffset>
            </wp:positionH>
            <wp:positionV relativeFrom="page">
              <wp:posOffset>896620</wp:posOffset>
            </wp:positionV>
            <wp:extent cx="1455420" cy="967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455420" cy="96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June 16, 2021</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Mr. Christopher Simms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c/o IVERIC bio, Inc.</w:t>
      </w:r>
    </w:p>
    <w:p>
      <w:pPr>
        <w:spacing w:after="0" w:line="237" w:lineRule="auto"/>
        <w:rPr>
          <w:sz w:val="20"/>
          <w:szCs w:val="20"/>
          <w:color w:val="auto"/>
        </w:rPr>
      </w:pPr>
      <w:r>
        <w:rPr>
          <w:rFonts w:ascii="Arial" w:cs="Arial" w:eastAsia="Arial" w:hAnsi="Arial"/>
          <w:sz w:val="21"/>
          <w:szCs w:val="21"/>
          <w:color w:val="auto"/>
        </w:rPr>
        <w:t>5 Penn Plaza, Suite 2372</w:t>
      </w:r>
    </w:p>
    <w:p>
      <w:pPr>
        <w:spacing w:after="0"/>
        <w:rPr>
          <w:sz w:val="20"/>
          <w:szCs w:val="20"/>
          <w:color w:val="auto"/>
        </w:rPr>
      </w:pPr>
      <w:r>
        <w:rPr>
          <w:rFonts w:ascii="Arial" w:cs="Arial" w:eastAsia="Arial" w:hAnsi="Arial"/>
          <w:sz w:val="21"/>
          <w:szCs w:val="21"/>
          <w:color w:val="auto"/>
        </w:rPr>
        <w:t>New York, NY 10001</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Dear Chris:</w:t>
      </w:r>
    </w:p>
    <w:p>
      <w:pPr>
        <w:spacing w:after="0" w:line="236" w:lineRule="exact"/>
        <w:rPr>
          <w:sz w:val="20"/>
          <w:szCs w:val="20"/>
          <w:color w:val="auto"/>
        </w:rPr>
      </w:pPr>
    </w:p>
    <w:p>
      <w:pPr>
        <w:ind w:right="80" w:firstLine="318"/>
        <w:spacing w:after="0" w:line="266" w:lineRule="auto"/>
        <w:rPr>
          <w:sz w:val="20"/>
          <w:szCs w:val="20"/>
          <w:color w:val="auto"/>
        </w:rPr>
      </w:pPr>
      <w:r>
        <w:rPr>
          <w:rFonts w:ascii="Arial" w:cs="Arial" w:eastAsia="Arial" w:hAnsi="Arial"/>
          <w:sz w:val="21"/>
          <w:szCs w:val="21"/>
          <w:color w:val="auto"/>
        </w:rPr>
        <w:t>IVERIC bio, Inc. (the “Company”) will provide for the following severance benefits for you in the event of your termination of employment with the Company, on the terms and conditions set forth herein.</w:t>
      </w:r>
    </w:p>
    <w:p>
      <w:pPr>
        <w:spacing w:after="0" w:line="174" w:lineRule="exact"/>
        <w:rPr>
          <w:sz w:val="20"/>
          <w:szCs w:val="20"/>
          <w:color w:val="auto"/>
        </w:rPr>
      </w:pPr>
    </w:p>
    <w:p>
      <w:pPr>
        <w:ind w:left="1220" w:hanging="896"/>
        <w:spacing w:after="0"/>
        <w:tabs>
          <w:tab w:leader="none" w:pos="1220" w:val="left"/>
        </w:tabs>
        <w:numPr>
          <w:ilvl w:val="1"/>
          <w:numId w:val="59"/>
        </w:numPr>
        <w:rPr>
          <w:rFonts w:ascii="Arial" w:cs="Arial" w:eastAsia="Arial" w:hAnsi="Arial"/>
          <w:sz w:val="21"/>
          <w:szCs w:val="21"/>
          <w:color w:val="auto"/>
        </w:rPr>
      </w:pPr>
      <w:r>
        <w:rPr>
          <w:rFonts w:ascii="Arial" w:cs="Arial" w:eastAsia="Arial" w:hAnsi="Arial"/>
          <w:sz w:val="21"/>
          <w:szCs w:val="21"/>
          <w:b w:val="1"/>
          <w:bCs w:val="1"/>
          <w:u w:val="single" w:color="auto"/>
          <w:color w:val="auto"/>
        </w:rPr>
        <w:t>Severance</w:t>
      </w:r>
      <w:r>
        <w:rPr>
          <w:rFonts w:ascii="Arial" w:cs="Arial" w:eastAsia="Arial" w:hAnsi="Arial"/>
          <w:sz w:val="21"/>
          <w:szCs w:val="21"/>
          <w:b w:val="1"/>
          <w:bCs w:val="1"/>
          <w:color w:val="auto"/>
        </w:rPr>
        <w:t>.</w:t>
      </w:r>
    </w:p>
    <w:p>
      <w:pPr>
        <w:spacing w:after="0" w:line="241" w:lineRule="exact"/>
        <w:rPr>
          <w:rFonts w:ascii="Arial" w:cs="Arial" w:eastAsia="Arial" w:hAnsi="Arial"/>
          <w:sz w:val="21"/>
          <w:szCs w:val="21"/>
          <w:color w:val="auto"/>
        </w:rPr>
      </w:pPr>
    </w:p>
    <w:p>
      <w:pPr>
        <w:ind w:firstLine="6"/>
        <w:spacing w:after="0" w:line="265" w:lineRule="auto"/>
        <w:tabs>
          <w:tab w:leader="none" w:pos="606" w:val="left"/>
        </w:tabs>
        <w:numPr>
          <w:ilvl w:val="0"/>
          <w:numId w:val="60"/>
        </w:numPr>
        <w:rPr>
          <w:rFonts w:ascii="Arial" w:cs="Arial" w:eastAsia="Arial" w:hAnsi="Arial"/>
          <w:sz w:val="19"/>
          <w:szCs w:val="19"/>
          <w:color w:val="auto"/>
        </w:rPr>
      </w:pPr>
      <w:r>
        <w:rPr>
          <w:rFonts w:ascii="Arial" w:cs="Arial" w:eastAsia="Arial" w:hAnsi="Arial"/>
          <w:sz w:val="19"/>
          <w:szCs w:val="19"/>
          <w:color w:val="auto"/>
        </w:rPr>
        <w:t>Subject to Section 1(b), if your employment is terminated (1) at any time by the Company without Cause or by you for Good Reason (as such terms are herein defined) or (2) within one year following a Change in Control Event (as defined in the Company’s 2013 Stock Incentive Plan), by the Company, or its successor, without Cause or by you for Good Reason, the Company or its successor will (i) pay you in a lump sum on the Payment Date (as herein defined) (A) an amount equal to twelve (12) months of your then-current base salary, less standard employment-related withholdings and deductions and (B) an amount equal to a pro-rated portion of your then-current target bonus for the year in which your employment terminates, provided, however, that if your employment is terminated under the circumstances described in (2) of this Section 1(a), the Company or its successor will instead pay you an amount equal to your then-current target bonus for the year in which your employment terminates, in either case, without regard to whether the performance goals with respect to such target bonus have been established or met and less standard employment-related withholdings and deductions, and (ii) provided you elect to continue your and your eligible dependents’ participation in the Company’s medical and dental benefit plans pursuant to the Consolidated Omnibus Budget Reconciliation Act of 1986 (“COBRA”), reimburse you for the monthly premium to continue such coverage for the lesser of the twelve (12) full calendar months immediately following the month in which the termination of your employment occurs and the end of the calendar month in which you become eligible to receive group health plan coverage under another employee benefit plan. Notwithstanding the foregoing, if the reimbursement of monthly premiums would otherwise violate the nondiscrimination rules or cause the reimbursement of claims to be taxable under the Patient Protection and Affordable Care Act of 2010, together with the Health Care and Education Reconciliation Act of 2010 (collectively, the “Healthcare Reform Act”) or Section 105(h)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940"/>
        <w:spacing w:after="0"/>
        <w:rPr>
          <w:sz w:val="20"/>
          <w:szCs w:val="20"/>
          <w:color w:val="auto"/>
        </w:rPr>
      </w:pPr>
      <w:r>
        <w:rPr>
          <w:rFonts w:ascii="Arial" w:cs="Arial" w:eastAsia="Arial" w:hAnsi="Arial"/>
          <w:sz w:val="19"/>
          <w:szCs w:val="19"/>
          <w:b w:val="1"/>
          <w:bCs w:val="1"/>
          <w:color w:val="auto"/>
        </w:rPr>
        <w:t>IVERIC bio, Inc.</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9"/>
          <w:szCs w:val="19"/>
          <w:color w:val="auto"/>
        </w:rPr>
        <w:t>Five Penn Plaza Suite 2372 New York, New York 10001 • 212-845-8200 • www.ivericbio.com</w:t>
      </w:r>
    </w:p>
    <w:p>
      <w:pPr>
        <w:sectPr>
          <w:pgSz w:w="11900" w:h="16838" w:orient="portrait"/>
          <w:cols w:equalWidth="0" w:num="1">
            <w:col w:w="11220"/>
          </w:cols>
          <w:pgMar w:left="320" w:top="1440" w:right="359" w:bottom="1440" w:gutter="0" w:footer="0" w:header="0"/>
        </w:sectPr>
      </w:pPr>
    </w:p>
    <w:bookmarkStart w:id="107" w:name="page108"/>
    <w:bookmarkEnd w:id="107"/>
    <w:p>
      <w:pPr>
        <w:ind w:right="60"/>
        <w:spacing w:after="0" w:line="251" w:lineRule="auto"/>
        <w:rPr>
          <w:sz w:val="20"/>
          <w:szCs w:val="20"/>
          <w:color w:val="auto"/>
        </w:rPr>
      </w:pPr>
      <w:r>
        <w:rPr>
          <w:rFonts w:ascii="Arial" w:cs="Arial" w:eastAsia="Arial" w:hAnsi="Arial"/>
          <w:sz w:val="21"/>
          <w:szCs w:val="21"/>
          <w:color w:val="auto"/>
        </w:rPr>
        <w:t>Internal Revenue Code of 1986, as amended (the “Code”), these payments shall be treated as taxable payments to you and you shall be subject to imputed income tax treatment to the extent necessary to eliminate any discriminatory treatment or taxation under the Act or Section 105(h).</w:t>
      </w:r>
    </w:p>
    <w:p>
      <w:pPr>
        <w:spacing w:after="0" w:line="196" w:lineRule="exact"/>
        <w:rPr>
          <w:sz w:val="20"/>
          <w:szCs w:val="20"/>
          <w:color w:val="auto"/>
        </w:rPr>
      </w:pPr>
    </w:p>
    <w:p>
      <w:pPr>
        <w:ind w:firstLine="642"/>
        <w:spacing w:after="0" w:line="253" w:lineRule="auto"/>
        <w:tabs>
          <w:tab w:leader="none" w:pos="1201" w:val="left"/>
        </w:tabs>
        <w:numPr>
          <w:ilvl w:val="1"/>
          <w:numId w:val="61"/>
        </w:numPr>
        <w:rPr>
          <w:rFonts w:ascii="Arial" w:cs="Arial" w:eastAsia="Arial" w:hAnsi="Arial"/>
          <w:sz w:val="20"/>
          <w:szCs w:val="20"/>
          <w:color w:val="auto"/>
        </w:rPr>
      </w:pPr>
      <w:r>
        <w:rPr>
          <w:rFonts w:ascii="Arial" w:cs="Arial" w:eastAsia="Arial" w:hAnsi="Arial"/>
          <w:sz w:val="20"/>
          <w:szCs w:val="20"/>
          <w:color w:val="auto"/>
        </w:rPr>
        <w:t>Notwithstanding the foregoing, (i) the Company shall not be obligated to pay you the severance payments provided for herein unless you have timely executed (and not revoked) a separation agreement in a form to be provided by the Company. Such separation agreement must be executed and become binding and enforceable within sixty (60) calendar days after the effective date of your termination of employment (such 60th day, the “Payment Date”); provided however, that if the 60th day following the date of termination occurs in the next calendar year following the date of termination, then the Payment Date shall be no earlier than January 1 of such following calendar year and (ii) the severance payments provided for herein shall be reduced by any payments to which you may be entitled as a result of any applicable laws regarding plant closings or mass layoffs which require notice prior to termination or pay or benefits following termination, such that the amount of the payments made to you pursuant to such laws (whether such payments are made to you during any notice period prior to termination (regardless of whether the Company requires you to work during such notice period) or any period following termination), will reduce the severance payments otherwise due to you under Section 1(a).</w:t>
      </w:r>
    </w:p>
    <w:p>
      <w:pPr>
        <w:spacing w:after="0" w:line="195" w:lineRule="exact"/>
        <w:rPr>
          <w:rFonts w:ascii="Arial" w:cs="Arial" w:eastAsia="Arial" w:hAnsi="Arial"/>
          <w:sz w:val="20"/>
          <w:szCs w:val="20"/>
          <w:color w:val="auto"/>
        </w:rPr>
      </w:pPr>
    </w:p>
    <w:p>
      <w:pPr>
        <w:ind w:firstLine="642"/>
        <w:spacing w:after="0" w:line="265" w:lineRule="auto"/>
        <w:tabs>
          <w:tab w:leader="none" w:pos="1295"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For purposes hereof, “Cause” shall mean that: (i) you failed to attempt in good faith, refused or willfully neglected to perform and discharge your material duties and responsibilities; (ii) you have been convicted of, or pled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felony or other crime involving fraud or moral turpitude; (iii) you breached your fiduciary duty of loyalty to the Company, or acted fraudulently or with material dishonesty in discharging your duties to the Company; (iv) you undertook an intentional act or omission of misconduct that materially harmed or was reasonably likely to materially harm the business, interests, or reputation of the Company; (v) you materially breached any material provision of this letter or any other agreement with the Company; or</w:t>
      </w:r>
    </w:p>
    <w:p>
      <w:pPr>
        <w:spacing w:after="0" w:line="1" w:lineRule="exact"/>
        <w:rPr>
          <w:rFonts w:ascii="Arial" w:cs="Arial" w:eastAsia="Arial" w:hAnsi="Arial"/>
          <w:sz w:val="19"/>
          <w:szCs w:val="19"/>
          <w:color w:val="auto"/>
        </w:rPr>
      </w:pPr>
    </w:p>
    <w:p>
      <w:pPr>
        <w:ind w:right="40" w:firstLine="6"/>
        <w:spacing w:after="0" w:line="239" w:lineRule="auto"/>
        <w:tabs>
          <w:tab w:leader="none" w:pos="359" w:val="left"/>
        </w:tabs>
        <w:numPr>
          <w:ilvl w:val="0"/>
          <w:numId w:val="62"/>
        </w:numPr>
        <w:rPr>
          <w:rFonts w:ascii="Arial" w:cs="Arial" w:eastAsia="Arial" w:hAnsi="Arial"/>
          <w:sz w:val="21"/>
          <w:szCs w:val="21"/>
          <w:color w:val="auto"/>
        </w:rPr>
      </w:pPr>
      <w:r>
        <w:rPr>
          <w:rFonts w:ascii="Arial" w:cs="Arial" w:eastAsia="Arial" w:hAnsi="Arial"/>
          <w:sz w:val="21"/>
          <w:szCs w:val="21"/>
          <w:color w:val="auto"/>
        </w:rPr>
        <w:t>you materially breached any material provision of any Company code of conduct or ethics policy. Notwithstanding the foregoing, “Cause” shall not be deemed to have occurred unless: (A) the Company provides you with written notice that it intends to terminate your employment hereunder for one of the grounds set forth in subsections (i), (v) or (vi) within sixty (60) days of such reason(s) occurring, (B) if such ground is capable of being cured, you have failed to cure such ground within a period of thirty (30) days from the date of such written notice, and (C) the Company terminates your employment within six (6) months from the date that Cause first occurs.</w:t>
      </w:r>
    </w:p>
    <w:p>
      <w:pPr>
        <w:spacing w:after="0" w:line="208" w:lineRule="exact"/>
        <w:rPr>
          <w:rFonts w:ascii="Arial" w:cs="Arial" w:eastAsia="Arial" w:hAnsi="Arial"/>
          <w:sz w:val="21"/>
          <w:szCs w:val="21"/>
          <w:color w:val="auto"/>
        </w:rPr>
      </w:pPr>
    </w:p>
    <w:p>
      <w:pPr>
        <w:ind w:right="100" w:firstLine="642"/>
        <w:spacing w:after="0" w:line="256" w:lineRule="auto"/>
        <w:tabs>
          <w:tab w:leader="none" w:pos="1201" w:val="left"/>
        </w:tabs>
        <w:numPr>
          <w:ilvl w:val="1"/>
          <w:numId w:val="62"/>
        </w:numPr>
        <w:rPr>
          <w:rFonts w:ascii="Arial" w:cs="Arial" w:eastAsia="Arial" w:hAnsi="Arial"/>
          <w:sz w:val="20"/>
          <w:szCs w:val="20"/>
          <w:color w:val="auto"/>
        </w:rPr>
      </w:pPr>
      <w:r>
        <w:rPr>
          <w:rFonts w:ascii="Arial" w:cs="Arial" w:eastAsia="Arial" w:hAnsi="Arial"/>
          <w:sz w:val="20"/>
          <w:szCs w:val="20"/>
          <w:color w:val="auto"/>
        </w:rPr>
        <w:t>For purposes hereof, “Good Reason” shall mean, without your written consent: (i) any change in your position or reporting relationship with the Company that diminishes in any material respect your authority, duties or responsibilities; (ii) any material reduction in your base compensation; (iii) a material change in the primary geographic location at which services are to be performed by you (unless the new location is closer to your primary residence than the prior location); or (iv) a material breach of any provision hereof by the Company or any successor or assign. Notwithstanding the foregoing, “Good Reason” shall not be deemed to have occurred unless: (A) you provide the Company with written notice that you intend to terminate your employment hereunder for one of the grounds set forth in subsections (i), (ii), (iii) or (iv) of the</w:t>
      </w:r>
    </w:p>
    <w:p>
      <w:pPr>
        <w:sectPr>
          <w:pgSz w:w="11900" w:h="16838" w:orient="portrait"/>
          <w:cols w:equalWidth="0" w:num="1">
            <w:col w:w="11240"/>
          </w:cols>
          <w:pgMar w:left="320" w:top="1390" w:right="339" w:bottom="1440" w:gutter="0" w:footer="0" w:header="0"/>
        </w:sectPr>
      </w:pPr>
    </w:p>
    <w:bookmarkStart w:id="108" w:name="page109"/>
    <w:bookmarkEnd w:id="108"/>
    <w:p>
      <w:pPr>
        <w:ind w:right="20"/>
        <w:spacing w:after="0" w:line="276" w:lineRule="auto"/>
        <w:rPr>
          <w:sz w:val="20"/>
          <w:szCs w:val="20"/>
          <w:color w:val="auto"/>
        </w:rPr>
      </w:pPr>
      <w:r>
        <w:rPr>
          <w:rFonts w:ascii="Arial" w:cs="Arial" w:eastAsia="Arial" w:hAnsi="Arial"/>
          <w:sz w:val="19"/>
          <w:szCs w:val="19"/>
          <w:color w:val="auto"/>
        </w:rPr>
        <w:t>immediately preceding sentence within sixty (60) days of such reason(s) occurring, (B) if such ground is capable of being cured, the Company has failed to cure such ground within a period of thirty (30) days from the date of such written notice, and (C) you terminate your employment within six (6) months from the date that Good Reason first occurs. For purposes of clarification, the above-listed conditions shall apply separately to each occurrence of Good Reason and failure to adhere to such conditions in the event of Good Reason shall not disqualify you from asserting Good Reason for any subsequent occurrence of Good Reason.</w:t>
      </w:r>
    </w:p>
    <w:p>
      <w:pPr>
        <w:spacing w:after="0" w:line="169" w:lineRule="exact"/>
        <w:rPr>
          <w:sz w:val="20"/>
          <w:szCs w:val="20"/>
          <w:color w:val="auto"/>
        </w:rPr>
      </w:pPr>
    </w:p>
    <w:p>
      <w:pPr>
        <w:ind w:right="80" w:firstLine="324"/>
        <w:spacing w:after="0" w:line="283" w:lineRule="auto"/>
        <w:tabs>
          <w:tab w:leader="none" w:pos="1219" w:val="left"/>
        </w:tabs>
        <w:numPr>
          <w:ilvl w:val="0"/>
          <w:numId w:val="63"/>
        </w:numPr>
        <w:rPr>
          <w:rFonts w:ascii="Arial" w:cs="Arial" w:eastAsia="Arial" w:hAnsi="Arial"/>
          <w:sz w:val="19"/>
          <w:szCs w:val="19"/>
          <w:color w:val="auto"/>
        </w:rPr>
      </w:pPr>
      <w:r>
        <w:rPr>
          <w:rFonts w:ascii="Arial" w:cs="Arial" w:eastAsia="Arial" w:hAnsi="Arial"/>
          <w:sz w:val="19"/>
          <w:szCs w:val="19"/>
          <w:b w:val="1"/>
          <w:bCs w:val="1"/>
          <w:u w:val="single" w:color="auto"/>
          <w:color w:val="auto"/>
        </w:rPr>
        <w:t>Equity Acceleration</w:t>
      </w:r>
      <w:r>
        <w:rPr>
          <w:rFonts w:ascii="Arial" w:cs="Arial" w:eastAsia="Arial" w:hAnsi="Arial"/>
          <w:sz w:val="19"/>
          <w:szCs w:val="19"/>
          <w:b w:val="1"/>
          <w:bCs w:val="1"/>
          <w:color w:val="auto"/>
        </w:rPr>
        <w:t xml:space="preserve">. </w:t>
      </w:r>
      <w:r>
        <w:rPr>
          <w:rFonts w:ascii="Arial" w:cs="Arial" w:eastAsia="Arial" w:hAnsi="Arial"/>
          <w:sz w:val="19"/>
          <w:szCs w:val="19"/>
          <w:color w:val="auto"/>
        </w:rPr>
        <w:t>If your employment with the Company, or its successor, is terminated by the Company or such</w:t>
      </w:r>
      <w:r>
        <w:rPr>
          <w:rFonts w:ascii="Arial" w:cs="Arial" w:eastAsia="Arial" w:hAnsi="Arial"/>
          <w:sz w:val="19"/>
          <w:szCs w:val="19"/>
          <w:b w:val="1"/>
          <w:bCs w:val="1"/>
          <w:color w:val="auto"/>
        </w:rPr>
        <w:t xml:space="preserve"> </w:t>
      </w:r>
      <w:r>
        <w:rPr>
          <w:rFonts w:ascii="Arial" w:cs="Arial" w:eastAsia="Arial" w:hAnsi="Arial"/>
          <w:sz w:val="19"/>
          <w:szCs w:val="19"/>
          <w:color w:val="auto"/>
        </w:rPr>
        <w:t>successor without Cause or by you for Good Reason within the one (1) year period following a Change in Control Event, then the then-unvested portion of any equity awards held by you that vest solely based on the passage of time shall immediately vest in full and become exercisable or free from forfeiture or repurchase, as applicable, as of the date of such termination.</w:t>
      </w:r>
    </w:p>
    <w:p>
      <w:pPr>
        <w:spacing w:after="0" w:line="161" w:lineRule="exact"/>
        <w:rPr>
          <w:rFonts w:ascii="Arial" w:cs="Arial" w:eastAsia="Arial" w:hAnsi="Arial"/>
          <w:sz w:val="19"/>
          <w:szCs w:val="19"/>
          <w:color w:val="auto"/>
        </w:rPr>
      </w:pPr>
    </w:p>
    <w:p>
      <w:pPr>
        <w:ind w:left="1220" w:hanging="896"/>
        <w:spacing w:after="0"/>
        <w:tabs>
          <w:tab w:leader="none" w:pos="1220" w:val="left"/>
        </w:tabs>
        <w:numPr>
          <w:ilvl w:val="0"/>
          <w:numId w:val="63"/>
        </w:numPr>
        <w:rPr>
          <w:rFonts w:ascii="Arial" w:cs="Arial" w:eastAsia="Arial" w:hAnsi="Arial"/>
          <w:sz w:val="21"/>
          <w:szCs w:val="21"/>
          <w:color w:val="auto"/>
        </w:rPr>
      </w:pPr>
      <w:r>
        <w:rPr>
          <w:rFonts w:ascii="Arial" w:cs="Arial" w:eastAsia="Arial" w:hAnsi="Arial"/>
          <w:sz w:val="21"/>
          <w:szCs w:val="21"/>
          <w:b w:val="1"/>
          <w:bCs w:val="1"/>
          <w:u w:val="single" w:color="auto"/>
          <w:color w:val="auto"/>
        </w:rPr>
        <w:t>Modified Cutback</w:t>
      </w:r>
      <w:r>
        <w:rPr>
          <w:rFonts w:ascii="Arial" w:cs="Arial" w:eastAsia="Arial" w:hAnsi="Arial"/>
          <w:sz w:val="21"/>
          <w:szCs w:val="21"/>
          <w:b w:val="1"/>
          <w:bCs w:val="1"/>
          <w:color w:val="auto"/>
        </w:rPr>
        <w:t>.</w:t>
      </w:r>
    </w:p>
    <w:p>
      <w:pPr>
        <w:spacing w:after="0" w:line="241" w:lineRule="exact"/>
        <w:rPr>
          <w:rFonts w:ascii="Arial" w:cs="Arial" w:eastAsia="Arial" w:hAnsi="Arial"/>
          <w:sz w:val="21"/>
          <w:szCs w:val="21"/>
          <w:color w:val="auto"/>
        </w:rPr>
      </w:pPr>
    </w:p>
    <w:p>
      <w:pPr>
        <w:ind w:firstLine="642"/>
        <w:spacing w:after="0" w:line="270" w:lineRule="auto"/>
        <w:tabs>
          <w:tab w:leader="none" w:pos="1242" w:val="left"/>
        </w:tabs>
        <w:numPr>
          <w:ilvl w:val="1"/>
          <w:numId w:val="63"/>
        </w:numPr>
        <w:rPr>
          <w:rFonts w:ascii="Arial" w:cs="Arial" w:eastAsia="Arial" w:hAnsi="Arial"/>
          <w:sz w:val="19"/>
          <w:szCs w:val="19"/>
          <w:color w:val="auto"/>
        </w:rPr>
      </w:pPr>
      <w:r>
        <w:rPr>
          <w:rFonts w:ascii="Arial" w:cs="Arial" w:eastAsia="Arial" w:hAnsi="Arial"/>
          <w:sz w:val="19"/>
          <w:szCs w:val="19"/>
          <w:color w:val="auto"/>
        </w:rPr>
        <w:t>Notwithstanding any other provision of this letter agreement, the letter agreement evidencing your offer of employment with us, or any other agreements between you and us, except as set forth in Section 3(b) hereof, in the event that the Company undergoes a “Change in Ownership or Control” (as defined below), the Company shall not be obligated to provide you a portion of any “Contingent Compensation Payments” (as defined below) that you would otherwise be entitled to receive to the extent necessary to eliminate any “excess parachute payments” (as defined in Section 280G(b)(l) of the Code) for you. For purposes of this Section 3(a),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80" w:lineRule="exact"/>
        <w:rPr>
          <w:rFonts w:ascii="Arial" w:cs="Arial" w:eastAsia="Arial" w:hAnsi="Arial"/>
          <w:sz w:val="19"/>
          <w:szCs w:val="19"/>
          <w:color w:val="auto"/>
        </w:rPr>
      </w:pPr>
    </w:p>
    <w:p>
      <w:pPr>
        <w:ind w:firstLine="642"/>
        <w:spacing w:after="0" w:line="253" w:lineRule="auto"/>
        <w:tabs>
          <w:tab w:leader="none" w:pos="1201" w:val="left"/>
        </w:tabs>
        <w:numPr>
          <w:ilvl w:val="1"/>
          <w:numId w:val="63"/>
        </w:numPr>
        <w:rPr>
          <w:rFonts w:ascii="Arial" w:cs="Arial" w:eastAsia="Arial" w:hAnsi="Arial"/>
          <w:sz w:val="20"/>
          <w:szCs w:val="20"/>
          <w:color w:val="auto"/>
        </w:rPr>
      </w:pPr>
      <w:r>
        <w:rPr>
          <w:rFonts w:ascii="Arial" w:cs="Arial" w:eastAsia="Arial" w:hAnsi="Arial"/>
          <w:sz w:val="20"/>
          <w:szCs w:val="20"/>
          <w:color w:val="auto"/>
        </w:rPr>
        <w:t>Notwithstanding the provisions of Section 3(a), no such reduction in Contingent Compensation Payments shall be made if (1) the Eliminated Amount (computed without regard to this sentence) exceeds (2) 100% of the aggregate present value (determined in accordance with Treasury Regulation Section 1.280G-1, Q/A-31 and Q/A-32 or any successor provisions) of the amount of any additional taxes that would be incurred by you if the Eliminated Payments (determined without regard to this sentence) were paid to you (including, state and federal income taxes on the Eliminated Payments, the excise tax imposed by Section 4999 of the Code payable with respect to all of the Contingent Compensation Payments in excess of your “base amount” (as defined in Section 280G(b)(3) of the Code), and any withholding taxes). The override of such reduction in Contingent Compensation Payments pursuant to this Section 3(b) shall be referred to as a “Section 3(b) 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spacing w:after="0" w:line="195" w:lineRule="exact"/>
        <w:rPr>
          <w:rFonts w:ascii="Arial" w:cs="Arial" w:eastAsia="Arial" w:hAnsi="Arial"/>
          <w:sz w:val="20"/>
          <w:szCs w:val="20"/>
          <w:color w:val="auto"/>
        </w:rPr>
      </w:pPr>
    </w:p>
    <w:p>
      <w:pPr>
        <w:ind w:left="1240" w:hanging="598"/>
        <w:spacing w:after="0"/>
        <w:tabs>
          <w:tab w:leader="none" w:pos="1240" w:val="left"/>
        </w:tabs>
        <w:numPr>
          <w:ilvl w:val="1"/>
          <w:numId w:val="63"/>
        </w:numPr>
        <w:rPr>
          <w:rFonts w:ascii="Arial" w:cs="Arial" w:eastAsia="Arial" w:hAnsi="Arial"/>
          <w:sz w:val="21"/>
          <w:szCs w:val="21"/>
          <w:color w:val="auto"/>
        </w:rPr>
      </w:pPr>
      <w:r>
        <w:rPr>
          <w:rFonts w:ascii="Arial" w:cs="Arial" w:eastAsia="Arial" w:hAnsi="Arial"/>
          <w:sz w:val="21"/>
          <w:szCs w:val="21"/>
          <w:color w:val="auto"/>
        </w:rPr>
        <w:t>For purposes of this Section 3 the following terms shall have the following respective meanings:</w:t>
      </w:r>
    </w:p>
    <w:p>
      <w:pPr>
        <w:sectPr>
          <w:pgSz w:w="11900" w:h="16838" w:orient="portrait"/>
          <w:cols w:equalWidth="0" w:num="1">
            <w:col w:w="11240"/>
          </w:cols>
          <w:pgMar w:left="320" w:top="1390" w:right="339" w:bottom="1440" w:gutter="0" w:footer="0" w:header="0"/>
        </w:sectPr>
      </w:pPr>
    </w:p>
    <w:bookmarkStart w:id="109" w:name="page110"/>
    <w:bookmarkEnd w:id="109"/>
    <w:p>
      <w:pPr>
        <w:spacing w:after="0" w:line="189" w:lineRule="exact"/>
        <w:rPr>
          <w:sz w:val="20"/>
          <w:szCs w:val="20"/>
          <w:color w:val="auto"/>
        </w:rPr>
      </w:pPr>
    </w:p>
    <w:p>
      <w:pPr>
        <w:ind w:left="-2" w:right="120" w:firstLine="638"/>
        <w:spacing w:after="0" w:line="271" w:lineRule="auto"/>
        <w:tabs>
          <w:tab w:leader="none" w:pos="1152" w:val="left"/>
        </w:tabs>
        <w:numPr>
          <w:ilvl w:val="1"/>
          <w:numId w:val="64"/>
        </w:numPr>
        <w:rPr>
          <w:rFonts w:ascii="Arial" w:cs="Arial" w:eastAsia="Arial" w:hAnsi="Arial"/>
          <w:sz w:val="19"/>
          <w:szCs w:val="19"/>
          <w:color w:val="auto"/>
        </w:rPr>
      </w:pPr>
      <w:r>
        <w:rPr>
          <w:rFonts w:ascii="Arial" w:cs="Arial" w:eastAsia="Arial" w:hAnsi="Arial"/>
          <w:sz w:val="19"/>
          <w:szCs w:val="19"/>
          <w:color w:val="auto"/>
        </w:rPr>
        <w:t>“Change in Ownership or Control” shall mean a change in the ownership or effective control of the Company or in the ownership of a substantial portion of the assets of the Company determined in accordance with Section 280G(b)</w:t>
      </w:r>
    </w:p>
    <w:p>
      <w:pPr>
        <w:spacing w:after="0" w:line="1" w:lineRule="exact"/>
        <w:rPr>
          <w:rFonts w:ascii="Arial" w:cs="Arial" w:eastAsia="Arial" w:hAnsi="Arial"/>
          <w:sz w:val="19"/>
          <w:szCs w:val="19"/>
          <w:color w:val="auto"/>
        </w:rPr>
      </w:pPr>
    </w:p>
    <w:p>
      <w:pPr>
        <w:ind w:left="298" w:hanging="298"/>
        <w:spacing w:after="0"/>
        <w:tabs>
          <w:tab w:leader="none" w:pos="298" w:val="left"/>
        </w:tabs>
        <w:numPr>
          <w:ilvl w:val="0"/>
          <w:numId w:val="65"/>
        </w:numPr>
        <w:rPr>
          <w:rFonts w:ascii="Arial" w:cs="Arial" w:eastAsia="Arial" w:hAnsi="Arial"/>
          <w:sz w:val="21"/>
          <w:szCs w:val="21"/>
          <w:color w:val="auto"/>
        </w:rPr>
      </w:pPr>
      <w:r>
        <w:rPr>
          <w:rFonts w:ascii="Arial" w:cs="Arial" w:eastAsia="Arial" w:hAnsi="Arial"/>
          <w:sz w:val="21"/>
          <w:szCs w:val="21"/>
          <w:color w:val="auto"/>
        </w:rPr>
        <w:t>of the Code.</w:t>
      </w:r>
    </w:p>
    <w:p>
      <w:pPr>
        <w:spacing w:after="0" w:line="217" w:lineRule="exact"/>
        <w:rPr>
          <w:rFonts w:ascii="Arial" w:cs="Arial" w:eastAsia="Arial" w:hAnsi="Arial"/>
          <w:sz w:val="21"/>
          <w:szCs w:val="21"/>
          <w:color w:val="auto"/>
        </w:rPr>
      </w:pPr>
    </w:p>
    <w:p>
      <w:pPr>
        <w:jc w:val="both"/>
        <w:ind w:left="-2" w:firstLine="638"/>
        <w:spacing w:after="0" w:line="246" w:lineRule="auto"/>
        <w:tabs>
          <w:tab w:leader="none" w:pos="1052" w:val="left"/>
        </w:tabs>
        <w:numPr>
          <w:ilvl w:val="1"/>
          <w:numId w:val="65"/>
        </w:numPr>
        <w:rPr>
          <w:rFonts w:ascii="Arial" w:cs="Arial" w:eastAsia="Arial" w:hAnsi="Arial"/>
          <w:sz w:val="21"/>
          <w:szCs w:val="21"/>
          <w:color w:val="auto"/>
        </w:rPr>
      </w:pPr>
      <w:r>
        <w:rPr>
          <w:rFonts w:ascii="Arial" w:cs="Arial" w:eastAsia="Arial" w:hAnsi="Arial"/>
          <w:sz w:val="21"/>
          <w:szCs w:val="21"/>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202" w:lineRule="exact"/>
        <w:rPr>
          <w:sz w:val="20"/>
          <w:szCs w:val="20"/>
          <w:color w:val="auto"/>
        </w:rPr>
      </w:pPr>
    </w:p>
    <w:p>
      <w:pPr>
        <w:ind w:left="-642" w:firstLine="642"/>
        <w:spacing w:after="0" w:line="264" w:lineRule="auto"/>
        <w:tabs>
          <w:tab w:leader="none" w:pos="547"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payments or other benefits otherwise due to you following a Change in Ownership or Control that could reasonably be characterized (as determined by the Company) as Contingent Compensation Payments (the “Potential Payments”) shall not be made until the dates provided for in this Section 3(d). Within 30 days after each date on which you first become entitled to receive (whether or not then due) a Contingent Compensation Payment relating to such Change in Ownership or Control, the Company shall determine and notify you (with reasonable detail regarding the basis for its determinations) (1) which Potential Payments constitute Contingent Compensation Payments, (2) the Eliminated Amount and (3) whether the Section 3(b) Override is applicable. Within 30 days after delivery of such notice to you, you shall deliver a response to the Company (the “Executive Response”) stating either (A) that you agree with the Company’s determination pursuant to the preceding sentence or (B) that you disagree with such determination, in which case you shall set forth (x) which Potential Payments should be characterized as Contingent Compensation Payments, (y) the Eliminated Amount, and (z) whether the Section 3(b) Override is applicable. In the event that you fail to deliver an Executive Response on or before the required date, the Company’s initial determination shall be final. If you state in the Executive Response that you agree with the Company’s determination, the Company shall make the Potential Payments to you within three business days following delivery to the Company of the Executive Response (except for any Potential Payments which are not due to be made until after such date, which Potential Payments shall be made on the date on which they are due). If you state in the Executive Response that you disagree with the Company’s determination, then, for a period of 60 days following delivery of the Executive Response, you and the Company shall use good faith efforts to resolve such dispute. If such dispute is not resolved within such 60-day period, such dispute shall be settled exclusively by arbitration in New York, New York, in accordance with the rules of the American Arbitration Association then in effect. Judgment may be entered on the arbitrator’s award in any court having jurisdiction. The Company shall, within three business days following delivery to the Company of the Executive Response, make to you those Potential Payments as to which there is no dispute between the Company and you regarding whether they should be made (except for any such Potential Payments which are not due to be made until after such date, which Potential Payments shall be made on the date on which they are due). The balance of the Potential Payments shall be made within three business days following the resolution of such dispute.</w:t>
      </w:r>
    </w:p>
    <w:p>
      <w:pPr>
        <w:spacing w:after="0" w:line="196" w:lineRule="exact"/>
        <w:rPr>
          <w:rFonts w:ascii="Arial" w:cs="Arial" w:eastAsia="Arial" w:hAnsi="Arial"/>
          <w:sz w:val="19"/>
          <w:szCs w:val="19"/>
          <w:color w:val="auto"/>
        </w:rPr>
      </w:pPr>
    </w:p>
    <w:p>
      <w:pPr>
        <w:ind w:left="-642" w:right="20" w:firstLine="642"/>
        <w:spacing w:after="0" w:line="251" w:lineRule="auto"/>
        <w:tabs>
          <w:tab w:leader="none" w:pos="596"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Contingent Compensation Payments to be treated as Eliminated Payments shall be determined by the Company by determining the “Contingent Compensation Payment Ratio” (as defined below) for each Contingent Compensation Payment and then reducing the</w:t>
      </w:r>
    </w:p>
    <w:p>
      <w:pPr>
        <w:sectPr>
          <w:pgSz w:w="11900" w:h="16838" w:orient="portrait"/>
          <w:cols w:equalWidth="0" w:num="1">
            <w:col w:w="10558"/>
          </w:cols>
          <w:pgMar w:left="962" w:top="1440" w:right="379" w:bottom="1440" w:gutter="0" w:footer="0" w:header="0"/>
        </w:sectPr>
      </w:pPr>
    </w:p>
    <w:bookmarkStart w:id="110" w:name="page111"/>
    <w:bookmarkEnd w:id="110"/>
    <w:p>
      <w:pPr>
        <w:spacing w:after="0" w:line="264" w:lineRule="auto"/>
        <w:rPr>
          <w:sz w:val="20"/>
          <w:szCs w:val="20"/>
          <w:color w:val="auto"/>
        </w:rPr>
      </w:pPr>
      <w:r>
        <w:rPr>
          <w:rFonts w:ascii="Arial" w:cs="Arial" w:eastAsia="Arial" w:hAnsi="Arial"/>
          <w:sz w:val="19"/>
          <w:szCs w:val="19"/>
          <w:color w:val="auto"/>
        </w:rPr>
        <w:t>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 “Contingent Compensation Payment Ratio” shall mean a fraction the numerator of which is the value of the applicable Contingent Compensation Payment that must be taken into account by you for purposes of</w:t>
      </w:r>
    </w:p>
    <w:p>
      <w:pPr>
        <w:spacing w:after="0" w:line="3"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Section 4999(a) of the Code, and the denominator of which is the actual amount to be received by you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1.280G-1Q/A-24(b) or (c)).</w:t>
      </w:r>
    </w:p>
    <w:p>
      <w:pPr>
        <w:spacing w:after="0" w:line="179" w:lineRule="exact"/>
        <w:rPr>
          <w:sz w:val="20"/>
          <w:szCs w:val="20"/>
          <w:color w:val="auto"/>
        </w:rPr>
      </w:pPr>
    </w:p>
    <w:p>
      <w:pPr>
        <w:ind w:right="60" w:firstLine="642"/>
        <w:spacing w:after="0" w:line="319" w:lineRule="auto"/>
        <w:tabs>
          <w:tab w:leader="none" w:pos="1321" w:val="left"/>
        </w:tabs>
        <w:numPr>
          <w:ilvl w:val="1"/>
          <w:numId w:val="67"/>
        </w:numPr>
        <w:rPr>
          <w:rFonts w:ascii="Arial" w:cs="Arial" w:eastAsia="Arial" w:hAnsi="Arial"/>
          <w:sz w:val="19"/>
          <w:szCs w:val="19"/>
          <w:color w:val="auto"/>
        </w:rPr>
      </w:pPr>
      <w:r>
        <w:rPr>
          <w:rFonts w:ascii="Arial" w:cs="Arial" w:eastAsia="Arial" w:hAnsi="Arial"/>
          <w:sz w:val="19"/>
          <w:szCs w:val="19"/>
          <w:color w:val="auto"/>
        </w:rPr>
        <w:t>The provisions of this Section 3 are intended to apply to any and all payments or benefits available to you under this letter agreement or any other agreement or plan of the Company under which you receive Contingent Compensation Payments.</w:t>
      </w:r>
    </w:p>
    <w:p>
      <w:pPr>
        <w:spacing w:after="0" w:line="128" w:lineRule="exact"/>
        <w:rPr>
          <w:rFonts w:ascii="Arial" w:cs="Arial" w:eastAsia="Arial" w:hAnsi="Arial"/>
          <w:sz w:val="19"/>
          <w:szCs w:val="19"/>
          <w:color w:val="auto"/>
        </w:rPr>
      </w:pPr>
    </w:p>
    <w:p>
      <w:pPr>
        <w:ind w:left="1220" w:hanging="896"/>
        <w:spacing w:after="0"/>
        <w:tabs>
          <w:tab w:leader="none" w:pos="1220" w:val="left"/>
        </w:tabs>
        <w:numPr>
          <w:ilvl w:val="0"/>
          <w:numId w:val="68"/>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b w:val="1"/>
          <w:bCs w:val="1"/>
          <w:color w:val="auto"/>
        </w:rPr>
        <w:t>.</w:t>
      </w:r>
    </w:p>
    <w:p>
      <w:pPr>
        <w:spacing w:after="0" w:line="241" w:lineRule="exact"/>
        <w:rPr>
          <w:rFonts w:ascii="Arial" w:cs="Arial" w:eastAsia="Arial" w:hAnsi="Arial"/>
          <w:sz w:val="21"/>
          <w:szCs w:val="21"/>
          <w:color w:val="auto"/>
        </w:rPr>
      </w:pPr>
    </w:p>
    <w:p>
      <w:pPr>
        <w:ind w:right="40" w:firstLine="642"/>
        <w:spacing w:after="0" w:line="251" w:lineRule="auto"/>
        <w:tabs>
          <w:tab w:leader="none" w:pos="1242"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Code Section 409A</w:t>
      </w:r>
      <w:r>
        <w:rPr>
          <w:rFonts w:ascii="Arial" w:cs="Arial" w:eastAsia="Arial" w:hAnsi="Arial"/>
          <w:sz w:val="20"/>
          <w:szCs w:val="20"/>
          <w:color w:val="auto"/>
        </w:rPr>
        <w:t>. The intent of the parties is that payments and benefits under this letter comply with, or be exempt from, Internal Revenue Code Section 409A and the regulations and guidance promulgated thereunder (collectively “Code Section 409A”). Accordingly, if any provision of this letter is ambiguous, such that one interpretation would subject a payment or benefit to the excise tax imposed by Code Section 409A and an alternative interpretation would not so subject the payment or benefit, the parties intend the interpretation that would not so subject the payment or benefit to apply. 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provided that this clause (ii) shall not be violated with regard to expenses reimbursed under any arrangement covered by Section 105(a) of the Code solely because such expenses are subject to a limit related to the period the arrangement is in effect, and (iii) such payments shall be made on or before the last day of your taxable year following the taxable year in which the expense occurred, provided that any tax gross-ups may be reimbursed by the end of the calendar year following the calendar year in which such taxes are remitted to the taxing authorities. For purposes of Code Section 409A, each payment hereunder shall be treated as a separate payment and your right to receive any installment payments pursuant to this Agreement shall be treated as a right to receive a series of separate and distinct payments. In no event may you, directly or</w:t>
      </w:r>
    </w:p>
    <w:p>
      <w:pPr>
        <w:sectPr>
          <w:pgSz w:w="11900" w:h="16838" w:orient="portrait"/>
          <w:cols w:equalWidth="0" w:num="1">
            <w:col w:w="11240"/>
          </w:cols>
          <w:pgMar w:left="320" w:top="1390" w:right="339" w:bottom="1440" w:gutter="0" w:footer="0" w:header="0"/>
        </w:sectPr>
      </w:pPr>
    </w:p>
    <w:bookmarkStart w:id="111" w:name="page112"/>
    <w:bookmarkEnd w:id="111"/>
    <w:p>
      <w:pPr>
        <w:ind w:right="160"/>
        <w:spacing w:after="0" w:line="276" w:lineRule="auto"/>
        <w:rPr>
          <w:sz w:val="20"/>
          <w:szCs w:val="20"/>
          <w:color w:val="auto"/>
        </w:rPr>
      </w:pPr>
      <w:r>
        <w:rPr>
          <w:rFonts w:ascii="Arial" w:cs="Arial" w:eastAsia="Arial" w:hAnsi="Arial"/>
          <w:sz w:val="19"/>
          <w:szCs w:val="19"/>
          <w:color w:val="auto"/>
        </w:rPr>
        <w:t>indirectly, designate the calendar year of any payment to be made under this letter that is considered nonqualified deferred compensation. Termination of employment as used herein shall mean separation from service within the meaning of Code Section 409A. In the event at the time of any separation from service you are a “specified employee” within the meaning of Code Section 409A, any deferred compensation subject to Code Section 409A payable as a result of such termination shall not be paid prior to the earlier of six (6) months after such termination and your death and shall be paid immediately thereafter.</w:t>
      </w:r>
    </w:p>
    <w:p>
      <w:pPr>
        <w:spacing w:after="0" w:line="175" w:lineRule="exact"/>
        <w:rPr>
          <w:sz w:val="20"/>
          <w:szCs w:val="20"/>
          <w:color w:val="auto"/>
        </w:rPr>
      </w:pPr>
    </w:p>
    <w:p>
      <w:pPr>
        <w:ind w:right="20" w:firstLine="642"/>
        <w:spacing w:after="0" w:line="242" w:lineRule="auto"/>
        <w:tabs>
          <w:tab w:leader="none" w:pos="1201"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This letter shall be governed by and construed in accordance with the laws of the State of New York (without reference to the conflicts of laws provisions thereof). Any action, suit, or other legal proceeding which is commenced to resolve any matter arising under or relating to any provision of this letter shall be commenced only in a court of the State of New York (or, if appropriate, a federal court located within New York), and the Company and you each consents to the jurisdiction of such a court. The Company and you each hereby irrevocably waive any right to a trial by jury in any action, suit or other legal proceeding arising under or relating to any provision hereof.</w:t>
      </w:r>
    </w:p>
    <w:p>
      <w:pPr>
        <w:spacing w:after="0" w:line="208" w:lineRule="exact"/>
        <w:rPr>
          <w:rFonts w:ascii="Arial" w:cs="Arial" w:eastAsia="Arial" w:hAnsi="Arial"/>
          <w:sz w:val="21"/>
          <w:szCs w:val="21"/>
          <w:color w:val="auto"/>
        </w:rPr>
      </w:pPr>
    </w:p>
    <w:p>
      <w:pPr>
        <w:ind w:firstLine="642"/>
        <w:spacing w:after="0" w:line="254" w:lineRule="auto"/>
        <w:tabs>
          <w:tab w:leader="none" w:pos="1242"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Conflict; Amendment: Counterparts</w:t>
      </w:r>
      <w:r>
        <w:rPr>
          <w:rFonts w:ascii="Arial" w:cs="Arial" w:eastAsia="Arial" w:hAnsi="Arial"/>
          <w:sz w:val="20"/>
          <w:szCs w:val="20"/>
          <w:color w:val="auto"/>
        </w:rPr>
        <w:t>. This letter agreement sets forth the Company’s sole obligation, subject to the terms and conditions set forth herein, to provide severance benefits to you. The severance benefits set forth in this letter agreement are therefore in lieu of, and not in addition to, any severance benefits that may be described in the letter agreement evidencing your offer of employment with us, or any other agreement or arrangement between you and us. Except as modified hereby, the terms of the letter agreement evidencing your offer of employment with us remain in full force and effect. The Prior Agreement is superseded by this agreement and shall be of no further force or effect. This agreement may only be modified in a document signed by both the Company and you. This agreement may be executed in counterparts, each of which will be deemed an original, but all of which will be deemed one and the same instrument.</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Remainder of page intentionally left blank</w:t>
      </w:r>
      <w:r>
        <w:rPr>
          <w:rFonts w:ascii="Arial" w:cs="Arial" w:eastAsia="Arial" w:hAnsi="Arial"/>
          <w:sz w:val="21"/>
          <w:szCs w:val="21"/>
          <w:color w:val="auto"/>
        </w:rPr>
        <w:t>]</w:t>
      </w:r>
    </w:p>
    <w:p>
      <w:pPr>
        <w:sectPr>
          <w:pgSz w:w="11900" w:h="16838" w:orient="portrait"/>
          <w:cols w:equalWidth="0" w:num="1">
            <w:col w:w="11140"/>
          </w:cols>
          <w:pgMar w:left="320" w:top="1390" w:right="439" w:bottom="1440" w:gutter="0" w:footer="0" w:header="0"/>
        </w:sectPr>
      </w:pPr>
    </w:p>
    <w:bookmarkStart w:id="112" w:name="page113"/>
    <w:bookmarkEnd w:id="112"/>
    <w:p>
      <w:pPr>
        <w:ind w:firstLine="636"/>
        <w:spacing w:after="0" w:line="266" w:lineRule="auto"/>
        <w:rPr>
          <w:sz w:val="20"/>
          <w:szCs w:val="20"/>
          <w:color w:val="auto"/>
        </w:rPr>
      </w:pPr>
      <w:r>
        <w:rPr>
          <w:rFonts w:ascii="Arial" w:cs="Arial" w:eastAsia="Arial" w:hAnsi="Arial"/>
          <w:sz w:val="21"/>
          <w:szCs w:val="21"/>
          <w:color w:val="auto"/>
        </w:rPr>
        <w:t>If the provisions of this agreement are acceptable to you, please sign and date this agreement below and return the signed and dated agreement to me on or before Thursday, June 24, 2021.</w:t>
      </w:r>
    </w:p>
    <w:p>
      <w:pPr>
        <w:spacing w:after="0" w:line="200" w:lineRule="exact"/>
        <w:rPr>
          <w:sz w:val="20"/>
          <w:szCs w:val="20"/>
          <w:color w:val="auto"/>
        </w:rPr>
      </w:pPr>
    </w:p>
    <w:p>
      <w:pPr>
        <w:spacing w:after="0" w:line="272"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Sincerely,</w:t>
      </w:r>
    </w:p>
    <w:p>
      <w:pPr>
        <w:spacing w:after="0" w:line="342"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IVERIC bio, Inc.</w:t>
      </w:r>
    </w:p>
    <w:p>
      <w:pPr>
        <w:spacing w:after="0" w:line="342" w:lineRule="exact"/>
        <w:rPr>
          <w:sz w:val="20"/>
          <w:szCs w:val="20"/>
          <w:color w:val="auto"/>
        </w:rPr>
      </w:pPr>
    </w:p>
    <w:p>
      <w:pPr>
        <w:ind w:left="5680"/>
        <w:spacing w:after="0"/>
        <w:tabs>
          <w:tab w:leader="none" w:pos="61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Amy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28575</wp:posOffset>
            </wp:positionV>
            <wp:extent cx="32645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3264535" cy="8255"/>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Amy R. Sheehan</w:t>
      </w:r>
    </w:p>
    <w:p>
      <w:pPr>
        <w:spacing w:after="0" w:line="50"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Senior Vice President &amp; Chief HR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21"/>
          <w:szCs w:val="21"/>
          <w:color w:val="auto"/>
        </w:rPr>
        <w:t>ACCEPTED AND AGREED:</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1"/>
          <w:szCs w:val="21"/>
          <w:color w:val="auto"/>
        </w:rPr>
        <w:t>/s/ Chris Simms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35928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359283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21"/>
          <w:szCs w:val="21"/>
          <w:color w:val="auto"/>
        </w:rPr>
        <w:t>Christopher Simms</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3197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ectPr>
          <w:pgSz w:w="11900" w:h="16838" w:orient="portrait"/>
          <w:cols w:equalWidth="0" w:num="1">
            <w:col w:w="10920"/>
          </w:cols>
          <w:pgMar w:left="320" w:top="1390" w:right="659" w:bottom="1440" w:gutter="0" w:footer="0" w:header="0"/>
        </w:sectPr>
      </w:pPr>
    </w:p>
    <w:bookmarkStart w:id="113" w:name="page114"/>
    <w:bookmarkEnd w:id="113"/>
    <w:p>
      <w:pPr>
        <w:jc w:val="center"/>
        <w:ind w:right="-239"/>
        <w:spacing w:after="0"/>
        <w:rPr>
          <w:sz w:val="20"/>
          <w:szCs w:val="20"/>
          <w:color w:val="auto"/>
        </w:rPr>
      </w:pPr>
      <w:r>
        <w:rPr>
          <w:rFonts w:ascii="Arial" w:cs="Arial" w:eastAsia="Arial" w:hAnsi="Arial"/>
          <w:sz w:val="21"/>
          <w:szCs w:val="21"/>
          <w:color w:val="auto"/>
        </w:rPr>
        <w:t>AMENDMENT NO. 3 TO</w:t>
      </w:r>
    </w:p>
    <w:p>
      <w:pPr>
        <w:spacing w:after="0" w:line="236"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2019 INDUCEMENT STOCK INCENTIVE PLAN</w:t>
      </w: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OF</w:t>
      </w: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IVERIC BIO, INC.</w:t>
      </w:r>
    </w:p>
    <w:p>
      <w:pPr>
        <w:spacing w:after="0" w:line="236" w:lineRule="exact"/>
        <w:rPr>
          <w:sz w:val="20"/>
          <w:szCs w:val="20"/>
          <w:color w:val="auto"/>
        </w:rPr>
      </w:pPr>
    </w:p>
    <w:p>
      <w:pPr>
        <w:ind w:firstLine="433"/>
        <w:spacing w:after="0" w:line="319" w:lineRule="auto"/>
        <w:rPr>
          <w:sz w:val="20"/>
          <w:szCs w:val="20"/>
          <w:color w:val="auto"/>
        </w:rPr>
      </w:pPr>
      <w:r>
        <w:rPr>
          <w:rFonts w:ascii="Arial" w:cs="Arial" w:eastAsia="Arial" w:hAnsi="Arial"/>
          <w:sz w:val="19"/>
          <w:szCs w:val="19"/>
          <w:color w:val="auto"/>
        </w:rPr>
        <w:t>The 2019 Inducement Stock Incentive Plan (the “Plan”) of IVERIC bio, Inc. (the “Company”) is hereby amended as follows (all capitalized terms used and not defined herein shall have the respective meanings ascribed to such terms in the Plan):</w:t>
      </w:r>
    </w:p>
    <w:p>
      <w:pPr>
        <w:spacing w:after="0" w:line="135" w:lineRule="exact"/>
        <w:rPr>
          <w:sz w:val="20"/>
          <w:szCs w:val="20"/>
          <w:color w:val="auto"/>
        </w:rPr>
      </w:pPr>
    </w:p>
    <w:p>
      <w:pPr>
        <w:ind w:left="440" w:hanging="434"/>
        <w:spacing w:after="0"/>
        <w:tabs>
          <w:tab w:leader="none" w:pos="440" w:val="left"/>
        </w:tabs>
        <w:numPr>
          <w:ilvl w:val="0"/>
          <w:numId w:val="70"/>
        </w:numPr>
        <w:rPr>
          <w:rFonts w:ascii="Arial" w:cs="Arial" w:eastAsia="Arial" w:hAnsi="Arial"/>
          <w:sz w:val="21"/>
          <w:szCs w:val="21"/>
          <w:color w:val="auto"/>
        </w:rPr>
      </w:pPr>
      <w:r>
        <w:rPr>
          <w:rFonts w:ascii="Arial" w:cs="Arial" w:eastAsia="Arial" w:hAnsi="Arial"/>
          <w:sz w:val="21"/>
          <w:szCs w:val="21"/>
          <w:color w:val="auto"/>
        </w:rPr>
        <w:t>Section 4(a)(1) of the Plan be and hereby is deleted in its entirety and the following is inserted in lieu thereof:</w:t>
      </w:r>
    </w:p>
    <w:p>
      <w:pPr>
        <w:spacing w:after="0" w:line="236" w:lineRule="exact"/>
        <w:rPr>
          <w:sz w:val="20"/>
          <w:szCs w:val="20"/>
          <w:color w:val="auto"/>
        </w:rPr>
      </w:pPr>
    </w:p>
    <w:p>
      <w:pPr>
        <w:jc w:val="both"/>
        <w:ind w:left="1280" w:right="20" w:firstLine="316"/>
        <w:spacing w:after="0" w:line="290" w:lineRule="auto"/>
        <w:tabs>
          <w:tab w:leader="none" w:pos="1898"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Authorized Number of Shares</w:t>
      </w:r>
      <w:r>
        <w:rPr>
          <w:rFonts w:ascii="Arial" w:cs="Arial" w:eastAsia="Arial" w:hAnsi="Arial"/>
          <w:sz w:val="19"/>
          <w:szCs w:val="19"/>
          <w:color w:val="auto"/>
        </w:rPr>
        <w:t>. Subject to adjustment under Section 9, Awards may be made under the Plan for up to 3,600,000 shares of common stock, $0.001 par value per share, of the Company (the “Common Stock”). Shares issued under the Plan may consist in whole or in part of authorized but unissued shares or treasury shares.</w:t>
      </w:r>
    </w:p>
    <w:p>
      <w:pPr>
        <w:spacing w:after="0" w:line="161" w:lineRule="exact"/>
        <w:rPr>
          <w:rFonts w:ascii="Arial" w:cs="Arial" w:eastAsia="Arial" w:hAnsi="Arial"/>
          <w:sz w:val="19"/>
          <w:szCs w:val="19"/>
          <w:color w:val="auto"/>
        </w:rPr>
      </w:pPr>
    </w:p>
    <w:p>
      <w:pPr>
        <w:ind w:left="440" w:hanging="434"/>
        <w:spacing w:after="0"/>
        <w:tabs>
          <w:tab w:leader="none" w:pos="440" w:val="left"/>
        </w:tabs>
        <w:numPr>
          <w:ilvl w:val="0"/>
          <w:numId w:val="72"/>
        </w:numPr>
        <w:rPr>
          <w:rFonts w:ascii="Arial" w:cs="Arial" w:eastAsia="Arial" w:hAnsi="Arial"/>
          <w:sz w:val="21"/>
          <w:szCs w:val="21"/>
          <w:color w:val="auto"/>
        </w:rPr>
      </w:pPr>
      <w:r>
        <w:rPr>
          <w:rFonts w:ascii="Arial" w:cs="Arial" w:eastAsia="Arial" w:hAnsi="Arial"/>
          <w:sz w:val="21"/>
          <w:szCs w:val="21"/>
          <w:color w:val="auto"/>
        </w:rPr>
        <w:t>Except as set forth herein, the Plan shall remain in full force and effect.</w:t>
      </w:r>
    </w:p>
    <w:p>
      <w:pPr>
        <w:spacing w:after="0" w:line="235" w:lineRule="exact"/>
        <w:rPr>
          <w:rFonts w:ascii="Arial" w:cs="Arial" w:eastAsia="Arial" w:hAnsi="Arial"/>
          <w:sz w:val="21"/>
          <w:szCs w:val="21"/>
          <w:color w:val="auto"/>
        </w:rPr>
      </w:pPr>
    </w:p>
    <w:p>
      <w:pPr>
        <w:ind w:left="5420"/>
        <w:spacing w:after="0"/>
        <w:rPr>
          <w:rFonts w:ascii="Arial" w:cs="Arial" w:eastAsia="Arial" w:hAnsi="Arial"/>
          <w:sz w:val="21"/>
          <w:szCs w:val="21"/>
          <w:color w:val="auto"/>
        </w:rPr>
      </w:pPr>
      <w:r>
        <w:rPr>
          <w:rFonts w:ascii="Arial" w:cs="Arial" w:eastAsia="Arial" w:hAnsi="Arial"/>
          <w:sz w:val="21"/>
          <w:szCs w:val="21"/>
          <w:color w:val="auto"/>
        </w:rPr>
        <w:t>* * *</w:t>
      </w: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21"/>
          <w:szCs w:val="21"/>
          <w:i w:val="1"/>
          <w:iCs w:val="1"/>
          <w:color w:val="auto"/>
        </w:rPr>
        <w:t>Approved by the Board of Directors on September 28, 2021.</w:t>
      </w:r>
    </w:p>
    <w:p>
      <w:pPr>
        <w:sectPr>
          <w:pgSz w:w="11900" w:h="16838" w:orient="portrait"/>
          <w:cols w:equalWidth="0" w:num="1">
            <w:col w:w="11000"/>
          </w:cols>
          <w:pgMar w:left="320" w:top="1390" w:right="579" w:bottom="1440" w:gutter="0" w:footer="0" w:header="0"/>
        </w:sectPr>
      </w:pPr>
    </w:p>
    <w:bookmarkStart w:id="114" w:name="page115"/>
    <w:bookmarkEnd w:id="114"/>
    <w:p>
      <w:pPr>
        <w:spacing w:after="0"/>
        <w:rPr>
          <w:sz w:val="20"/>
          <w:szCs w:val="20"/>
          <w:color w:val="auto"/>
        </w:rPr>
      </w:pPr>
      <w:r>
        <w:rPr>
          <w:rFonts w:ascii="Arial" w:cs="Arial" w:eastAsia="Arial" w:hAnsi="Arial"/>
          <w:sz w:val="21"/>
          <w:szCs w:val="21"/>
          <w:color w:val="auto"/>
        </w:rPr>
        <w:t>November 3, 2021</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Mr. Glenn Sblendorio</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Dear Glenn:</w:t>
      </w:r>
    </w:p>
    <w:p>
      <w:pPr>
        <w:spacing w:after="0" w:line="209"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The board of directors (the “Board”) of IVERIC bio, Inc. (the “Company”) has provided for the following severance benefits to be provided to you in the event of your termination of employment with the Company, on the terms and conditions set forth herein. This letter agreement dated as of the date first set forth above amends and restates in its entirety that certain severance benefits letter agreement between you and the Company dated January 4, 2016.</w:t>
      </w:r>
    </w:p>
    <w:p>
      <w:pPr>
        <w:spacing w:after="0" w:line="170" w:lineRule="exact"/>
        <w:rPr>
          <w:sz w:val="20"/>
          <w:szCs w:val="20"/>
          <w:color w:val="auto"/>
        </w:rPr>
      </w:pPr>
    </w:p>
    <w:p>
      <w:pPr>
        <w:ind w:left="1280" w:hanging="638"/>
        <w:spacing w:after="0"/>
        <w:tabs>
          <w:tab w:leader="none" w:pos="1280" w:val="left"/>
        </w:tabs>
        <w:numPr>
          <w:ilvl w:val="0"/>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Severance</w:t>
      </w:r>
      <w:r>
        <w:rPr>
          <w:rFonts w:ascii="Arial" w:cs="Arial" w:eastAsia="Arial" w:hAnsi="Arial"/>
          <w:sz w:val="21"/>
          <w:szCs w:val="21"/>
          <w:b w:val="1"/>
          <w:bCs w:val="1"/>
          <w:color w:val="auto"/>
        </w:rPr>
        <w:t>.</w:t>
      </w:r>
    </w:p>
    <w:p>
      <w:pPr>
        <w:spacing w:after="0" w:line="215" w:lineRule="exact"/>
        <w:rPr>
          <w:rFonts w:ascii="Arial" w:cs="Arial" w:eastAsia="Arial" w:hAnsi="Arial"/>
          <w:sz w:val="21"/>
          <w:szCs w:val="21"/>
          <w:color w:val="auto"/>
        </w:rPr>
      </w:pPr>
    </w:p>
    <w:p>
      <w:pPr>
        <w:ind w:left="1280"/>
        <w:spacing w:after="0"/>
        <w:rPr>
          <w:rFonts w:ascii="Arial" w:cs="Arial" w:eastAsia="Arial" w:hAnsi="Arial"/>
          <w:sz w:val="21"/>
          <w:szCs w:val="21"/>
          <w:color w:val="auto"/>
        </w:rPr>
      </w:pPr>
      <w:r>
        <w:rPr>
          <w:rFonts w:ascii="Arial" w:cs="Arial" w:eastAsia="Arial" w:hAnsi="Arial"/>
          <w:sz w:val="21"/>
          <w:szCs w:val="21"/>
          <w:color w:val="auto"/>
        </w:rPr>
        <w:t>(a)</w:t>
      </w:r>
    </w:p>
    <w:p>
      <w:pPr>
        <w:spacing w:after="0" w:line="209" w:lineRule="exact"/>
        <w:rPr>
          <w:rFonts w:ascii="Arial" w:cs="Arial" w:eastAsia="Arial" w:hAnsi="Arial"/>
          <w:sz w:val="21"/>
          <w:szCs w:val="21"/>
          <w:color w:val="auto"/>
        </w:rPr>
      </w:pPr>
    </w:p>
    <w:p>
      <w:pPr>
        <w:ind w:left="1280" w:firstLine="634"/>
        <w:spacing w:after="0" w:line="265" w:lineRule="auto"/>
        <w:tabs>
          <w:tab w:leader="none" w:pos="2540" w:val="left"/>
        </w:tabs>
        <w:numPr>
          <w:ilvl w:val="2"/>
          <w:numId w:val="73"/>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or for Good Reason Before or More than Twelve Months Following a Change in Control Event</w:t>
      </w:r>
      <w:r>
        <w:rPr>
          <w:rFonts w:ascii="Arial" w:cs="Arial" w:eastAsia="Arial" w:hAnsi="Arial"/>
          <w:sz w:val="19"/>
          <w:szCs w:val="19"/>
          <w:color w:val="auto"/>
        </w:rPr>
        <w:t>. In the event that your employment is terminated by the Company without Cause or by you for Good Reason (as such terms are herein defined) before or more than twelve (12) months following a Change in Control Event (as defined in the Company’s 2013 Stock Incentive Plan), the Company will (1) pay you in a lump sum on the Payment Date (as herein defined) (A) an amount equal to eighteen (18) months of your then-current base salary, less standard employment-related withholdings and deductions and (B) an amount equal to a pro-rated portion of your Target Bonus (as such term is defined in your offer of employment with us dated January 4, 2016 (as amended by that certain letter agreement dated April 24, 2017, the “Offer Letter”)) for the year in which your employment terminates, without regard to whether the performance goals with respect to such Target Bonus have been established or met and less standard employment-related withholdings and deductions and (2) provided you elect to continue your and your eligible dependents’ participation in the Company’s medical and dental benefit plans pursuant to the Consolidated Omnibus Budget Reconciliation Act of 1986 (“COBRA”), reimburse you for the monthly premium to continue such coverage (the “COBRA Benefits”) until the earlier of the end of the eighteen (18) full calendar month period beginning immediately following the month in which the termination of your employment occurs and the end of the calendar month in which you become eligible to receive group health plan coverage under another employee benefit plan.</w:t>
      </w:r>
    </w:p>
    <w:p>
      <w:pPr>
        <w:spacing w:after="0" w:line="168" w:lineRule="exact"/>
        <w:rPr>
          <w:rFonts w:ascii="Arial" w:cs="Arial" w:eastAsia="Arial" w:hAnsi="Arial"/>
          <w:sz w:val="19"/>
          <w:szCs w:val="19"/>
          <w:color w:val="auto"/>
        </w:rPr>
      </w:pPr>
    </w:p>
    <w:p>
      <w:pPr>
        <w:ind w:left="1280" w:right="220" w:firstLine="634"/>
        <w:spacing w:after="0" w:line="268" w:lineRule="auto"/>
        <w:tabs>
          <w:tab w:leader="none" w:pos="2546" w:val="left"/>
        </w:tabs>
        <w:numPr>
          <w:ilvl w:val="2"/>
          <w:numId w:val="73"/>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or for Good Reason Within Twelve Months Following a Change in Control Event</w:t>
      </w:r>
      <w:r>
        <w:rPr>
          <w:rFonts w:ascii="Arial" w:cs="Arial" w:eastAsia="Arial" w:hAnsi="Arial"/>
          <w:sz w:val="19"/>
          <w:szCs w:val="19"/>
          <w:color w:val="auto"/>
        </w:rPr>
        <w:t>. In the event that your employment is terminated by the Company or its successor, without Cause or by you for Good Reason, within one year following a Change in Control Event, the Company or its successor will</w:t>
      </w:r>
    </w:p>
    <w:p>
      <w:pPr>
        <w:spacing w:after="0" w:line="1" w:lineRule="exact"/>
        <w:rPr>
          <w:rFonts w:ascii="Arial" w:cs="Arial" w:eastAsia="Arial" w:hAnsi="Arial"/>
          <w:sz w:val="19"/>
          <w:szCs w:val="19"/>
          <w:color w:val="auto"/>
        </w:rPr>
      </w:pPr>
    </w:p>
    <w:p>
      <w:pPr>
        <w:ind w:left="1280" w:right="120" w:hanging="2"/>
        <w:spacing w:after="0" w:line="242" w:lineRule="auto"/>
        <w:tabs>
          <w:tab w:leader="none" w:pos="1580" w:val="left"/>
        </w:tabs>
        <w:numPr>
          <w:ilvl w:val="1"/>
          <w:numId w:val="73"/>
        </w:numPr>
        <w:rPr>
          <w:rFonts w:ascii="Arial" w:cs="Arial" w:eastAsia="Arial" w:hAnsi="Arial"/>
          <w:sz w:val="21"/>
          <w:szCs w:val="21"/>
          <w:color w:val="auto"/>
        </w:rPr>
      </w:pPr>
      <w:r>
        <w:rPr>
          <w:rFonts w:ascii="Arial" w:cs="Arial" w:eastAsia="Arial" w:hAnsi="Arial"/>
          <w:sz w:val="21"/>
          <w:szCs w:val="21"/>
          <w:color w:val="auto"/>
        </w:rPr>
        <w:t>pay you in a lump sum on the Payment Date (A) an amount equal to twenty-four (24) months of your then-current base salary, less standard employment-related withholdings and deductions and (B) an amount equal to your Target Bonus for the year in which your employment terminates, without</w:t>
      </w:r>
    </w:p>
    <w:p>
      <w:pPr>
        <w:sectPr>
          <w:pgSz w:w="11900" w:h="16838" w:orient="portrait"/>
          <w:cols w:equalWidth="0" w:num="1">
            <w:col w:w="11220"/>
          </w:cols>
          <w:pgMar w:left="320" w:top="1390" w:right="359" w:bottom="1440" w:gutter="0" w:footer="0" w:header="0"/>
        </w:sectPr>
      </w:pPr>
    </w:p>
    <w:bookmarkStart w:id="115" w:name="page116"/>
    <w:bookmarkEnd w:id="115"/>
    <w:p>
      <w:pPr>
        <w:ind w:left="160"/>
        <w:spacing w:after="0" w:line="256" w:lineRule="auto"/>
        <w:rPr>
          <w:sz w:val="20"/>
          <w:szCs w:val="20"/>
          <w:color w:val="auto"/>
        </w:rPr>
      </w:pPr>
      <w:r>
        <w:rPr>
          <w:rFonts w:ascii="Arial" w:cs="Arial" w:eastAsia="Arial" w:hAnsi="Arial"/>
          <w:sz w:val="20"/>
          <w:szCs w:val="20"/>
          <w:color w:val="auto"/>
        </w:rPr>
        <w:t>regard to whether the performance goals with respect to such Target Bonus have been established or met and less standard employment-related withholdings and deductions and (2) provided you elect to continue your and your eligible dependents’ participation in the Company’s medical and dental benefit plans pursuant to COBRA, provide COBRA Benefits to you until the earlier of the end of the twenty-four (24) full calendar month period beginning immediately following the month in which the termination of your employment occurs, the end of the period during which you and your eligible dependents remain eligible for COBRA, and the end of the calendar month in which you become eligible to receive group health plan coverage under another employee benefit plan.</w:t>
      </w:r>
    </w:p>
    <w:p>
      <w:pPr>
        <w:spacing w:after="0" w:line="164" w:lineRule="exact"/>
        <w:rPr>
          <w:sz w:val="20"/>
          <w:szCs w:val="20"/>
          <w:color w:val="auto"/>
        </w:rPr>
      </w:pPr>
    </w:p>
    <w:p>
      <w:pPr>
        <w:ind w:left="160" w:right="40"/>
        <w:spacing w:after="0" w:line="241" w:lineRule="auto"/>
        <w:rPr>
          <w:sz w:val="20"/>
          <w:szCs w:val="20"/>
          <w:color w:val="auto"/>
        </w:rPr>
      </w:pPr>
      <w:r>
        <w:rPr>
          <w:rFonts w:ascii="Arial" w:cs="Arial" w:eastAsia="Arial" w:hAnsi="Arial"/>
          <w:sz w:val="21"/>
          <w:szCs w:val="21"/>
          <w:color w:val="auto"/>
        </w:rPr>
        <w:t>Notwithstanding the provision for COBRA Benefits in Sections 1(a)(i) and 1(a)(ii), if the COBRA Benefits would otherwise violate the nondiscrimination rules or cause the reimbursement of claims to be taxable under the Patient Protection and Affordable Care Act of 2010, together with the Health Care and Education Reconciliation Act of 2010 (collectively, the “Healthcare Reform Act”) or Section 105(h) of the Internal Revenue Code of 1986, as amended (the “Code”), these payments shall be treated as taxable payments to you and you shall be subject to imputed income tax treatment to the extent necessary to eliminate any discriminatory treatment or taxation under the Act or Section 105(h).</w:t>
      </w:r>
    </w:p>
    <w:p>
      <w:pPr>
        <w:spacing w:after="0" w:line="184" w:lineRule="exact"/>
        <w:rPr>
          <w:sz w:val="20"/>
          <w:szCs w:val="20"/>
          <w:color w:val="auto"/>
        </w:rPr>
      </w:pPr>
    </w:p>
    <w:p>
      <w:pPr>
        <w:ind w:left="-1120" w:right="80" w:firstLine="1278"/>
        <w:spacing w:after="0" w:line="221" w:lineRule="auto"/>
        <w:tabs>
          <w:tab w:leader="none" w:pos="783" w:val="left"/>
        </w:tabs>
        <w:numPr>
          <w:ilvl w:val="0"/>
          <w:numId w:val="74"/>
        </w:numPr>
        <w:rPr>
          <w:rFonts w:ascii="Arial" w:cs="Arial" w:eastAsia="Arial" w:hAnsi="Arial"/>
          <w:sz w:val="21"/>
          <w:szCs w:val="21"/>
          <w:color w:val="auto"/>
        </w:rPr>
      </w:pPr>
      <w:r>
        <w:rPr>
          <w:rFonts w:ascii="Arial" w:cs="Arial" w:eastAsia="Arial" w:hAnsi="Arial"/>
          <w:sz w:val="21"/>
          <w:szCs w:val="21"/>
          <w:color w:val="auto"/>
        </w:rPr>
        <w:t>Notwithstanding the foregoing, the Company shall not be obligated to pay you any severance payments provided for herein unless you have timely executed (and not revoked) a separation agreement in a form to be provided by the Company. Such separation agreement must be executed and become binding and enforceable within sixty (60) calendar days after the effective date of your termination of employment (such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the “Payment Date”); provided however, that if the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following the date of termination occurs in the next calendar year following the date of termination, then the Payment Date shall be no earlier than January 1 of such following calendar year.</w:t>
      </w:r>
    </w:p>
    <w:p>
      <w:pPr>
        <w:spacing w:after="0" w:line="181" w:lineRule="exact"/>
        <w:rPr>
          <w:rFonts w:ascii="Arial" w:cs="Arial" w:eastAsia="Arial" w:hAnsi="Arial"/>
          <w:sz w:val="21"/>
          <w:szCs w:val="21"/>
          <w:color w:val="auto"/>
        </w:rPr>
      </w:pPr>
    </w:p>
    <w:p>
      <w:pPr>
        <w:ind w:left="-1120" w:firstLine="1278"/>
        <w:spacing w:after="0" w:line="252" w:lineRule="auto"/>
        <w:tabs>
          <w:tab w:leader="none" w:pos="785"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For purposes hereof, “Cause” shall mean that: (i) you failed to attempt in good faith, refused or willfully neglected to perform and discharge your material duties and responsibilities; (ii) you have been convicted of, or pled </w:t>
      </w:r>
      <w:r>
        <w:rPr>
          <w:rFonts w:ascii="Arial" w:cs="Arial" w:eastAsia="Arial" w:hAnsi="Arial"/>
          <w:sz w:val="20"/>
          <w:szCs w:val="20"/>
          <w:i w:val="1"/>
          <w:iCs w:val="1"/>
          <w:color w:val="auto"/>
        </w:rPr>
        <w:t>nolo</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contendere </w:t>
      </w:r>
      <w:r>
        <w:rPr>
          <w:rFonts w:ascii="Arial" w:cs="Arial" w:eastAsia="Arial" w:hAnsi="Arial"/>
          <w:sz w:val="20"/>
          <w:szCs w:val="20"/>
          <w:color w:val="auto"/>
        </w:rPr>
        <w:t>to, a felony or other crime involving fraud or moral turpitude; (iii) you breached your fiduciary duty of loyalty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or acted fraudulently or with material dishonesty in discharging your duties to the Company; (iv) you undertook an intentional act or omission of misconduct that materially harmed or was reasonably likely to materially harm the business, interests, or reputation of the Company; (v) you materially breached any material provision of this letter or any other agreement with the Company; or (vi) you materially breached any material provision of any Company code of conduct or ethics policy. Notwithstanding the foregoing, “Cause” shall not be deemed to have occurred unless: (A) the Company provides you with written notice that it intends to terminate your employment hereunder for one of the grounds set forth in subsections (i), (v) or (vi) within sixty (60) days of such reason(s) occurring, (B) if such ground is capable of being cured, you have failed to cure such ground within a period of thirty (30) days from the date of such written notice, and (C) the Company terminates your employment within six (6) months from the date that Cause first occurs.</w:t>
      </w:r>
    </w:p>
    <w:p>
      <w:pPr>
        <w:sectPr>
          <w:pgSz w:w="11900" w:h="16838" w:orient="portrait"/>
          <w:cols w:equalWidth="0" w:num="1">
            <w:col w:w="10100"/>
          </w:cols>
          <w:pgMar w:left="1440" w:top="1390" w:right="359" w:bottom="1440" w:gutter="0" w:footer="0" w:header="0"/>
        </w:sectPr>
      </w:pPr>
    </w:p>
    <w:bookmarkStart w:id="116" w:name="page117"/>
    <w:bookmarkEnd w:id="116"/>
    <w:p>
      <w:pPr>
        <w:ind w:left="-6" w:firstLine="1278"/>
        <w:spacing w:after="0" w:line="271" w:lineRule="auto"/>
        <w:tabs>
          <w:tab w:leader="none" w:pos="1897" w:val="left"/>
        </w:tabs>
        <w:numPr>
          <w:ilvl w:val="2"/>
          <w:numId w:val="75"/>
        </w:numPr>
        <w:rPr>
          <w:rFonts w:ascii="Arial" w:cs="Arial" w:eastAsia="Arial" w:hAnsi="Arial"/>
          <w:sz w:val="19"/>
          <w:szCs w:val="19"/>
          <w:color w:val="auto"/>
        </w:rPr>
      </w:pPr>
      <w:r>
        <w:rPr>
          <w:rFonts w:ascii="Arial" w:cs="Arial" w:eastAsia="Arial" w:hAnsi="Arial"/>
          <w:sz w:val="19"/>
          <w:szCs w:val="19"/>
          <w:color w:val="auto"/>
        </w:rPr>
        <w:t>For purposes hereof, “Good Reason” shall mean, without your written consent: (i) any change in your position or reporting relationship with the Company that diminishes in any material respect your authority, duties or responsibilities;</w:t>
      </w:r>
    </w:p>
    <w:p>
      <w:pPr>
        <w:spacing w:after="0" w:line="1" w:lineRule="exact"/>
        <w:rPr>
          <w:rFonts w:ascii="Arial" w:cs="Arial" w:eastAsia="Arial" w:hAnsi="Arial"/>
          <w:sz w:val="19"/>
          <w:szCs w:val="19"/>
          <w:color w:val="auto"/>
        </w:rPr>
      </w:pPr>
    </w:p>
    <w:p>
      <w:pPr>
        <w:ind w:left="-6" w:right="40" w:firstLine="6"/>
        <w:spacing w:after="0" w:line="266" w:lineRule="auto"/>
        <w:tabs>
          <w:tab w:leader="none" w:pos="306"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material reduction in your base compensation; (iii) a material change in the primary geographic location at which services are to be performed by you (unless the new location is closer to your primary residence than the prior location); or (iv) a material breach of any provision hereof by the Company or any successor or assign. Notwithstanding the foregoing, “Good Reason” shall not be deemed to have occurred unless: (A) you provide the Company with written notice that you intend to terminate your employment hereunder for one of the grounds set forth in subsections (i), (ii), (iii) or (iv) of the immediately preceding sentence within sixty (60) days of such reason(s) occurring, (B) if such ground is capable of being cured, the Company has failed to cure such ground within a period of thirty (30) days from the date of such written notice, and (C) you terminate your employment within six (6) months from the date that Good Reason first occurs. For purposes of clarification, the above-listed conditions shall apply separately to each occurrence of Good Reason and failure to adhere to such conditions in the event of Good Reason shall not disqualify you from asserting Good Reason for any subsequent occurrence of Good Reason.</w:t>
      </w:r>
    </w:p>
    <w:p>
      <w:pPr>
        <w:spacing w:after="0" w:line="151" w:lineRule="exact"/>
        <w:rPr>
          <w:rFonts w:ascii="Arial" w:cs="Arial" w:eastAsia="Arial" w:hAnsi="Arial"/>
          <w:sz w:val="19"/>
          <w:szCs w:val="19"/>
          <w:color w:val="auto"/>
        </w:rPr>
      </w:pPr>
    </w:p>
    <w:p>
      <w:pPr>
        <w:ind w:left="-6" w:firstLine="642"/>
        <w:spacing w:after="0" w:line="283" w:lineRule="auto"/>
        <w:tabs>
          <w:tab w:leader="none" w:pos="1266" w:val="left"/>
        </w:tabs>
        <w:numPr>
          <w:ilvl w:val="1"/>
          <w:numId w:val="76"/>
        </w:numPr>
        <w:rPr>
          <w:rFonts w:ascii="Arial" w:cs="Arial" w:eastAsia="Arial" w:hAnsi="Arial"/>
          <w:sz w:val="19"/>
          <w:szCs w:val="19"/>
          <w:color w:val="auto"/>
        </w:rPr>
      </w:pPr>
      <w:r>
        <w:rPr>
          <w:rFonts w:ascii="Arial" w:cs="Arial" w:eastAsia="Arial" w:hAnsi="Arial"/>
          <w:sz w:val="19"/>
          <w:szCs w:val="19"/>
          <w:b w:val="1"/>
          <w:bCs w:val="1"/>
          <w:u w:val="single" w:color="auto"/>
          <w:color w:val="auto"/>
        </w:rPr>
        <w:t>Equity Acceleration</w:t>
      </w:r>
      <w:r>
        <w:rPr>
          <w:rFonts w:ascii="Arial" w:cs="Arial" w:eastAsia="Arial" w:hAnsi="Arial"/>
          <w:sz w:val="19"/>
          <w:szCs w:val="19"/>
          <w:color w:val="auto"/>
        </w:rPr>
        <w:t>. If your employment with the Company, or its successor, is terminated by the Company or such</w:t>
      </w:r>
      <w:r>
        <w:rPr>
          <w:rFonts w:ascii="Arial" w:cs="Arial" w:eastAsia="Arial" w:hAnsi="Arial"/>
          <w:sz w:val="19"/>
          <w:szCs w:val="19"/>
          <w:b w:val="1"/>
          <w:bCs w:val="1"/>
          <w:color w:val="auto"/>
        </w:rPr>
        <w:t xml:space="preserve"> </w:t>
      </w:r>
      <w:r>
        <w:rPr>
          <w:rFonts w:ascii="Arial" w:cs="Arial" w:eastAsia="Arial" w:hAnsi="Arial"/>
          <w:sz w:val="19"/>
          <w:szCs w:val="19"/>
          <w:color w:val="auto"/>
        </w:rPr>
        <w:t>successor without Cause or by you for Good Reason within the one (1) year period following a Change in Control Event, then the then-unvested portion of any equity awards held by you that vest solely based on the passage of time shall immediately vest in full and become exercisable or free from forfeiture or repurchase, as applicable, as of the date of such termination.</w:t>
      </w:r>
    </w:p>
    <w:p>
      <w:pPr>
        <w:spacing w:after="0" w:line="135" w:lineRule="exact"/>
        <w:rPr>
          <w:rFonts w:ascii="Arial" w:cs="Arial" w:eastAsia="Arial" w:hAnsi="Arial"/>
          <w:sz w:val="19"/>
          <w:szCs w:val="19"/>
          <w:color w:val="auto"/>
        </w:rPr>
      </w:pPr>
    </w:p>
    <w:p>
      <w:pPr>
        <w:ind w:left="1274" w:hanging="638"/>
        <w:spacing w:after="0"/>
        <w:tabs>
          <w:tab w:leader="none" w:pos="1274" w:val="left"/>
        </w:tabs>
        <w:numPr>
          <w:ilvl w:val="1"/>
          <w:numId w:val="76"/>
        </w:numPr>
        <w:rPr>
          <w:rFonts w:ascii="Arial" w:cs="Arial" w:eastAsia="Arial" w:hAnsi="Arial"/>
          <w:sz w:val="21"/>
          <w:szCs w:val="21"/>
          <w:color w:val="auto"/>
        </w:rPr>
      </w:pPr>
      <w:r>
        <w:rPr>
          <w:rFonts w:ascii="Arial" w:cs="Arial" w:eastAsia="Arial" w:hAnsi="Arial"/>
          <w:sz w:val="21"/>
          <w:szCs w:val="21"/>
          <w:b w:val="1"/>
          <w:bCs w:val="1"/>
          <w:u w:val="single" w:color="auto"/>
          <w:color w:val="auto"/>
        </w:rPr>
        <w:t>Modified Cutback</w:t>
      </w:r>
      <w:r>
        <w:rPr>
          <w:rFonts w:ascii="Arial" w:cs="Arial" w:eastAsia="Arial" w:hAnsi="Arial"/>
          <w:sz w:val="21"/>
          <w:szCs w:val="21"/>
          <w:color w:val="auto"/>
        </w:rPr>
        <w:t>.</w:t>
      </w:r>
    </w:p>
    <w:p>
      <w:pPr>
        <w:spacing w:after="0" w:line="215" w:lineRule="exact"/>
        <w:rPr>
          <w:rFonts w:ascii="Arial" w:cs="Arial" w:eastAsia="Arial" w:hAnsi="Arial"/>
          <w:sz w:val="21"/>
          <w:szCs w:val="21"/>
          <w:color w:val="auto"/>
        </w:rPr>
      </w:pPr>
    </w:p>
    <w:p>
      <w:pPr>
        <w:ind w:left="-6" w:right="40" w:firstLine="1278"/>
        <w:spacing w:after="0" w:line="254" w:lineRule="auto"/>
        <w:tabs>
          <w:tab w:leader="none" w:pos="1899" w:val="left"/>
        </w:tabs>
        <w:numPr>
          <w:ilvl w:val="2"/>
          <w:numId w:val="76"/>
        </w:numPr>
        <w:rPr>
          <w:rFonts w:ascii="Arial" w:cs="Arial" w:eastAsia="Arial" w:hAnsi="Arial"/>
          <w:sz w:val="20"/>
          <w:szCs w:val="20"/>
          <w:color w:val="auto"/>
        </w:rPr>
      </w:pPr>
      <w:r>
        <w:rPr>
          <w:rFonts w:ascii="Arial" w:cs="Arial" w:eastAsia="Arial" w:hAnsi="Arial"/>
          <w:sz w:val="20"/>
          <w:szCs w:val="20"/>
          <w:color w:val="auto"/>
        </w:rPr>
        <w:t>Notwithstanding any other provision of this letter agreement, the Offer Letter, or any other agreements between you and us, except as set forth in Section 3(b) hereof, in the event that the Company undergoes a “Change in Ownership or Control” (as defined below), the Company shall not be obligated to provide you a portion of any “Contingent Compensation Payments” (as defined below) that you would otherwise be entitled to receive to the extent necessary to eliminate any “excess parachute payments” (as defined in Section 280G(b)(1) of the Code) for you. For purposes of this Section 3(a),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72" w:lineRule="exact"/>
        <w:rPr>
          <w:rFonts w:ascii="Arial" w:cs="Arial" w:eastAsia="Arial" w:hAnsi="Arial"/>
          <w:sz w:val="20"/>
          <w:szCs w:val="20"/>
          <w:color w:val="auto"/>
        </w:rPr>
      </w:pPr>
    </w:p>
    <w:p>
      <w:pPr>
        <w:ind w:left="-6" w:right="180" w:firstLine="1278"/>
        <w:spacing w:after="0" w:line="273" w:lineRule="auto"/>
        <w:tabs>
          <w:tab w:leader="none" w:pos="1897" w:val="left"/>
        </w:tabs>
        <w:numPr>
          <w:ilvl w:val="2"/>
          <w:numId w:val="76"/>
        </w:numPr>
        <w:rPr>
          <w:rFonts w:ascii="Arial" w:cs="Arial" w:eastAsia="Arial" w:hAnsi="Arial"/>
          <w:sz w:val="19"/>
          <w:szCs w:val="19"/>
          <w:color w:val="auto"/>
        </w:rPr>
      </w:pPr>
      <w:r>
        <w:rPr>
          <w:rFonts w:ascii="Arial" w:cs="Arial" w:eastAsia="Arial" w:hAnsi="Arial"/>
          <w:sz w:val="19"/>
          <w:szCs w:val="19"/>
          <w:color w:val="auto"/>
        </w:rPr>
        <w:t>Notwithstanding the provisions of Section 3(a), no such reduction in Contingent Compensation Payments shall be made if (1) the Eliminated Amount (computed without regard to this sentence) exceeds (2) 100% of the aggregate present value (determined in accordance with Treasury Regulation Section 1.280G-1, Q/A-31 and Q/A-32 or any successor provisions) of the amount of any additional taxes that would be incurred by you if the Eliminated Payments (determined without regard to this sentence) were paid to you (including, state and federal income taxes on the Eliminated Payments, the excise tax imposed by Section 4999 of the Code payable with respect to all of the Contingent Compensation Payments in excess of your</w:t>
      </w:r>
    </w:p>
    <w:p>
      <w:pPr>
        <w:sectPr>
          <w:pgSz w:w="11900" w:h="16838" w:orient="portrait"/>
          <w:cols w:equalWidth="0" w:num="1">
            <w:col w:w="11214"/>
          </w:cols>
          <w:pgMar w:left="326" w:top="1390" w:right="359" w:bottom="1440" w:gutter="0" w:footer="0" w:header="0"/>
        </w:sectPr>
      </w:pPr>
    </w:p>
    <w:bookmarkStart w:id="117" w:name="page118"/>
    <w:bookmarkEnd w:id="117"/>
    <w:p>
      <w:pPr>
        <w:ind w:right="180"/>
        <w:spacing w:after="0" w:line="244" w:lineRule="auto"/>
        <w:rPr>
          <w:sz w:val="20"/>
          <w:szCs w:val="20"/>
          <w:color w:val="auto"/>
        </w:rPr>
      </w:pPr>
      <w:r>
        <w:rPr>
          <w:rFonts w:ascii="Arial" w:cs="Arial" w:eastAsia="Arial" w:hAnsi="Arial"/>
          <w:sz w:val="21"/>
          <w:szCs w:val="21"/>
          <w:color w:val="auto"/>
        </w:rPr>
        <w:t>“base amount” (as defined in Section 280G(b) (3) of the Code), and any withholding taxes). The override of such reduction in Contingent Compensation Payments pursuant to this Section 3(b) shall be referred to as a “Section 3(b) 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spacing w:after="0" w:line="177" w:lineRule="exact"/>
        <w:rPr>
          <w:sz w:val="20"/>
          <w:szCs w:val="20"/>
          <w:color w:val="auto"/>
        </w:rPr>
      </w:pPr>
    </w:p>
    <w:p>
      <w:pPr>
        <w:ind w:left="1920" w:hanging="642"/>
        <w:spacing w:after="0"/>
        <w:tabs>
          <w:tab w:leader="none" w:pos="1920" w:val="left"/>
        </w:tabs>
        <w:numPr>
          <w:ilvl w:val="0"/>
          <w:numId w:val="77"/>
        </w:numPr>
        <w:rPr>
          <w:rFonts w:ascii="Arial" w:cs="Arial" w:eastAsia="Arial" w:hAnsi="Arial"/>
          <w:sz w:val="21"/>
          <w:szCs w:val="21"/>
          <w:color w:val="auto"/>
        </w:rPr>
      </w:pPr>
      <w:r>
        <w:rPr>
          <w:rFonts w:ascii="Arial" w:cs="Arial" w:eastAsia="Arial" w:hAnsi="Arial"/>
          <w:sz w:val="21"/>
          <w:szCs w:val="21"/>
          <w:color w:val="auto"/>
        </w:rPr>
        <w:t>For purposes of this Section 3 the following terms shall have the following respective meanings:</w:t>
      </w:r>
    </w:p>
    <w:p>
      <w:pPr>
        <w:spacing w:after="0" w:line="209" w:lineRule="exact"/>
        <w:rPr>
          <w:rFonts w:ascii="Arial" w:cs="Arial" w:eastAsia="Arial" w:hAnsi="Arial"/>
          <w:sz w:val="21"/>
          <w:szCs w:val="21"/>
          <w:color w:val="auto"/>
        </w:rPr>
      </w:pPr>
    </w:p>
    <w:p>
      <w:pPr>
        <w:jc w:val="both"/>
        <w:ind w:left="1280" w:right="240" w:firstLine="634"/>
        <w:spacing w:after="0" w:line="251" w:lineRule="auto"/>
        <w:tabs>
          <w:tab w:leader="none" w:pos="2540" w:val="left"/>
        </w:tabs>
        <w:numPr>
          <w:ilvl w:val="1"/>
          <w:numId w:val="77"/>
        </w:numPr>
        <w:rPr>
          <w:rFonts w:ascii="Arial" w:cs="Arial" w:eastAsia="Arial" w:hAnsi="Arial"/>
          <w:sz w:val="21"/>
          <w:szCs w:val="21"/>
          <w:color w:val="auto"/>
        </w:rPr>
      </w:pPr>
      <w:r>
        <w:rPr>
          <w:rFonts w:ascii="Arial" w:cs="Arial" w:eastAsia="Arial" w:hAnsi="Arial"/>
          <w:sz w:val="21"/>
          <w:szCs w:val="21"/>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69" w:lineRule="exact"/>
        <w:rPr>
          <w:rFonts w:ascii="Arial" w:cs="Arial" w:eastAsia="Arial" w:hAnsi="Arial"/>
          <w:sz w:val="21"/>
          <w:szCs w:val="21"/>
          <w:color w:val="auto"/>
        </w:rPr>
      </w:pPr>
    </w:p>
    <w:p>
      <w:pPr>
        <w:ind w:left="1280" w:right="140" w:firstLine="634"/>
        <w:spacing w:after="0" w:line="246" w:lineRule="auto"/>
        <w:tabs>
          <w:tab w:leader="none" w:pos="2546" w:val="left"/>
        </w:tabs>
        <w:numPr>
          <w:ilvl w:val="1"/>
          <w:numId w:val="77"/>
        </w:numPr>
        <w:rPr>
          <w:rFonts w:ascii="Arial" w:cs="Arial" w:eastAsia="Arial" w:hAnsi="Arial"/>
          <w:sz w:val="21"/>
          <w:szCs w:val="21"/>
          <w:color w:val="auto"/>
        </w:rPr>
      </w:pPr>
      <w:r>
        <w:rPr>
          <w:rFonts w:ascii="Arial" w:cs="Arial" w:eastAsia="Arial" w:hAnsi="Arial"/>
          <w:sz w:val="21"/>
          <w:szCs w:val="21"/>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175" w:lineRule="exact"/>
        <w:rPr>
          <w:rFonts w:ascii="Arial" w:cs="Arial" w:eastAsia="Arial" w:hAnsi="Arial"/>
          <w:sz w:val="21"/>
          <w:szCs w:val="21"/>
          <w:color w:val="auto"/>
        </w:rPr>
      </w:pPr>
    </w:p>
    <w:p>
      <w:pPr>
        <w:ind w:firstLine="1278"/>
        <w:spacing w:after="0" w:line="265" w:lineRule="auto"/>
        <w:tabs>
          <w:tab w:leader="none" w:pos="1903"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payments or other benefits otherwise due to you following a Change in Ownership or Control that could reasonably be characterized (as determined by the Company) as Contingent Compensation Payments (the “Potential Payments”) shall not be made until the dates provided for in this Section 3(d). Within 30 days after each date on which you first become entitled to receive (whether or not then due) a Contingent Compensation Payment relating to such Change in Ownership or Control, the Company shall determine and notify you (with reasonable detail regarding the basis for its determinations) (1) which Potential Payments constitute Contingent Compensation Payments, (2) the Eliminated Amount and (3) whether the Section 3(b) Override is applicable. Within 30 days after delivery of such notice to you, you shall deliver a response to the Company (the “Executive Response”) stating either (A) that you agree with the Company’s determination pursuant to the preceding sentence or (B) that you disagree with such determination, in which case you shall set forth (x) which Potential Payments should be characterized as Contingent Compensation Payments, (y) the Eliminated Amount, and (z) whether the Section 3(b) Override is applicable. In the event that you fail to deliver an Executive Response on or before the required date, the Company’s initial determination shall be final. If you state in the Executive Response that you agree with the Company’s determination, the Company shall make the Potential Payments to you within three business days following delivery to the Company of the Executive Response (except for any Potential Payments which are not due to be made until after such date, which Potential Payments shall be made on the date on which they are due). If you state in the Executive Response that you disagree with the Company’s determination, then, for a period of 60 days following delivery of the Executive Response, you and the Company shall use good faith efforts to resolve such dispute. If such dispute is not resolved within such 60-day period, such dispute shall be settled exclusively by arbitration in New York, New York, in accordance with the rules of the American Arbitration Association then in effect. Judgment may be entered on the arbitrator’s award in any court</w:t>
      </w:r>
    </w:p>
    <w:p>
      <w:pPr>
        <w:sectPr>
          <w:pgSz w:w="11900" w:h="16838" w:orient="portrait"/>
          <w:cols w:equalWidth="0" w:num="1">
            <w:col w:w="11200"/>
          </w:cols>
          <w:pgMar w:left="320" w:top="1390" w:right="379" w:bottom="1440" w:gutter="0" w:footer="0" w:header="0"/>
        </w:sectPr>
      </w:pPr>
    </w:p>
    <w:bookmarkStart w:id="118" w:name="page119"/>
    <w:bookmarkEnd w:id="118"/>
    <w:p>
      <w:pPr>
        <w:ind w:right="20"/>
        <w:spacing w:after="0" w:line="244" w:lineRule="auto"/>
        <w:rPr>
          <w:sz w:val="20"/>
          <w:szCs w:val="20"/>
          <w:color w:val="auto"/>
        </w:rPr>
      </w:pPr>
      <w:r>
        <w:rPr>
          <w:rFonts w:ascii="Arial" w:cs="Arial" w:eastAsia="Arial" w:hAnsi="Arial"/>
          <w:sz w:val="21"/>
          <w:szCs w:val="21"/>
          <w:color w:val="auto"/>
        </w:rPr>
        <w:t>having jurisdiction. The Company shall, within three business days following delivery to the Company of the Executive Response, make to you those Potential Payments as to which there is no dispute between the Company and you regarding whether they should be made (except for any such Potential Payments which are not due to be made until after such date, which Potential Payments shall be made on the date on which they are due). The balance of the Potential Payments shall be made within three business days following the resolution of such dispute.</w:t>
      </w:r>
    </w:p>
    <w:p>
      <w:pPr>
        <w:spacing w:after="0" w:line="177" w:lineRule="exact"/>
        <w:rPr>
          <w:sz w:val="20"/>
          <w:szCs w:val="20"/>
          <w:color w:val="auto"/>
        </w:rPr>
      </w:pPr>
    </w:p>
    <w:p>
      <w:pPr>
        <w:ind w:right="20" w:firstLine="1278"/>
        <w:spacing w:after="0" w:line="251" w:lineRule="auto"/>
        <w:tabs>
          <w:tab w:leader="none" w:pos="1905"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 “Contingent Compensation Payment Ratio” shall mean a fraction the numerator of which is the value of the applicable Contingent Compensation Payment that must be taken into account by you for purposes of Section 4999(a) of the Code, and the denominator of which is the actual amount to be received by you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1.280G-1Q/A-24(b) or (c)).</w:t>
      </w:r>
    </w:p>
    <w:p>
      <w:pPr>
        <w:spacing w:after="0" w:line="179" w:lineRule="exact"/>
        <w:rPr>
          <w:rFonts w:ascii="Arial" w:cs="Arial" w:eastAsia="Arial" w:hAnsi="Arial"/>
          <w:sz w:val="20"/>
          <w:szCs w:val="20"/>
          <w:color w:val="auto"/>
        </w:rPr>
      </w:pPr>
    </w:p>
    <w:p>
      <w:pPr>
        <w:ind w:right="360" w:firstLine="1278"/>
        <w:spacing w:after="0" w:line="251" w:lineRule="auto"/>
        <w:tabs>
          <w:tab w:leader="none" w:pos="1908" w:val="left"/>
        </w:tabs>
        <w:numPr>
          <w:ilvl w:val="1"/>
          <w:numId w:val="78"/>
        </w:numPr>
        <w:rPr>
          <w:rFonts w:ascii="Arial" w:cs="Arial" w:eastAsia="Arial" w:hAnsi="Arial"/>
          <w:sz w:val="21"/>
          <w:szCs w:val="21"/>
          <w:color w:val="auto"/>
        </w:rPr>
      </w:pPr>
      <w:r>
        <w:rPr>
          <w:rFonts w:ascii="Arial" w:cs="Arial" w:eastAsia="Arial" w:hAnsi="Arial"/>
          <w:sz w:val="21"/>
          <w:szCs w:val="21"/>
          <w:color w:val="auto"/>
        </w:rPr>
        <w:t>The provisions of this Section 3 are intended to apply to any and all payments or benefits available to you under this letter agreement or any other agreement or plan of the Company under which you receive Contingent Compensation Payments.</w:t>
      </w:r>
    </w:p>
    <w:p>
      <w:pPr>
        <w:spacing w:after="0" w:line="163" w:lineRule="exact"/>
        <w:rPr>
          <w:rFonts w:ascii="Arial" w:cs="Arial" w:eastAsia="Arial" w:hAnsi="Arial"/>
          <w:sz w:val="21"/>
          <w:szCs w:val="21"/>
          <w:color w:val="auto"/>
        </w:rPr>
      </w:pPr>
    </w:p>
    <w:p>
      <w:pPr>
        <w:ind w:left="1280" w:hanging="638"/>
        <w:spacing w:after="0"/>
        <w:tabs>
          <w:tab w:leader="none" w:pos="1280" w:val="left"/>
        </w:tabs>
        <w:numPr>
          <w:ilvl w:val="0"/>
          <w:numId w:val="79"/>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w:t>
      </w:r>
    </w:p>
    <w:p>
      <w:pPr>
        <w:spacing w:after="0" w:line="215" w:lineRule="exact"/>
        <w:rPr>
          <w:rFonts w:ascii="Arial" w:cs="Arial" w:eastAsia="Arial" w:hAnsi="Arial"/>
          <w:sz w:val="21"/>
          <w:szCs w:val="21"/>
          <w:color w:val="auto"/>
        </w:rPr>
      </w:pPr>
    </w:p>
    <w:p>
      <w:pPr>
        <w:ind w:firstLine="1278"/>
        <w:spacing w:after="0" w:line="254" w:lineRule="auto"/>
        <w:tabs>
          <w:tab w:leader="none" w:pos="1905" w:val="left"/>
        </w:tabs>
        <w:numPr>
          <w:ilvl w:val="1"/>
          <w:numId w:val="79"/>
        </w:numPr>
        <w:rPr>
          <w:rFonts w:ascii="Arial" w:cs="Arial" w:eastAsia="Arial" w:hAnsi="Arial"/>
          <w:sz w:val="20"/>
          <w:szCs w:val="20"/>
          <w:color w:val="auto"/>
        </w:rPr>
      </w:pPr>
      <w:r>
        <w:rPr>
          <w:rFonts w:ascii="Arial" w:cs="Arial" w:eastAsia="Arial" w:hAnsi="Arial"/>
          <w:sz w:val="20"/>
          <w:szCs w:val="20"/>
          <w:u w:val="single" w:color="auto"/>
          <w:color w:val="auto"/>
        </w:rPr>
        <w:t>Code Section 409A</w:t>
      </w:r>
      <w:r>
        <w:rPr>
          <w:rFonts w:ascii="Arial" w:cs="Arial" w:eastAsia="Arial" w:hAnsi="Arial"/>
          <w:sz w:val="20"/>
          <w:szCs w:val="20"/>
          <w:color w:val="auto"/>
        </w:rPr>
        <w:t>. The intent of the parties is that payments and benefits under this letter comply with, or be exempt from, Internal Revenue Code Section 409A and the regulations and guidance promulgated thereunder (collectively “Code Section 409A”). Accordingly, if any provision of this letter is ambiguous, such that one interpretation would subject a payment or benefit to the excise tax imposed by Code Section 409A and an alternative interpretation would not so subject the payment or benefit, the parties intend the interpretation that would not so subject the payment or benefit to apply. 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w:t>
      </w:r>
    </w:p>
    <w:p>
      <w:pPr>
        <w:sectPr>
          <w:pgSz w:w="11900" w:h="16838" w:orient="portrait"/>
          <w:cols w:equalWidth="0" w:num="1">
            <w:col w:w="11240"/>
          </w:cols>
          <w:pgMar w:left="320" w:top="1390" w:right="339" w:bottom="1440" w:gutter="0" w:footer="0" w:header="0"/>
        </w:sectPr>
      </w:pPr>
    </w:p>
    <w:bookmarkStart w:id="119" w:name="page120"/>
    <w:bookmarkEnd w:id="119"/>
    <w:p>
      <w:pPr>
        <w:ind w:right="80"/>
        <w:spacing w:after="0" w:line="286" w:lineRule="auto"/>
        <w:rPr>
          <w:sz w:val="20"/>
          <w:szCs w:val="20"/>
          <w:color w:val="auto"/>
        </w:rPr>
      </w:pPr>
      <w:r>
        <w:rPr>
          <w:rFonts w:ascii="Arial" w:cs="Arial" w:eastAsia="Arial" w:hAnsi="Arial"/>
          <w:sz w:val="18"/>
          <w:szCs w:val="18"/>
          <w:color w:val="auto"/>
        </w:rPr>
        <w:t>year, provided that this clause (ii) shall not be violated with regard to expenses reimbursed under any arrangement covered by Section 105(a) of the Code solely because such expenses are subject to a limit related to the period the arrangement is in effect, and</w:t>
      </w:r>
    </w:p>
    <w:p>
      <w:pPr>
        <w:spacing w:after="0" w:line="2" w:lineRule="exact"/>
        <w:rPr>
          <w:sz w:val="20"/>
          <w:szCs w:val="20"/>
          <w:color w:val="auto"/>
        </w:rPr>
      </w:pPr>
    </w:p>
    <w:p>
      <w:pPr>
        <w:ind w:right="40" w:firstLine="6"/>
        <w:spacing w:after="0" w:line="251" w:lineRule="auto"/>
        <w:tabs>
          <w:tab w:leader="none" w:pos="371" w:val="left"/>
        </w:tabs>
        <w:numPr>
          <w:ilvl w:val="0"/>
          <w:numId w:val="80"/>
        </w:numPr>
        <w:rPr>
          <w:rFonts w:ascii="Arial" w:cs="Arial" w:eastAsia="Arial" w:hAnsi="Arial"/>
          <w:sz w:val="20"/>
          <w:szCs w:val="20"/>
          <w:color w:val="auto"/>
        </w:rPr>
      </w:pPr>
      <w:r>
        <w:rPr>
          <w:rFonts w:ascii="Arial" w:cs="Arial" w:eastAsia="Arial" w:hAnsi="Arial"/>
          <w:sz w:val="20"/>
          <w:szCs w:val="20"/>
          <w:color w:val="auto"/>
        </w:rPr>
        <w:t>such payments shall be made on or before the last day of your taxable year following the taxable year in which the expense occurred, provided that any tax gross-ups may be reimbursed by the end of the calendar year following the calendar year in which such taxes are remitted to the taxing authorities. For purposes of Code Section 409A, each payment hereunder shall be treated as a separate payment and your right to receive any installment payments pursuant to this Agreement shall be treated as a right to receive a series of separate and distinct payments. In no event may you, directly or indirectly, designate the calendar year of any payment to be made under this letter that is considered nonqualified deferred compensation. Termination of employment as used herein shall mean separation from service within the meaning of Code Section 409A. In the event at the time of any separation from service you are a “specified employee” within the meaning of Code Section 409A, any deferred compensation subject to Code Section 409A payable as a result of such termination shall not be paid prior to the earlier of six (6) months after such termination and your death and shall be paid immediately thereafter.</w:t>
      </w:r>
    </w:p>
    <w:p>
      <w:pPr>
        <w:spacing w:after="0" w:line="173" w:lineRule="exact"/>
        <w:rPr>
          <w:rFonts w:ascii="Arial" w:cs="Arial" w:eastAsia="Arial" w:hAnsi="Arial"/>
          <w:sz w:val="20"/>
          <w:szCs w:val="20"/>
          <w:color w:val="auto"/>
        </w:rPr>
      </w:pPr>
    </w:p>
    <w:p>
      <w:pPr>
        <w:ind w:right="160" w:firstLine="1278"/>
        <w:spacing w:after="0" w:line="257" w:lineRule="auto"/>
        <w:tabs>
          <w:tab w:leader="none" w:pos="1903"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Governin</w:t>
      </w:r>
      <w:r>
        <w:rPr>
          <w:rFonts w:ascii="Arial" w:cs="Arial" w:eastAsia="Arial" w:hAnsi="Arial"/>
          <w:sz w:val="20"/>
          <w:szCs w:val="20"/>
          <w:color w:val="auto"/>
        </w:rPr>
        <w:t xml:space="preserve">g </w:t>
      </w:r>
      <w:r>
        <w:rPr>
          <w:rFonts w:ascii="Arial" w:cs="Arial" w:eastAsia="Arial" w:hAnsi="Arial"/>
          <w:sz w:val="20"/>
          <w:szCs w:val="20"/>
          <w:u w:val="single" w:color="auto"/>
          <w:color w:val="auto"/>
        </w:rPr>
        <w:t>Law.</w:t>
      </w:r>
      <w:r>
        <w:rPr>
          <w:rFonts w:ascii="Arial" w:cs="Arial" w:eastAsia="Arial" w:hAnsi="Arial"/>
          <w:sz w:val="20"/>
          <w:szCs w:val="20"/>
          <w:color w:val="auto"/>
        </w:rPr>
        <w:t xml:space="preserve"> This letter shall be governed by and construed in accordance with the laws of the State of New York (without reference to the conflicts of laws provisions thereof). Any action, suit, or other legal proceeding which is commenced to resolve any matter arising under or relating to any provision of this letter shall be commenced only in a court of the State of New York (or, if appropriate, a federal court located within New York), and the Company and you each consents to the jurisdiction of such a court. The Company and you each hereby irrevocably waive any right to a trial by jury in any action, suit or other legal proceeding arising under or relating to any provision hereof.</w:t>
      </w:r>
    </w:p>
    <w:p>
      <w:pPr>
        <w:spacing w:after="0" w:line="165" w:lineRule="exact"/>
        <w:rPr>
          <w:rFonts w:ascii="Arial" w:cs="Arial" w:eastAsia="Arial" w:hAnsi="Arial"/>
          <w:sz w:val="20"/>
          <w:szCs w:val="20"/>
          <w:color w:val="auto"/>
        </w:rPr>
      </w:pPr>
    </w:p>
    <w:p>
      <w:pPr>
        <w:ind w:firstLine="1278"/>
        <w:spacing w:after="0" w:line="241" w:lineRule="auto"/>
        <w:tabs>
          <w:tab w:leader="none" w:pos="1905" w:val="left"/>
        </w:tabs>
        <w:numPr>
          <w:ilvl w:val="1"/>
          <w:numId w:val="80"/>
        </w:numPr>
        <w:rPr>
          <w:rFonts w:ascii="Arial" w:cs="Arial" w:eastAsia="Arial" w:hAnsi="Arial"/>
          <w:sz w:val="21"/>
          <w:szCs w:val="21"/>
          <w:color w:val="auto"/>
        </w:rPr>
      </w:pPr>
      <w:r>
        <w:rPr>
          <w:rFonts w:ascii="Arial" w:cs="Arial" w:eastAsia="Arial" w:hAnsi="Arial"/>
          <w:sz w:val="21"/>
          <w:szCs w:val="21"/>
          <w:u w:val="single" w:color="auto"/>
          <w:color w:val="auto"/>
        </w:rPr>
        <w:t>Conflict; Amendment; Counterparts</w:t>
      </w:r>
      <w:r>
        <w:rPr>
          <w:rFonts w:ascii="Arial" w:cs="Arial" w:eastAsia="Arial" w:hAnsi="Arial"/>
          <w:sz w:val="21"/>
          <w:szCs w:val="21"/>
          <w:color w:val="auto"/>
        </w:rPr>
        <w:t>. This letter agreement sets forth the Company’s sole obligation, subject to the terms and conditions set forth herein, to provide severance benefits to you. The severance benefits set forth in this letter agreement are therefore in lieu of, and not in addition to, the severance benefits described in Section 6 the Offer Letter or any other provision thereof or any other agreement or arrangement between you and us. Except as modified hereby, the terms of the Offer Letter remain in full force and effect. This agreement may only be modified in a document signed by both the Company and you. This agreement may be executed in counterparts, each of which will be deemed an original, but all of which will be deemed one and the same instrument.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[Remainder of page intentionally left blank]</w:t>
      </w:r>
    </w:p>
    <w:p>
      <w:pPr>
        <w:sectPr>
          <w:pgSz w:w="11900" w:h="16838" w:orient="portrait"/>
          <w:cols w:equalWidth="0" w:num="1">
            <w:col w:w="11240"/>
          </w:cols>
          <w:pgMar w:left="320" w:top="1390" w:right="339" w:bottom="1440" w:gutter="0" w:footer="0" w:header="0"/>
        </w:sectPr>
      </w:pPr>
    </w:p>
    <w:bookmarkStart w:id="120" w:name="page121"/>
    <w:bookmarkEnd w:id="120"/>
    <w:p>
      <w:pPr>
        <w:spacing w:after="0" w:line="266" w:lineRule="auto"/>
        <w:rPr>
          <w:sz w:val="20"/>
          <w:szCs w:val="20"/>
          <w:color w:val="auto"/>
        </w:rPr>
      </w:pPr>
      <w:r>
        <w:rPr>
          <w:rFonts w:ascii="Arial" w:cs="Arial" w:eastAsia="Arial" w:hAnsi="Arial"/>
          <w:sz w:val="21"/>
          <w:szCs w:val="21"/>
          <w:color w:val="auto"/>
        </w:rPr>
        <w:t>If the provisions of this agreement are acceptable to you, please sign and date this agreement below and return the signed and dated version to me on or before November 7, 2021.</w:t>
      </w:r>
    </w:p>
    <w:p>
      <w:pPr>
        <w:spacing w:after="0" w:line="366"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Sincerely,</w:t>
      </w:r>
    </w:p>
    <w:p>
      <w:pPr>
        <w:spacing w:after="0" w:line="200" w:lineRule="exact"/>
        <w:rPr>
          <w:sz w:val="20"/>
          <w:szCs w:val="20"/>
          <w:color w:val="auto"/>
        </w:rPr>
      </w:pPr>
    </w:p>
    <w:p>
      <w:pPr>
        <w:spacing w:after="0" w:line="221"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IVERIC bio, Inc.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By: /s/ Amy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-12700</wp:posOffset>
            </wp:positionV>
            <wp:extent cx="10541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3820"/>
        <w:spacing w:after="0"/>
        <w:rPr>
          <w:sz w:val="20"/>
          <w:szCs w:val="20"/>
          <w:color w:val="auto"/>
        </w:rPr>
      </w:pPr>
      <w:r>
        <w:rPr>
          <w:rFonts w:ascii="Arial" w:cs="Arial" w:eastAsia="Arial" w:hAnsi="Arial"/>
          <w:sz w:val="21"/>
          <w:szCs w:val="21"/>
          <w:color w:val="auto"/>
        </w:rPr>
        <w:t>Amy Sheehan</w:t>
      </w:r>
    </w:p>
    <w:p>
      <w:pPr>
        <w:ind w:left="3820"/>
        <w:spacing w:after="0"/>
        <w:rPr>
          <w:sz w:val="20"/>
          <w:szCs w:val="20"/>
          <w:color w:val="auto"/>
        </w:rPr>
      </w:pPr>
      <w:r>
        <w:rPr>
          <w:rFonts w:ascii="Arial" w:cs="Arial" w:eastAsia="Arial" w:hAnsi="Arial"/>
          <w:sz w:val="21"/>
          <w:szCs w:val="21"/>
          <w:color w:val="auto"/>
        </w:rPr>
        <w:t>SVP, Chief Human Resources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ACCEPTED AND AGREED: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/s/ Glenn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12490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Glenn Sblendorio</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Date: November 3, 2021</w:t>
      </w:r>
    </w:p>
    <w:p>
      <w:pPr>
        <w:sectPr>
          <w:pgSz w:w="11900" w:h="16838" w:orient="portrait"/>
          <w:cols w:equalWidth="0" w:num="1">
            <w:col w:w="11160"/>
          </w:cols>
          <w:pgMar w:left="320" w:top="1390" w:right="419" w:bottom="1440" w:gutter="0" w:footer="0" w:header="0"/>
        </w:sectPr>
      </w:pPr>
    </w:p>
    <w:bookmarkStart w:id="121" w:name="page122"/>
    <w:bookmarkEnd w:id="121"/>
    <w:p>
      <w:pPr>
        <w:ind w:left="10380"/>
        <w:spacing w:after="0"/>
        <w:rPr>
          <w:sz w:val="20"/>
          <w:szCs w:val="20"/>
          <w:color w:val="auto"/>
        </w:rPr>
      </w:pPr>
      <w:r>
        <w:rPr>
          <w:rFonts w:ascii="Arial" w:cs="Arial" w:eastAsia="Arial" w:hAnsi="Arial"/>
          <w:sz w:val="15"/>
          <w:szCs w:val="15"/>
          <w:b w:val="1"/>
          <w:bCs w:val="1"/>
          <w:color w:val="auto"/>
        </w:rPr>
        <w:t>Exhibit 31.1</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226" w:lineRule="exact"/>
        <w:rPr>
          <w:sz w:val="20"/>
          <w:szCs w:val="20"/>
          <w:color w:val="auto"/>
        </w:rPr>
      </w:pPr>
    </w:p>
    <w:p>
      <w:pPr>
        <w:ind w:left="640" w:hanging="316"/>
        <w:spacing w:after="0"/>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2021 of IVERIC bio, Inc.;</w:t>
      </w:r>
    </w:p>
    <w:p>
      <w:pPr>
        <w:spacing w:after="0" w:line="240" w:lineRule="exact"/>
        <w:rPr>
          <w:rFonts w:ascii="Arial" w:cs="Arial" w:eastAsia="Arial" w:hAnsi="Arial"/>
          <w:sz w:val="16"/>
          <w:szCs w:val="16"/>
          <w:color w:val="auto"/>
        </w:rPr>
      </w:pPr>
    </w:p>
    <w:p>
      <w:pPr>
        <w:ind w:left="640" w:right="40" w:hanging="316"/>
        <w:spacing w:after="0" w:line="301" w:lineRule="auto"/>
        <w:tabs>
          <w:tab w:leader="none" w:pos="6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5"/>
          <w:szCs w:val="15"/>
          <w:color w:val="auto"/>
        </w:rPr>
      </w:pPr>
    </w:p>
    <w:p>
      <w:pPr>
        <w:ind w:left="640" w:right="40" w:hanging="316"/>
        <w:spacing w:after="0" w:line="267" w:lineRule="auto"/>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6"/>
          <w:szCs w:val="16"/>
          <w:color w:val="auto"/>
        </w:rPr>
      </w:pPr>
    </w:p>
    <w:p>
      <w:pPr>
        <w:ind w:left="640" w:right="160" w:hanging="316"/>
        <w:spacing w:after="0" w:line="340" w:lineRule="auto"/>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960" w:right="60" w:hanging="318"/>
        <w:spacing w:after="0" w:line="254" w:lineRule="auto"/>
        <w:tabs>
          <w:tab w:leader="none" w:pos="938"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6"/>
          <w:szCs w:val="16"/>
          <w:color w:val="auto"/>
        </w:rPr>
      </w:pPr>
    </w:p>
    <w:p>
      <w:pPr>
        <w:ind w:left="960" w:hanging="318"/>
        <w:spacing w:after="0" w:line="254" w:lineRule="auto"/>
        <w:tabs>
          <w:tab w:leader="none" w:pos="947"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6"/>
          <w:szCs w:val="16"/>
          <w:color w:val="auto"/>
        </w:rPr>
      </w:pPr>
    </w:p>
    <w:p>
      <w:pPr>
        <w:ind w:left="960" w:right="480" w:hanging="318"/>
        <w:spacing w:after="0" w:line="267" w:lineRule="auto"/>
        <w:tabs>
          <w:tab w:leader="none" w:pos="938"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ind w:left="960" w:right="140" w:hanging="318"/>
        <w:spacing w:after="0" w:line="254" w:lineRule="auto"/>
        <w:tabs>
          <w:tab w:leader="none" w:pos="947" w:val="left"/>
        </w:tabs>
        <w:numPr>
          <w:ilvl w:val="1"/>
          <w:numId w:val="8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6"/>
          <w:szCs w:val="16"/>
          <w:color w:val="auto"/>
        </w:rPr>
      </w:pPr>
    </w:p>
    <w:p>
      <w:pPr>
        <w:ind w:left="640" w:right="500" w:hanging="316"/>
        <w:spacing w:after="0" w:line="267" w:lineRule="auto"/>
        <w:tabs>
          <w:tab w:leader="none" w:pos="677"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6"/>
          <w:szCs w:val="16"/>
          <w:color w:val="auto"/>
        </w:rPr>
      </w:pPr>
    </w:p>
    <w:p>
      <w:pPr>
        <w:ind w:left="960" w:right="640" w:hanging="318"/>
        <w:spacing w:after="0" w:line="267" w:lineRule="auto"/>
        <w:tabs>
          <w:tab w:leader="none" w:pos="929"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ind w:left="960" w:right="260" w:hanging="318"/>
        <w:spacing w:after="0" w:line="267" w:lineRule="auto"/>
        <w:tabs>
          <w:tab w:leader="none" w:pos="938"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0"/>
        <w:spacing w:after="0"/>
        <w:tabs>
          <w:tab w:leader="none" w:pos="6960" w:val="left"/>
          <w:tab w:leader="none" w:pos="7720" w:val="left"/>
        </w:tabs>
        <w:rPr>
          <w:sz w:val="20"/>
          <w:szCs w:val="20"/>
          <w:color w:val="auto"/>
        </w:rPr>
      </w:pPr>
      <w:r>
        <w:rPr>
          <w:rFonts w:ascii="Arial" w:cs="Arial" w:eastAsia="Arial" w:hAnsi="Arial"/>
          <w:sz w:val="16"/>
          <w:szCs w:val="16"/>
          <w:color w:val="auto"/>
        </w:rPr>
        <w:t>Date: November 9,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15875</wp:posOffset>
            </wp:positionV>
            <wp:extent cx="22040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10"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Glenn P. Sblendorio</w:t>
      </w:r>
    </w:p>
    <w:p>
      <w:pPr>
        <w:ind w:left="7740"/>
        <w:spacing w:after="0" w:line="207" w:lineRule="auto"/>
        <w:rPr>
          <w:sz w:val="20"/>
          <w:szCs w:val="20"/>
          <w:color w:val="auto"/>
        </w:rPr>
      </w:pPr>
      <w:r>
        <w:rPr>
          <w:rFonts w:ascii="Arial" w:cs="Arial" w:eastAsia="Arial" w:hAnsi="Arial"/>
          <w:sz w:val="16"/>
          <w:szCs w:val="16"/>
          <w:color w:val="auto"/>
        </w:rPr>
        <w:t>Chief Executive Officer</w:t>
      </w:r>
    </w:p>
    <w:p>
      <w:pPr>
        <w:ind w:left="774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6985</wp:posOffset>
            </wp:positionV>
            <wp:extent cx="22040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22040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82550</wp:posOffset>
            </wp:positionV>
            <wp:extent cx="7117715" cy="336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17715" cy="336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2" w:name="page123"/>
    <w:bookmarkEnd w:id="122"/>
    <w:p>
      <w:pPr>
        <w:ind w:left="10380"/>
        <w:spacing w:after="0"/>
        <w:rPr>
          <w:sz w:val="20"/>
          <w:szCs w:val="20"/>
          <w:color w:val="auto"/>
        </w:rPr>
      </w:pPr>
      <w:r>
        <w:rPr>
          <w:rFonts w:ascii="Arial" w:cs="Arial" w:eastAsia="Arial" w:hAnsi="Arial"/>
          <w:sz w:val="15"/>
          <w:szCs w:val="15"/>
          <w:b w:val="1"/>
          <w:bCs w:val="1"/>
          <w:color w:val="auto"/>
        </w:rPr>
        <w:t>Exhibit 31.2</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240" w:lineRule="exact"/>
        <w:rPr>
          <w:sz w:val="20"/>
          <w:szCs w:val="20"/>
          <w:color w:val="auto"/>
        </w:rPr>
      </w:pPr>
    </w:p>
    <w:p>
      <w:pPr>
        <w:ind w:left="640" w:hanging="316"/>
        <w:spacing w:after="0"/>
        <w:tabs>
          <w:tab w:leader="none" w:pos="6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2021 of IVERIC bio, Inc.;</w:t>
      </w:r>
    </w:p>
    <w:p>
      <w:pPr>
        <w:spacing w:after="0" w:line="240" w:lineRule="exact"/>
        <w:rPr>
          <w:rFonts w:ascii="Arial" w:cs="Arial" w:eastAsia="Arial" w:hAnsi="Arial"/>
          <w:sz w:val="16"/>
          <w:szCs w:val="16"/>
          <w:color w:val="auto"/>
        </w:rPr>
      </w:pPr>
    </w:p>
    <w:p>
      <w:pPr>
        <w:ind w:left="640" w:right="40" w:hanging="316"/>
        <w:spacing w:after="0" w:line="301" w:lineRule="auto"/>
        <w:tabs>
          <w:tab w:leader="none" w:pos="6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5"/>
          <w:szCs w:val="15"/>
          <w:color w:val="auto"/>
        </w:rPr>
      </w:pPr>
    </w:p>
    <w:p>
      <w:pPr>
        <w:ind w:left="640" w:right="40" w:hanging="316"/>
        <w:spacing w:after="0" w:line="267" w:lineRule="auto"/>
        <w:tabs>
          <w:tab w:leader="none" w:pos="6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6"/>
          <w:szCs w:val="16"/>
          <w:color w:val="auto"/>
        </w:rPr>
      </w:pPr>
    </w:p>
    <w:p>
      <w:pPr>
        <w:ind w:left="640" w:right="160" w:hanging="316"/>
        <w:spacing w:after="0" w:line="340" w:lineRule="auto"/>
        <w:tabs>
          <w:tab w:leader="none" w:pos="637"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960" w:right="60" w:hanging="318"/>
        <w:spacing w:after="0" w:line="254" w:lineRule="auto"/>
        <w:tabs>
          <w:tab w:leader="none" w:pos="938"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6"/>
          <w:szCs w:val="16"/>
          <w:color w:val="auto"/>
        </w:rPr>
      </w:pPr>
    </w:p>
    <w:p>
      <w:pPr>
        <w:ind w:left="960" w:hanging="318"/>
        <w:spacing w:after="0" w:line="254" w:lineRule="auto"/>
        <w:tabs>
          <w:tab w:leader="none" w:pos="947"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6"/>
          <w:szCs w:val="16"/>
          <w:color w:val="auto"/>
        </w:rPr>
      </w:pPr>
    </w:p>
    <w:p>
      <w:pPr>
        <w:ind w:left="960" w:right="480" w:hanging="318"/>
        <w:spacing w:after="0" w:line="267" w:lineRule="auto"/>
        <w:tabs>
          <w:tab w:leader="none" w:pos="938"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ind w:left="960" w:right="140" w:hanging="318"/>
        <w:spacing w:after="0" w:line="254" w:lineRule="auto"/>
        <w:tabs>
          <w:tab w:leader="none" w:pos="947" w:val="left"/>
        </w:tabs>
        <w:numPr>
          <w:ilvl w:val="1"/>
          <w:numId w:val="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6"/>
          <w:szCs w:val="16"/>
          <w:color w:val="auto"/>
        </w:rPr>
      </w:pPr>
    </w:p>
    <w:p>
      <w:pPr>
        <w:ind w:left="640" w:right="540" w:hanging="316"/>
        <w:spacing w:after="0" w:line="267" w:lineRule="auto"/>
        <w:tabs>
          <w:tab w:leader="none" w:pos="637"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6"/>
          <w:szCs w:val="16"/>
          <w:color w:val="auto"/>
        </w:rPr>
      </w:pPr>
    </w:p>
    <w:p>
      <w:pPr>
        <w:ind w:left="960" w:right="640" w:hanging="318"/>
        <w:spacing w:after="0" w:line="267" w:lineRule="auto"/>
        <w:tabs>
          <w:tab w:leader="none" w:pos="929"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ind w:left="960" w:right="260" w:hanging="318"/>
        <w:spacing w:after="0" w:line="267" w:lineRule="auto"/>
        <w:tabs>
          <w:tab w:leader="none" w:pos="938" w:val="left"/>
        </w:tabs>
        <w:numPr>
          <w:ilvl w:val="1"/>
          <w:numId w:val="8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0"/>
        <w:spacing w:after="0"/>
        <w:tabs>
          <w:tab w:leader="none" w:pos="6960" w:val="left"/>
          <w:tab w:leader="none" w:pos="7720" w:val="left"/>
        </w:tabs>
        <w:rPr>
          <w:sz w:val="20"/>
          <w:szCs w:val="20"/>
          <w:color w:val="auto"/>
        </w:rPr>
      </w:pPr>
      <w:r>
        <w:rPr>
          <w:rFonts w:ascii="Arial" w:cs="Arial" w:eastAsia="Arial" w:hAnsi="Arial"/>
          <w:sz w:val="16"/>
          <w:szCs w:val="16"/>
          <w:color w:val="auto"/>
        </w:rPr>
        <w:t>Date: November 9,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15875</wp:posOffset>
            </wp:positionV>
            <wp:extent cx="22040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10"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David F. Carroll</w:t>
      </w:r>
    </w:p>
    <w:p>
      <w:pPr>
        <w:ind w:left="7740"/>
        <w:spacing w:after="0" w:line="207" w:lineRule="auto"/>
        <w:rPr>
          <w:sz w:val="20"/>
          <w:szCs w:val="20"/>
          <w:color w:val="auto"/>
        </w:rPr>
      </w:pPr>
      <w:r>
        <w:rPr>
          <w:rFonts w:ascii="Arial" w:cs="Arial" w:eastAsia="Arial" w:hAnsi="Arial"/>
          <w:sz w:val="16"/>
          <w:szCs w:val="16"/>
          <w:color w:val="auto"/>
        </w:rPr>
        <w:t>Chief Financial Officer</w:t>
      </w:r>
    </w:p>
    <w:p>
      <w:pPr>
        <w:ind w:left="774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7117715" cy="336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17715" cy="336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3" w:name="page124"/>
    <w:bookmarkEnd w:id="123"/>
    <w:p>
      <w:pPr>
        <w:ind w:left="10380"/>
        <w:spacing w:after="0"/>
        <w:rPr>
          <w:sz w:val="20"/>
          <w:szCs w:val="20"/>
          <w:color w:val="auto"/>
        </w:rPr>
      </w:pPr>
      <w:r>
        <w:rPr>
          <w:rFonts w:ascii="Arial" w:cs="Arial" w:eastAsia="Arial" w:hAnsi="Arial"/>
          <w:sz w:val="15"/>
          <w:szCs w:val="15"/>
          <w:b w:val="1"/>
          <w:bCs w:val="1"/>
          <w:color w:val="auto"/>
        </w:rPr>
        <w:t>Exhibit 32.1</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6" w:lineRule="exact"/>
        <w:rPr>
          <w:sz w:val="20"/>
          <w:szCs w:val="20"/>
          <w:color w:val="auto"/>
        </w:rPr>
      </w:pPr>
    </w:p>
    <w:p>
      <w:pPr>
        <w:ind w:firstLine="318"/>
        <w:spacing w:after="0" w:line="279" w:lineRule="auto"/>
        <w:rPr>
          <w:sz w:val="20"/>
          <w:szCs w:val="20"/>
          <w:color w:val="auto"/>
        </w:rPr>
      </w:pPr>
      <w:r>
        <w:rPr>
          <w:rFonts w:ascii="Arial" w:cs="Arial" w:eastAsia="Arial" w:hAnsi="Arial"/>
          <w:sz w:val="15"/>
          <w:szCs w:val="15"/>
          <w:color w:val="auto"/>
        </w:rPr>
        <w:t>In connection with the Quarterly Report on Form 10-Q of IVERIC bio, Inc. (the "Company") for the period ended September 30, 2021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93" w:lineRule="exact"/>
        <w:rPr>
          <w:sz w:val="20"/>
          <w:szCs w:val="20"/>
          <w:color w:val="auto"/>
        </w:rPr>
      </w:pPr>
    </w:p>
    <w:p>
      <w:pPr>
        <w:ind w:left="620" w:hanging="296"/>
        <w:spacing w:after="0"/>
        <w:tabs>
          <w:tab w:leader="none" w:pos="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0" w:lineRule="exact"/>
        <w:rPr>
          <w:rFonts w:ascii="Arial" w:cs="Arial" w:eastAsia="Arial" w:hAnsi="Arial"/>
          <w:sz w:val="16"/>
          <w:szCs w:val="16"/>
          <w:color w:val="auto"/>
        </w:rPr>
      </w:pPr>
    </w:p>
    <w:p>
      <w:pPr>
        <w:ind w:left="620" w:hanging="296"/>
        <w:spacing w:after="0"/>
        <w:tabs>
          <w:tab w:leader="none" w:pos="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20"/>
        <w:spacing w:after="0"/>
        <w:tabs>
          <w:tab w:leader="none" w:pos="5680" w:val="left"/>
          <w:tab w:leader="none" w:pos="6440" w:val="left"/>
        </w:tabs>
        <w:rPr>
          <w:sz w:val="20"/>
          <w:szCs w:val="20"/>
          <w:color w:val="auto"/>
        </w:rPr>
      </w:pPr>
      <w:r>
        <w:rPr>
          <w:rFonts w:ascii="Arial" w:cs="Arial" w:eastAsia="Arial" w:hAnsi="Arial"/>
          <w:sz w:val="16"/>
          <w:szCs w:val="16"/>
          <w:color w:val="auto"/>
        </w:rPr>
        <w:t>Date: November 9,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15875</wp:posOffset>
            </wp:positionV>
            <wp:extent cx="30035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0"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Glenn P. Sblendorio</w:t>
      </w:r>
    </w:p>
    <w:p>
      <w:pPr>
        <w:ind w:left="6460"/>
        <w:spacing w:after="0" w:line="207" w:lineRule="auto"/>
        <w:rPr>
          <w:sz w:val="20"/>
          <w:szCs w:val="20"/>
          <w:color w:val="auto"/>
        </w:rPr>
      </w:pPr>
      <w:r>
        <w:rPr>
          <w:rFonts w:ascii="Arial" w:cs="Arial" w:eastAsia="Arial" w:hAnsi="Arial"/>
          <w:sz w:val="16"/>
          <w:szCs w:val="16"/>
          <w:color w:val="auto"/>
        </w:rPr>
        <w:t>Chief Executive Officer</w:t>
      </w:r>
    </w:p>
    <w:p>
      <w:pPr>
        <w:ind w:left="646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7117715" cy="336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17715" cy="3365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24" w:name="page125"/>
    <w:bookmarkEnd w:id="124"/>
    <w:p>
      <w:pPr>
        <w:jc w:val="right"/>
        <w:spacing w:after="0"/>
        <w:rPr>
          <w:sz w:val="20"/>
          <w:szCs w:val="20"/>
          <w:color w:val="auto"/>
        </w:rPr>
      </w:pPr>
      <w:r>
        <w:rPr>
          <w:rFonts w:ascii="Arial" w:cs="Arial" w:eastAsia="Arial" w:hAnsi="Arial"/>
          <w:sz w:val="16"/>
          <w:szCs w:val="16"/>
          <w:b w:val="1"/>
          <w:bCs w:val="1"/>
          <w:color w:val="auto"/>
        </w:rPr>
        <w:t>Exhibit 32.2</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6" w:lineRule="exact"/>
        <w:rPr>
          <w:sz w:val="20"/>
          <w:szCs w:val="20"/>
          <w:color w:val="auto"/>
        </w:rPr>
      </w:pPr>
    </w:p>
    <w:p>
      <w:pPr>
        <w:jc w:val="both"/>
        <w:ind w:right="260" w:firstLine="318"/>
        <w:spacing w:after="0" w:line="279" w:lineRule="auto"/>
        <w:rPr>
          <w:sz w:val="20"/>
          <w:szCs w:val="20"/>
          <w:color w:val="auto"/>
        </w:rPr>
      </w:pPr>
      <w:r>
        <w:rPr>
          <w:rFonts w:ascii="Arial" w:cs="Arial" w:eastAsia="Arial" w:hAnsi="Arial"/>
          <w:sz w:val="15"/>
          <w:szCs w:val="15"/>
          <w:color w:val="auto"/>
        </w:rPr>
        <w:t>In connection with the Quarterly Report on Form 10-Q of IVERIC bio, Inc. (the "Company") for the period ended September 30, 2021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93" w:lineRule="exact"/>
        <w:rPr>
          <w:sz w:val="20"/>
          <w:szCs w:val="20"/>
          <w:color w:val="auto"/>
        </w:rPr>
      </w:pPr>
    </w:p>
    <w:p>
      <w:pPr>
        <w:ind w:left="620" w:hanging="296"/>
        <w:spacing w:after="0"/>
        <w:tabs>
          <w:tab w:leader="none" w:pos="6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0" w:lineRule="exact"/>
        <w:rPr>
          <w:rFonts w:ascii="Arial" w:cs="Arial" w:eastAsia="Arial" w:hAnsi="Arial"/>
          <w:sz w:val="16"/>
          <w:szCs w:val="16"/>
          <w:color w:val="auto"/>
        </w:rPr>
      </w:pPr>
    </w:p>
    <w:p>
      <w:pPr>
        <w:ind w:left="620" w:hanging="296"/>
        <w:spacing w:after="0"/>
        <w:tabs>
          <w:tab w:leader="none" w:pos="6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20"/>
        <w:spacing w:after="0"/>
        <w:tabs>
          <w:tab w:leader="none" w:pos="5720" w:val="left"/>
          <w:tab w:leader="none" w:pos="6480" w:val="left"/>
        </w:tabs>
        <w:rPr>
          <w:sz w:val="20"/>
          <w:szCs w:val="20"/>
          <w:color w:val="auto"/>
        </w:rPr>
      </w:pPr>
      <w:r>
        <w:rPr>
          <w:rFonts w:ascii="Arial" w:cs="Arial" w:eastAsia="Arial" w:hAnsi="Arial"/>
          <w:sz w:val="16"/>
          <w:szCs w:val="16"/>
          <w:color w:val="auto"/>
        </w:rPr>
        <w:t>Date: November 9,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4117975</wp:posOffset>
            </wp:positionH>
            <wp:positionV relativeFrom="paragraph">
              <wp:posOffset>15875</wp:posOffset>
            </wp:positionV>
            <wp:extent cx="29952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2995295" cy="8255"/>
                    </a:xfrm>
                    <a:prstGeom prst="rect">
                      <a:avLst/>
                    </a:prstGeom>
                    <a:noFill/>
                  </pic:spPr>
                </pic:pic>
              </a:graphicData>
            </a:graphic>
          </wp:anchor>
        </w:drawing>
      </w:r>
    </w:p>
    <w:p>
      <w:pPr>
        <w:spacing w:after="0" w:line="10"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David F. Carroll</w:t>
      </w:r>
    </w:p>
    <w:p>
      <w:pPr>
        <w:ind w:left="6500"/>
        <w:spacing w:after="0" w:line="207" w:lineRule="auto"/>
        <w:rPr>
          <w:sz w:val="20"/>
          <w:szCs w:val="20"/>
          <w:color w:val="auto"/>
        </w:rPr>
      </w:pPr>
      <w:r>
        <w:rPr>
          <w:rFonts w:ascii="Arial" w:cs="Arial" w:eastAsia="Arial" w:hAnsi="Arial"/>
          <w:sz w:val="16"/>
          <w:szCs w:val="16"/>
          <w:color w:val="auto"/>
        </w:rPr>
        <w:t>Chief Financial Officer</w:t>
      </w:r>
    </w:p>
    <w:p>
      <w:pPr>
        <w:ind w:left="650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74295</wp:posOffset>
            </wp:positionV>
            <wp:extent cx="7117715" cy="336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17715" cy="33655"/>
                    </a:xfrm>
                    <a:prstGeom prst="rect">
                      <a:avLst/>
                    </a:prstGeom>
                    <a:noFill/>
                  </pic:spPr>
                </pic:pic>
              </a:graphicData>
            </a:graphic>
          </wp:anchor>
        </w:drawing>
      </w:r>
    </w:p>
    <w:sectPr>
      <w:pgSz w:w="11900" w:h="16838" w:orient="portrait"/>
      <w:cols w:equalWidth="0" w:num="1">
        <w:col w:w="11200"/>
      </w:cols>
      <w:pgMar w:left="320" w:top="10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1."/>
      <w:numFmt w:val="decimal"/>
      <w:start w:val="15"/>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1)"/>
      <w:numFmt w:val="decimal"/>
      <w:start w:val="1"/>
    </w:lvl>
    <w:lvl w:ilvl="1">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1."/>
      <w:numFmt w:val="decimal"/>
      <w:start w:val="1"/>
    </w:lvl>
  </w:abstractNum>
  <w:abstractNum w:abstractNumId="56">
    <w:nsid w:val="98A3148"/>
    <w:multiLevelType w:val="hybridMultilevel"/>
    <w:lvl w:ilvl="0">
      <w:lvlJc w:val="left"/>
      <w:lvlText w:val="%1."/>
      <w:numFmt w:val="decimal"/>
      <w:start w:val="4"/>
    </w:lvl>
  </w:abstractNum>
  <w:abstractNum w:abstractNumId="57">
    <w:nsid w:val="799D0247"/>
    <w:multiLevelType w:val="hybridMultilevel"/>
    <w:lvl w:ilvl="0">
      <w:lvlJc w:val="left"/>
      <w:lvlText w:val="%1."/>
      <w:numFmt w:val="decimal"/>
      <w:start w:val="7"/>
    </w:lvl>
  </w:abstractNum>
  <w:abstractNum w:abstractNumId="58">
    <w:nsid w:val="6B94764"/>
    <w:multiLevelType w:val="hybridMultilevel"/>
    <w:lvl w:ilvl="0">
      <w:lvlJc w:val="left"/>
      <w:lvlText w:val="%1"/>
      <w:numFmt w:val="lowerLetter"/>
      <w:start w:val="1"/>
    </w:lvl>
    <w:lvl w:ilvl="1">
      <w:lvlJc w:val="left"/>
      <w:lvlText w:val="%2."/>
      <w:numFmt w:val="decimal"/>
      <w:start w:val="1"/>
    </w:lvl>
  </w:abstractNum>
  <w:abstractNum w:abstractNumId="59">
    <w:nsid w:val="42C296BD"/>
    <w:multiLevelType w:val="hybridMultilevel"/>
    <w:lvl w:ilvl="0">
      <w:lvlJc w:val="left"/>
      <w:lvlText w:val="(%1)"/>
      <w:numFmt w:val="lowerLetter"/>
      <w:start w:val="1"/>
    </w:lvl>
    <w:lvl w:ilvl="1">
      <w:lvlJc w:val="left"/>
      <w:lvlText w:val="%2"/>
      <w:numFmt w:val="decimal"/>
      <w:start w:val="1"/>
    </w:lvl>
  </w:abstractNum>
  <w:abstractNum w:abstractNumId="60">
    <w:nsid w:val="168E121F"/>
    <w:multiLevelType w:val="hybridMultilevel"/>
    <w:lvl w:ilvl="0">
      <w:lvlJc w:val="left"/>
      <w:lvlText w:val="%1"/>
      <w:numFmt w:val="lowerRoman"/>
      <w:start w:val="1"/>
    </w:lvl>
    <w:lvl w:ilvl="1">
      <w:lvlJc w:val="left"/>
      <w:lvlText w:val="(%2)"/>
      <w:numFmt w:val="lowerLetter"/>
      <w:start w:val="2"/>
    </w:lvl>
  </w:abstractNum>
  <w:abstractNum w:abstractNumId="61">
    <w:nsid w:val="1EBA5D23"/>
    <w:multiLevelType w:val="hybridMultilevel"/>
    <w:lvl w:ilvl="0">
      <w:lvlJc w:val="left"/>
      <w:lvlText w:val="(%1)"/>
      <w:numFmt w:val="lowerRoman"/>
      <w:start w:val="6"/>
    </w:lvl>
    <w:lvl w:ilvl="1">
      <w:lvlJc w:val="left"/>
      <w:lvlText w:val="(%2)"/>
      <w:numFmt w:val="lowerLetter"/>
      <w:start w:val="4"/>
    </w:lvl>
  </w:abstractNum>
  <w:abstractNum w:abstractNumId="62">
    <w:nsid w:val="661E3F1E"/>
    <w:multiLevelType w:val="hybridMultilevel"/>
    <w:lvl w:ilvl="0">
      <w:lvlJc w:val="left"/>
      <w:lvlText w:val="%1."/>
      <w:numFmt w:val="decimal"/>
      <w:start w:val="2"/>
    </w:lvl>
    <w:lvl w:ilvl="1">
      <w:lvlJc w:val="left"/>
      <w:lvlText w:val="(%2)"/>
      <w:numFmt w:val="lowerLetter"/>
      <w:start w:val="1"/>
    </w:lvl>
  </w:abstractNum>
  <w:abstractNum w:abstractNumId="63">
    <w:nsid w:val="5DC79EA8"/>
    <w:multiLevelType w:val="hybridMultilevel"/>
    <w:lvl w:ilvl="0">
      <w:lvlJc w:val="left"/>
      <w:lvlText w:val="%1"/>
      <w:numFmt w:val="decimal"/>
      <w:start w:val="1"/>
    </w:lvl>
    <w:lvl w:ilvl="1">
      <w:lvlJc w:val="left"/>
      <w:lvlText w:val="(%2)"/>
      <w:numFmt w:val="lowerRoman"/>
      <w:start w:val="1"/>
    </w:lvl>
  </w:abstractNum>
  <w:abstractNum w:abstractNumId="64">
    <w:nsid w:val="540A471C"/>
    <w:multiLevelType w:val="hybridMultilevel"/>
    <w:lvl w:ilvl="0">
      <w:lvlJc w:val="left"/>
      <w:lvlText w:val="(%1)"/>
      <w:numFmt w:val="decimal"/>
      <w:start w:val="2"/>
    </w:lvl>
    <w:lvl w:ilvl="1">
      <w:lvlJc w:val="left"/>
      <w:lvlText w:val="(%2)"/>
      <w:numFmt w:val="lowerRoman"/>
      <w:start w:val="2"/>
    </w:lvl>
  </w:abstractNum>
  <w:abstractNum w:abstractNumId="65">
    <w:nsid w:val="7BD3EE7B"/>
    <w:multiLevelType w:val="hybridMultilevel"/>
    <w:lvl w:ilvl="0">
      <w:lvlJc w:val="left"/>
      <w:lvlText w:val="(%1)"/>
      <w:numFmt w:val="lowerLetter"/>
      <w:start w:val="4"/>
    </w:lvl>
  </w:abstractNum>
  <w:abstractNum w:abstractNumId="66">
    <w:nsid w:val="51D9C564"/>
    <w:multiLevelType w:val="hybridMultilevel"/>
    <w:lvl w:ilvl="0">
      <w:lvlJc w:val="left"/>
      <w:lvlText w:val="%1"/>
      <w:numFmt w:val="decimal"/>
      <w:start w:val="1"/>
    </w:lvl>
    <w:lvl w:ilvl="1">
      <w:lvlJc w:val="left"/>
      <w:lvlText w:val="(%2)"/>
      <w:numFmt w:val="lowerLetter"/>
      <w:start w:val="6"/>
    </w:lvl>
  </w:abstractNum>
  <w:abstractNum w:abstractNumId="67">
    <w:nsid w:val="613EFDC5"/>
    <w:multiLevelType w:val="hybridMultilevel"/>
    <w:lvl w:ilvl="0">
      <w:lvlJc w:val="left"/>
      <w:lvlText w:val="%1."/>
      <w:numFmt w:val="decimal"/>
      <w:start w:val="4"/>
    </w:lvl>
    <w:lvl w:ilvl="1">
      <w:lvlJc w:val="left"/>
      <w:lvlText w:val="(%2)"/>
      <w:numFmt w:val="lowerLetter"/>
      <w:start w:val="1"/>
    </w:lvl>
  </w:abstractNum>
  <w:abstractNum w:abstractNumId="68">
    <w:nsid w:val="BF72B14"/>
    <w:multiLevelType w:val="hybridMultilevel"/>
    <w:lvl w:ilvl="0">
      <w:lvlJc w:val="left"/>
      <w:lvlText w:val="(%1)"/>
      <w:numFmt w:val="lowerLetter"/>
      <w:start w:val="2"/>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71">
    <w:nsid w:val="A0382C5"/>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abstractNum>
  <w:abstractNum w:abstractNumId="72">
    <w:nsid w:val="8F2B15E"/>
    <w:multiLevelType w:val="hybridMultilevel"/>
    <w:lvl w:ilvl="0">
      <w:lvlJc w:val="left"/>
      <w:lvlText w:val="%1."/>
      <w:numFmt w:val="decimal"/>
      <w:start w:val="1"/>
    </w:lvl>
    <w:lvl w:ilvl="1">
      <w:lvlJc w:val="left"/>
      <w:lvlText w:val="(%2)"/>
      <w:numFmt w:val="decimal"/>
    </w:lvl>
    <w:lvl w:ilvl="2">
      <w:lvlJc w:val="left"/>
      <w:lvlText w:val="(%3)"/>
      <w:numFmt w:val="lowerRoman"/>
      <w:start w:val="1"/>
    </w:lvl>
  </w:abstractNum>
  <w:abstractNum w:abstractNumId="73">
    <w:nsid w:val="1A32234B"/>
    <w:multiLevelType w:val="hybridMultilevel"/>
    <w:lvl w:ilvl="0">
      <w:lvlJc w:val="left"/>
      <w:lvlText w:val="(%1)"/>
      <w:numFmt w:val="lowerLetter"/>
      <w:start w:val="2"/>
    </w:lvl>
  </w:abstractNum>
  <w:abstractNum w:abstractNumId="74">
    <w:nsid w:val="3B0FD37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75">
    <w:nsid w:val="68EB2F63"/>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76">
    <w:nsid w:val="4962813B"/>
    <w:multiLevelType w:val="hybridMultilevel"/>
    <w:lvl w:ilvl="0">
      <w:lvlJc w:val="left"/>
      <w:lvlText w:val="(%1)"/>
      <w:numFmt w:val="lowerLetter"/>
      <w:start w:val="3"/>
    </w:lvl>
    <w:lvl w:ilvl="1">
      <w:lvlJc w:val="left"/>
      <w:lvlText w:val="(%2)"/>
      <w:numFmt w:val="lowerRoman"/>
      <w:start w:val="1"/>
    </w:lvl>
  </w:abstractNum>
  <w:abstractNum w:abstractNumId="77">
    <w:nsid w:val="60B6DF70"/>
    <w:multiLevelType w:val="hybridMultilevel"/>
    <w:lvl w:ilvl="0">
      <w:lvlJc w:val="left"/>
      <w:lvlText w:val="%1"/>
      <w:numFmt w:val="decimal"/>
      <w:start w:val="1"/>
    </w:lvl>
    <w:lvl w:ilvl="1">
      <w:lvlJc w:val="left"/>
      <w:lvlText w:val="(%2)"/>
      <w:numFmt w:val="lowerLetter"/>
      <w:start w:val="5"/>
    </w:lvl>
  </w:abstractNum>
  <w:abstractNum w:abstractNumId="78">
    <w:nsid w:val="6A5EE64"/>
    <w:multiLevelType w:val="hybridMultilevel"/>
    <w:lvl w:ilvl="0">
      <w:lvlJc w:val="left"/>
      <w:lvlText w:val="%1."/>
      <w:numFmt w:val="decimal"/>
      <w:start w:val="4"/>
    </w:lvl>
    <w:lvl w:ilvl="1">
      <w:lvlJc w:val="left"/>
      <w:lvlText w:val="(%2)"/>
      <w:numFmt w:val="lowerLetter"/>
      <w:start w:val="1"/>
    </w:lvl>
  </w:abstractNum>
  <w:abstractNum w:abstractNumId="79">
    <w:nsid w:val="14330624"/>
    <w:multiLevelType w:val="hybridMultilevel"/>
    <w:lvl w:ilvl="0">
      <w:lvlJc w:val="left"/>
      <w:lvlText w:val="(%1)"/>
      <w:numFmt w:val="lowerLetter"/>
      <w:start w:val="61"/>
    </w:lvl>
    <w:lvl w:ilvl="1">
      <w:lvlJc w:val="left"/>
      <w:lvlText w:val="(%2)"/>
      <w:numFmt w:val="lowerLetter"/>
      <w:start w:val="2"/>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jpeg"/><Relationship Id="rId122" Type="http://schemas.openxmlformats.org/officeDocument/2006/relationships/image" Target="media/image113.jpeg"/><Relationship Id="rId123" Type="http://schemas.openxmlformats.org/officeDocument/2006/relationships/image" Target="media/image114.jpe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16" Type="http://schemas.openxmlformats.org/officeDocument/2006/relationships/hyperlink" Target="https://www.sec.gov/Archives/edgar/data/1410939/000141093921000007/isee12312020exhibit31.htm" TargetMode="External"/><Relationship Id="rId117" Type="http://schemas.openxmlformats.org/officeDocument/2006/relationships/hyperlink" Target="http://www.sec.gov/Archives/edgar/data/1410939/000119312513360785/d560505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2021-11-09T15:39:48Z</dcterms:created>
  <dcterms:modified xsi:type="dcterms:W3CDTF">2021-11-09T15:39:48Z</dcterms:modified>
</cp:coreProperties>
</file>