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16153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3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1"/>
          <w:szCs w:val="1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64770</wp:posOffset>
            </wp:positionV>
            <wp:extent cx="132080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13335"/>
                    </a:xfrm>
                    <a:prstGeom prst="rect">
                      <a:avLst/>
                    </a:prstGeom>
                    <a:noFill/>
                  </pic:spPr>
                </pic:pic>
              </a:graphicData>
            </a:graphic>
          </wp:anchor>
        </w:drawing>
      </w:r>
    </w:p>
    <w:p>
      <w:pPr>
        <w:spacing w:after="0" w:line="202" w:lineRule="exact"/>
        <w:rPr>
          <w:sz w:val="24"/>
          <w:szCs w:val="24"/>
          <w:color w:val="auto"/>
        </w:rPr>
      </w:pPr>
    </w:p>
    <w:tbl>
      <w:tblPr>
        <w:tblLayout w:type="fixed"/>
        <w:tblInd w:w="1060" w:type="dxa"/>
        <w:tblCellMar>
          <w:top w:w="0" w:type="dxa"/>
          <w:left w:w="0" w:type="dxa"/>
          <w:bottom w:w="0" w:type="dxa"/>
          <w:right w:w="0" w:type="dxa"/>
        </w:tblCellMar>
      </w:tblPr>
      <w:tr>
        <w:trPr>
          <w:trHeight w:val="256"/>
        </w:trPr>
        <w:tc>
          <w:tcPr>
            <w:tcW w:w="20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80" w:type="dxa"/>
            <w:vAlign w:val="bottom"/>
          </w:tcPr>
          <w:p>
            <w:pPr>
              <w:jc w:val="center"/>
              <w:ind w:left="934"/>
              <w:spacing w:after="0"/>
              <w:rPr>
                <w:sz w:val="20"/>
                <w:szCs w:val="20"/>
                <w:color w:val="auto"/>
              </w:rPr>
            </w:pPr>
            <w:r>
              <w:rPr>
                <w:rFonts w:ascii="Arial" w:cs="Arial" w:eastAsia="Arial" w:hAnsi="Arial"/>
                <w:sz w:val="20"/>
                <w:szCs w:val="20"/>
                <w:b w:val="1"/>
                <w:bCs w:val="1"/>
                <w:color w:val="auto"/>
                <w:w w:val="99"/>
              </w:rPr>
              <w:t>FORM 10-Q</w:t>
            </w:r>
          </w:p>
        </w:tc>
        <w:tc>
          <w:tcPr>
            <w:tcW w:w="10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31"/>
        </w:trPr>
        <w:tc>
          <w:tcPr>
            <w:tcW w:w="2020" w:type="dxa"/>
            <w:vAlign w:val="bottom"/>
          </w:tcPr>
          <w:p>
            <w:pPr>
              <w:jc w:val="center"/>
              <w:ind w:left="903"/>
              <w:spacing w:after="0"/>
              <w:rPr>
                <w:sz w:val="20"/>
                <w:szCs w:val="20"/>
                <w:color w:val="auto"/>
              </w:rPr>
            </w:pPr>
            <w:r>
              <w:rPr>
                <w:rFonts w:ascii="Arial" w:cs="Arial" w:eastAsia="Arial" w:hAnsi="Arial"/>
                <w:sz w:val="11"/>
                <w:szCs w:val="11"/>
                <w:b w:val="1"/>
                <w:bCs w:val="1"/>
                <w:color w:val="auto"/>
              </w:rPr>
              <w:t>(Mark One)</w:t>
            </w:r>
          </w:p>
        </w:tc>
        <w:tc>
          <w:tcPr>
            <w:tcW w:w="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192"/>
        </w:trPr>
        <w:tc>
          <w:tcPr>
            <w:tcW w:w="2020" w:type="dxa"/>
            <w:vAlign w:val="bottom"/>
          </w:tcPr>
          <w:p>
            <w:pPr>
              <w:jc w:val="center"/>
              <w:ind w:left="903"/>
              <w:spacing w:after="0" w:line="111" w:lineRule="exact"/>
              <w:rPr>
                <w:sz w:val="20"/>
                <w:szCs w:val="20"/>
                <w:color w:val="auto"/>
              </w:rPr>
            </w:pPr>
            <w:r>
              <w:rPr>
                <w:rFonts w:ascii="MS PGothic" w:cs="MS PGothic" w:eastAsia="MS PGothic" w:hAnsi="MS PGothic"/>
                <w:sz w:val="11"/>
                <w:szCs w:val="11"/>
                <w:color w:val="auto"/>
                <w:w w:val="90"/>
              </w:rPr>
              <w:t>☒</w:t>
            </w:r>
          </w:p>
        </w:tc>
        <w:tc>
          <w:tcPr>
            <w:tcW w:w="5880" w:type="dxa"/>
            <w:vAlign w:val="bottom"/>
            <w:gridSpan w:val="4"/>
          </w:tcPr>
          <w:p>
            <w:pPr>
              <w:jc w:val="right"/>
              <w:spacing w:after="0"/>
              <w:rPr>
                <w:sz w:val="20"/>
                <w:szCs w:val="20"/>
                <w:color w:val="auto"/>
              </w:rPr>
            </w:pPr>
            <w:r>
              <w:rPr>
                <w:rFonts w:ascii="Arial" w:cs="Arial" w:eastAsia="Arial" w:hAnsi="Arial"/>
                <w:sz w:val="11"/>
                <w:szCs w:val="11"/>
                <w:b w:val="1"/>
                <w:bCs w:val="1"/>
                <w:color w:val="auto"/>
              </w:rPr>
              <w:t>QUARTERLY REPORT PURSUANT TO SECTION 13 OR 15(d) OF THE SECURITIES EXCHANGE ACT OF 1934</w:t>
            </w:r>
          </w:p>
        </w:tc>
      </w:tr>
      <w:tr>
        <w:trPr>
          <w:trHeight w:val="200"/>
        </w:trPr>
        <w:tc>
          <w:tcPr>
            <w:tcW w:w="2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960" w:type="dxa"/>
            <w:vAlign w:val="bottom"/>
            <w:gridSpan w:val="3"/>
          </w:tcPr>
          <w:p>
            <w:pPr>
              <w:jc w:val="center"/>
              <w:ind w:right="1660"/>
              <w:spacing w:after="0"/>
              <w:rPr>
                <w:sz w:val="20"/>
                <w:szCs w:val="20"/>
                <w:color w:val="auto"/>
              </w:rPr>
            </w:pPr>
            <w:r>
              <w:rPr>
                <w:rFonts w:ascii="Arial" w:cs="Arial" w:eastAsia="Arial" w:hAnsi="Arial"/>
                <w:sz w:val="11"/>
                <w:szCs w:val="11"/>
                <w:b w:val="1"/>
                <w:bCs w:val="1"/>
                <w:color w:val="auto"/>
                <w:w w:val="93"/>
              </w:rPr>
              <w:t>For the quarterly period ended June 30, 2022</w:t>
            </w:r>
          </w:p>
        </w:tc>
      </w:tr>
      <w:tr>
        <w:trPr>
          <w:trHeight w:val="233"/>
        </w:trPr>
        <w:tc>
          <w:tcPr>
            <w:tcW w:w="2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80" w:type="dxa"/>
            <w:vAlign w:val="bottom"/>
          </w:tcPr>
          <w:p>
            <w:pPr>
              <w:jc w:val="center"/>
              <w:ind w:left="954"/>
              <w:spacing w:after="0"/>
              <w:rPr>
                <w:sz w:val="20"/>
                <w:szCs w:val="20"/>
                <w:color w:val="auto"/>
              </w:rPr>
            </w:pPr>
            <w:r>
              <w:rPr>
                <w:rFonts w:ascii="Arial" w:cs="Arial" w:eastAsia="Arial" w:hAnsi="Arial"/>
                <w:sz w:val="11"/>
                <w:szCs w:val="11"/>
                <w:b w:val="1"/>
                <w:bCs w:val="1"/>
                <w:color w:val="auto"/>
              </w:rPr>
              <w:t>Or</w:t>
            </w:r>
          </w:p>
        </w:tc>
        <w:tc>
          <w:tcPr>
            <w:tcW w:w="10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192"/>
        </w:trPr>
        <w:tc>
          <w:tcPr>
            <w:tcW w:w="2020" w:type="dxa"/>
            <w:vAlign w:val="bottom"/>
          </w:tcPr>
          <w:p>
            <w:pPr>
              <w:jc w:val="center"/>
              <w:ind w:left="903"/>
              <w:spacing w:after="0" w:line="111" w:lineRule="exact"/>
              <w:rPr>
                <w:sz w:val="20"/>
                <w:szCs w:val="20"/>
                <w:color w:val="auto"/>
              </w:rPr>
            </w:pPr>
            <w:r>
              <w:rPr>
                <w:rFonts w:ascii="MS PGothic" w:cs="MS PGothic" w:eastAsia="MS PGothic" w:hAnsi="MS PGothic"/>
                <w:sz w:val="11"/>
                <w:szCs w:val="11"/>
                <w:color w:val="auto"/>
                <w:w w:val="90"/>
              </w:rPr>
              <w:t>☐</w:t>
            </w:r>
          </w:p>
        </w:tc>
        <w:tc>
          <w:tcPr>
            <w:tcW w:w="5880" w:type="dxa"/>
            <w:vAlign w:val="bottom"/>
            <w:gridSpan w:val="4"/>
          </w:tcPr>
          <w:p>
            <w:pPr>
              <w:jc w:val="right"/>
              <w:spacing w:after="0"/>
              <w:rPr>
                <w:sz w:val="20"/>
                <w:szCs w:val="20"/>
                <w:color w:val="auto"/>
              </w:rPr>
            </w:pPr>
            <w:r>
              <w:rPr>
                <w:rFonts w:ascii="Arial" w:cs="Arial" w:eastAsia="Arial" w:hAnsi="Arial"/>
                <w:sz w:val="11"/>
                <w:szCs w:val="11"/>
                <w:b w:val="1"/>
                <w:bCs w:val="1"/>
                <w:color w:val="auto"/>
              </w:rPr>
              <w:t>TRANSITION REPORT PURSUANT TO SECTION 13 OR 15(d) OF THE SECURITIES EXCHANGE ACT OF 1934</w:t>
            </w:r>
          </w:p>
        </w:tc>
      </w:tr>
      <w:tr>
        <w:trPr>
          <w:trHeight w:val="158"/>
        </w:trPr>
        <w:tc>
          <w:tcPr>
            <w:tcW w:w="2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80" w:type="dxa"/>
            <w:vAlign w:val="bottom"/>
          </w:tcPr>
          <w:p>
            <w:pPr>
              <w:ind w:left="560"/>
              <w:spacing w:after="0"/>
              <w:rPr>
                <w:sz w:val="20"/>
                <w:szCs w:val="20"/>
                <w:color w:val="auto"/>
              </w:rPr>
            </w:pPr>
            <w:r>
              <w:rPr>
                <w:rFonts w:ascii="Arial" w:cs="Arial" w:eastAsia="Arial" w:hAnsi="Arial"/>
                <w:sz w:val="11"/>
                <w:szCs w:val="11"/>
                <w:b w:val="1"/>
                <w:bCs w:val="1"/>
                <w:color w:val="auto"/>
              </w:rPr>
              <w:t>For the transition period from</w:t>
            </w:r>
          </w:p>
        </w:tc>
        <w:tc>
          <w:tcPr>
            <w:tcW w:w="2680" w:type="dxa"/>
            <w:vAlign w:val="bottom"/>
            <w:gridSpan w:val="2"/>
          </w:tcPr>
          <w:p>
            <w:pPr>
              <w:jc w:val="right"/>
              <w:ind w:right="2500"/>
              <w:spacing w:after="0"/>
              <w:rPr>
                <w:sz w:val="20"/>
                <w:szCs w:val="20"/>
                <w:color w:val="auto"/>
              </w:rPr>
            </w:pPr>
            <w:r>
              <w:rPr>
                <w:rFonts w:ascii="Arial" w:cs="Arial" w:eastAsia="Arial" w:hAnsi="Arial"/>
                <w:sz w:val="11"/>
                <w:szCs w:val="11"/>
                <w:b w:val="1"/>
                <w:bCs w:val="1"/>
                <w:color w:val="auto"/>
              </w:rPr>
              <w:t>to</w:t>
            </w:r>
          </w:p>
        </w:tc>
      </w:tr>
      <w:tr>
        <w:trPr>
          <w:trHeight w:val="424"/>
        </w:trPr>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60" w:type="dxa"/>
            <w:vAlign w:val="bottom"/>
            <w:gridSpan w:val="3"/>
          </w:tcPr>
          <w:p>
            <w:pPr>
              <w:jc w:val="center"/>
              <w:ind w:right="1660"/>
              <w:spacing w:after="0"/>
              <w:rPr>
                <w:sz w:val="20"/>
                <w:szCs w:val="20"/>
                <w:color w:val="auto"/>
              </w:rPr>
            </w:pPr>
            <w:r>
              <w:rPr>
                <w:rFonts w:ascii="Arial" w:cs="Arial" w:eastAsia="Arial" w:hAnsi="Arial"/>
                <w:sz w:val="11"/>
                <w:szCs w:val="11"/>
                <w:b w:val="1"/>
                <w:bCs w:val="1"/>
                <w:color w:val="auto"/>
                <w:w w:val="92"/>
              </w:rPr>
              <w:t>Commission file number: 001-36080</w:t>
            </w:r>
          </w:p>
        </w:tc>
      </w:tr>
      <w:tr>
        <w:trPr>
          <w:trHeight w:val="333"/>
        </w:trPr>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60" w:type="dxa"/>
            <w:vAlign w:val="bottom"/>
            <w:gridSpan w:val="3"/>
          </w:tcPr>
          <w:p>
            <w:pPr>
              <w:jc w:val="center"/>
              <w:ind w:right="1660"/>
              <w:spacing w:after="0"/>
              <w:rPr>
                <w:sz w:val="20"/>
                <w:szCs w:val="20"/>
                <w:color w:val="auto"/>
              </w:rPr>
            </w:pPr>
            <w:r>
              <w:rPr>
                <w:rFonts w:ascii="Arial" w:cs="Arial" w:eastAsia="Arial" w:hAnsi="Arial"/>
                <w:sz w:val="23"/>
                <w:szCs w:val="23"/>
                <w:b w:val="1"/>
                <w:bCs w:val="1"/>
                <w:color w:val="auto"/>
                <w:w w:val="97"/>
              </w:rPr>
              <w:t>IVERIC bio, Inc.</w:t>
            </w:r>
          </w:p>
        </w:tc>
      </w:tr>
      <w:tr>
        <w:trPr>
          <w:trHeight w:val="145"/>
        </w:trPr>
        <w:tc>
          <w:tcPr>
            <w:tcW w:w="2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960" w:type="dxa"/>
            <w:vAlign w:val="bottom"/>
            <w:gridSpan w:val="3"/>
          </w:tcPr>
          <w:p>
            <w:pPr>
              <w:jc w:val="center"/>
              <w:ind w:right="1660"/>
              <w:spacing w:after="0"/>
              <w:rPr>
                <w:sz w:val="20"/>
                <w:szCs w:val="20"/>
                <w:color w:val="auto"/>
              </w:rPr>
            </w:pPr>
            <w:r>
              <w:rPr>
                <w:rFonts w:ascii="Arial" w:cs="Arial" w:eastAsia="Arial" w:hAnsi="Arial"/>
                <w:sz w:val="11"/>
                <w:szCs w:val="11"/>
                <w:color w:val="auto"/>
                <w:w w:val="93"/>
              </w:rPr>
              <w:t>(Exact name of registrant as specified in its charter)</w:t>
            </w:r>
          </w:p>
        </w:tc>
      </w:tr>
      <w:tr>
        <w:trPr>
          <w:trHeight w:val="286"/>
        </w:trPr>
        <w:tc>
          <w:tcPr>
            <w:tcW w:w="2020" w:type="dxa"/>
            <w:vAlign w:val="bottom"/>
          </w:tcPr>
          <w:p>
            <w:pPr>
              <w:spacing w:after="0"/>
              <w:rPr>
                <w:sz w:val="24"/>
                <w:szCs w:val="24"/>
                <w:color w:val="auto"/>
              </w:rPr>
            </w:pPr>
          </w:p>
        </w:tc>
        <w:tc>
          <w:tcPr>
            <w:tcW w:w="3200" w:type="dxa"/>
            <w:vAlign w:val="bottom"/>
            <w:gridSpan w:val="2"/>
          </w:tcPr>
          <w:p>
            <w:pPr>
              <w:jc w:val="center"/>
              <w:ind w:right="1234"/>
              <w:spacing w:after="0"/>
              <w:rPr>
                <w:sz w:val="20"/>
                <w:szCs w:val="20"/>
                <w:color w:val="auto"/>
              </w:rPr>
            </w:pPr>
            <w:r>
              <w:rPr>
                <w:rFonts w:ascii="Arial" w:cs="Arial" w:eastAsia="Arial" w:hAnsi="Arial"/>
                <w:sz w:val="11"/>
                <w:szCs w:val="11"/>
                <w:b w:val="1"/>
                <w:bCs w:val="1"/>
                <w:color w:val="auto"/>
                <w:w w:val="95"/>
              </w:rPr>
              <w:t>Delaware</w:t>
            </w:r>
          </w:p>
        </w:tc>
        <w:tc>
          <w:tcPr>
            <w:tcW w:w="2680" w:type="dxa"/>
            <w:vAlign w:val="bottom"/>
            <w:gridSpan w:val="2"/>
          </w:tcPr>
          <w:p>
            <w:pPr>
              <w:jc w:val="right"/>
              <w:ind w:right="1420"/>
              <w:spacing w:after="0"/>
              <w:rPr>
                <w:sz w:val="20"/>
                <w:szCs w:val="20"/>
                <w:color w:val="auto"/>
              </w:rPr>
            </w:pPr>
            <w:r>
              <w:rPr>
                <w:rFonts w:ascii="Arial" w:cs="Arial" w:eastAsia="Arial" w:hAnsi="Arial"/>
                <w:sz w:val="11"/>
                <w:szCs w:val="11"/>
                <w:b w:val="1"/>
                <w:bCs w:val="1"/>
                <w:color w:val="auto"/>
              </w:rPr>
              <w:t>20-8185347</w:t>
            </w:r>
          </w:p>
        </w:tc>
      </w:tr>
      <w:tr>
        <w:trPr>
          <w:trHeight w:val="170"/>
        </w:trPr>
        <w:tc>
          <w:tcPr>
            <w:tcW w:w="5220" w:type="dxa"/>
            <w:vAlign w:val="bottom"/>
            <w:gridSpan w:val="3"/>
          </w:tcPr>
          <w:p>
            <w:pPr>
              <w:jc w:val="center"/>
              <w:ind w:left="663"/>
              <w:spacing w:after="0"/>
              <w:rPr>
                <w:sz w:val="20"/>
                <w:szCs w:val="20"/>
                <w:color w:val="auto"/>
              </w:rPr>
            </w:pPr>
            <w:r>
              <w:rPr>
                <w:rFonts w:ascii="Arial" w:cs="Arial" w:eastAsia="Arial" w:hAnsi="Arial"/>
                <w:sz w:val="11"/>
                <w:szCs w:val="11"/>
                <w:color w:val="auto"/>
                <w:w w:val="95"/>
              </w:rPr>
              <w:t>(State or other jurisdiction of incorporation or organization)</w:t>
            </w:r>
          </w:p>
        </w:tc>
        <w:tc>
          <w:tcPr>
            <w:tcW w:w="2680" w:type="dxa"/>
            <w:vAlign w:val="bottom"/>
            <w:gridSpan w:val="2"/>
          </w:tcPr>
          <w:p>
            <w:pPr>
              <w:jc w:val="right"/>
              <w:ind w:right="880"/>
              <w:spacing w:after="0"/>
              <w:rPr>
                <w:sz w:val="20"/>
                <w:szCs w:val="20"/>
                <w:color w:val="auto"/>
              </w:rPr>
            </w:pPr>
            <w:r>
              <w:rPr>
                <w:rFonts w:ascii="Arial" w:cs="Arial" w:eastAsia="Arial" w:hAnsi="Arial"/>
                <w:sz w:val="11"/>
                <w:szCs w:val="11"/>
                <w:color w:val="auto"/>
              </w:rPr>
              <w:t>(I.R.S. Employer Identification No.)</w:t>
            </w:r>
          </w:p>
        </w:tc>
      </w:tr>
      <w:tr>
        <w:trPr>
          <w:trHeight w:val="212"/>
        </w:trPr>
        <w:tc>
          <w:tcPr>
            <w:tcW w:w="2020" w:type="dxa"/>
            <w:vAlign w:val="bottom"/>
          </w:tcPr>
          <w:p>
            <w:pPr>
              <w:spacing w:after="0"/>
              <w:rPr>
                <w:sz w:val="18"/>
                <w:szCs w:val="18"/>
                <w:color w:val="auto"/>
              </w:rPr>
            </w:pPr>
          </w:p>
        </w:tc>
        <w:tc>
          <w:tcPr>
            <w:tcW w:w="3200" w:type="dxa"/>
            <w:vAlign w:val="bottom"/>
            <w:gridSpan w:val="2"/>
          </w:tcPr>
          <w:p>
            <w:pPr>
              <w:jc w:val="center"/>
              <w:ind w:right="1234"/>
              <w:spacing w:after="0"/>
              <w:rPr>
                <w:sz w:val="20"/>
                <w:szCs w:val="20"/>
                <w:color w:val="auto"/>
              </w:rPr>
            </w:pPr>
            <w:r>
              <w:rPr>
                <w:rFonts w:ascii="Arial" w:cs="Arial" w:eastAsia="Arial" w:hAnsi="Arial"/>
                <w:sz w:val="11"/>
                <w:szCs w:val="11"/>
                <w:b w:val="1"/>
                <w:bCs w:val="1"/>
                <w:color w:val="auto"/>
                <w:w w:val="93"/>
              </w:rPr>
              <w:t>8 Sylvan Way</w:t>
            </w:r>
          </w:p>
        </w:tc>
        <w:tc>
          <w:tcPr>
            <w:tcW w:w="2680" w:type="dxa"/>
            <w:vAlign w:val="bottom"/>
            <w:gridSpan w:val="2"/>
          </w:tcPr>
          <w:p>
            <w:pPr>
              <w:jc w:val="right"/>
              <w:ind w:right="1560"/>
              <w:spacing w:after="0"/>
              <w:rPr>
                <w:sz w:val="20"/>
                <w:szCs w:val="20"/>
                <w:color w:val="auto"/>
              </w:rPr>
            </w:pPr>
            <w:r>
              <w:rPr>
                <w:rFonts w:ascii="Arial" w:cs="Arial" w:eastAsia="Arial" w:hAnsi="Arial"/>
                <w:sz w:val="11"/>
                <w:szCs w:val="11"/>
                <w:b w:val="1"/>
                <w:bCs w:val="1"/>
                <w:color w:val="auto"/>
              </w:rPr>
              <w:t>07054</w:t>
            </w:r>
          </w:p>
        </w:tc>
      </w:tr>
      <w:tr>
        <w:trPr>
          <w:trHeight w:val="170"/>
        </w:trPr>
        <w:tc>
          <w:tcPr>
            <w:tcW w:w="2020" w:type="dxa"/>
            <w:vAlign w:val="bottom"/>
          </w:tcPr>
          <w:p>
            <w:pPr>
              <w:spacing w:after="0"/>
              <w:rPr>
                <w:sz w:val="14"/>
                <w:szCs w:val="14"/>
                <w:color w:val="auto"/>
              </w:rPr>
            </w:pPr>
          </w:p>
        </w:tc>
        <w:tc>
          <w:tcPr>
            <w:tcW w:w="3200" w:type="dxa"/>
            <w:vAlign w:val="bottom"/>
            <w:gridSpan w:val="2"/>
          </w:tcPr>
          <w:p>
            <w:pPr>
              <w:ind w:left="380"/>
              <w:spacing w:after="0"/>
              <w:rPr>
                <w:sz w:val="20"/>
                <w:szCs w:val="20"/>
                <w:color w:val="auto"/>
              </w:rPr>
            </w:pPr>
            <w:r>
              <w:rPr>
                <w:rFonts w:ascii="Arial" w:cs="Arial" w:eastAsia="Arial" w:hAnsi="Arial"/>
                <w:sz w:val="11"/>
                <w:szCs w:val="11"/>
                <w:b w:val="1"/>
                <w:bCs w:val="1"/>
                <w:color w:val="auto"/>
              </w:rPr>
              <w:t>Parsippany, NJ</w:t>
            </w:r>
          </w:p>
        </w:tc>
        <w:tc>
          <w:tcPr>
            <w:tcW w:w="2680" w:type="dxa"/>
            <w:vAlign w:val="bottom"/>
            <w:gridSpan w:val="2"/>
          </w:tcPr>
          <w:p>
            <w:pPr>
              <w:jc w:val="right"/>
              <w:ind w:right="1460"/>
              <w:spacing w:after="0"/>
              <w:rPr>
                <w:sz w:val="20"/>
                <w:szCs w:val="20"/>
                <w:color w:val="auto"/>
              </w:rPr>
            </w:pPr>
            <w:r>
              <w:rPr>
                <w:rFonts w:ascii="Arial" w:cs="Arial" w:eastAsia="Arial" w:hAnsi="Arial"/>
                <w:sz w:val="11"/>
                <w:szCs w:val="11"/>
                <w:color w:val="auto"/>
              </w:rPr>
              <w:t>(Zip Code)</w:t>
            </w:r>
          </w:p>
        </w:tc>
      </w:tr>
      <w:tr>
        <w:trPr>
          <w:trHeight w:val="170"/>
        </w:trPr>
        <w:tc>
          <w:tcPr>
            <w:tcW w:w="2020" w:type="dxa"/>
            <w:vAlign w:val="bottom"/>
          </w:tcPr>
          <w:p>
            <w:pPr>
              <w:spacing w:after="0"/>
              <w:rPr>
                <w:sz w:val="14"/>
                <w:szCs w:val="14"/>
                <w:color w:val="auto"/>
              </w:rPr>
            </w:pPr>
          </w:p>
        </w:tc>
        <w:tc>
          <w:tcPr>
            <w:tcW w:w="3200" w:type="dxa"/>
            <w:vAlign w:val="bottom"/>
            <w:gridSpan w:val="2"/>
          </w:tcPr>
          <w:p>
            <w:pPr>
              <w:jc w:val="center"/>
              <w:ind w:right="1254"/>
              <w:spacing w:after="0"/>
              <w:rPr>
                <w:sz w:val="20"/>
                <w:szCs w:val="20"/>
                <w:color w:val="auto"/>
              </w:rPr>
            </w:pPr>
            <w:r>
              <w:rPr>
                <w:rFonts w:ascii="Arial" w:cs="Arial" w:eastAsia="Arial" w:hAnsi="Arial"/>
                <w:sz w:val="11"/>
                <w:szCs w:val="11"/>
                <w:color w:val="auto"/>
                <w:w w:val="95"/>
              </w:rPr>
              <w:t>(Address of principal executive offices)</w:t>
            </w:r>
          </w:p>
        </w:tc>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37"/>
        </w:trPr>
        <w:tc>
          <w:tcPr>
            <w:tcW w:w="2020" w:type="dxa"/>
            <w:vAlign w:val="bottom"/>
          </w:tcPr>
          <w:p>
            <w:pPr>
              <w:spacing w:after="0"/>
              <w:rPr>
                <w:sz w:val="20"/>
                <w:szCs w:val="20"/>
                <w:color w:val="auto"/>
              </w:rPr>
            </w:pPr>
          </w:p>
        </w:tc>
        <w:tc>
          <w:tcPr>
            <w:tcW w:w="3200" w:type="dxa"/>
            <w:vAlign w:val="bottom"/>
            <w:gridSpan w:val="2"/>
          </w:tcPr>
          <w:p>
            <w:pPr>
              <w:jc w:val="center"/>
              <w:ind w:left="1883"/>
              <w:spacing w:after="0"/>
              <w:rPr>
                <w:sz w:val="20"/>
                <w:szCs w:val="20"/>
                <w:color w:val="auto"/>
              </w:rPr>
            </w:pPr>
            <w:r>
              <w:rPr>
                <w:rFonts w:ascii="Arial" w:cs="Arial" w:eastAsia="Arial" w:hAnsi="Arial"/>
                <w:sz w:val="11"/>
                <w:szCs w:val="11"/>
                <w:b w:val="1"/>
                <w:bCs w:val="1"/>
                <w:color w:val="auto"/>
                <w:w w:val="93"/>
              </w:rPr>
              <w:t>(609) 474-6755</w:t>
            </w:r>
          </w:p>
        </w:tc>
        <w:tc>
          <w:tcPr>
            <w:tcW w:w="10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186"/>
        </w:trPr>
        <w:tc>
          <w:tcPr>
            <w:tcW w:w="2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3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color w:val="auto"/>
                <w:w w:val="92"/>
              </w:rPr>
              <w:t>(Registrant's telephone number, including area code)</w:t>
            </w:r>
          </w:p>
        </w:tc>
        <w:tc>
          <w:tcPr>
            <w:tcW w:w="1660" w:type="dxa"/>
            <w:vAlign w:val="bottom"/>
          </w:tcPr>
          <w:p>
            <w:pPr>
              <w:spacing w:after="0"/>
              <w:rPr>
                <w:sz w:val="16"/>
                <w:szCs w:val="16"/>
                <w:color w:val="auto"/>
              </w:rPr>
            </w:pPr>
          </w:p>
        </w:tc>
      </w:tr>
      <w:tr>
        <w:trPr>
          <w:trHeight w:val="416"/>
        </w:trPr>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60" w:type="dxa"/>
            <w:vAlign w:val="bottom"/>
            <w:gridSpan w:val="3"/>
          </w:tcPr>
          <w:p>
            <w:pPr>
              <w:jc w:val="center"/>
              <w:ind w:right="1680"/>
              <w:spacing w:after="0"/>
              <w:rPr>
                <w:sz w:val="20"/>
                <w:szCs w:val="20"/>
                <w:color w:val="auto"/>
              </w:rPr>
            </w:pPr>
            <w:r>
              <w:rPr>
                <w:rFonts w:ascii="Arial" w:cs="Arial" w:eastAsia="Arial" w:hAnsi="Arial"/>
                <w:sz w:val="11"/>
                <w:szCs w:val="11"/>
                <w:color w:val="auto"/>
                <w:w w:val="93"/>
              </w:rPr>
              <w:t>Securities registered pursuant to Section 12(b) of the Act:</w:t>
            </w:r>
          </w:p>
        </w:tc>
      </w:tr>
      <w:tr>
        <w:trPr>
          <w:trHeight w:val="223"/>
        </w:trPr>
        <w:tc>
          <w:tcPr>
            <w:tcW w:w="2020" w:type="dxa"/>
            <w:vAlign w:val="bottom"/>
          </w:tcPr>
          <w:p>
            <w:pPr>
              <w:jc w:val="center"/>
              <w:ind w:right="3"/>
              <w:spacing w:after="0"/>
              <w:rPr>
                <w:sz w:val="20"/>
                <w:szCs w:val="20"/>
                <w:color w:val="auto"/>
              </w:rPr>
            </w:pPr>
            <w:r>
              <w:rPr>
                <w:rFonts w:ascii="Arial" w:cs="Arial" w:eastAsia="Arial" w:hAnsi="Arial"/>
                <w:sz w:val="11"/>
                <w:szCs w:val="11"/>
                <w:b w:val="1"/>
                <w:bCs w:val="1"/>
                <w:color w:val="auto"/>
                <w:w w:val="88"/>
              </w:rPr>
              <w:t>Title of each class</w:t>
            </w:r>
          </w:p>
        </w:tc>
        <w:tc>
          <w:tcPr>
            <w:tcW w:w="3200" w:type="dxa"/>
            <w:vAlign w:val="bottom"/>
            <w:gridSpan w:val="2"/>
          </w:tcPr>
          <w:p>
            <w:pPr>
              <w:jc w:val="center"/>
              <w:ind w:right="994"/>
              <w:spacing w:after="0"/>
              <w:rPr>
                <w:sz w:val="20"/>
                <w:szCs w:val="20"/>
                <w:color w:val="auto"/>
              </w:rPr>
            </w:pPr>
            <w:r>
              <w:rPr>
                <w:rFonts w:ascii="Arial" w:cs="Arial" w:eastAsia="Arial" w:hAnsi="Arial"/>
                <w:sz w:val="11"/>
                <w:szCs w:val="11"/>
                <w:b w:val="1"/>
                <w:bCs w:val="1"/>
                <w:color w:val="auto"/>
                <w:w w:val="93"/>
              </w:rPr>
              <w:t>Trading Symbol(s)</w:t>
            </w:r>
          </w:p>
        </w:tc>
        <w:tc>
          <w:tcPr>
            <w:tcW w:w="26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49"/>
        </w:trPr>
        <w:tc>
          <w:tcPr>
            <w:tcW w:w="2020" w:type="dxa"/>
            <w:vAlign w:val="bottom"/>
          </w:tcPr>
          <w:p>
            <w:pPr>
              <w:jc w:val="center"/>
              <w:ind w:right="3"/>
              <w:spacing w:after="0"/>
              <w:rPr>
                <w:sz w:val="20"/>
                <w:szCs w:val="20"/>
                <w:color w:val="auto"/>
              </w:rPr>
            </w:pPr>
            <w:r>
              <w:rPr>
                <w:rFonts w:ascii="Arial" w:cs="Arial" w:eastAsia="Arial" w:hAnsi="Arial"/>
                <w:sz w:val="11"/>
                <w:szCs w:val="11"/>
                <w:color w:val="auto"/>
                <w:w w:val="92"/>
              </w:rPr>
              <w:t>Common Stock, $0.001 par value per share</w:t>
            </w:r>
          </w:p>
        </w:tc>
        <w:tc>
          <w:tcPr>
            <w:tcW w:w="920" w:type="dxa"/>
            <w:vAlign w:val="bottom"/>
          </w:tcPr>
          <w:p>
            <w:pPr>
              <w:spacing w:after="0"/>
              <w:rPr>
                <w:sz w:val="12"/>
                <w:szCs w:val="12"/>
                <w:color w:val="auto"/>
              </w:rPr>
            </w:pPr>
          </w:p>
        </w:tc>
        <w:tc>
          <w:tcPr>
            <w:tcW w:w="2280" w:type="dxa"/>
            <w:vAlign w:val="bottom"/>
          </w:tcPr>
          <w:p>
            <w:pPr>
              <w:jc w:val="center"/>
              <w:ind w:right="1934"/>
              <w:spacing w:after="0"/>
              <w:rPr>
                <w:sz w:val="20"/>
                <w:szCs w:val="20"/>
                <w:color w:val="auto"/>
              </w:rPr>
            </w:pPr>
            <w:r>
              <w:rPr>
                <w:rFonts w:ascii="Arial" w:cs="Arial" w:eastAsia="Arial" w:hAnsi="Arial"/>
                <w:sz w:val="11"/>
                <w:szCs w:val="11"/>
                <w:color w:val="auto"/>
                <w:w w:val="95"/>
              </w:rPr>
              <w:t>ISEE</w:t>
            </w:r>
          </w:p>
        </w:tc>
        <w:tc>
          <w:tcPr>
            <w:tcW w:w="2680" w:type="dxa"/>
            <w:vAlign w:val="bottom"/>
            <w:gridSpan w:val="2"/>
          </w:tcPr>
          <w:p>
            <w:pPr>
              <w:jc w:val="right"/>
              <w:ind w:right="440"/>
              <w:spacing w:after="0"/>
              <w:rPr>
                <w:sz w:val="20"/>
                <w:szCs w:val="20"/>
                <w:color w:val="auto"/>
              </w:rPr>
            </w:pPr>
            <w:r>
              <w:rPr>
                <w:rFonts w:ascii="Arial" w:cs="Arial" w:eastAsia="Arial" w:hAnsi="Arial"/>
                <w:sz w:val="11"/>
                <w:szCs w:val="11"/>
                <w:color w:val="auto"/>
              </w:rPr>
              <w:t>The Nasdaq Global Select Market</w:t>
            </w:r>
          </w:p>
        </w:tc>
      </w:tr>
    </w:tbl>
    <w:p>
      <w:pPr>
        <w:spacing w:after="0" w:line="184" w:lineRule="exact"/>
        <w:rPr>
          <w:sz w:val="24"/>
          <w:szCs w:val="24"/>
          <w:color w:val="auto"/>
        </w:rPr>
      </w:pPr>
    </w:p>
    <w:p>
      <w:pPr>
        <w:spacing w:after="0" w:line="148"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1"/>
          <w:szCs w:val="11"/>
          <w:color w:val="auto"/>
        </w:rPr>
        <w:t>☒</w:t>
      </w:r>
      <w:r>
        <w:rPr>
          <w:rFonts w:ascii="Arial" w:cs="Arial" w:eastAsia="Arial" w:hAnsi="Arial"/>
          <w:sz w:val="11"/>
          <w:szCs w:val="11"/>
          <w:color w:val="auto"/>
        </w:rPr>
        <w:t xml:space="preserve"> Yes </w:t>
      </w:r>
      <w:r>
        <w:rPr>
          <w:rFonts w:ascii="MS PGothic" w:cs="MS PGothic" w:eastAsia="MS PGothic" w:hAnsi="MS PGothic"/>
          <w:sz w:val="11"/>
          <w:szCs w:val="11"/>
          <w:color w:val="auto"/>
        </w:rPr>
        <w:t>☐</w:t>
      </w:r>
      <w:r>
        <w:rPr>
          <w:rFonts w:ascii="Arial" w:cs="Arial" w:eastAsia="Arial" w:hAnsi="Arial"/>
          <w:sz w:val="11"/>
          <w:szCs w:val="11"/>
          <w:color w:val="auto"/>
        </w:rPr>
        <w:t xml:space="preserve"> No</w:t>
      </w:r>
    </w:p>
    <w:p>
      <w:pPr>
        <w:spacing w:after="0" w:line="77" w:lineRule="exact"/>
        <w:rPr>
          <w:sz w:val="24"/>
          <w:szCs w:val="24"/>
          <w:color w:val="auto"/>
        </w:rPr>
      </w:pPr>
    </w:p>
    <w:p>
      <w:pPr>
        <w:ind w:right="160"/>
        <w:spacing w:after="0" w:line="148"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1"/>
          <w:szCs w:val="11"/>
          <w:color w:val="auto"/>
        </w:rPr>
        <w:t>☒</w:t>
      </w:r>
      <w:r>
        <w:rPr>
          <w:rFonts w:ascii="Arial" w:cs="Arial" w:eastAsia="Arial" w:hAnsi="Arial"/>
          <w:sz w:val="11"/>
          <w:szCs w:val="11"/>
          <w:color w:val="auto"/>
        </w:rPr>
        <w:t xml:space="preserve"> Yes </w:t>
      </w:r>
      <w:r>
        <w:rPr>
          <w:rFonts w:ascii="MS PGothic" w:cs="MS PGothic" w:eastAsia="MS PGothic" w:hAnsi="MS PGothic"/>
          <w:sz w:val="11"/>
          <w:szCs w:val="11"/>
          <w:color w:val="auto"/>
        </w:rPr>
        <w:t>☐</w:t>
      </w:r>
      <w:r>
        <w:rPr>
          <w:rFonts w:ascii="Arial" w:cs="Arial" w:eastAsia="Arial" w:hAnsi="Arial"/>
          <w:sz w:val="11"/>
          <w:szCs w:val="11"/>
          <w:color w:val="auto"/>
        </w:rPr>
        <w:t xml:space="preserve"> No</w:t>
      </w:r>
    </w:p>
    <w:p>
      <w:pPr>
        <w:spacing w:after="0" w:line="88" w:lineRule="exact"/>
        <w:rPr>
          <w:sz w:val="24"/>
          <w:szCs w:val="24"/>
          <w:color w:val="auto"/>
        </w:rPr>
      </w:pPr>
    </w:p>
    <w:p>
      <w:pPr>
        <w:ind w:right="160"/>
        <w:spacing w:after="0" w:line="27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p>
      <w:pPr>
        <w:ind w:left="980"/>
        <w:spacing w:after="0" w:line="127" w:lineRule="exact"/>
        <w:tabs>
          <w:tab w:leader="none" w:pos="3460" w:val="left"/>
          <w:tab w:leader="none" w:pos="5520" w:val="left"/>
          <w:tab w:leader="none" w:pos="7480" w:val="left"/>
          <w:tab w:leader="none" w:pos="974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r>
        <w:rPr>
          <w:sz w:val="20"/>
          <w:szCs w:val="20"/>
          <w:color w:val="auto"/>
        </w:rPr>
        <w:tab/>
      </w: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201" w:lineRule="exact"/>
        <w:rPr>
          <w:sz w:val="24"/>
          <w:szCs w:val="24"/>
          <w:color w:val="auto"/>
        </w:rPr>
      </w:pPr>
    </w:p>
    <w:p>
      <w:pPr>
        <w:ind w:right="80"/>
        <w:spacing w:after="0" w:line="14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78" w:lineRule="exact"/>
        <w:rPr>
          <w:sz w:val="24"/>
          <w:szCs w:val="24"/>
          <w:color w:val="auto"/>
        </w:rPr>
      </w:pPr>
    </w:p>
    <w:p>
      <w:pPr>
        <w:ind w:right="5440"/>
        <w:spacing w:after="0" w:line="205"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w:t>
      </w:r>
      <w:r>
        <w:rPr>
          <w:rFonts w:ascii="MS PGothic" w:cs="MS PGothic" w:eastAsia="MS PGothic" w:hAnsi="MS PGothic"/>
          <w:sz w:val="10"/>
          <w:szCs w:val="10"/>
          <w:color w:val="auto"/>
        </w:rPr>
        <w:t>☐</w:t>
      </w:r>
      <w:r>
        <w:rPr>
          <w:rFonts w:ascii="Arial" w:cs="Arial" w:eastAsia="Arial" w:hAnsi="Arial"/>
          <w:sz w:val="10"/>
          <w:szCs w:val="10"/>
          <w:color w:val="auto"/>
        </w:rPr>
        <w:t xml:space="preserve">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As of July 22, 2022 there were 118,077,814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343535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0" w:type="dxa"/>
            <w:vAlign w:val="bottom"/>
            <w:gridSpan w:val="8"/>
          </w:tcPr>
          <w:p>
            <w:pPr>
              <w:jc w:val="center"/>
              <w:ind w:right="4600"/>
              <w:spacing w:after="0"/>
              <w:rPr>
                <w:sz w:val="20"/>
                <w:szCs w:val="20"/>
                <w:color w:val="auto"/>
              </w:rPr>
            </w:pPr>
            <w:r>
              <w:rPr>
                <w:rFonts w:ascii="Arial" w:cs="Arial" w:eastAsia="Arial" w:hAnsi="Arial"/>
                <w:sz w:val="14"/>
                <w:szCs w:val="14"/>
                <w:b w:val="1"/>
                <w:bCs w:val="1"/>
                <w:color w:val="auto"/>
              </w:rPr>
              <w:t>TABLE OF CONTENTS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87"/>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40" w:type="dxa"/>
            <w:vAlign w:val="bottom"/>
            <w:gridSpan w:val="11"/>
          </w:tcPr>
          <w:p>
            <w:pPr>
              <w:jc w:val="center"/>
              <w:ind w:right="4160"/>
              <w:spacing w:after="0"/>
              <w:rPr>
                <w:rFonts w:ascii="Arial" w:cs="Arial" w:eastAsia="Arial" w:hAnsi="Arial"/>
                <w:sz w:val="14"/>
                <w:szCs w:val="14"/>
                <w:b w:val="1"/>
                <w:bCs w:val="1"/>
                <w:color w:val="0000FF"/>
              </w:rPr>
            </w:pPr>
            <w:hyperlink w:anchor="page6">
              <w:r>
                <w:rPr>
                  <w:rFonts w:ascii="Arial" w:cs="Arial" w:eastAsia="Arial" w:hAnsi="Arial"/>
                  <w:sz w:val="14"/>
                  <w:szCs w:val="14"/>
                  <w:b w:val="1"/>
                  <w:bCs w:val="1"/>
                  <w:color w:val="0000FF"/>
                </w:rPr>
                <w:t>PART I—FINANCIAL INFORMATION</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0"/>
        </w:trPr>
        <w:tc>
          <w:tcPr>
            <w:tcW w:w="420" w:type="dxa"/>
            <w:vAlign w:val="bottom"/>
            <w:tcBorders>
              <w:bottom w:val="single" w:sz="8" w:color="0000FF"/>
            </w:tcBorders>
          </w:tcPr>
          <w:p>
            <w:pPr>
              <w:spacing w:after="0"/>
              <w:rPr>
                <w:rFonts w:ascii="Arial" w:cs="Arial" w:eastAsia="Arial" w:hAnsi="Arial"/>
                <w:sz w:val="14"/>
                <w:szCs w:val="14"/>
                <w:color w:val="0000FF"/>
                <w:w w:val="93"/>
              </w:rPr>
            </w:pPr>
            <w:hyperlink w:anchor="page7">
              <w:r>
                <w:rPr>
                  <w:rFonts w:ascii="Arial" w:cs="Arial" w:eastAsia="Arial" w:hAnsi="Arial"/>
                  <w:sz w:val="14"/>
                  <w:szCs w:val="14"/>
                  <w:color w:val="0000FF"/>
                  <w:w w:val="93"/>
                </w:rPr>
                <w:t>Item 1.</w:t>
              </w:r>
            </w:hyperlink>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Borders>
              <w:bottom w:val="single" w:sz="8" w:color="0000FF"/>
            </w:tcBorders>
            <w:gridSpan w:val="6"/>
          </w:tcPr>
          <w:p>
            <w:pPr>
              <w:spacing w:after="0"/>
              <w:rPr>
                <w:rFonts w:ascii="Arial" w:cs="Arial" w:eastAsia="Arial" w:hAnsi="Arial"/>
                <w:sz w:val="14"/>
                <w:szCs w:val="14"/>
                <w:color w:val="0000FF"/>
                <w:w w:val="90"/>
              </w:rPr>
            </w:pPr>
            <w:hyperlink w:anchor="page7">
              <w:r>
                <w:rPr>
                  <w:rFonts w:ascii="Arial" w:cs="Arial" w:eastAsia="Arial" w:hAnsi="Arial"/>
                  <w:sz w:val="14"/>
                  <w:szCs w:val="14"/>
                  <w:color w:val="0000FF"/>
                  <w:w w:val="90"/>
                </w:rPr>
                <w:t>Financial Statements</w:t>
              </w:r>
            </w:hyperlink>
          </w:p>
        </w:tc>
        <w:tc>
          <w:tcPr>
            <w:tcW w:w="1800" w:type="dxa"/>
            <w:vAlign w:val="bottom"/>
            <w:gridSpan w:val="2"/>
          </w:tcPr>
          <w:p>
            <w:pPr>
              <w:spacing w:after="0"/>
              <w:rPr>
                <w:sz w:val="13"/>
                <w:szCs w:val="13"/>
                <w:color w:val="auto"/>
              </w:rPr>
            </w:pPr>
          </w:p>
        </w:tc>
        <w:tc>
          <w:tcPr>
            <w:tcW w:w="2480" w:type="dxa"/>
            <w:vAlign w:val="bottom"/>
            <w:tcBorders>
              <w:top w:val="single" w:sz="8" w:color="0000FF"/>
            </w:tcBorders>
            <w:gridSpan w:val="10"/>
          </w:tcPr>
          <w:p>
            <w:pPr>
              <w:spacing w:after="0"/>
              <w:rPr>
                <w:sz w:val="13"/>
                <w:szCs w:val="13"/>
                <w:color w:val="auto"/>
              </w:rPr>
            </w:pPr>
          </w:p>
        </w:tc>
        <w:tc>
          <w:tcPr>
            <w:tcW w:w="41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rFonts w:ascii="Arial" w:cs="Arial" w:eastAsia="Arial" w:hAnsi="Arial"/>
                <w:sz w:val="14"/>
                <w:szCs w:val="14"/>
                <w:color w:val="0000FF"/>
                <w:w w:val="76"/>
              </w:rPr>
            </w:pPr>
            <w:hyperlink w:anchor="page7">
              <w:r>
                <w:rPr>
                  <w:rFonts w:ascii="Arial" w:cs="Arial" w:eastAsia="Arial" w:hAnsi="Arial"/>
                  <w:sz w:val="14"/>
                  <w:szCs w:val="14"/>
                  <w:color w:val="0000FF"/>
                  <w:w w:val="76"/>
                </w:rPr>
                <w:t>5</w:t>
              </w:r>
            </w:hyperlink>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500" w:type="dxa"/>
            <w:vAlign w:val="bottom"/>
            <w:gridSpan w:val="18"/>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Condensed Unaudited Consolidated Balance Sheets</w:t>
              </w:r>
            </w:hyperlink>
          </w:p>
        </w:tc>
        <w:tc>
          <w:tcPr>
            <w:tcW w:w="220" w:type="dxa"/>
            <w:vAlign w:val="bottom"/>
            <w:gridSpan w:val="3"/>
          </w:tcPr>
          <w:p>
            <w:pPr>
              <w:jc w:val="right"/>
              <w:spacing w:after="0"/>
              <w:rPr>
                <w:rFonts w:ascii="Arial" w:cs="Arial" w:eastAsia="Arial" w:hAnsi="Arial"/>
                <w:sz w:val="14"/>
                <w:szCs w:val="14"/>
                <w:color w:val="0000FF"/>
              </w:rPr>
            </w:pPr>
            <w:hyperlink w:anchor="page7">
              <w:r>
                <w:rPr>
                  <w:rFonts w:ascii="Arial" w:cs="Arial" w:eastAsia="Arial" w:hAnsi="Arial"/>
                  <w:sz w:val="14"/>
                  <w:szCs w:val="14"/>
                  <w:color w:val="0000FF"/>
                </w:rPr>
                <w:t>5</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500" w:type="dxa"/>
            <w:vAlign w:val="bottom"/>
            <w:gridSpan w:val="18"/>
          </w:tcPr>
          <w:p>
            <w:pPr>
              <w:spacing w:after="0"/>
              <w:rPr>
                <w:rFonts w:ascii="Arial" w:cs="Arial" w:eastAsia="Arial" w:hAnsi="Arial"/>
                <w:sz w:val="14"/>
                <w:szCs w:val="14"/>
                <w:color w:val="0000FF"/>
              </w:rPr>
            </w:pPr>
            <w:hyperlink w:anchor="page7">
              <w:r>
                <w:rPr>
                  <w:rFonts w:ascii="Arial" w:cs="Arial" w:eastAsia="Arial" w:hAnsi="Arial"/>
                  <w:sz w:val="14"/>
                  <w:szCs w:val="14"/>
                  <w:color w:val="0000FF"/>
                </w:rPr>
                <w:t>Condensed Unaudited Consolidated Statements of Operations and Comprehensive Loss</w:t>
              </w:r>
            </w:hyperlink>
          </w:p>
        </w:tc>
        <w:tc>
          <w:tcPr>
            <w:tcW w:w="220" w:type="dxa"/>
            <w:vAlign w:val="bottom"/>
            <w:gridSpan w:val="3"/>
          </w:tcPr>
          <w:p>
            <w:pPr>
              <w:jc w:val="right"/>
              <w:spacing w:after="0"/>
              <w:rPr>
                <w:rFonts w:ascii="Arial" w:cs="Arial" w:eastAsia="Arial" w:hAnsi="Arial"/>
                <w:sz w:val="14"/>
                <w:szCs w:val="14"/>
                <w:color w:val="0000FF"/>
              </w:rPr>
            </w:pPr>
            <w:hyperlink w:anchor="page7">
              <w:r>
                <w:rPr>
                  <w:rFonts w:ascii="Arial" w:cs="Arial" w:eastAsia="Arial" w:hAnsi="Arial"/>
                  <w:sz w:val="14"/>
                  <w:szCs w:val="14"/>
                  <w:color w:val="0000FF"/>
                </w:rPr>
                <w:t>6</w:t>
              </w:r>
            </w:hyperlink>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13"/>
          </w:tcPr>
          <w:p>
            <w:pPr>
              <w:spacing w:after="0"/>
              <w:rPr>
                <w:rFonts w:ascii="Arial" w:cs="Arial" w:eastAsia="Arial" w:hAnsi="Arial"/>
                <w:sz w:val="14"/>
                <w:szCs w:val="14"/>
                <w:color w:val="0000FF"/>
                <w:w w:val="90"/>
              </w:rPr>
            </w:pPr>
            <w:hyperlink w:anchor="page8">
              <w:r>
                <w:rPr>
                  <w:rFonts w:ascii="Arial" w:cs="Arial" w:eastAsia="Arial" w:hAnsi="Arial"/>
                  <w:sz w:val="14"/>
                  <w:szCs w:val="14"/>
                  <w:color w:val="0000FF"/>
                  <w:w w:val="90"/>
                </w:rPr>
                <w:t>Condensed Unaudited Consolidated Statements of Stockholders' Equity</w:t>
              </w:r>
            </w:hyperlink>
          </w:p>
        </w:tc>
        <w:tc>
          <w:tcPr>
            <w:tcW w:w="900" w:type="dxa"/>
            <w:vAlign w:val="bottom"/>
            <w:tcBorders>
              <w:top w:val="single" w:sz="8" w:color="0000FF"/>
            </w:tcBorders>
            <w:gridSpan w:val="2"/>
          </w:tcPr>
          <w:p>
            <w:pPr>
              <w:spacing w:after="0"/>
              <w:rPr>
                <w:sz w:val="13"/>
                <w:szCs w:val="13"/>
                <w:color w:val="auto"/>
              </w:rPr>
            </w:pPr>
          </w:p>
        </w:tc>
        <w:tc>
          <w:tcPr>
            <w:tcW w:w="454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Borders>
              <w:top w:val="single" w:sz="8" w:color="0000FF"/>
              <w:bottom w:val="single" w:sz="8" w:color="0000FF"/>
            </w:tcBorders>
          </w:tcPr>
          <w:p>
            <w:pPr>
              <w:jc w:val="right"/>
              <w:spacing w:after="0"/>
              <w:rPr>
                <w:rFonts w:ascii="Arial" w:cs="Arial" w:eastAsia="Arial" w:hAnsi="Arial"/>
                <w:sz w:val="14"/>
                <w:szCs w:val="14"/>
                <w:color w:val="0000FF"/>
                <w:w w:val="76"/>
              </w:rPr>
            </w:pPr>
            <w:hyperlink w:anchor="page8">
              <w:r>
                <w:rPr>
                  <w:rFonts w:ascii="Arial" w:cs="Arial" w:eastAsia="Arial" w:hAnsi="Arial"/>
                  <w:sz w:val="14"/>
                  <w:szCs w:val="14"/>
                  <w:color w:val="0000FF"/>
                  <w:w w:val="76"/>
                </w:rPr>
                <w:t>7</w:t>
              </w:r>
            </w:hyperlink>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40" w:type="dxa"/>
            <w:vAlign w:val="bottom"/>
            <w:tcBorders>
              <w:bottom w:val="single" w:sz="8" w:color="0000FF"/>
            </w:tcBorders>
            <w:gridSpan w:val="11"/>
          </w:tcPr>
          <w:p>
            <w:pPr>
              <w:spacing w:after="0"/>
              <w:rPr>
                <w:rFonts w:ascii="Arial" w:cs="Arial" w:eastAsia="Arial" w:hAnsi="Arial"/>
                <w:sz w:val="14"/>
                <w:szCs w:val="14"/>
                <w:color w:val="0000FF"/>
                <w:w w:val="89"/>
              </w:rPr>
            </w:pPr>
            <w:hyperlink w:anchor="page9">
              <w:r>
                <w:rPr>
                  <w:rFonts w:ascii="Arial" w:cs="Arial" w:eastAsia="Arial" w:hAnsi="Arial"/>
                  <w:sz w:val="14"/>
                  <w:szCs w:val="14"/>
                  <w:color w:val="0000FF"/>
                  <w:w w:val="89"/>
                </w:rPr>
                <w:t>Condensed Unaudited Consolidated Statements of Cash Flows</w:t>
              </w:r>
            </w:hyperlink>
          </w:p>
        </w:tc>
        <w:tc>
          <w:tcPr>
            <w:tcW w:w="5960" w:type="dxa"/>
            <w:vAlign w:val="bottom"/>
            <w:gridSpan w:val="7"/>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rFonts w:ascii="Arial" w:cs="Arial" w:eastAsia="Arial" w:hAnsi="Arial"/>
                <w:sz w:val="14"/>
                <w:szCs w:val="14"/>
                <w:color w:val="0000FF"/>
                <w:w w:val="76"/>
              </w:rPr>
            </w:pPr>
            <w:hyperlink w:anchor="page9">
              <w:r>
                <w:rPr>
                  <w:rFonts w:ascii="Arial" w:cs="Arial" w:eastAsia="Arial" w:hAnsi="Arial"/>
                  <w:sz w:val="14"/>
                  <w:szCs w:val="14"/>
                  <w:color w:val="0000FF"/>
                  <w:w w:val="76"/>
                </w:rPr>
                <w:t>8</w:t>
              </w:r>
            </w:hyperlink>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60" w:type="dxa"/>
            <w:vAlign w:val="bottom"/>
            <w:tcBorders>
              <w:bottom w:val="single" w:sz="8" w:color="0000FF"/>
            </w:tcBorders>
            <w:gridSpan w:val="12"/>
          </w:tcPr>
          <w:p>
            <w:pPr>
              <w:spacing w:after="0"/>
              <w:rPr>
                <w:rFonts w:ascii="Arial" w:cs="Arial" w:eastAsia="Arial" w:hAnsi="Arial"/>
                <w:sz w:val="14"/>
                <w:szCs w:val="14"/>
                <w:color w:val="0000FF"/>
                <w:w w:val="89"/>
              </w:rPr>
            </w:pPr>
            <w:hyperlink w:anchor="page10">
              <w:r>
                <w:rPr>
                  <w:rFonts w:ascii="Arial" w:cs="Arial" w:eastAsia="Arial" w:hAnsi="Arial"/>
                  <w:sz w:val="14"/>
                  <w:szCs w:val="14"/>
                  <w:color w:val="0000FF"/>
                  <w:w w:val="89"/>
                </w:rPr>
                <w:t>Notes to Condensed Unaudited Consolidated Financial Statements</w:t>
              </w:r>
            </w:hyperlink>
          </w:p>
        </w:tc>
        <w:tc>
          <w:tcPr>
            <w:tcW w:w="5740" w:type="dxa"/>
            <w:vAlign w:val="bottom"/>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rFonts w:ascii="Arial" w:cs="Arial" w:eastAsia="Arial" w:hAnsi="Arial"/>
                <w:sz w:val="14"/>
                <w:szCs w:val="14"/>
                <w:color w:val="0000FF"/>
                <w:w w:val="76"/>
              </w:rPr>
            </w:pPr>
            <w:hyperlink w:anchor="page10">
              <w:r>
                <w:rPr>
                  <w:rFonts w:ascii="Arial" w:cs="Arial" w:eastAsia="Arial" w:hAnsi="Arial"/>
                  <w:sz w:val="14"/>
                  <w:szCs w:val="14"/>
                  <w:color w:val="0000FF"/>
                  <w:w w:val="76"/>
                </w:rPr>
                <w:t>9</w:t>
              </w:r>
            </w:hyperlink>
          </w:p>
        </w:tc>
      </w:tr>
      <w:tr>
        <w:trPr>
          <w:trHeight w:val="160"/>
        </w:trPr>
        <w:tc>
          <w:tcPr>
            <w:tcW w:w="520" w:type="dxa"/>
            <w:vAlign w:val="bottom"/>
            <w:gridSpan w:val="2"/>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Item 2.</w:t>
              </w:r>
            </w:hyperlink>
          </w:p>
        </w:tc>
        <w:tc>
          <w:tcPr>
            <w:tcW w:w="860" w:type="dxa"/>
            <w:vAlign w:val="bottom"/>
          </w:tcPr>
          <w:p>
            <w:pPr>
              <w:spacing w:after="0"/>
              <w:rPr>
                <w:sz w:val="13"/>
                <w:szCs w:val="13"/>
                <w:color w:val="auto"/>
              </w:rPr>
            </w:pPr>
          </w:p>
        </w:tc>
        <w:tc>
          <w:tcPr>
            <w:tcW w:w="9640" w:type="dxa"/>
            <w:vAlign w:val="bottom"/>
            <w:gridSpan w:val="19"/>
          </w:tcPr>
          <w:p>
            <w:pPr>
              <w:spacing w:after="0"/>
              <w:rPr>
                <w:rFonts w:ascii="Arial" w:cs="Arial" w:eastAsia="Arial" w:hAnsi="Arial"/>
                <w:sz w:val="14"/>
                <w:szCs w:val="14"/>
                <w:color w:val="0000FF"/>
              </w:rPr>
            </w:pPr>
            <w:hyperlink w:anchor="page25">
              <w:r>
                <w:rPr>
                  <w:rFonts w:ascii="Arial" w:cs="Arial" w:eastAsia="Arial" w:hAnsi="Arial"/>
                  <w:sz w:val="14"/>
                  <w:szCs w:val="14"/>
                  <w:color w:val="0000FF"/>
                </w:rPr>
                <w:t>Management’s Discussion and Analysis of Financial Condition and Results of Operations</w:t>
              </w:r>
            </w:hyperlink>
          </w:p>
        </w:tc>
        <w:tc>
          <w:tcPr>
            <w:tcW w:w="220" w:type="dxa"/>
            <w:vAlign w:val="bottom"/>
            <w:gridSpan w:val="3"/>
          </w:tcPr>
          <w:p>
            <w:pPr>
              <w:jc w:val="right"/>
              <w:spacing w:after="0"/>
              <w:rPr>
                <w:rFonts w:ascii="Arial" w:cs="Arial" w:eastAsia="Arial" w:hAnsi="Arial"/>
                <w:sz w:val="14"/>
                <w:szCs w:val="14"/>
                <w:color w:val="0000FF"/>
              </w:rPr>
            </w:pPr>
            <w:hyperlink w:anchor="page25">
              <w:r>
                <w:rPr>
                  <w:rFonts w:ascii="Arial" w:cs="Arial" w:eastAsia="Arial" w:hAnsi="Arial"/>
                  <w:sz w:val="14"/>
                  <w:szCs w:val="14"/>
                  <w:color w:val="0000FF"/>
                </w:rPr>
                <w:t>24</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0"/>
        </w:trPr>
        <w:tc>
          <w:tcPr>
            <w:tcW w:w="420" w:type="dxa"/>
            <w:vAlign w:val="bottom"/>
          </w:tcPr>
          <w:p>
            <w:pPr>
              <w:spacing w:after="0"/>
              <w:rPr>
                <w:rFonts w:ascii="Arial" w:cs="Arial" w:eastAsia="Arial" w:hAnsi="Arial"/>
                <w:sz w:val="14"/>
                <w:szCs w:val="14"/>
                <w:color w:val="0000FF"/>
                <w:w w:val="93"/>
              </w:rPr>
            </w:pPr>
            <w:hyperlink w:anchor="page43">
              <w:r>
                <w:rPr>
                  <w:rFonts w:ascii="Arial" w:cs="Arial" w:eastAsia="Arial" w:hAnsi="Arial"/>
                  <w:sz w:val="14"/>
                  <w:szCs w:val="14"/>
                  <w:color w:val="0000FF"/>
                  <w:w w:val="93"/>
                </w:rPr>
                <w:t>Item 3.</w:t>
              </w:r>
            </w:hyperlink>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40" w:type="dxa"/>
            <w:vAlign w:val="bottom"/>
            <w:gridSpan w:val="11"/>
          </w:tcPr>
          <w:p>
            <w:pPr>
              <w:spacing w:after="0"/>
              <w:rPr>
                <w:rFonts w:ascii="Arial" w:cs="Arial" w:eastAsia="Arial" w:hAnsi="Arial"/>
                <w:sz w:val="14"/>
                <w:szCs w:val="14"/>
                <w:color w:val="0000FF"/>
                <w:w w:val="92"/>
              </w:rPr>
            </w:pPr>
            <w:hyperlink w:anchor="page43">
              <w:r>
                <w:rPr>
                  <w:rFonts w:ascii="Arial" w:cs="Arial" w:eastAsia="Arial" w:hAnsi="Arial"/>
                  <w:sz w:val="14"/>
                  <w:szCs w:val="14"/>
                  <w:color w:val="0000FF"/>
                  <w:w w:val="92"/>
                </w:rPr>
                <w:t>Quantitative and Qualitative Disclosures About Market Risk</w:t>
              </w:r>
            </w:hyperlink>
          </w:p>
        </w:tc>
        <w:tc>
          <w:tcPr>
            <w:tcW w:w="1640" w:type="dxa"/>
            <w:vAlign w:val="bottom"/>
            <w:gridSpan w:val="4"/>
          </w:tcPr>
          <w:p>
            <w:pPr>
              <w:spacing w:after="0"/>
              <w:rPr>
                <w:sz w:val="13"/>
                <w:szCs w:val="13"/>
                <w:color w:val="auto"/>
              </w:rPr>
            </w:pPr>
          </w:p>
        </w:tc>
        <w:tc>
          <w:tcPr>
            <w:tcW w:w="4560" w:type="dxa"/>
            <w:vAlign w:val="bottom"/>
            <w:gridSpan w:val="4"/>
          </w:tcPr>
          <w:p>
            <w:pPr>
              <w:spacing w:after="0"/>
              <w:rPr>
                <w:sz w:val="13"/>
                <w:szCs w:val="13"/>
                <w:color w:val="auto"/>
              </w:rPr>
            </w:pPr>
          </w:p>
        </w:tc>
        <w:tc>
          <w:tcPr>
            <w:tcW w:w="220" w:type="dxa"/>
            <w:vAlign w:val="bottom"/>
            <w:gridSpan w:val="3"/>
          </w:tcPr>
          <w:p>
            <w:pPr>
              <w:jc w:val="right"/>
              <w:spacing w:after="0"/>
              <w:rPr>
                <w:rFonts w:ascii="Arial" w:cs="Arial" w:eastAsia="Arial" w:hAnsi="Arial"/>
                <w:sz w:val="14"/>
                <w:szCs w:val="14"/>
                <w:color w:val="0000FF"/>
              </w:rPr>
            </w:pPr>
            <w:hyperlink w:anchor="page43">
              <w:r>
                <w:rPr>
                  <w:rFonts w:ascii="Arial" w:cs="Arial" w:eastAsia="Arial" w:hAnsi="Arial"/>
                  <w:sz w:val="14"/>
                  <w:szCs w:val="14"/>
                  <w:color w:val="0000FF"/>
                </w:rPr>
                <w:t>41</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0"/>
        </w:trPr>
        <w:tc>
          <w:tcPr>
            <w:tcW w:w="420" w:type="dxa"/>
            <w:vAlign w:val="bottom"/>
          </w:tcPr>
          <w:p>
            <w:pPr>
              <w:spacing w:after="0"/>
              <w:rPr>
                <w:rFonts w:ascii="Arial" w:cs="Arial" w:eastAsia="Arial" w:hAnsi="Arial"/>
                <w:sz w:val="14"/>
                <w:szCs w:val="14"/>
                <w:color w:val="0000FF"/>
                <w:w w:val="93"/>
              </w:rPr>
            </w:pPr>
            <w:hyperlink w:anchor="page43">
              <w:r>
                <w:rPr>
                  <w:rFonts w:ascii="Arial" w:cs="Arial" w:eastAsia="Arial" w:hAnsi="Arial"/>
                  <w:sz w:val="14"/>
                  <w:szCs w:val="14"/>
                  <w:color w:val="0000FF"/>
                  <w:w w:val="93"/>
                </w:rPr>
                <w:t>Item 4.</w:t>
              </w:r>
            </w:hyperlink>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40" w:type="dxa"/>
            <w:vAlign w:val="bottom"/>
            <w:gridSpan w:val="11"/>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Controls and Procedures</w:t>
              </w:r>
            </w:hyperlink>
          </w:p>
        </w:tc>
        <w:tc>
          <w:tcPr>
            <w:tcW w:w="6200" w:type="dxa"/>
            <w:vAlign w:val="bottom"/>
            <w:gridSpan w:val="8"/>
          </w:tcPr>
          <w:p>
            <w:pPr>
              <w:spacing w:after="0"/>
              <w:rPr>
                <w:sz w:val="13"/>
                <w:szCs w:val="13"/>
                <w:color w:val="auto"/>
              </w:rPr>
            </w:pPr>
          </w:p>
        </w:tc>
        <w:tc>
          <w:tcPr>
            <w:tcW w:w="220" w:type="dxa"/>
            <w:vAlign w:val="bottom"/>
            <w:gridSpan w:val="3"/>
          </w:tcPr>
          <w:p>
            <w:pPr>
              <w:jc w:val="right"/>
              <w:spacing w:after="0"/>
              <w:rPr>
                <w:rFonts w:ascii="Arial" w:cs="Arial" w:eastAsia="Arial" w:hAnsi="Arial"/>
                <w:sz w:val="14"/>
                <w:szCs w:val="14"/>
                <w:color w:val="0000FF"/>
              </w:rPr>
            </w:pPr>
            <w:hyperlink w:anchor="page43">
              <w:r>
                <w:rPr>
                  <w:rFonts w:ascii="Arial" w:cs="Arial" w:eastAsia="Arial" w:hAnsi="Arial"/>
                  <w:sz w:val="14"/>
                  <w:szCs w:val="14"/>
                  <w:color w:val="0000FF"/>
                </w:rPr>
                <w:t>41</w:t>
              </w:r>
            </w:hyperlink>
          </w:p>
        </w:tc>
      </w:tr>
      <w:tr>
        <w:trPr>
          <w:trHeight w:val="373"/>
        </w:trPr>
        <w:tc>
          <w:tcPr>
            <w:tcW w:w="4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20" w:type="dxa"/>
            <w:vAlign w:val="bottom"/>
            <w:gridSpan w:val="9"/>
          </w:tcPr>
          <w:p>
            <w:pPr>
              <w:jc w:val="center"/>
              <w:ind w:right="4280"/>
              <w:spacing w:after="0"/>
              <w:rPr>
                <w:rFonts w:ascii="Arial" w:cs="Arial" w:eastAsia="Arial" w:hAnsi="Arial"/>
                <w:sz w:val="14"/>
                <w:szCs w:val="14"/>
                <w:b w:val="1"/>
                <w:bCs w:val="1"/>
                <w:color w:val="0000FF"/>
              </w:rPr>
            </w:pPr>
            <w:hyperlink w:anchor="page45">
              <w:r>
                <w:rPr>
                  <w:rFonts w:ascii="Arial" w:cs="Arial" w:eastAsia="Arial" w:hAnsi="Arial"/>
                  <w:sz w:val="14"/>
                  <w:szCs w:val="14"/>
                  <w:b w:val="1"/>
                  <w:bCs w:val="1"/>
                  <w:color w:val="0000FF"/>
                </w:rPr>
                <w:t>PART II—OTHER INFORMATION</w:t>
              </w:r>
            </w:hyperlink>
          </w:p>
        </w:tc>
        <w:tc>
          <w:tcPr>
            <w:tcW w:w="8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373"/>
        </w:trPr>
        <w:tc>
          <w:tcPr>
            <w:tcW w:w="420" w:type="dxa"/>
            <w:vAlign w:val="bottom"/>
          </w:tcPr>
          <w:p>
            <w:pPr>
              <w:spacing w:after="0"/>
              <w:rPr>
                <w:rFonts w:ascii="Arial" w:cs="Arial" w:eastAsia="Arial" w:hAnsi="Arial"/>
                <w:sz w:val="14"/>
                <w:szCs w:val="14"/>
                <w:color w:val="0000FF"/>
                <w:w w:val="93"/>
              </w:rPr>
            </w:pPr>
            <w:hyperlink w:anchor="page45">
              <w:r>
                <w:rPr>
                  <w:rFonts w:ascii="Arial" w:cs="Arial" w:eastAsia="Arial" w:hAnsi="Arial"/>
                  <w:sz w:val="14"/>
                  <w:szCs w:val="14"/>
                  <w:color w:val="0000FF"/>
                  <w:w w:val="93"/>
                </w:rPr>
                <w:t>Item 1.</w:t>
              </w:r>
            </w:hyperlink>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gridSpan w:val="5"/>
          </w:tcPr>
          <w:p>
            <w:pPr>
              <w:spacing w:after="0"/>
              <w:rPr>
                <w:rFonts w:ascii="Arial" w:cs="Arial" w:eastAsia="Arial" w:hAnsi="Arial"/>
                <w:sz w:val="14"/>
                <w:szCs w:val="14"/>
                <w:color w:val="0000FF"/>
                <w:w w:val="87"/>
              </w:rPr>
            </w:pPr>
            <w:hyperlink w:anchor="page45">
              <w:r>
                <w:rPr>
                  <w:rFonts w:ascii="Arial" w:cs="Arial" w:eastAsia="Arial" w:hAnsi="Arial"/>
                  <w:sz w:val="14"/>
                  <w:szCs w:val="14"/>
                  <w:color w:val="0000FF"/>
                  <w:w w:val="87"/>
                </w:rPr>
                <w:t>Legal Proceedings</w:t>
              </w:r>
            </w:hyperlink>
          </w:p>
        </w:tc>
        <w:tc>
          <w:tcPr>
            <w:tcW w:w="2060" w:type="dxa"/>
            <w:vAlign w:val="bottom"/>
            <w:gridSpan w:val="5"/>
          </w:tcPr>
          <w:p>
            <w:pPr>
              <w:spacing w:after="0"/>
              <w:rPr>
                <w:sz w:val="24"/>
                <w:szCs w:val="24"/>
                <w:color w:val="auto"/>
              </w:rPr>
            </w:pPr>
          </w:p>
        </w:tc>
        <w:tc>
          <w:tcPr>
            <w:tcW w:w="2240" w:type="dxa"/>
            <w:vAlign w:val="bottom"/>
            <w:tcBorders>
              <w:top w:val="single" w:sz="8" w:color="0000FF"/>
            </w:tcBorders>
            <w:gridSpan w:val="7"/>
          </w:tcPr>
          <w:p>
            <w:pPr>
              <w:spacing w:after="0"/>
              <w:rPr>
                <w:sz w:val="24"/>
                <w:szCs w:val="24"/>
                <w:color w:val="auto"/>
              </w:rPr>
            </w:pPr>
          </w:p>
        </w:tc>
        <w:tc>
          <w:tcPr>
            <w:tcW w:w="4280" w:type="dxa"/>
            <w:vAlign w:val="bottom"/>
            <w:gridSpan w:val="2"/>
          </w:tcPr>
          <w:p>
            <w:pPr>
              <w:spacing w:after="0"/>
              <w:rPr>
                <w:sz w:val="24"/>
                <w:szCs w:val="24"/>
                <w:color w:val="auto"/>
              </w:rPr>
            </w:pPr>
          </w:p>
        </w:tc>
        <w:tc>
          <w:tcPr>
            <w:tcW w:w="220" w:type="dxa"/>
            <w:vAlign w:val="bottom"/>
            <w:gridSpan w:val="3"/>
          </w:tcPr>
          <w:p>
            <w:pPr>
              <w:jc w:val="right"/>
              <w:spacing w:after="0"/>
              <w:rPr>
                <w:rFonts w:ascii="Arial" w:cs="Arial" w:eastAsia="Arial" w:hAnsi="Arial"/>
                <w:sz w:val="14"/>
                <w:szCs w:val="14"/>
                <w:color w:val="0000FF"/>
              </w:rPr>
            </w:pPr>
            <w:hyperlink w:anchor="page45">
              <w:r>
                <w:rPr>
                  <w:rFonts w:ascii="Arial" w:cs="Arial" w:eastAsia="Arial" w:hAnsi="Arial"/>
                  <w:sz w:val="14"/>
                  <w:szCs w:val="14"/>
                  <w:color w:val="0000FF"/>
                </w:rPr>
                <w:t>43</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62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0"/>
        </w:trPr>
        <w:tc>
          <w:tcPr>
            <w:tcW w:w="520" w:type="dxa"/>
            <w:vAlign w:val="bottom"/>
            <w:gridSpan w:val="2"/>
          </w:tcPr>
          <w:p>
            <w:pPr>
              <w:spacing w:after="0"/>
              <w:rPr>
                <w:rFonts w:ascii="Arial" w:cs="Arial" w:eastAsia="Arial" w:hAnsi="Arial"/>
                <w:sz w:val="14"/>
                <w:szCs w:val="14"/>
                <w:color w:val="0000FF"/>
                <w:w w:val="95"/>
              </w:rPr>
            </w:pPr>
            <w:hyperlink w:anchor="page45">
              <w:r>
                <w:rPr>
                  <w:rFonts w:ascii="Arial" w:cs="Arial" w:eastAsia="Arial" w:hAnsi="Arial"/>
                  <w:sz w:val="14"/>
                  <w:szCs w:val="14"/>
                  <w:color w:val="0000FF"/>
                  <w:w w:val="95"/>
                </w:rPr>
                <w:t>Item 1A.</w:t>
              </w:r>
            </w:hyperlink>
          </w:p>
        </w:tc>
        <w:tc>
          <w:tcPr>
            <w:tcW w:w="860" w:type="dxa"/>
            <w:vAlign w:val="bottom"/>
          </w:tcPr>
          <w:p>
            <w:pPr>
              <w:spacing w:after="0"/>
              <w:rPr>
                <w:sz w:val="13"/>
                <w:szCs w:val="13"/>
                <w:color w:val="auto"/>
              </w:rPr>
            </w:pPr>
          </w:p>
        </w:tc>
        <w:tc>
          <w:tcPr>
            <w:tcW w:w="720" w:type="dxa"/>
            <w:vAlign w:val="bottom"/>
            <w:gridSpan w:val="4"/>
          </w:tcPr>
          <w:p>
            <w:pPr>
              <w:spacing w:after="0"/>
              <w:rPr>
                <w:rFonts w:ascii="Arial" w:cs="Arial" w:eastAsia="Arial" w:hAnsi="Arial"/>
                <w:sz w:val="14"/>
                <w:szCs w:val="14"/>
                <w:color w:val="0000FF"/>
                <w:w w:val="89"/>
              </w:rPr>
            </w:pPr>
            <w:hyperlink w:anchor="page45">
              <w:r>
                <w:rPr>
                  <w:rFonts w:ascii="Arial" w:cs="Arial" w:eastAsia="Arial" w:hAnsi="Arial"/>
                  <w:sz w:val="14"/>
                  <w:szCs w:val="14"/>
                  <w:color w:val="0000FF"/>
                  <w:w w:val="89"/>
                </w:rPr>
                <w:t>Risk Factors</w:t>
              </w:r>
            </w:hyperlink>
          </w:p>
        </w:tc>
        <w:tc>
          <w:tcPr>
            <w:tcW w:w="8920" w:type="dxa"/>
            <w:vAlign w:val="bottom"/>
            <w:gridSpan w:val="15"/>
          </w:tcPr>
          <w:p>
            <w:pPr>
              <w:spacing w:after="0"/>
              <w:rPr>
                <w:sz w:val="13"/>
                <w:szCs w:val="13"/>
                <w:color w:val="auto"/>
              </w:rPr>
            </w:pPr>
          </w:p>
        </w:tc>
        <w:tc>
          <w:tcPr>
            <w:tcW w:w="220" w:type="dxa"/>
            <w:vAlign w:val="bottom"/>
            <w:gridSpan w:val="3"/>
          </w:tcPr>
          <w:p>
            <w:pPr>
              <w:jc w:val="right"/>
              <w:spacing w:after="0"/>
              <w:rPr>
                <w:rFonts w:ascii="Arial" w:cs="Arial" w:eastAsia="Arial" w:hAnsi="Arial"/>
                <w:sz w:val="14"/>
                <w:szCs w:val="14"/>
                <w:color w:val="0000FF"/>
              </w:rPr>
            </w:pPr>
            <w:hyperlink w:anchor="page45">
              <w:r>
                <w:rPr>
                  <w:rFonts w:ascii="Arial" w:cs="Arial" w:eastAsia="Arial" w:hAnsi="Arial"/>
                  <w:sz w:val="14"/>
                  <w:szCs w:val="14"/>
                  <w:color w:val="0000FF"/>
                </w:rPr>
                <w:t>43</w:t>
              </w:r>
            </w:hyperlink>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62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0"/>
        </w:trPr>
        <w:tc>
          <w:tcPr>
            <w:tcW w:w="420" w:type="dxa"/>
            <w:vAlign w:val="bottom"/>
          </w:tcPr>
          <w:p>
            <w:pPr>
              <w:spacing w:after="0"/>
              <w:rPr>
                <w:rFonts w:ascii="Arial" w:cs="Arial" w:eastAsia="Arial" w:hAnsi="Arial"/>
                <w:sz w:val="14"/>
                <w:szCs w:val="14"/>
                <w:color w:val="0000FF"/>
                <w:w w:val="93"/>
              </w:rPr>
            </w:pPr>
            <w:hyperlink w:anchor="page104">
              <w:r>
                <w:rPr>
                  <w:rFonts w:ascii="Arial" w:cs="Arial" w:eastAsia="Arial" w:hAnsi="Arial"/>
                  <w:sz w:val="14"/>
                  <w:szCs w:val="14"/>
                  <w:color w:val="0000FF"/>
                  <w:w w:val="93"/>
                </w:rPr>
                <w:t>Item 2.</w:t>
              </w:r>
            </w:hyperlink>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40" w:type="dxa"/>
            <w:vAlign w:val="bottom"/>
            <w:gridSpan w:val="19"/>
          </w:tcPr>
          <w:p>
            <w:pPr>
              <w:spacing w:after="0"/>
              <w:rPr>
                <w:rFonts w:ascii="Arial" w:cs="Arial" w:eastAsia="Arial" w:hAnsi="Arial"/>
                <w:sz w:val="14"/>
                <w:szCs w:val="14"/>
                <w:color w:val="0000FF"/>
              </w:rPr>
            </w:pPr>
            <w:hyperlink w:anchor="page104">
              <w:r>
                <w:rPr>
                  <w:rFonts w:ascii="Arial" w:cs="Arial" w:eastAsia="Arial" w:hAnsi="Arial"/>
                  <w:sz w:val="14"/>
                  <w:szCs w:val="14"/>
                  <w:color w:val="0000FF"/>
                </w:rPr>
                <w:t>Unregistered Sales of Equity Securities and Use of Proceeds</w:t>
              </w:r>
            </w:hyperlink>
          </w:p>
        </w:tc>
        <w:tc>
          <w:tcPr>
            <w:tcW w:w="220" w:type="dxa"/>
            <w:vAlign w:val="bottom"/>
            <w:gridSpan w:val="3"/>
          </w:tcPr>
          <w:p>
            <w:pPr>
              <w:jc w:val="right"/>
              <w:spacing w:after="0"/>
              <w:rPr>
                <w:rFonts w:ascii="Arial" w:cs="Arial" w:eastAsia="Arial" w:hAnsi="Arial"/>
                <w:sz w:val="14"/>
                <w:szCs w:val="14"/>
                <w:color w:val="0000FF"/>
                <w:w w:val="85"/>
              </w:rPr>
            </w:pPr>
            <w:hyperlink w:anchor="page104">
              <w:r>
                <w:rPr>
                  <w:rFonts w:ascii="Arial" w:cs="Arial" w:eastAsia="Arial" w:hAnsi="Arial"/>
                  <w:sz w:val="14"/>
                  <w:szCs w:val="14"/>
                  <w:color w:val="0000FF"/>
                  <w:w w:val="85"/>
                </w:rPr>
                <w:t>102</w:t>
              </w:r>
            </w:hyperlink>
          </w:p>
        </w:tc>
      </w:tr>
      <w:tr>
        <w:trPr>
          <w:trHeight w:val="160"/>
        </w:trPr>
        <w:tc>
          <w:tcPr>
            <w:tcW w:w="420" w:type="dxa"/>
            <w:vAlign w:val="bottom"/>
            <w:tcBorders>
              <w:top w:val="single" w:sz="8" w:color="0000FF"/>
            </w:tcBorders>
          </w:tcPr>
          <w:p>
            <w:pPr>
              <w:spacing w:after="0"/>
              <w:rPr>
                <w:rFonts w:ascii="Arial" w:cs="Arial" w:eastAsia="Arial" w:hAnsi="Arial"/>
                <w:sz w:val="14"/>
                <w:szCs w:val="14"/>
                <w:color w:val="0000FF"/>
                <w:w w:val="93"/>
              </w:rPr>
            </w:pPr>
            <w:hyperlink w:anchor="page105">
              <w:r>
                <w:rPr>
                  <w:rFonts w:ascii="Arial" w:cs="Arial" w:eastAsia="Arial" w:hAnsi="Arial"/>
                  <w:sz w:val="14"/>
                  <w:szCs w:val="14"/>
                  <w:color w:val="0000FF"/>
                  <w:w w:val="93"/>
                </w:rPr>
                <w:t>Item 5.</w:t>
              </w:r>
            </w:hyperlink>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40" w:type="dxa"/>
            <w:vAlign w:val="bottom"/>
            <w:tcBorders>
              <w:top w:val="single" w:sz="8" w:color="0000FF"/>
            </w:tcBorders>
            <w:gridSpan w:val="11"/>
          </w:tcPr>
          <w:p>
            <w:pPr>
              <w:spacing w:after="0"/>
              <w:rPr>
                <w:rFonts w:ascii="Arial" w:cs="Arial" w:eastAsia="Arial" w:hAnsi="Arial"/>
                <w:sz w:val="14"/>
                <w:szCs w:val="14"/>
                <w:color w:val="0000FF"/>
              </w:rPr>
            </w:pPr>
            <w:hyperlink w:anchor="page105">
              <w:r>
                <w:rPr>
                  <w:rFonts w:ascii="Arial" w:cs="Arial" w:eastAsia="Arial" w:hAnsi="Arial"/>
                  <w:sz w:val="14"/>
                  <w:szCs w:val="14"/>
                  <w:color w:val="0000FF"/>
                </w:rPr>
                <w:t>Other Information</w:t>
              </w:r>
            </w:hyperlink>
          </w:p>
        </w:tc>
        <w:tc>
          <w:tcPr>
            <w:tcW w:w="6200" w:type="dxa"/>
            <w:vAlign w:val="bottom"/>
            <w:gridSpan w:val="8"/>
          </w:tcPr>
          <w:p>
            <w:pPr>
              <w:spacing w:after="0"/>
              <w:rPr>
                <w:sz w:val="13"/>
                <w:szCs w:val="13"/>
                <w:color w:val="auto"/>
              </w:rPr>
            </w:pPr>
          </w:p>
        </w:tc>
        <w:tc>
          <w:tcPr>
            <w:tcW w:w="220" w:type="dxa"/>
            <w:vAlign w:val="bottom"/>
            <w:tcBorders>
              <w:top w:val="single" w:sz="8" w:color="0000FF"/>
            </w:tcBorders>
            <w:gridSpan w:val="3"/>
          </w:tcPr>
          <w:p>
            <w:pPr>
              <w:jc w:val="right"/>
              <w:spacing w:after="0"/>
              <w:rPr>
                <w:rFonts w:ascii="Arial" w:cs="Arial" w:eastAsia="Arial" w:hAnsi="Arial"/>
                <w:sz w:val="14"/>
                <w:szCs w:val="14"/>
                <w:color w:val="0000FF"/>
                <w:w w:val="85"/>
              </w:rPr>
            </w:pPr>
            <w:hyperlink w:anchor="page105">
              <w:r>
                <w:rPr>
                  <w:rFonts w:ascii="Arial" w:cs="Arial" w:eastAsia="Arial" w:hAnsi="Arial"/>
                  <w:sz w:val="14"/>
                  <w:szCs w:val="14"/>
                  <w:color w:val="0000FF"/>
                  <w:w w:val="85"/>
                </w:rPr>
                <w:t>103</w:t>
              </w:r>
            </w:hyperlink>
          </w:p>
        </w:tc>
      </w:tr>
      <w:tr>
        <w:trPr>
          <w:trHeight w:val="160"/>
        </w:trPr>
        <w:tc>
          <w:tcPr>
            <w:tcW w:w="420" w:type="dxa"/>
            <w:vAlign w:val="bottom"/>
            <w:tcBorders>
              <w:top w:val="single" w:sz="8" w:color="0000FF"/>
            </w:tcBorders>
          </w:tcPr>
          <w:p>
            <w:pPr>
              <w:spacing w:after="0"/>
              <w:rPr>
                <w:rFonts w:ascii="Arial" w:cs="Arial" w:eastAsia="Arial" w:hAnsi="Arial"/>
                <w:sz w:val="14"/>
                <w:szCs w:val="14"/>
                <w:color w:val="0000FF"/>
                <w:w w:val="93"/>
              </w:rPr>
            </w:pPr>
            <w:hyperlink w:anchor="page105">
              <w:r>
                <w:rPr>
                  <w:rFonts w:ascii="Arial" w:cs="Arial" w:eastAsia="Arial" w:hAnsi="Arial"/>
                  <w:sz w:val="14"/>
                  <w:szCs w:val="14"/>
                  <w:color w:val="0000FF"/>
                  <w:w w:val="93"/>
                </w:rPr>
                <w:t>Item 6.</w:t>
              </w:r>
            </w:hyperlink>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Borders>
              <w:top w:val="single" w:sz="8" w:color="0000FF"/>
            </w:tcBorders>
            <w:gridSpan w:val="5"/>
          </w:tcPr>
          <w:p>
            <w:pPr>
              <w:spacing w:after="0"/>
              <w:rPr>
                <w:rFonts w:ascii="Arial" w:cs="Arial" w:eastAsia="Arial" w:hAnsi="Arial"/>
                <w:sz w:val="14"/>
                <w:szCs w:val="14"/>
                <w:color w:val="0000FF"/>
              </w:rPr>
            </w:pPr>
            <w:hyperlink w:anchor="page105">
              <w:r>
                <w:rPr>
                  <w:rFonts w:ascii="Arial" w:cs="Arial" w:eastAsia="Arial" w:hAnsi="Arial"/>
                  <w:sz w:val="14"/>
                  <w:szCs w:val="14"/>
                  <w:color w:val="0000FF"/>
                </w:rPr>
                <w:t>Exhibits</w:t>
              </w:r>
            </w:hyperlink>
          </w:p>
        </w:tc>
        <w:tc>
          <w:tcPr>
            <w:tcW w:w="8580" w:type="dxa"/>
            <w:vAlign w:val="bottom"/>
            <w:gridSpan w:val="14"/>
          </w:tcPr>
          <w:p>
            <w:pPr>
              <w:spacing w:after="0"/>
              <w:rPr>
                <w:sz w:val="13"/>
                <w:szCs w:val="13"/>
                <w:color w:val="auto"/>
              </w:rPr>
            </w:pPr>
          </w:p>
        </w:tc>
        <w:tc>
          <w:tcPr>
            <w:tcW w:w="220" w:type="dxa"/>
            <w:vAlign w:val="bottom"/>
            <w:tcBorders>
              <w:top w:val="single" w:sz="8" w:color="0000FF"/>
            </w:tcBorders>
            <w:gridSpan w:val="3"/>
          </w:tcPr>
          <w:p>
            <w:pPr>
              <w:jc w:val="right"/>
              <w:spacing w:after="0"/>
              <w:rPr>
                <w:rFonts w:ascii="Arial" w:cs="Arial" w:eastAsia="Arial" w:hAnsi="Arial"/>
                <w:sz w:val="14"/>
                <w:szCs w:val="14"/>
                <w:color w:val="0000FF"/>
                <w:w w:val="85"/>
              </w:rPr>
            </w:pPr>
            <w:hyperlink w:anchor="page105">
              <w:r>
                <w:rPr>
                  <w:rFonts w:ascii="Arial" w:cs="Arial" w:eastAsia="Arial" w:hAnsi="Arial"/>
                  <w:sz w:val="14"/>
                  <w:szCs w:val="14"/>
                  <w:color w:val="0000FF"/>
                  <w:w w:val="85"/>
                </w:rPr>
                <w:t>103</w:t>
              </w:r>
            </w:hyperlink>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40" w:type="dxa"/>
            <w:vAlign w:val="bottom"/>
            <w:gridSpan w:val="16"/>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r>
      <w:tr>
        <w:trPr>
          <w:trHeight w:val="160"/>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40" w:type="dxa"/>
            <w:vAlign w:val="bottom"/>
            <w:gridSpan w:val="19"/>
          </w:tcPr>
          <w:p>
            <w:pPr>
              <w:spacing w:after="0"/>
              <w:rPr>
                <w:rFonts w:ascii="Arial" w:cs="Arial" w:eastAsia="Arial" w:hAnsi="Arial"/>
                <w:sz w:val="14"/>
                <w:szCs w:val="14"/>
                <w:color w:val="0000FF"/>
              </w:rPr>
            </w:pPr>
            <w:hyperlink w:anchor="page107">
              <w:r>
                <w:rPr>
                  <w:rFonts w:ascii="Arial" w:cs="Arial" w:eastAsia="Arial" w:hAnsi="Arial"/>
                  <w:sz w:val="14"/>
                  <w:szCs w:val="14"/>
                  <w:color w:val="0000FF"/>
                </w:rPr>
                <w:t>Signatures</w:t>
              </w:r>
            </w:hyperlink>
          </w:p>
        </w:tc>
        <w:tc>
          <w:tcPr>
            <w:tcW w:w="220" w:type="dxa"/>
            <w:vAlign w:val="bottom"/>
            <w:gridSpan w:val="3"/>
          </w:tcPr>
          <w:p>
            <w:pPr>
              <w:jc w:val="right"/>
              <w:spacing w:after="0"/>
              <w:rPr>
                <w:rFonts w:ascii="Arial" w:cs="Arial" w:eastAsia="Arial" w:hAnsi="Arial"/>
                <w:sz w:val="14"/>
                <w:szCs w:val="14"/>
                <w:color w:val="0000FF"/>
                <w:w w:val="85"/>
              </w:rPr>
            </w:pPr>
            <w:hyperlink w:anchor="page107">
              <w:r>
                <w:rPr>
                  <w:rFonts w:ascii="Arial" w:cs="Arial" w:eastAsia="Arial" w:hAnsi="Arial"/>
                  <w:sz w:val="14"/>
                  <w:szCs w:val="14"/>
                  <w:color w:val="0000FF"/>
                  <w:w w:val="85"/>
                </w:rPr>
                <w:t>105</w:t>
              </w:r>
            </w:hyperlink>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FORWARD-LOOKING STATEMENTS</w:t>
      </w:r>
    </w:p>
    <w:p>
      <w:pPr>
        <w:spacing w:after="0" w:line="119" w:lineRule="exact"/>
        <w:rPr>
          <w:sz w:val="20"/>
          <w:szCs w:val="20"/>
          <w:color w:val="auto"/>
        </w:rPr>
      </w:pPr>
    </w:p>
    <w:p>
      <w:pPr>
        <w:ind w:right="120" w:firstLine="350"/>
        <w:spacing w:after="0" w:line="288" w:lineRule="auto"/>
        <w:rPr>
          <w:sz w:val="20"/>
          <w:szCs w:val="20"/>
          <w:color w:val="auto"/>
        </w:rPr>
      </w:pPr>
      <w:r>
        <w:rPr>
          <w:rFonts w:ascii="Arial" w:cs="Arial" w:eastAsia="Arial" w:hAnsi="Arial"/>
          <w:sz w:val="13"/>
          <w:szCs w:val="13"/>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forward-looking statements in this Quarterly Report on Form 10-Q include, among other things, statements about:</w:t>
      </w:r>
    </w:p>
    <w:p>
      <w:pPr>
        <w:spacing w:after="0" w:line="157" w:lineRule="exact"/>
        <w:rPr>
          <w:sz w:val="20"/>
          <w:szCs w:val="20"/>
          <w:color w:val="auto"/>
        </w:rPr>
      </w:pPr>
    </w:p>
    <w:p>
      <w:pPr>
        <w:ind w:left="520" w:hanging="260"/>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potential benefits of our business plan and strategy, including our goal to deliver treatment options for various stages of age-related macular degeneration (AMD);</w:t>
      </w:r>
    </w:p>
    <w:p>
      <w:pPr>
        <w:spacing w:after="0" w:line="178" w:lineRule="exact"/>
        <w:rPr>
          <w:rFonts w:ascii="Arial" w:cs="Arial" w:eastAsia="Arial" w:hAnsi="Arial"/>
          <w:sz w:val="14"/>
          <w:szCs w:val="14"/>
          <w:color w:val="auto"/>
        </w:rPr>
      </w:pPr>
    </w:p>
    <w:p>
      <w:pPr>
        <w:jc w:val="both"/>
        <w:ind w:left="520" w:right="100" w:hanging="260"/>
        <w:spacing w:after="0" w:line="267"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expectations regarding the impact of results from GATHER1, our completed Phase 3 clinical trial evaluating Zimura for the treatment of Geographic Atrophy (GA) secondary to AMD, on our business and regulatory strategy, including our plans to pursue development of Zimura in intermediate AMD, and our plans to evaluate, and the potential significance of, the cases of choroidal neovascularization (CNV) in this trial and other clinical trials of Zimura that we are conducting or may conduct;</w:t>
      </w:r>
    </w:p>
    <w:p>
      <w:pPr>
        <w:spacing w:after="0" w:line="141" w:lineRule="exact"/>
        <w:rPr>
          <w:rFonts w:ascii="Arial" w:cs="Arial" w:eastAsia="Arial" w:hAnsi="Arial"/>
          <w:sz w:val="14"/>
          <w:szCs w:val="14"/>
          <w:color w:val="auto"/>
        </w:rPr>
      </w:pPr>
    </w:p>
    <w:p>
      <w:pPr>
        <w:ind w:left="520" w:right="120" w:hanging="260"/>
        <w:spacing w:after="0" w:line="297" w:lineRule="auto"/>
        <w:tabs>
          <w:tab w:leader="none" w:pos="516"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timing, costs, conduct and outcome of GATHER2, our ongoing Phase 3 clinical trial evaluating Zimura for the treatment of GA secondary to AMD, including expectations regarding receipt of topline data from the trial and regarding patient retention, and expectations regarding the potential for Zimura to receive regulatory approval for the treatment of GA based on the clinical trial results we have received to date and the future results from the GATHER2 clinical trial and any other trials we or a potential collaborator may conduct;</w:t>
      </w:r>
    </w:p>
    <w:p>
      <w:pPr>
        <w:spacing w:after="0" w:line="124" w:lineRule="exact"/>
        <w:rPr>
          <w:rFonts w:ascii="Arial" w:cs="Arial" w:eastAsia="Arial" w:hAnsi="Arial"/>
          <w:sz w:val="13"/>
          <w:szCs w:val="13"/>
          <w:color w:val="auto"/>
        </w:rPr>
      </w:pPr>
    </w:p>
    <w:p>
      <w:pPr>
        <w:ind w:left="520" w:hanging="260"/>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plans and expectations for initiating a clinical trial evaluating Zimura for the treatment of intermediate AMD,</w:t>
      </w:r>
    </w:p>
    <w:p>
      <w:pPr>
        <w:spacing w:after="0" w:line="178"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plans for evaluating, obtaining rights to, developing and potentially commercializing new formulations of Zimura with the silica-based sustained release technology we in-licensed from DelSiTech Ltd. and other sustained release delivery technologies for Zimura;</w:t>
      </w:r>
    </w:p>
    <w:p>
      <w:pPr>
        <w:spacing w:after="0" w:line="132" w:lineRule="exact"/>
        <w:rPr>
          <w:rFonts w:ascii="Arial" w:cs="Arial" w:eastAsia="Arial" w:hAnsi="Arial"/>
          <w:sz w:val="14"/>
          <w:szCs w:val="14"/>
          <w:color w:val="auto"/>
        </w:rPr>
      </w:pPr>
    </w:p>
    <w:p>
      <w:pPr>
        <w:ind w:left="520" w:right="400" w:hanging="260"/>
        <w:spacing w:after="0" w:line="321" w:lineRule="auto"/>
        <w:tabs>
          <w:tab w:leader="none" w:pos="516"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plans and strategy for the potential commercialization of Zimura, including hiring of medical affairs and commercialization personnel, building a commercialization infrastructure, including sales, marketing and distribution capabilities, and our expectations regarding the market dynamics for treatments for GA and other commercial matters;</w:t>
      </w:r>
    </w:p>
    <w:p>
      <w:pPr>
        <w:spacing w:after="0" w:line="109" w:lineRule="exact"/>
        <w:rPr>
          <w:rFonts w:ascii="Arial" w:cs="Arial" w:eastAsia="Arial" w:hAnsi="Arial"/>
          <w:sz w:val="13"/>
          <w:szCs w:val="13"/>
          <w:color w:val="auto"/>
        </w:rPr>
      </w:pPr>
    </w:p>
    <w:p>
      <w:pPr>
        <w:ind w:left="520" w:right="20" w:hanging="260"/>
        <w:spacing w:after="0" w:line="267"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ability to establish and maintain capabilities and capacity for the manufacture of Zimura and our other product candidates, including scale up and validation of the manufacturing process for Zimura drug substance and drug product, and securing the supply of the polyethylene glycol (PEG) starting material and other materials for our expected manufacturing needs and securing the supply of Zimura drug product for our expected needs;</w:t>
      </w:r>
    </w:p>
    <w:p>
      <w:pPr>
        <w:spacing w:after="0" w:line="141"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timing, costs, conduct and outcome of STAR, our ongoing Phase 2b screening trial evaluating Zimura for the treatment of autosomal recessive Stargardt disease, including expectations regarding the recruitment of additional patients for this trial;</w:t>
      </w:r>
    </w:p>
    <w:p>
      <w:pPr>
        <w:spacing w:after="0" w:line="132" w:lineRule="exact"/>
        <w:rPr>
          <w:rFonts w:ascii="Arial" w:cs="Arial" w:eastAsia="Arial" w:hAnsi="Arial"/>
          <w:sz w:val="14"/>
          <w:szCs w:val="14"/>
          <w:color w:val="auto"/>
        </w:rPr>
      </w:pPr>
    </w:p>
    <w:p>
      <w:pPr>
        <w:ind w:left="520" w:hanging="260"/>
        <w:spacing w:after="0" w:line="297" w:lineRule="auto"/>
        <w:tabs>
          <w:tab w:leader="none" w:pos="516"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plans and ability to consummate business development transactions, including potential collaboration opportunities for further development and potential commercialization of Zimura outside the United States and potential collaboration opportunities for further development of IC-100 and IC-200; and in-licenses or other opportunities to acquire rights to additional product candidates or technologies to treat retinal diseases, including additional sustained release delivery technologies for Zimura;</w:t>
      </w:r>
    </w:p>
    <w:p>
      <w:pPr>
        <w:spacing w:after="0" w:line="124" w:lineRule="exact"/>
        <w:rPr>
          <w:rFonts w:ascii="Arial" w:cs="Arial" w:eastAsia="Arial" w:hAnsi="Arial"/>
          <w:sz w:val="13"/>
          <w:szCs w:val="13"/>
          <w:color w:val="auto"/>
        </w:rPr>
      </w:pPr>
    </w:p>
    <w:p>
      <w:pPr>
        <w:ind w:left="520" w:right="280" w:hanging="260"/>
        <w:spacing w:after="0" w:line="267"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actual and expected effects of the COVID-19 pandemic, the ongoing military conflict between Russia and Ukraine and related response measures on our business and operations, including the timing, costs, conduct and outcome of our research and development programs, our supply chain, the work of our third-party vendors and collaborators, the work and well-being of our employees, and our financial position;</w:t>
      </w:r>
    </w:p>
    <w:p>
      <w:pPr>
        <w:spacing w:after="0" w:line="141" w:lineRule="exact"/>
        <w:rPr>
          <w:rFonts w:ascii="Arial" w:cs="Arial" w:eastAsia="Arial" w:hAnsi="Arial"/>
          <w:sz w:val="14"/>
          <w:szCs w:val="14"/>
          <w:color w:val="auto"/>
        </w:rPr>
      </w:pPr>
    </w:p>
    <w:p>
      <w:pPr>
        <w:ind w:left="520" w:right="540" w:hanging="260"/>
        <w:spacing w:after="0" w:line="281" w:lineRule="auto"/>
        <w:tabs>
          <w:tab w:leader="none" w:pos="516"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estimates regarding expenses, future revenues and debt service obligations, the sufficiency of our cash resources and our capital requirements and need for, and ability to obtain, additional financing;</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left="520" w:right="260" w:hanging="260"/>
        <w:spacing w:after="0" w:line="281"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plans to raise additional capital, including through equity offerings, debt financings, collaborations, strategic alliances, licensing arrangements, royalty agreements and marketing and distribution arrangements;</w:t>
      </w:r>
    </w:p>
    <w:p>
      <w:pPr>
        <w:spacing w:after="0" w:line="132" w:lineRule="exact"/>
        <w:rPr>
          <w:rFonts w:ascii="Arial" w:cs="Arial" w:eastAsia="Arial" w:hAnsi="Arial"/>
          <w:sz w:val="14"/>
          <w:szCs w:val="14"/>
          <w:color w:val="auto"/>
        </w:rPr>
      </w:pPr>
    </w:p>
    <w:p>
      <w:pPr>
        <w:ind w:left="520" w:right="340" w:hanging="260"/>
        <w:spacing w:after="0" w:line="281"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132" w:lineRule="exact"/>
        <w:rPr>
          <w:rFonts w:ascii="Arial" w:cs="Arial" w:eastAsia="Arial" w:hAnsi="Arial"/>
          <w:sz w:val="14"/>
          <w:szCs w:val="14"/>
          <w:color w:val="auto"/>
        </w:rPr>
      </w:pPr>
    </w:p>
    <w:p>
      <w:pPr>
        <w:ind w:left="520" w:right="20" w:hanging="260"/>
        <w:spacing w:after="0" w:line="281"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132" w:lineRule="exact"/>
        <w:rPr>
          <w:rFonts w:ascii="Arial" w:cs="Arial" w:eastAsia="Arial" w:hAnsi="Arial"/>
          <w:sz w:val="14"/>
          <w:szCs w:val="14"/>
          <w:color w:val="auto"/>
        </w:rPr>
      </w:pPr>
    </w:p>
    <w:p>
      <w:pPr>
        <w:ind w:left="520" w:right="300" w:hanging="260"/>
        <w:spacing w:after="0" w:line="281"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timing of and our ability to submit investigational new drug applications for, and to submit new drug applications or marketing authorization applications for and to obtain marketing approval of our product candidates, and the ability of our product candidates to meet existing or future regulatory standards;</w:t>
      </w:r>
    </w:p>
    <w:p>
      <w:pPr>
        <w:spacing w:after="0" w:line="132" w:lineRule="exact"/>
        <w:rPr>
          <w:rFonts w:ascii="Arial" w:cs="Arial" w:eastAsia="Arial" w:hAnsi="Arial"/>
          <w:sz w:val="14"/>
          <w:szCs w:val="14"/>
          <w:color w:val="auto"/>
        </w:rPr>
      </w:pPr>
    </w:p>
    <w:p>
      <w:pPr>
        <w:ind w:left="520" w:right="100" w:hanging="260"/>
        <w:spacing w:after="0" w:line="281"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potential advantages of our product candidates and other technologies that we are pursuing, including our hypotheses regarding complement factor C5 inhibition and HtrA1 inhibition as potentially relevant mechanisms of action to treat GA and other stages of AMD, and of gene therapy, including the use of minigenes;</w:t>
      </w:r>
    </w:p>
    <w:p>
      <w:pPr>
        <w:spacing w:after="0" w:line="132"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estimates regarding the number of patients affected by the diseases our product candidates and development programs are intended to treat;</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estimates regarding the potential market opportunity for our product candidates, including our ability to obtain coverage and reimbursement for those product candidates, if approved;</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rate and degree of potential market acceptance and clinical utility of our product candidates, if approved;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potential receipt of revenues from future sales of our product candidates, if approved;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personnel and human capital resources;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intellectual property position;</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impact of existing and new governmental laws and regulations;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competitive position.</w:t>
      </w:r>
    </w:p>
    <w:p>
      <w:pPr>
        <w:spacing w:after="0" w:line="168" w:lineRule="exact"/>
        <w:rPr>
          <w:sz w:val="20"/>
          <w:szCs w:val="20"/>
          <w:color w:val="auto"/>
        </w:rPr>
      </w:pPr>
    </w:p>
    <w:p>
      <w:pPr>
        <w:ind w:right="20" w:firstLine="350"/>
        <w:spacing w:after="0" w:line="230" w:lineRule="auto"/>
        <w:rPr>
          <w:sz w:val="20"/>
          <w:szCs w:val="20"/>
          <w:color w:val="auto"/>
        </w:rPr>
      </w:pPr>
      <w:r>
        <w:rPr>
          <w:rFonts w:ascii="Arial" w:cs="Arial" w:eastAsia="Arial" w:hAnsi="Arial"/>
          <w:sz w:val="14"/>
          <w:szCs w:val="14"/>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“Summary of Principal Risk Factors” below and the risk factors detailed further in Item 1A, “Risk Factors”, of Part II of this report, that could cause actual results or events to differ materially from the forward-looking statements that we make. Our forward-looking statements do not reflect the potential impact of any future acquisitions, mergers, licenses, dispositions, joint ventures or investments we may make.</w:t>
      </w:r>
    </w:p>
    <w:p>
      <w:pPr>
        <w:spacing w:after="0" w:line="88"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93" w:lineRule="exact"/>
        <w:rPr>
          <w:sz w:val="20"/>
          <w:szCs w:val="20"/>
          <w:color w:val="auto"/>
        </w:rPr>
      </w:pPr>
    </w:p>
    <w:p>
      <w:pPr>
        <w:ind w:right="240" w:firstLine="350"/>
        <w:spacing w:after="0" w:line="267" w:lineRule="auto"/>
        <w:rPr>
          <w:sz w:val="20"/>
          <w:szCs w:val="20"/>
          <w:color w:val="auto"/>
        </w:rPr>
      </w:pPr>
      <w:r>
        <w:rPr>
          <w:rFonts w:ascii="Arial" w:cs="Arial" w:eastAsia="Arial" w:hAnsi="Arial"/>
          <w:sz w:val="14"/>
          <w:szCs w:val="14"/>
          <w:color w:val="auto"/>
        </w:rPr>
        <w:t>This Quarterly Report on Form 10-Q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Summary of Principal Risk Factors</w:t>
      </w:r>
    </w:p>
    <w:p>
      <w:pPr>
        <w:spacing w:after="0" w:line="119"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i w:val="1"/>
          <w:iCs w:val="1"/>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Part II, Item 1A. Risk Factors section of this Quarterly Report on</w:t>
      </w:r>
    </w:p>
    <w:p>
      <w:pPr>
        <w:ind w:right="4080"/>
        <w:spacing w:after="0" w:line="313" w:lineRule="auto"/>
        <w:rPr>
          <w:sz w:val="20"/>
          <w:szCs w:val="20"/>
          <w:color w:val="auto"/>
        </w:rPr>
      </w:pPr>
      <w:r>
        <w:rPr>
          <w:rFonts w:ascii="Arial" w:cs="Arial" w:eastAsia="Arial" w:hAnsi="Arial"/>
          <w:sz w:val="12"/>
          <w:szCs w:val="12"/>
          <w:i w:val="1"/>
          <w:iCs w:val="1"/>
          <w:color w:val="auto"/>
        </w:rPr>
        <w:t>Form 10-Q, and should be carefully considered, together with other information in this Quarterly Report on Form 10-Q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40" w:lineRule="exact"/>
        <w:rPr>
          <w:sz w:val="20"/>
          <w:szCs w:val="20"/>
          <w:color w:val="auto"/>
        </w:rPr>
      </w:pPr>
    </w:p>
    <w:p>
      <w:pPr>
        <w:ind w:left="520" w:right="20" w:hanging="260"/>
        <w:spacing w:after="0" w:line="267"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a development-stage company without any approved products. The value of your investment is highly dependent on the success of Zimura and our other research and development programs, which carry numerous risks. We are working to transition to being a company capable of commercializing a pharmaceutical product, if approved, and may not be successful in this transition.</w:t>
      </w:r>
    </w:p>
    <w:p>
      <w:pPr>
        <w:spacing w:after="0" w:line="162"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had a history of operating at significant losses and expect to continue to do so until we can successfully commercialize one or more of our product candidates, if ever. We may never achieve profitability.</w:t>
      </w:r>
    </w:p>
    <w:p>
      <w:pPr>
        <w:spacing w:after="0" w:line="153" w:lineRule="exact"/>
        <w:rPr>
          <w:rFonts w:ascii="Arial" w:cs="Arial" w:eastAsia="Arial" w:hAnsi="Arial"/>
          <w:sz w:val="14"/>
          <w:szCs w:val="14"/>
          <w:color w:val="auto"/>
        </w:rPr>
      </w:pPr>
    </w:p>
    <w:p>
      <w:pPr>
        <w:ind w:left="520" w:right="40" w:hanging="260"/>
        <w:spacing w:after="0" w:line="28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covenants in our loan and security agreement with Hercules and SVB may limit and restrict from us from pursuing certain operating activities. If we are in default under that agreement, we may need to repay all existing indebtedness under that credit facility.</w:t>
      </w:r>
    </w:p>
    <w:p>
      <w:pPr>
        <w:spacing w:after="0" w:line="153" w:lineRule="exact"/>
        <w:rPr>
          <w:rFonts w:ascii="Arial" w:cs="Arial" w:eastAsia="Arial" w:hAnsi="Arial"/>
          <w:sz w:val="14"/>
          <w:szCs w:val="14"/>
          <w:color w:val="auto"/>
        </w:rPr>
      </w:pPr>
    </w:p>
    <w:p>
      <w:pPr>
        <w:ind w:left="520" w:right="60" w:hanging="260"/>
        <w:spacing w:after="0" w:line="321"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may need additional financing in order to finish developing and start commercializing one or more of our product candidates, if approved. Securing financing may be challenging and/or dilutive to our shareholders, and if we are unable to secure financing when needed, we may need to curtail our development programs or planned commercialization activities.</w:t>
      </w:r>
    </w:p>
    <w:p>
      <w:pPr>
        <w:spacing w:after="0" w:line="130" w:lineRule="exact"/>
        <w:rPr>
          <w:rFonts w:ascii="Arial" w:cs="Arial" w:eastAsia="Arial" w:hAnsi="Arial"/>
          <w:sz w:val="13"/>
          <w:szCs w:val="13"/>
          <w:color w:val="auto"/>
        </w:rPr>
      </w:pPr>
    </w:p>
    <w:p>
      <w:pPr>
        <w:ind w:left="520" w:right="340" w:hanging="260"/>
        <w:spacing w:after="0" w:line="267"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COVID-19 pandemic has adversely affected our business, for example, by impacting the initiation and conduct of our clinical trials, the work of our contract manufacturing organizations, contract research organizations and other vendors, and aspects of our supply chain. Because of the ongoing and fluid nature of the pandemic, it will continue to affect our business.</w:t>
      </w:r>
    </w:p>
    <w:p>
      <w:pPr>
        <w:spacing w:after="0" w:line="162" w:lineRule="exact"/>
        <w:rPr>
          <w:rFonts w:ascii="Arial" w:cs="Arial" w:eastAsia="Arial" w:hAnsi="Arial"/>
          <w:sz w:val="14"/>
          <w:szCs w:val="14"/>
          <w:color w:val="auto"/>
        </w:rPr>
      </w:pPr>
    </w:p>
    <w:p>
      <w:pPr>
        <w:ind w:left="520" w:right="140" w:hanging="260"/>
        <w:spacing w:after="0" w:line="28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not be successful in developing a formulation of Zimura with the sustained release delivery technology we in-licensed from DelSiTech, or obtaining rights to and developing other sustained release delivery technologies for Zimura.</w:t>
      </w:r>
    </w:p>
    <w:p>
      <w:pPr>
        <w:spacing w:after="0" w:line="153"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Drug development is inherently risky with numerous scientific, technical, regulatory and other challenges. A promising drug candidate can fail at any time and for any number of reasons.</w:t>
      </w:r>
    </w:p>
    <w:p>
      <w:pPr>
        <w:spacing w:after="0" w:line="211" w:lineRule="exact"/>
        <w:rPr>
          <w:rFonts w:ascii="Arial" w:cs="Arial" w:eastAsia="Arial" w:hAnsi="Arial"/>
          <w:sz w:val="13"/>
          <w:szCs w:val="13"/>
          <w:color w:val="auto"/>
        </w:rPr>
      </w:pPr>
    </w:p>
    <w:p>
      <w:pPr>
        <w:ind w:left="520" w:right="200" w:hanging="260"/>
        <w:spacing w:after="0" w:line="267"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pursuing the development of our product candidates using novel mechanisms of action targeting indications for which there are no approved products. These include, for example, complement inhibition and inhibition of High temperature requirement A serine peptidase 1 protein for GA, and complement inhibition for intermediate AMD and autosomal recessive Stargardt disease. These approaches carry numerous scientific, regulatory and other risks.</w:t>
      </w:r>
    </w:p>
    <w:p>
      <w:pPr>
        <w:spacing w:after="0" w:line="162" w:lineRule="exact"/>
        <w:rPr>
          <w:rFonts w:ascii="Arial" w:cs="Arial" w:eastAsia="Arial" w:hAnsi="Arial"/>
          <w:sz w:val="14"/>
          <w:szCs w:val="14"/>
          <w:color w:val="auto"/>
        </w:rPr>
      </w:pPr>
    </w:p>
    <w:p>
      <w:pPr>
        <w:ind w:left="520" w:right="360" w:hanging="260"/>
        <w:spacing w:after="0" w:line="281"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results of the GATHER2 trial may not replicate the results of the GATHER1 trial. We may discover safety issues with our product candidates due to known and currently unknown factors, which could hamper their further development.</w:t>
      </w:r>
    </w:p>
    <w:p>
      <w:pPr>
        <w:spacing w:after="0" w:line="153" w:lineRule="exact"/>
        <w:rPr>
          <w:rFonts w:ascii="Arial" w:cs="Arial" w:eastAsia="Arial" w:hAnsi="Arial"/>
          <w:sz w:val="14"/>
          <w:szCs w:val="14"/>
          <w:color w:val="auto"/>
        </w:rPr>
      </w:pPr>
    </w:p>
    <w:p>
      <w:pPr>
        <w:ind w:left="520" w:right="20" w:hanging="260"/>
        <w:spacing w:after="0" w:line="288" w:lineRule="auto"/>
        <w:tabs>
          <w:tab w:leader="none" w:pos="516" w:val="left"/>
        </w:tabs>
        <w:numPr>
          <w:ilvl w:val="0"/>
          <w:numId w:val="3"/>
        </w:numPr>
        <w:rPr>
          <w:rFonts w:ascii="Arial" w:cs="Arial" w:eastAsia="Arial" w:hAnsi="Arial"/>
          <w:sz w:val="13"/>
          <w:szCs w:val="13"/>
          <w:color w:val="auto"/>
        </w:rPr>
      </w:pPr>
      <w:r>
        <w:rPr>
          <w:rFonts w:ascii="Arial" w:cs="Arial" w:eastAsia="Arial" w:hAnsi="Arial"/>
          <w:sz w:val="13"/>
          <w:szCs w:val="13"/>
          <w:color w:val="auto"/>
        </w:rPr>
        <w:t>Regulatory authorities, including the U.S. Food and Drug Administration, or FDA, and the European Medicines Agency, or EMA, may disagree with the design of or our analyses or conclusions from our clinical trials of Zimura in GA or our planned development pathway for Zimura in intermediate AMD. Since receipt of the 12-month results from GATHER1, we have not had any formal interactions with the EMA regarding our planned regulatory pathway for Zimura in GA and the EMA and other regulatory authorities may disagree with the requirements of the FDA. We may need to conduct additional clinical trials or nonclinical studies for Zimura in order to obtain marketing approval.</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jc w:val="both"/>
        <w:ind w:left="520" w:right="80" w:hanging="260"/>
        <w:spacing w:after="0" w:line="267" w:lineRule="auto"/>
        <w:tabs>
          <w:tab w:leader="none" w:pos="511" w:val="left"/>
        </w:tabs>
        <w:numPr>
          <w:ilvl w:val="0"/>
          <w:numId w:val="4"/>
        </w:numPr>
        <w:rPr>
          <w:rFonts w:ascii="Arial" w:cs="Arial" w:eastAsia="Arial" w:hAnsi="Arial"/>
          <w:sz w:val="14"/>
          <w:szCs w:val="14"/>
          <w:color w:val="auto"/>
        </w:rPr>
      </w:pPr>
      <w:r>
        <w:rPr>
          <w:rFonts w:ascii="Arial" w:cs="Arial" w:eastAsia="Arial" w:hAnsi="Arial"/>
          <w:sz w:val="14"/>
          <w:szCs w:val="14"/>
          <w:color w:val="auto"/>
        </w:rPr>
        <w:t>Manufacturing our product candidates is technically complex, expensive and time consuming. We may face issues with scaling up and validating the manufacturing process for Zimura. We may not be able to secure adequate supply of Zimura drug product and the PEG starting material for our future needs, including potential commercial launch. Issues with manufacturing can derail the further development or commercialization of our product candidates.</w:t>
      </w:r>
    </w:p>
    <w:p>
      <w:pPr>
        <w:spacing w:after="0" w:line="162"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substantial competition from large pharmaceutical companies, smaller biotech companies and others.</w:t>
      </w:r>
    </w:p>
    <w:p>
      <w:pPr>
        <w:spacing w:after="0" w:line="199" w:lineRule="exact"/>
        <w:rPr>
          <w:rFonts w:ascii="Arial" w:cs="Arial" w:eastAsia="Arial" w:hAnsi="Arial"/>
          <w:sz w:val="14"/>
          <w:szCs w:val="14"/>
          <w:color w:val="auto"/>
        </w:rPr>
      </w:pPr>
    </w:p>
    <w:p>
      <w:pPr>
        <w:ind w:left="520" w:right="100" w:hanging="260"/>
        <w:spacing w:after="0" w:line="26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To commercialize any of our product candidates, if approved, we will need to set up a sales and marketing infrastructure. We are continuing to hire commercialization personnel and will need to continue building our commercial infrastructure. The success of our commercialization efforts will depend in part on the degree of acceptance of our product candidates by patients, the medical community and payors.</w:t>
      </w:r>
    </w:p>
    <w:p>
      <w:pPr>
        <w:spacing w:after="0" w:line="162" w:lineRule="exact"/>
        <w:rPr>
          <w:rFonts w:ascii="Arial" w:cs="Arial" w:eastAsia="Arial" w:hAnsi="Arial"/>
          <w:sz w:val="14"/>
          <w:szCs w:val="14"/>
          <w:color w:val="auto"/>
        </w:rPr>
      </w:pPr>
    </w:p>
    <w:p>
      <w:pPr>
        <w:ind w:left="520" w:right="80" w:hanging="260"/>
        <w:spacing w:after="0" w:line="26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do not have any internal manufacturing facilities and rely heavily on our third-party contract manufacturers. They may have different business priorities than we do and may fail to meet our expectations or follow regulatory requirements, including current good manufacturing practices and data integrity requirements. We may need to engage alternative manufacturers or suppliers sooner than we currently expect.</w:t>
      </w:r>
    </w:p>
    <w:p>
      <w:pPr>
        <w:spacing w:after="0" w:line="162"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heavily on our third-party contract research organizations as well as our clinical trial sites and academic collaborators. They may have different priorities than we do and may fail to follow regulatory requirements, including good laboratory practice, good clinical practice and other data integrity requirements.</w:t>
      </w:r>
    </w:p>
    <w:p>
      <w:pPr>
        <w:spacing w:after="0" w:line="153" w:lineRule="exact"/>
        <w:rPr>
          <w:rFonts w:ascii="Arial" w:cs="Arial" w:eastAsia="Arial" w:hAnsi="Arial"/>
          <w:sz w:val="14"/>
          <w:szCs w:val="14"/>
          <w:color w:val="auto"/>
        </w:rPr>
      </w:pPr>
    </w:p>
    <w:p>
      <w:pPr>
        <w:jc w:val="both"/>
        <w:ind w:left="520" w:right="60" w:hanging="260"/>
        <w:spacing w:after="0" w:line="26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pursue a collaboration for the further development and potential commercialization of Zimura in one or more territories outside the United States, and plan to pursue a collaboration for the further development and potential commercialization of IC-100 and IC-200. For any of these, we may not be able to enter into a collaboration or out-license on favorable terms, or at all. Even if we are able to do so, the collaboration or out-license may not be successful.</w:t>
      </w:r>
    </w:p>
    <w:p>
      <w:pPr>
        <w:spacing w:after="0" w:line="162" w:lineRule="exact"/>
        <w:rPr>
          <w:rFonts w:ascii="Arial" w:cs="Arial" w:eastAsia="Arial" w:hAnsi="Arial"/>
          <w:sz w:val="14"/>
          <w:szCs w:val="14"/>
          <w:color w:val="auto"/>
        </w:rPr>
      </w:pPr>
    </w:p>
    <w:p>
      <w:pPr>
        <w:ind w:left="520" w:right="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patents to protect our proprietary position. We may not obtain the patent rights that we seek and/or we may not be able to exclude our competitors from relevant markets. We may be subject to litigation involving our patents or those of third parties.</w:t>
      </w:r>
    </w:p>
    <w:p>
      <w:pPr>
        <w:spacing w:after="0" w:line="153" w:lineRule="exact"/>
        <w:rPr>
          <w:rFonts w:ascii="Arial" w:cs="Arial" w:eastAsia="Arial" w:hAnsi="Arial"/>
          <w:sz w:val="14"/>
          <w:szCs w:val="14"/>
          <w:color w:val="auto"/>
        </w:rPr>
      </w:pPr>
    </w:p>
    <w:p>
      <w:pPr>
        <w:ind w:left="520" w:right="16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highly dependent on our information security systems and those of third parties we work with. A cybersecurity incident may cause interruptions to the progress of our development programs and operations, financial or regulatory penalties and/or harm to our reputation.</w:t>
      </w:r>
    </w:p>
    <w:p>
      <w:pPr>
        <w:spacing w:after="0" w:line="153" w:lineRule="exact"/>
        <w:rPr>
          <w:rFonts w:ascii="Arial" w:cs="Arial" w:eastAsia="Arial" w:hAnsi="Arial"/>
          <w:sz w:val="14"/>
          <w:szCs w:val="14"/>
          <w:color w:val="auto"/>
        </w:rPr>
      </w:pPr>
    </w:p>
    <w:p>
      <w:pPr>
        <w:ind w:left="520" w:right="160" w:hanging="260"/>
        <w:spacing w:after="0" w:line="26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a limited number of employees to conduct our operations, including supervising our outside vendors. The skills needed to advance our research and development programs and plan for commercialization of our product candidates are highly specialized. We plan to hire additional qualified personnel, including commercialization and medical affairs personnel, to support the growth of our business. Hiring these personnel and retaining existing employees may be challenging.</w:t>
      </w:r>
    </w:p>
    <w:p>
      <w:pPr>
        <w:spacing w:after="0" w:line="162"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need to satisfy numerous regulatory requirements in order to secure marketing approval and reimbursement approval, if applicable, for any of our product candidates. These requirements differ across jurisdictions. Failure to satisfy and maintain those requirements can preclude us from commercializing our products.</w:t>
      </w:r>
    </w:p>
    <w:p>
      <w:pPr>
        <w:spacing w:after="0" w:line="153" w:lineRule="exact"/>
        <w:rPr>
          <w:rFonts w:ascii="Arial" w:cs="Arial" w:eastAsia="Arial" w:hAnsi="Arial"/>
          <w:sz w:val="14"/>
          <w:szCs w:val="14"/>
          <w:color w:val="auto"/>
        </w:rPr>
      </w:pPr>
    </w:p>
    <w:p>
      <w:pPr>
        <w:ind w:left="520" w:right="20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and any commercialization partners are subject to numerous healthcare laws and regulations governing our relationships with patients, healthcare professionals and third-party payors. Failure to comply with these requirements may adversely affect our business, including as we prepare for potential commercialization of Zimura.</w:t>
      </w:r>
    </w:p>
    <w:p>
      <w:pPr>
        <w:spacing w:after="0" w:line="153" w:lineRule="exact"/>
        <w:rPr>
          <w:rFonts w:ascii="Arial" w:cs="Arial" w:eastAsia="Arial" w:hAnsi="Arial"/>
          <w:sz w:val="14"/>
          <w:szCs w:val="14"/>
          <w:color w:val="auto"/>
        </w:rPr>
      </w:pPr>
    </w:p>
    <w:p>
      <w:pPr>
        <w:ind w:left="520" w:right="58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reimbursement and payment regime for pharmaceutical products in the United States remains in flux, including as a result of the implementation of and litigation involving the Affordable Care Act. There are ongoing, and often bipartisan, efforts to reduce the prices of pharmaceutical products.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USE OF TRADEMARKS</w:t>
      </w:r>
    </w:p>
    <w:p>
      <w:pPr>
        <w:spacing w:after="0" w:line="119" w:lineRule="exact"/>
        <w:rPr>
          <w:sz w:val="20"/>
          <w:szCs w:val="20"/>
          <w:color w:val="auto"/>
        </w:rPr>
      </w:pPr>
    </w:p>
    <w:p>
      <w:pPr>
        <w:ind w:right="460" w:firstLine="139"/>
        <w:spacing w:after="0" w:line="281" w:lineRule="auto"/>
        <w:rPr>
          <w:sz w:val="20"/>
          <w:szCs w:val="20"/>
          <w:color w:val="auto"/>
        </w:rPr>
      </w:pPr>
      <w:r>
        <w:rPr>
          <w:rFonts w:ascii="Arial" w:cs="Arial" w:eastAsia="Arial" w:hAnsi="Arial"/>
          <w:sz w:val="14"/>
          <w:szCs w:val="14"/>
          <w:color w:val="212529"/>
        </w:rPr>
        <w:t xml:space="preserve">The trademarks, trade names and service marks appearing in this Quarterly Report on Form 10-Q are the property of their respective owners. </w:t>
      </w:r>
      <w:r>
        <w:rPr>
          <w:rFonts w:ascii="Arial" w:cs="Arial" w:eastAsia="Arial" w:hAnsi="Arial"/>
          <w:sz w:val="14"/>
          <w:szCs w:val="14"/>
          <w:color w:val="000000"/>
        </w:rPr>
        <w:t>We have omitted the ® and ™ designations, as</w:t>
      </w:r>
      <w:r>
        <w:rPr>
          <w:rFonts w:ascii="Arial" w:cs="Arial" w:eastAsia="Arial" w:hAnsi="Arial"/>
          <w:sz w:val="14"/>
          <w:szCs w:val="14"/>
          <w:color w:val="212529"/>
        </w:rPr>
        <w:t xml:space="preserve"> </w:t>
      </w:r>
      <w:r>
        <w:rPr>
          <w:rFonts w:ascii="Arial" w:cs="Arial" w:eastAsia="Arial" w:hAnsi="Arial"/>
          <w:sz w:val="14"/>
          <w:szCs w:val="14"/>
          <w:color w:val="000000"/>
        </w:rPr>
        <w:t>applicable, for the trademarks named in this Quarterly Report on Form 10-Q after their first reference in this Quarterly Report on Form 10-Q.</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IVERIC 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7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2022</w:t>
            </w:r>
          </w:p>
        </w:tc>
        <w:tc>
          <w:tcPr>
            <w:tcW w:w="220" w:type="dxa"/>
            <w:vAlign w:val="bottom"/>
          </w:tcPr>
          <w:p>
            <w:pPr>
              <w:spacing w:after="0"/>
              <w:rPr>
                <w:sz w:val="13"/>
                <w:szCs w:val="13"/>
                <w:color w:val="auto"/>
              </w:rPr>
            </w:pPr>
          </w:p>
        </w:tc>
        <w:tc>
          <w:tcPr>
            <w:tcW w:w="1420" w:type="dxa"/>
            <w:vAlign w:val="bottom"/>
          </w:tcPr>
          <w:p>
            <w:pPr>
              <w:jc w:val="right"/>
              <w:ind w:right="290"/>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175"/>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80" w:type="dxa"/>
            <w:vAlign w:val="bottom"/>
          </w:tcPr>
          <w:p>
            <w:pPr>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261,447</w:t>
            </w:r>
          </w:p>
        </w:tc>
        <w:tc>
          <w:tcPr>
            <w:tcW w:w="0" w:type="dxa"/>
            <w:vAlign w:val="bottom"/>
          </w:tcPr>
          <w:p>
            <w:pPr>
              <w:spacing w:after="0"/>
              <w:rPr>
                <w:sz w:val="1"/>
                <w:szCs w:val="1"/>
                <w:color w:val="auto"/>
              </w:rPr>
            </w:pPr>
          </w:p>
        </w:tc>
      </w:tr>
      <w:tr>
        <w:trPr>
          <w:trHeight w:val="180"/>
        </w:trPr>
        <w:tc>
          <w:tcPr>
            <w:tcW w:w="7880" w:type="dxa"/>
            <w:vAlign w:val="bottom"/>
          </w:tcPr>
          <w:p>
            <w:pPr>
              <w:ind w:left="260"/>
              <w:spacing w:after="0"/>
              <w:rPr>
                <w:sz w:val="20"/>
                <w:szCs w:val="20"/>
                <w:color w:val="auto"/>
              </w:rPr>
            </w:pPr>
            <w:r>
              <w:rPr>
                <w:rFonts w:ascii="Arial" w:cs="Arial" w:eastAsia="Arial" w:hAnsi="Arial"/>
                <w:sz w:val="14"/>
                <w:szCs w:val="14"/>
                <w:color w:val="auto"/>
              </w:rPr>
              <w:t>Available for sale securities</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170,850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120,302</w:t>
            </w: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5,739</w:t>
            </w:r>
          </w:p>
        </w:tc>
        <w:tc>
          <w:tcPr>
            <w:tcW w:w="0" w:type="dxa"/>
            <w:vAlign w:val="bottom"/>
          </w:tcPr>
          <w:p>
            <w:pPr>
              <w:spacing w:after="0"/>
              <w:rPr>
                <w:sz w:val="1"/>
                <w:szCs w:val="1"/>
                <w:color w:val="auto"/>
              </w:rPr>
            </w:pPr>
          </w:p>
        </w:tc>
      </w:tr>
      <w:tr>
        <w:trPr>
          <w:trHeight w:val="171"/>
        </w:trPr>
        <w:tc>
          <w:tcPr>
            <w:tcW w:w="788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317,222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387,488</w:t>
            </w: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80"/>
        </w:trPr>
        <w:tc>
          <w:tcPr>
            <w:tcW w:w="78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Right-of-use asset, net</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319,756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389,358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80" w:type="dxa"/>
            <w:vAlign w:val="bottom"/>
          </w:tcPr>
          <w:p>
            <w:pPr>
              <w:ind w:left="260"/>
              <w:spacing w:after="0"/>
              <w:rPr>
                <w:sz w:val="20"/>
                <w:szCs w:val="20"/>
                <w:color w:val="auto"/>
              </w:rPr>
            </w:pPr>
            <w:r>
              <w:rPr>
                <w:rFonts w:ascii="Arial" w:cs="Arial" w:eastAsia="Arial" w:hAnsi="Arial"/>
                <w:sz w:val="14"/>
                <w:szCs w:val="14"/>
                <w:color w:val="auto"/>
              </w:rPr>
              <w:t>Accrued research and development expenses</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16,577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14,403</w:t>
            </w: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12,856</w:t>
            </w:r>
          </w:p>
        </w:tc>
        <w:tc>
          <w:tcPr>
            <w:tcW w:w="0" w:type="dxa"/>
            <w:vAlign w:val="bottom"/>
          </w:tcPr>
          <w:p>
            <w:pPr>
              <w:spacing w:after="0"/>
              <w:rPr>
                <w:sz w:val="1"/>
                <w:szCs w:val="1"/>
                <w:color w:val="auto"/>
              </w:rPr>
            </w:pPr>
          </w:p>
        </w:tc>
      </w:tr>
      <w:tr>
        <w:trPr>
          <w:trHeight w:val="180"/>
        </w:trPr>
        <w:tc>
          <w:tcPr>
            <w:tcW w:w="78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Lease liability</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71"/>
        </w:trPr>
        <w:tc>
          <w:tcPr>
            <w:tcW w:w="78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Total current liabilities</w:t>
            </w:r>
          </w:p>
        </w:tc>
        <w:tc>
          <w:tcPr>
            <w:tcW w:w="3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28,211</w:t>
            </w:r>
          </w:p>
        </w:tc>
        <w:tc>
          <w:tcPr>
            <w:tcW w:w="0" w:type="dxa"/>
            <w:vAlign w:val="bottom"/>
          </w:tcPr>
          <w:p>
            <w:pPr>
              <w:spacing w:after="0"/>
              <w:rPr>
                <w:sz w:val="1"/>
                <w:szCs w:val="1"/>
                <w:color w:val="auto"/>
              </w:rPr>
            </w:pPr>
          </w:p>
        </w:tc>
      </w:tr>
      <w:tr>
        <w:trPr>
          <w:trHeight w:val="171"/>
        </w:trPr>
        <w:tc>
          <w:tcPr>
            <w:tcW w:w="78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Lease liability, non-current</w:t>
            </w: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71"/>
        </w:trPr>
        <w:tc>
          <w:tcPr>
            <w:tcW w:w="78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Total liabilities</w:t>
            </w: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28,830</w:t>
            </w:r>
          </w:p>
        </w:tc>
        <w:tc>
          <w:tcPr>
            <w:tcW w:w="0" w:type="dxa"/>
            <w:vAlign w:val="bottom"/>
          </w:tcPr>
          <w:p>
            <w:pPr>
              <w:spacing w:after="0"/>
              <w:rPr>
                <w:sz w:val="1"/>
                <w:szCs w:val="1"/>
                <w:color w:val="auto"/>
              </w:rPr>
            </w:pPr>
          </w:p>
        </w:tc>
      </w:tr>
      <w:tr>
        <w:trPr>
          <w:trHeight w:val="180"/>
        </w:trPr>
        <w:tc>
          <w:tcPr>
            <w:tcW w:w="7880" w:type="dxa"/>
            <w:vAlign w:val="bottom"/>
          </w:tcPr>
          <w:p>
            <w:pPr>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Preferred stock—$0.001 par value, 5,000,000 shares authorized, no shares issued or outstanding</w:t>
            </w:r>
          </w:p>
        </w:tc>
        <w:tc>
          <w:tcPr>
            <w:tcW w:w="3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7880" w:type="dxa"/>
            <w:vAlign w:val="bottom"/>
          </w:tcPr>
          <w:p>
            <w:pPr>
              <w:ind w:left="100"/>
              <w:spacing w:after="0" w:line="138" w:lineRule="exact"/>
              <w:rPr>
                <w:sz w:val="20"/>
                <w:szCs w:val="20"/>
                <w:color w:val="auto"/>
              </w:rPr>
            </w:pPr>
            <w:r>
              <w:rPr>
                <w:rFonts w:ascii="Arial" w:cs="Arial" w:eastAsia="Arial" w:hAnsi="Arial"/>
                <w:sz w:val="14"/>
                <w:szCs w:val="14"/>
                <w:color w:val="auto"/>
                <w:w w:val="95"/>
              </w:rPr>
              <w:t>Common stock—$0.001 par value, 200,000,000 shares authorized, 116,874,198 and 115,277,012 shares issued and outstanding at</w:t>
            </w:r>
          </w:p>
        </w:tc>
        <w:tc>
          <w:tcPr>
            <w:tcW w:w="3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0"/>
        </w:trPr>
        <w:tc>
          <w:tcPr>
            <w:tcW w:w="7880" w:type="dxa"/>
            <w:vAlign w:val="bottom"/>
          </w:tcPr>
          <w:p>
            <w:pPr>
              <w:ind w:left="100"/>
              <w:spacing w:after="0"/>
              <w:rPr>
                <w:sz w:val="20"/>
                <w:szCs w:val="20"/>
                <w:color w:val="auto"/>
              </w:rPr>
            </w:pPr>
            <w:r>
              <w:rPr>
                <w:rFonts w:ascii="Arial" w:cs="Arial" w:eastAsia="Arial" w:hAnsi="Arial"/>
                <w:sz w:val="14"/>
                <w:szCs w:val="14"/>
                <w:color w:val="auto"/>
              </w:rPr>
              <w:t>June 30, 2022 and December 31, 2021, respectively</w:t>
            </w:r>
          </w:p>
        </w:tc>
        <w:tc>
          <w:tcPr>
            <w:tcW w:w="3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Additional paid-in capital</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1,056,751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1,040,098</w:t>
            </w:r>
          </w:p>
        </w:tc>
        <w:tc>
          <w:tcPr>
            <w:tcW w:w="0" w:type="dxa"/>
            <w:vAlign w:val="bottom"/>
          </w:tcPr>
          <w:p>
            <w:pPr>
              <w:spacing w:after="0"/>
              <w:rPr>
                <w:sz w:val="1"/>
                <w:szCs w:val="1"/>
                <w:color w:val="auto"/>
              </w:rPr>
            </w:pPr>
          </w:p>
        </w:tc>
      </w:tr>
      <w:tr>
        <w:trPr>
          <w:trHeight w:val="180"/>
        </w:trPr>
        <w:tc>
          <w:tcPr>
            <w:tcW w:w="7880" w:type="dxa"/>
            <w:vAlign w:val="bottom"/>
          </w:tcPr>
          <w:p>
            <w:pPr>
              <w:ind w:left="100"/>
              <w:spacing w:after="0"/>
              <w:rPr>
                <w:sz w:val="20"/>
                <w:szCs w:val="20"/>
                <w:color w:val="auto"/>
              </w:rPr>
            </w:pPr>
            <w:r>
              <w:rPr>
                <w:rFonts w:ascii="Arial" w:cs="Arial" w:eastAsia="Arial" w:hAnsi="Arial"/>
                <w:sz w:val="14"/>
                <w:szCs w:val="14"/>
                <w:color w:val="auto"/>
              </w:rPr>
              <w:t>Accumulated deficit</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(763,394)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(679,595)</w:t>
            </w:r>
          </w:p>
        </w:tc>
        <w:tc>
          <w:tcPr>
            <w:tcW w:w="0" w:type="dxa"/>
            <w:vAlign w:val="bottom"/>
          </w:tcPr>
          <w:p>
            <w:pPr>
              <w:spacing w:after="0"/>
              <w:rPr>
                <w:sz w:val="1"/>
                <w:szCs w:val="1"/>
                <w:color w:val="auto"/>
              </w:rPr>
            </w:pPr>
          </w:p>
        </w:tc>
      </w:tr>
      <w:tr>
        <w:trPr>
          <w:trHeight w:val="181"/>
        </w:trPr>
        <w:tc>
          <w:tcPr>
            <w:tcW w:w="7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Accumulated other comprehensive income</w:t>
            </w: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71"/>
        </w:trPr>
        <w:tc>
          <w:tcPr>
            <w:tcW w:w="788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292,946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360,528</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319,756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389,358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unaudited notes are an integral part of these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IVERIC bio,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Condensed Unaudited Consolidated Statements of Operations and Comprehensive Loss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per share data)</w:t>
      </w:r>
    </w:p>
    <w:p>
      <w:pPr>
        <w:sectPr>
          <w:pgSz w:w="11900" w:h="16838" w:orient="portrait"/>
          <w:cols w:equalWidth="0" w:num="1">
            <w:col w:w="11240"/>
          </w:cols>
          <w:pgMar w:left="300" w:top="129" w:right="359" w:bottom="1440" w:gutter="0" w:footer="0" w:header="0"/>
        </w:sectPr>
      </w:pPr>
    </w:p>
    <w:p>
      <w:pPr>
        <w:spacing w:after="0" w:line="56" w:lineRule="exact"/>
        <w:rPr>
          <w:sz w:val="20"/>
          <w:szCs w:val="20"/>
          <w:color w:val="auto"/>
        </w:rPr>
      </w:pPr>
    </w:p>
    <w:p>
      <w:pPr>
        <w:jc w:val="center"/>
        <w:ind w:left="5340"/>
        <w:spacing w:after="0"/>
        <w:rPr>
          <w:sz w:val="20"/>
          <w:szCs w:val="20"/>
          <w:color w:val="auto"/>
        </w:rPr>
      </w:pPr>
      <w:r>
        <w:rPr>
          <w:rFonts w:ascii="Arial" w:cs="Arial" w:eastAsia="Arial" w:hAnsi="Arial"/>
          <w:sz w:val="11"/>
          <w:szCs w:val="11"/>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18415</wp:posOffset>
            </wp:positionV>
            <wp:extent cx="181927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9275" cy="6985"/>
                    </a:xfrm>
                    <a:prstGeom prst="rect">
                      <a:avLst/>
                    </a:prstGeom>
                    <a:noFill/>
                  </pic:spPr>
                </pic:pic>
              </a:graphicData>
            </a:graphic>
          </wp:anchor>
        </w:drawing>
      </w:r>
    </w:p>
    <w:p>
      <w:pPr>
        <w:spacing w:after="0" w:line="13" w:lineRule="exact"/>
        <w:rPr>
          <w:sz w:val="20"/>
          <w:szCs w:val="20"/>
          <w:color w:val="auto"/>
        </w:rPr>
      </w:pPr>
    </w:p>
    <w:p>
      <w:pPr>
        <w:ind w:left="5920"/>
        <w:spacing w:after="0"/>
        <w:tabs>
          <w:tab w:leader="none" w:pos="7320" w:val="left"/>
        </w:tabs>
        <w:rPr>
          <w:sz w:val="20"/>
          <w:szCs w:val="20"/>
          <w:color w:val="auto"/>
        </w:rPr>
      </w:pPr>
      <w:r>
        <w:rPr>
          <w:rFonts w:ascii="Arial" w:cs="Arial" w:eastAsia="Arial" w:hAnsi="Arial"/>
          <w:sz w:val="10"/>
          <w:szCs w:val="10"/>
          <w:b w:val="1"/>
          <w:bCs w:val="1"/>
          <w:color w:val="auto"/>
        </w:rPr>
        <w:t>2022</w:t>
      </w:r>
      <w:r>
        <w:rPr>
          <w:sz w:val="20"/>
          <w:szCs w:val="20"/>
          <w:color w:val="auto"/>
        </w:rPr>
        <w:tab/>
      </w:r>
      <w:r>
        <w:rPr>
          <w:rFonts w:ascii="Arial" w:cs="Arial" w:eastAsia="Arial" w:hAnsi="Arial"/>
          <w:sz w:val="10"/>
          <w:szCs w:val="10"/>
          <w:b w:val="1"/>
          <w:bCs w:val="1"/>
          <w:color w:val="auto"/>
        </w:rPr>
        <w:t>2021</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620"/>
        <w:spacing w:after="0"/>
        <w:rPr>
          <w:sz w:val="20"/>
          <w:szCs w:val="20"/>
          <w:color w:val="auto"/>
        </w:rPr>
      </w:pPr>
      <w:r>
        <w:rPr>
          <w:rFonts w:ascii="Arial" w:cs="Arial" w:eastAsia="Arial" w:hAnsi="Arial"/>
          <w:sz w:val="11"/>
          <w:szCs w:val="11"/>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18415</wp:posOffset>
            </wp:positionV>
            <wp:extent cx="18796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13" w:lineRule="exact"/>
        <w:rPr>
          <w:sz w:val="20"/>
          <w:szCs w:val="20"/>
          <w:color w:val="auto"/>
        </w:rPr>
      </w:pPr>
    </w:p>
    <w:p>
      <w:pPr>
        <w:spacing w:after="0"/>
        <w:tabs>
          <w:tab w:leader="none" w:pos="1500" w:val="left"/>
        </w:tabs>
        <w:rPr>
          <w:sz w:val="20"/>
          <w:szCs w:val="20"/>
          <w:color w:val="auto"/>
        </w:rPr>
      </w:pPr>
      <w:r>
        <w:rPr>
          <w:rFonts w:ascii="Arial" w:cs="Arial" w:eastAsia="Arial" w:hAnsi="Arial"/>
          <w:sz w:val="9"/>
          <w:szCs w:val="9"/>
          <w:b w:val="1"/>
          <w:bCs w:val="1"/>
          <w:color w:val="auto"/>
        </w:rPr>
        <w:t>2022</w:t>
      </w:r>
      <w:r>
        <w:rPr>
          <w:sz w:val="20"/>
          <w:szCs w:val="20"/>
          <w:color w:val="auto"/>
        </w:rPr>
        <w:tab/>
      </w:r>
      <w:r>
        <w:rPr>
          <w:rFonts w:ascii="Arial" w:cs="Arial" w:eastAsia="Arial" w:hAnsi="Arial"/>
          <w:sz w:val="9"/>
          <w:szCs w:val="9"/>
          <w:b w:val="1"/>
          <w:bCs w:val="1"/>
          <w:color w:val="auto"/>
        </w:rPr>
        <w:t>2021</w:t>
      </w:r>
    </w:p>
    <w:p>
      <w:pPr>
        <w:spacing w:after="0" w:line="43" w:lineRule="exact"/>
        <w:rPr>
          <w:sz w:val="20"/>
          <w:szCs w:val="20"/>
          <w:color w:val="auto"/>
        </w:rPr>
      </w:pPr>
    </w:p>
    <w:p>
      <w:pPr>
        <w:sectPr>
          <w:pgSz w:w="11900" w:h="16838" w:orient="portrait"/>
          <w:cols w:equalWidth="0" w:num="2">
            <w:col w:w="8160" w:space="720"/>
            <w:col w:w="2360"/>
          </w:cols>
          <w:pgMar w:left="300" w:top="129" w:right="359" w:bottom="1440" w:gutter="0" w:footer="0" w:header="0"/>
          <w:type w:val="continuous"/>
        </w:sectPr>
      </w:pPr>
    </w:p>
    <w:tbl>
      <w:tblPr>
        <w:tblLayout w:type="fixed"/>
        <w:tblInd w:w="60" w:type="dxa"/>
        <w:tblCellMar>
          <w:top w:w="0" w:type="dxa"/>
          <w:left w:w="0" w:type="dxa"/>
          <w:bottom w:w="0" w:type="dxa"/>
          <w:right w:w="0" w:type="dxa"/>
        </w:tblCellMar>
      </w:tblPr>
      <w:tr>
        <w:trPr>
          <w:trHeight w:val="17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5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33,647</w:t>
            </w: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23,488</w:t>
            </w:r>
          </w:p>
        </w:tc>
        <w:tc>
          <w:tcPr>
            <w:tcW w:w="80" w:type="dxa"/>
            <w:vAlign w:val="bottom"/>
          </w:tcPr>
          <w:p>
            <w:pPr>
              <w:spacing w:after="0"/>
              <w:rPr>
                <w:sz w:val="15"/>
                <w:szCs w:val="15"/>
                <w:color w:val="auto"/>
              </w:rPr>
            </w:pP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56,204</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42,037</w:t>
            </w: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5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16,106</w:t>
            </w: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6,718</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28,219</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15,040</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Total operating expenses</w:t>
            </w: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49,753</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30,206</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84,423</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57,077</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(49,753)</w:t>
            </w: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(84,423)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(57,077)</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482</w:t>
            </w: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net</w:t>
            </w:r>
          </w:p>
        </w:tc>
        <w:tc>
          <w:tcPr>
            <w:tcW w:w="5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4"/>
                <w:szCs w:val="14"/>
                <w:color w:val="auto"/>
              </w:rPr>
              <w:t>Loss before income tax benefit</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(49,263)</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(30,143)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(83,799)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(56,938)</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240" w:type="dxa"/>
            <w:vAlign w:val="bottom"/>
          </w:tcPr>
          <w:p>
            <w:pPr>
              <w:ind w:left="20"/>
              <w:spacing w:after="0"/>
              <w:rPr>
                <w:sz w:val="20"/>
                <w:szCs w:val="20"/>
                <w:color w:val="auto"/>
              </w:rPr>
            </w:pPr>
            <w:r>
              <w:rPr>
                <w:rFonts w:ascii="Arial" w:cs="Arial" w:eastAsia="Arial" w:hAnsi="Arial"/>
                <w:sz w:val="14"/>
                <w:szCs w:val="14"/>
                <w:color w:val="auto"/>
              </w:rPr>
              <w:t>Net loss</w:t>
            </w: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(49,263)</w:t>
            </w: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(30,143)</w:t>
            </w:r>
          </w:p>
        </w:tc>
        <w:tc>
          <w:tcPr>
            <w:tcW w:w="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(83,799)</w:t>
            </w: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(56,938)</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(49,397)</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(30,142)</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(84,237)</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(56,938)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common share:</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 and diluted</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 and diluted</w:t>
            </w: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119,687</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93,409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119,223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93,382</w:t>
            </w: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IVERIC bio, Inc.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Unaudited Consolidated Statements of Stockholders' Equity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1220" w:type="dxa"/>
            <w:vAlign w:val="bottom"/>
            <w:gridSpan w:val="4"/>
            <w:vMerge w:val="restart"/>
          </w:tcPr>
          <w:p>
            <w:pPr>
              <w:jc w:val="right"/>
              <w:ind w:right="151"/>
              <w:spacing w:after="0"/>
              <w:rPr>
                <w:sz w:val="20"/>
                <w:szCs w:val="20"/>
                <w:color w:val="auto"/>
              </w:rPr>
            </w:pPr>
            <w:r>
              <w:rPr>
                <w:rFonts w:ascii="Arial" w:cs="Arial" w:eastAsia="Arial" w:hAnsi="Arial"/>
                <w:sz w:val="10"/>
                <w:szCs w:val="10"/>
                <w:b w:val="1"/>
                <w:bCs w:val="1"/>
                <w:color w:val="auto"/>
              </w:rPr>
              <w:t>Preferred Stock</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5"/>
            <w:vMerge w:val="restart"/>
          </w:tcPr>
          <w:p>
            <w:pPr>
              <w:ind w:left="340"/>
              <w:spacing w:after="0"/>
              <w:rPr>
                <w:sz w:val="20"/>
                <w:szCs w:val="20"/>
                <w:color w:val="auto"/>
              </w:rPr>
            </w:pPr>
            <w:r>
              <w:rPr>
                <w:rFonts w:ascii="Arial" w:cs="Arial" w:eastAsia="Arial" w:hAnsi="Arial"/>
                <w:sz w:val="10"/>
                <w:szCs w:val="10"/>
                <w:b w:val="1"/>
                <w:bCs w:val="1"/>
                <w:color w:val="auto"/>
              </w:rPr>
              <w:t>Common Stock</w:t>
            </w:r>
          </w:p>
        </w:tc>
        <w:tc>
          <w:tcPr>
            <w:tcW w:w="12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89"/>
              </w:rPr>
              <w:t>Additional</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Accumulated</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40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tcPr>
          <w:p>
            <w:pPr>
              <w:jc w:val="center"/>
              <w:ind w:right="200"/>
              <w:spacing w:after="0" w:line="96" w:lineRule="exact"/>
              <w:rPr>
                <w:sz w:val="20"/>
                <w:szCs w:val="20"/>
                <w:color w:val="auto"/>
              </w:rPr>
            </w:pPr>
            <w:r>
              <w:rPr>
                <w:rFonts w:ascii="Arial" w:cs="Arial" w:eastAsia="Arial" w:hAnsi="Arial"/>
                <w:sz w:val="10"/>
                <w:szCs w:val="10"/>
                <w:b w:val="1"/>
                <w:bCs w:val="1"/>
                <w:color w:val="auto"/>
                <w:w w:val="97"/>
              </w:rPr>
              <w:t>Other</w:t>
            </w: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center"/>
              <w:ind w:right="220"/>
              <w:spacing w:after="0" w:line="96" w:lineRule="exact"/>
              <w:rPr>
                <w:sz w:val="20"/>
                <w:szCs w:val="20"/>
                <w:color w:val="auto"/>
              </w:rPr>
            </w:pPr>
            <w:r>
              <w:rPr>
                <w:rFonts w:ascii="Arial" w:cs="Arial" w:eastAsia="Arial" w:hAnsi="Arial"/>
                <w:sz w:val="10"/>
                <w:szCs w:val="10"/>
                <w:b w:val="1"/>
                <w:bCs w:val="1"/>
                <w:color w:val="auto"/>
                <w:w w:val="91"/>
              </w:rPr>
              <w:t>paid-in</w:t>
            </w:r>
          </w:p>
        </w:tc>
        <w:tc>
          <w:tcPr>
            <w:tcW w:w="140" w:type="dxa"/>
            <w:vAlign w:val="bottom"/>
          </w:tcPr>
          <w:p>
            <w:pPr>
              <w:spacing w:after="0" w:line="20" w:lineRule="exact"/>
              <w:rPr>
                <w:sz w:val="1"/>
                <w:szCs w:val="1"/>
                <w:color w:val="auto"/>
              </w:rPr>
            </w:pPr>
          </w:p>
        </w:tc>
        <w:tc>
          <w:tcPr>
            <w:tcW w:w="940" w:type="dxa"/>
            <w:vAlign w:val="bottom"/>
            <w:gridSpan w:val="2"/>
            <w:vMerge w:val="restart"/>
          </w:tcPr>
          <w:p>
            <w:pPr>
              <w:jc w:val="center"/>
              <w:ind w:right="220"/>
              <w:spacing w:after="0" w:line="96" w:lineRule="exact"/>
              <w:rPr>
                <w:sz w:val="20"/>
                <w:szCs w:val="20"/>
                <w:color w:val="auto"/>
              </w:rPr>
            </w:pPr>
            <w:r>
              <w:rPr>
                <w:rFonts w:ascii="Arial" w:cs="Arial" w:eastAsia="Arial" w:hAnsi="Arial"/>
                <w:sz w:val="10"/>
                <w:szCs w:val="10"/>
                <w:b w:val="1"/>
                <w:bCs w:val="1"/>
                <w:color w:val="auto"/>
                <w:w w:val="89"/>
              </w:rPr>
              <w:t>Accumulated</w:t>
            </w:r>
          </w:p>
        </w:tc>
        <w:tc>
          <w:tcPr>
            <w:tcW w:w="140" w:type="dxa"/>
            <w:vAlign w:val="bottom"/>
          </w:tcPr>
          <w:p>
            <w:pPr>
              <w:spacing w:after="0" w:line="20" w:lineRule="exact"/>
              <w:rPr>
                <w:sz w:val="1"/>
                <w:szCs w:val="1"/>
                <w:color w:val="auto"/>
              </w:rPr>
            </w:pPr>
          </w:p>
        </w:tc>
        <w:tc>
          <w:tcPr>
            <w:tcW w:w="1020" w:type="dxa"/>
            <w:vAlign w:val="bottom"/>
            <w:gridSpan w:val="2"/>
            <w:vMerge w:val="restart"/>
          </w:tcPr>
          <w:p>
            <w:pPr>
              <w:jc w:val="center"/>
              <w:ind w:right="200"/>
              <w:spacing w:after="0" w:line="96" w:lineRule="exact"/>
              <w:rPr>
                <w:sz w:val="20"/>
                <w:szCs w:val="20"/>
                <w:color w:val="auto"/>
              </w:rPr>
            </w:pPr>
            <w:r>
              <w:rPr>
                <w:rFonts w:ascii="Arial" w:cs="Arial" w:eastAsia="Arial" w:hAnsi="Arial"/>
                <w:sz w:val="10"/>
                <w:szCs w:val="10"/>
                <w:b w:val="1"/>
                <w:bCs w:val="1"/>
                <w:color w:val="auto"/>
                <w:w w:val="87"/>
              </w:rPr>
              <w:t>Comprehensive</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480" w:type="dxa"/>
            <w:vAlign w:val="bottom"/>
            <w:vMerge w:val="restart"/>
          </w:tcPr>
          <w:p>
            <w:pPr>
              <w:ind w:left="180"/>
              <w:spacing w:after="0"/>
              <w:rPr>
                <w:sz w:val="20"/>
                <w:szCs w:val="20"/>
                <w:color w:val="auto"/>
              </w:rPr>
            </w:pPr>
            <w:r>
              <w:rPr>
                <w:rFonts w:ascii="Arial" w:cs="Arial" w:eastAsia="Arial" w:hAnsi="Arial"/>
                <w:sz w:val="10"/>
                <w:szCs w:val="10"/>
                <w:b w:val="1"/>
                <w:bCs w:val="1"/>
                <w:color w:val="auto"/>
                <w:w w:val="83"/>
              </w:rPr>
              <w:t>Shares</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4"/>
                <w:szCs w:val="4"/>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vMerge w:val="restart"/>
          </w:tcPr>
          <w:p>
            <w:pPr>
              <w:jc w:val="right"/>
              <w:ind w:right="25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2"/>
        </w:trPr>
        <w:tc>
          <w:tcPr>
            <w:tcW w:w="44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capital</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Deficit</w:t>
            </w:r>
          </w:p>
        </w:tc>
        <w:tc>
          <w:tcPr>
            <w:tcW w:w="14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Income (Loss)</w:t>
            </w: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2021</w:t>
            </w: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115,277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1,040,098</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(679,595)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360,528</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Issuance of common stock under employee stock compensation plans</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697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2,079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2,080</w:t>
            </w:r>
          </w:p>
        </w:tc>
        <w:tc>
          <w:tcPr>
            <w:tcW w:w="0" w:type="dxa"/>
            <w:vAlign w:val="bottom"/>
          </w:tcPr>
          <w:p>
            <w:pPr>
              <w:spacing w:after="0"/>
              <w:rPr>
                <w:sz w:val="1"/>
                <w:szCs w:val="1"/>
                <w:color w:val="auto"/>
              </w:rPr>
            </w:pPr>
          </w:p>
        </w:tc>
      </w:tr>
      <w:tr>
        <w:trPr>
          <w:trHeight w:val="14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Share-based compensation</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5,386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5,386</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Net loss</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(34,536)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(34,536)</w:t>
            </w:r>
          </w:p>
        </w:tc>
        <w:tc>
          <w:tcPr>
            <w:tcW w:w="0" w:type="dxa"/>
            <w:vAlign w:val="bottom"/>
          </w:tcPr>
          <w:p>
            <w:pPr>
              <w:spacing w:after="0"/>
              <w:rPr>
                <w:sz w:val="1"/>
                <w:szCs w:val="1"/>
                <w:color w:val="auto"/>
              </w:rPr>
            </w:pPr>
          </w:p>
        </w:tc>
      </w:tr>
      <w:tr>
        <w:trPr>
          <w:trHeight w:val="145"/>
        </w:trPr>
        <w:tc>
          <w:tcPr>
            <w:tcW w:w="4400" w:type="dxa"/>
            <w:vAlign w:val="bottom"/>
            <w:shd w:val="clear" w:color="auto" w:fill="CCEEFF"/>
          </w:tcPr>
          <w:p>
            <w:pPr>
              <w:ind w:left="20"/>
              <w:spacing w:after="0"/>
              <w:rPr>
                <w:sz w:val="20"/>
                <w:szCs w:val="20"/>
                <w:color w:val="auto"/>
              </w:rPr>
            </w:pPr>
            <w:r>
              <w:rPr>
                <w:rFonts w:ascii="Arial" w:cs="Arial" w:eastAsia="Arial" w:hAnsi="Arial"/>
                <w:sz w:val="10"/>
                <w:szCs w:val="10"/>
                <w:color w:val="auto"/>
              </w:rPr>
              <w:t>Unrealized loss on available for sale securities, net of tax</w:t>
            </w:r>
          </w:p>
        </w:tc>
        <w:tc>
          <w:tcPr>
            <w:tcW w:w="4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(304)</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(304)</w:t>
            </w:r>
          </w:p>
        </w:tc>
        <w:tc>
          <w:tcPr>
            <w:tcW w:w="0" w:type="dxa"/>
            <w:vAlign w:val="bottom"/>
          </w:tcPr>
          <w:p>
            <w:pPr>
              <w:spacing w:after="0"/>
              <w:rPr>
                <w:sz w:val="1"/>
                <w:szCs w:val="1"/>
                <w:color w:val="auto"/>
              </w:rPr>
            </w:pPr>
          </w:p>
        </w:tc>
      </w:tr>
      <w:tr>
        <w:trPr>
          <w:trHeight w:val="129"/>
        </w:trPr>
        <w:tc>
          <w:tcPr>
            <w:tcW w:w="488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at March 31, 2022</w:t>
            </w: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115,974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116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1,047,563</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(714,131)</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(394)</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333,154</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400" w:type="dxa"/>
            <w:vAlign w:val="bottom"/>
            <w:shd w:val="clear" w:color="auto" w:fill="CCEEFF"/>
          </w:tcPr>
          <w:p>
            <w:pPr>
              <w:ind w:left="20"/>
              <w:spacing w:after="0" w:line="106" w:lineRule="exact"/>
              <w:rPr>
                <w:sz w:val="20"/>
                <w:szCs w:val="20"/>
                <w:color w:val="auto"/>
              </w:rPr>
            </w:pPr>
            <w:r>
              <w:rPr>
                <w:rFonts w:ascii="Arial" w:cs="Arial" w:eastAsia="Arial" w:hAnsi="Arial"/>
                <w:sz w:val="10"/>
                <w:szCs w:val="10"/>
                <w:color w:val="auto"/>
              </w:rPr>
              <w:t>Issuance of common stock under employee stock compensation plans</w:t>
            </w: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2,801</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Share-based compensation</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6,388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6,388</w:t>
            </w:r>
          </w:p>
        </w:tc>
        <w:tc>
          <w:tcPr>
            <w:tcW w:w="0" w:type="dxa"/>
            <w:vAlign w:val="bottom"/>
          </w:tcPr>
          <w:p>
            <w:pPr>
              <w:spacing w:after="0"/>
              <w:rPr>
                <w:sz w:val="1"/>
                <w:szCs w:val="1"/>
                <w:color w:val="auto"/>
              </w:rPr>
            </w:pPr>
          </w:p>
        </w:tc>
      </w:tr>
      <w:tr>
        <w:trPr>
          <w:trHeight w:val="14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(49,263)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(49,263)</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Unrealized loss on available for sale securities, net of tax</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(134)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(134)</w:t>
            </w:r>
          </w:p>
        </w:tc>
        <w:tc>
          <w:tcPr>
            <w:tcW w:w="0" w:type="dxa"/>
            <w:vAlign w:val="bottom"/>
          </w:tcPr>
          <w:p>
            <w:pPr>
              <w:spacing w:after="0"/>
              <w:rPr>
                <w:sz w:val="1"/>
                <w:szCs w:val="1"/>
                <w:color w:val="auto"/>
              </w:rPr>
            </w:pPr>
          </w:p>
        </w:tc>
      </w:tr>
      <w:tr>
        <w:trPr>
          <w:trHeight w:val="139"/>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June 30, 2022</w:t>
            </w:r>
          </w:p>
        </w:tc>
        <w:tc>
          <w:tcPr>
            <w:tcW w:w="48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116,874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1,056,751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(763,394)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292,946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00" w:type="dxa"/>
            <w:vAlign w:val="bottom"/>
          </w:tcPr>
          <w:p>
            <w:pPr>
              <w:spacing w:after="0"/>
              <w:rPr>
                <w:sz w:val="17"/>
                <w:szCs w:val="17"/>
                <w:color w:val="auto"/>
              </w:rPr>
            </w:pPr>
          </w:p>
        </w:tc>
        <w:tc>
          <w:tcPr>
            <w:tcW w:w="1220" w:type="dxa"/>
            <w:vAlign w:val="bottom"/>
            <w:gridSpan w:val="4"/>
            <w:vMerge w:val="restart"/>
          </w:tcPr>
          <w:p>
            <w:pPr>
              <w:jc w:val="right"/>
              <w:ind w:right="151"/>
              <w:spacing w:after="0"/>
              <w:rPr>
                <w:sz w:val="20"/>
                <w:szCs w:val="20"/>
                <w:color w:val="auto"/>
              </w:rPr>
            </w:pPr>
            <w:r>
              <w:rPr>
                <w:rFonts w:ascii="Arial" w:cs="Arial" w:eastAsia="Arial" w:hAnsi="Arial"/>
                <w:sz w:val="10"/>
                <w:szCs w:val="10"/>
                <w:b w:val="1"/>
                <w:bCs w:val="1"/>
                <w:color w:val="auto"/>
              </w:rPr>
              <w:t>Preferred Stock</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5"/>
            <w:vMerge w:val="restart"/>
          </w:tcPr>
          <w:p>
            <w:pPr>
              <w:ind w:left="340"/>
              <w:spacing w:after="0"/>
              <w:rPr>
                <w:sz w:val="20"/>
                <w:szCs w:val="20"/>
                <w:color w:val="auto"/>
              </w:rPr>
            </w:pPr>
            <w:r>
              <w:rPr>
                <w:rFonts w:ascii="Arial" w:cs="Arial" w:eastAsia="Arial" w:hAnsi="Arial"/>
                <w:sz w:val="10"/>
                <w:szCs w:val="10"/>
                <w:b w:val="1"/>
                <w:bCs w:val="1"/>
                <w:color w:val="auto"/>
              </w:rPr>
              <w:t>Common Stock</w:t>
            </w:r>
          </w:p>
        </w:tc>
        <w:tc>
          <w:tcPr>
            <w:tcW w:w="120" w:type="dxa"/>
            <w:vAlign w:val="bottom"/>
          </w:tcPr>
          <w:p>
            <w:pPr>
              <w:spacing w:after="0"/>
              <w:rPr>
                <w:sz w:val="17"/>
                <w:szCs w:val="17"/>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89"/>
              </w:rPr>
              <w:t>Additional</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Accumulated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40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tcPr>
          <w:p>
            <w:pPr>
              <w:jc w:val="center"/>
              <w:ind w:right="200"/>
              <w:spacing w:after="0" w:line="96" w:lineRule="exact"/>
              <w:rPr>
                <w:sz w:val="20"/>
                <w:szCs w:val="20"/>
                <w:color w:val="auto"/>
              </w:rPr>
            </w:pPr>
            <w:r>
              <w:rPr>
                <w:rFonts w:ascii="Arial" w:cs="Arial" w:eastAsia="Arial" w:hAnsi="Arial"/>
                <w:sz w:val="10"/>
                <w:szCs w:val="10"/>
                <w:b w:val="1"/>
                <w:bCs w:val="1"/>
                <w:color w:val="auto"/>
                <w:w w:val="97"/>
              </w:rPr>
              <w:t>Other</w:t>
            </w: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restart"/>
          </w:tcPr>
          <w:p>
            <w:pPr>
              <w:jc w:val="center"/>
              <w:ind w:right="220"/>
              <w:spacing w:after="0" w:line="96" w:lineRule="exact"/>
              <w:rPr>
                <w:sz w:val="20"/>
                <w:szCs w:val="20"/>
                <w:color w:val="auto"/>
              </w:rPr>
            </w:pPr>
            <w:r>
              <w:rPr>
                <w:rFonts w:ascii="Arial" w:cs="Arial" w:eastAsia="Arial" w:hAnsi="Arial"/>
                <w:sz w:val="10"/>
                <w:szCs w:val="10"/>
                <w:b w:val="1"/>
                <w:bCs w:val="1"/>
                <w:color w:val="auto"/>
                <w:w w:val="91"/>
              </w:rPr>
              <w:t>paid-in</w:t>
            </w:r>
          </w:p>
        </w:tc>
        <w:tc>
          <w:tcPr>
            <w:tcW w:w="140" w:type="dxa"/>
            <w:vAlign w:val="bottom"/>
          </w:tcPr>
          <w:p>
            <w:pPr>
              <w:spacing w:after="0" w:line="20" w:lineRule="exact"/>
              <w:rPr>
                <w:sz w:val="1"/>
                <w:szCs w:val="1"/>
                <w:color w:val="auto"/>
              </w:rPr>
            </w:pPr>
          </w:p>
        </w:tc>
        <w:tc>
          <w:tcPr>
            <w:tcW w:w="940" w:type="dxa"/>
            <w:vAlign w:val="bottom"/>
            <w:gridSpan w:val="2"/>
            <w:vMerge w:val="restart"/>
          </w:tcPr>
          <w:p>
            <w:pPr>
              <w:jc w:val="center"/>
              <w:ind w:right="220"/>
              <w:spacing w:after="0" w:line="96" w:lineRule="exact"/>
              <w:rPr>
                <w:sz w:val="20"/>
                <w:szCs w:val="20"/>
                <w:color w:val="auto"/>
              </w:rPr>
            </w:pPr>
            <w:r>
              <w:rPr>
                <w:rFonts w:ascii="Arial" w:cs="Arial" w:eastAsia="Arial" w:hAnsi="Arial"/>
                <w:sz w:val="10"/>
                <w:szCs w:val="10"/>
                <w:b w:val="1"/>
                <w:bCs w:val="1"/>
                <w:color w:val="auto"/>
                <w:w w:val="89"/>
              </w:rPr>
              <w:t>Accumulated</w:t>
            </w:r>
          </w:p>
        </w:tc>
        <w:tc>
          <w:tcPr>
            <w:tcW w:w="140" w:type="dxa"/>
            <w:vAlign w:val="bottom"/>
          </w:tcPr>
          <w:p>
            <w:pPr>
              <w:spacing w:after="0" w:line="20" w:lineRule="exact"/>
              <w:rPr>
                <w:sz w:val="1"/>
                <w:szCs w:val="1"/>
                <w:color w:val="auto"/>
              </w:rPr>
            </w:pPr>
          </w:p>
        </w:tc>
        <w:tc>
          <w:tcPr>
            <w:tcW w:w="1020" w:type="dxa"/>
            <w:vAlign w:val="bottom"/>
            <w:gridSpan w:val="2"/>
            <w:vMerge w:val="restart"/>
          </w:tcPr>
          <w:p>
            <w:pPr>
              <w:jc w:val="center"/>
              <w:ind w:right="200"/>
              <w:spacing w:after="0" w:line="96" w:lineRule="exact"/>
              <w:rPr>
                <w:sz w:val="20"/>
                <w:szCs w:val="20"/>
                <w:color w:val="auto"/>
              </w:rPr>
            </w:pPr>
            <w:r>
              <w:rPr>
                <w:rFonts w:ascii="Arial" w:cs="Arial" w:eastAsia="Arial" w:hAnsi="Arial"/>
                <w:sz w:val="10"/>
                <w:szCs w:val="10"/>
                <w:b w:val="1"/>
                <w:bCs w:val="1"/>
                <w:color w:val="auto"/>
                <w:w w:val="87"/>
              </w:rPr>
              <w:t>Comprehensive</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480" w:type="dxa"/>
            <w:vAlign w:val="bottom"/>
            <w:vMerge w:val="restart"/>
          </w:tcPr>
          <w:p>
            <w:pPr>
              <w:ind w:left="180"/>
              <w:spacing w:after="0"/>
              <w:rPr>
                <w:sz w:val="20"/>
                <w:szCs w:val="20"/>
                <w:color w:val="auto"/>
              </w:rPr>
            </w:pPr>
            <w:r>
              <w:rPr>
                <w:rFonts w:ascii="Arial" w:cs="Arial" w:eastAsia="Arial" w:hAnsi="Arial"/>
                <w:sz w:val="10"/>
                <w:szCs w:val="10"/>
                <w:b w:val="1"/>
                <w:bCs w:val="1"/>
                <w:color w:val="auto"/>
                <w:w w:val="83"/>
              </w:rPr>
              <w:t>Shares</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4"/>
                <w:szCs w:val="4"/>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vMerge w:val="restart"/>
          </w:tcPr>
          <w:p>
            <w:pPr>
              <w:jc w:val="right"/>
              <w:ind w:right="25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2"/>
        </w:trPr>
        <w:tc>
          <w:tcPr>
            <w:tcW w:w="44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capital</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Deficit</w:t>
            </w:r>
          </w:p>
        </w:tc>
        <w:tc>
          <w:tcPr>
            <w:tcW w:w="14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Income (Loss)</w:t>
            </w: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2020</w:t>
            </w: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90,121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756,543</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(565,073)</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191,563</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Issuance of common stock under employee stock compensation plans</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129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129</w:t>
            </w:r>
          </w:p>
        </w:tc>
        <w:tc>
          <w:tcPr>
            <w:tcW w:w="0" w:type="dxa"/>
            <w:vAlign w:val="bottom"/>
          </w:tcPr>
          <w:p>
            <w:pPr>
              <w:spacing w:after="0"/>
              <w:rPr>
                <w:sz w:val="1"/>
                <w:szCs w:val="1"/>
                <w:color w:val="auto"/>
              </w:rPr>
            </w:pPr>
          </w:p>
        </w:tc>
      </w:tr>
      <w:tr>
        <w:trPr>
          <w:trHeight w:val="14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Share-based compensation</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2,292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2,292</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Net loss</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(26,795)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(26,795)</w:t>
            </w:r>
          </w:p>
        </w:tc>
        <w:tc>
          <w:tcPr>
            <w:tcW w:w="0" w:type="dxa"/>
            <w:vAlign w:val="bottom"/>
          </w:tcPr>
          <w:p>
            <w:pPr>
              <w:spacing w:after="0"/>
              <w:rPr>
                <w:sz w:val="1"/>
                <w:szCs w:val="1"/>
                <w:color w:val="auto"/>
              </w:rPr>
            </w:pPr>
          </w:p>
        </w:tc>
      </w:tr>
      <w:tr>
        <w:trPr>
          <w:trHeight w:val="145"/>
        </w:trPr>
        <w:tc>
          <w:tcPr>
            <w:tcW w:w="4400" w:type="dxa"/>
            <w:vAlign w:val="bottom"/>
            <w:shd w:val="clear" w:color="auto" w:fill="CCEEFF"/>
          </w:tcPr>
          <w:p>
            <w:pPr>
              <w:ind w:left="20"/>
              <w:spacing w:after="0"/>
              <w:rPr>
                <w:sz w:val="20"/>
                <w:szCs w:val="20"/>
                <w:color w:val="auto"/>
              </w:rPr>
            </w:pPr>
            <w:r>
              <w:rPr>
                <w:rFonts w:ascii="Arial" w:cs="Arial" w:eastAsia="Arial" w:hAnsi="Arial"/>
                <w:sz w:val="10"/>
                <w:szCs w:val="10"/>
                <w:color w:val="auto"/>
              </w:rPr>
              <w:t>Unrealized loss on available for sale securities, net of tax</w:t>
            </w:r>
          </w:p>
        </w:tc>
        <w:tc>
          <w:tcPr>
            <w:tcW w:w="4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9"/>
        </w:trPr>
        <w:tc>
          <w:tcPr>
            <w:tcW w:w="488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at March 31, 2021</w:t>
            </w: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0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90,170</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90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758,964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(591,868)</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167,188</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400" w:type="dxa"/>
            <w:vAlign w:val="bottom"/>
            <w:shd w:val="clear" w:color="auto" w:fill="CCEEFF"/>
          </w:tcPr>
          <w:p>
            <w:pPr>
              <w:ind w:left="20"/>
              <w:spacing w:after="0" w:line="106" w:lineRule="exact"/>
              <w:rPr>
                <w:sz w:val="20"/>
                <w:szCs w:val="20"/>
                <w:color w:val="auto"/>
              </w:rPr>
            </w:pPr>
            <w:r>
              <w:rPr>
                <w:rFonts w:ascii="Arial" w:cs="Arial" w:eastAsia="Arial" w:hAnsi="Arial"/>
                <w:sz w:val="10"/>
                <w:szCs w:val="10"/>
                <w:color w:val="auto"/>
              </w:rPr>
              <w:t>Issuance of common stock under employee stock compensation plans</w:t>
            </w: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448</w:t>
            </w:r>
          </w:p>
        </w:tc>
        <w:tc>
          <w:tcPr>
            <w:tcW w:w="0" w:type="dxa"/>
            <w:vAlign w:val="bottom"/>
          </w:tcPr>
          <w:p>
            <w:pPr>
              <w:spacing w:after="0"/>
              <w:rPr>
                <w:sz w:val="1"/>
                <w:szCs w:val="1"/>
                <w:color w:val="auto"/>
              </w:rPr>
            </w:pPr>
          </w:p>
        </w:tc>
      </w:tr>
      <w:tr>
        <w:trPr>
          <w:trHeight w:val="131"/>
        </w:trPr>
        <w:tc>
          <w:tcPr>
            <w:tcW w:w="4880" w:type="dxa"/>
            <w:vAlign w:val="bottom"/>
            <w:gridSpan w:val="2"/>
          </w:tcPr>
          <w:p>
            <w:pPr>
              <w:ind w:left="20"/>
              <w:spacing w:after="0"/>
              <w:rPr>
                <w:sz w:val="20"/>
                <w:szCs w:val="20"/>
                <w:color w:val="auto"/>
              </w:rPr>
            </w:pPr>
            <w:r>
              <w:rPr>
                <w:rFonts w:ascii="Arial" w:cs="Arial" w:eastAsia="Arial" w:hAnsi="Arial"/>
                <w:sz w:val="10"/>
                <w:szCs w:val="10"/>
                <w:color w:val="auto"/>
              </w:rPr>
              <w:t>Share-based compensation</w:t>
            </w:r>
          </w:p>
        </w:tc>
        <w:tc>
          <w:tcPr>
            <w:tcW w:w="24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2,079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2,079</w:t>
            </w:r>
          </w:p>
        </w:tc>
        <w:tc>
          <w:tcPr>
            <w:tcW w:w="0" w:type="dxa"/>
            <w:vAlign w:val="bottom"/>
          </w:tcPr>
          <w:p>
            <w:pPr>
              <w:spacing w:after="0"/>
              <w:rPr>
                <w:sz w:val="1"/>
                <w:szCs w:val="1"/>
                <w:color w:val="auto"/>
              </w:rPr>
            </w:pPr>
          </w:p>
        </w:tc>
      </w:tr>
      <w:tr>
        <w:trPr>
          <w:trHeight w:val="14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(30,143)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(30,143)</w:t>
            </w:r>
          </w:p>
        </w:tc>
        <w:tc>
          <w:tcPr>
            <w:tcW w:w="0" w:type="dxa"/>
            <w:vAlign w:val="bottom"/>
          </w:tcPr>
          <w:p>
            <w:pPr>
              <w:spacing w:after="0"/>
              <w:rPr>
                <w:sz w:val="1"/>
                <w:szCs w:val="1"/>
                <w:color w:val="auto"/>
              </w:rPr>
            </w:pPr>
          </w:p>
        </w:tc>
      </w:tr>
      <w:tr>
        <w:trPr>
          <w:trHeight w:val="131"/>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Unrealized loss on available for sale securities, net of tax</w:t>
            </w: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ind w:left="7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5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Balance at June 30, 2021</w:t>
            </w:r>
          </w:p>
        </w:tc>
        <w:tc>
          <w:tcPr>
            <w:tcW w:w="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90,387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761,491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(622,011)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139,573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unaudited notes are an integral part of these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IVERIC bio, Inc.</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Unaudited Consolidated Statements of Cash Flows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55" w:lineRule="exact"/>
        <w:rPr>
          <w:sz w:val="20"/>
          <w:szCs w:val="20"/>
          <w:color w:val="auto"/>
        </w:rPr>
      </w:pPr>
    </w:p>
    <w:p>
      <w:pPr>
        <w:ind w:left="9180"/>
        <w:spacing w:after="0"/>
        <w:rPr>
          <w:sz w:val="20"/>
          <w:szCs w:val="20"/>
          <w:color w:val="auto"/>
        </w:rPr>
      </w:pPr>
      <w:r>
        <w:rPr>
          <w:rFonts w:ascii="Arial" w:cs="Arial" w:eastAsia="Arial" w:hAnsi="Arial"/>
          <w:sz w:val="11"/>
          <w:szCs w:val="11"/>
          <w:b w:val="1"/>
          <w:bCs w:val="1"/>
          <w:color w:val="auto"/>
        </w:rPr>
        <w:t>Six Months Ended June 30,</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32"/>
        </w:trPr>
        <w:tc>
          <w:tcPr>
            <w:tcW w:w="838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5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0"/>
                <w:szCs w:val="10"/>
                <w:b w:val="1"/>
                <w:bCs w:val="1"/>
                <w:color w:val="auto"/>
              </w:rPr>
              <w:t>2021</w:t>
            </w:r>
          </w:p>
        </w:tc>
      </w:tr>
      <w:tr>
        <w:trPr>
          <w:trHeight w:val="176"/>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8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ind w:right="634"/>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(83,799)</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(56,938)</w:t>
            </w:r>
          </w:p>
        </w:tc>
      </w:tr>
      <w:tr>
        <w:trPr>
          <w:trHeight w:val="181"/>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8380" w:type="dxa"/>
            <w:vAlign w:val="bottom"/>
          </w:tcPr>
          <w:p>
            <w:pPr>
              <w:ind w:left="120"/>
              <w:spacing w:after="0"/>
              <w:rPr>
                <w:sz w:val="20"/>
                <w:szCs w:val="20"/>
                <w:color w:val="auto"/>
              </w:rPr>
            </w:pPr>
            <w:r>
              <w:rPr>
                <w:rFonts w:ascii="Arial" w:cs="Arial" w:eastAsia="Arial" w:hAnsi="Arial"/>
                <w:sz w:val="14"/>
                <w:szCs w:val="14"/>
                <w:color w:val="auto"/>
              </w:rPr>
              <w:t>Depreciation and other expense</w:t>
            </w: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1"/>
        </w:trPr>
        <w:tc>
          <w:tcPr>
            <w:tcW w:w="8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premium and discounts on investment securities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r>
      <w:tr>
        <w:trPr>
          <w:trHeight w:val="180"/>
        </w:trPr>
        <w:tc>
          <w:tcPr>
            <w:tcW w:w="838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11,774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4,371</w:t>
            </w:r>
          </w:p>
        </w:tc>
      </w:tr>
      <w:tr>
        <w:trPr>
          <w:trHeight w:val="181"/>
        </w:trPr>
        <w:tc>
          <w:tcPr>
            <w:tcW w:w="8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8380" w:type="dxa"/>
            <w:vAlign w:val="bottom"/>
          </w:tcPr>
          <w:p>
            <w:pPr>
              <w:ind w:left="180"/>
              <w:spacing w:after="0"/>
              <w:rPr>
                <w:sz w:val="20"/>
                <w:szCs w:val="20"/>
                <w:color w:val="auto"/>
              </w:rPr>
            </w:pPr>
            <w:r>
              <w:rPr>
                <w:rFonts w:ascii="Arial" w:cs="Arial" w:eastAsia="Arial" w:hAnsi="Arial"/>
                <w:sz w:val="14"/>
                <w:szCs w:val="14"/>
                <w:color w:val="auto"/>
              </w:rPr>
              <w:t>Income tax receivable</w:t>
            </w:r>
          </w:p>
        </w:tc>
        <w:tc>
          <w:tcPr>
            <w:tcW w:w="8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1,765</w:t>
            </w:r>
          </w:p>
        </w:tc>
      </w:tr>
      <w:tr>
        <w:trPr>
          <w:trHeight w:val="181"/>
        </w:trPr>
        <w:tc>
          <w:tcPr>
            <w:tcW w:w="8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 and other assets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r>
      <w:tr>
        <w:trPr>
          <w:trHeight w:val="180"/>
        </w:trPr>
        <w:tc>
          <w:tcPr>
            <w:tcW w:w="8380" w:type="dxa"/>
            <w:vAlign w:val="bottom"/>
          </w:tcPr>
          <w:p>
            <w:pPr>
              <w:ind w:left="180"/>
              <w:spacing w:after="0"/>
              <w:rPr>
                <w:sz w:val="20"/>
                <w:szCs w:val="20"/>
                <w:color w:val="auto"/>
              </w:rPr>
            </w:pPr>
            <w:r>
              <w:rPr>
                <w:rFonts w:ascii="Arial" w:cs="Arial" w:eastAsia="Arial" w:hAnsi="Arial"/>
                <w:sz w:val="14"/>
                <w:szCs w:val="14"/>
                <w:color w:val="auto"/>
              </w:rPr>
              <w:t>Accrued interest receivable</w:t>
            </w: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81"/>
        </w:trPr>
        <w:tc>
          <w:tcPr>
            <w:tcW w:w="8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research and development expenses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3,128</w:t>
            </w:r>
          </w:p>
        </w:tc>
      </w:tr>
      <w:tr>
        <w:trPr>
          <w:trHeight w:val="180"/>
        </w:trPr>
        <w:tc>
          <w:tcPr>
            <w:tcW w:w="8380" w:type="dxa"/>
            <w:vAlign w:val="bottom"/>
          </w:tcPr>
          <w:p>
            <w:pPr>
              <w:ind w:left="180"/>
              <w:spacing w:after="0"/>
              <w:rPr>
                <w:sz w:val="20"/>
                <w:szCs w:val="20"/>
                <w:color w:val="auto"/>
              </w:rPr>
            </w:pPr>
            <w:r>
              <w:rPr>
                <w:rFonts w:ascii="Arial" w:cs="Arial" w:eastAsia="Arial" w:hAnsi="Arial"/>
                <w:sz w:val="14"/>
                <w:szCs w:val="14"/>
                <w:color w:val="auto"/>
              </w:rPr>
              <w:t>Accounts payable and accrued expenses</w:t>
            </w: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(4,149)</w:t>
            </w:r>
          </w:p>
        </w:tc>
      </w:tr>
      <w:tr>
        <w:trPr>
          <w:trHeight w:val="181"/>
        </w:trPr>
        <w:tc>
          <w:tcPr>
            <w:tcW w:w="8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working capital</w:t>
            </w:r>
          </w:p>
        </w:tc>
        <w:tc>
          <w:tcPr>
            <w:tcW w:w="8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71"/>
        </w:trPr>
        <w:tc>
          <w:tcPr>
            <w:tcW w:w="83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used in operating activities</w:t>
            </w: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(49,908)</w:t>
            </w:r>
          </w:p>
        </w:tc>
      </w:tr>
      <w:tr>
        <w:trPr>
          <w:trHeight w:val="171"/>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8380" w:type="dxa"/>
            <w:vAlign w:val="bottom"/>
          </w:tcPr>
          <w:p>
            <w:pPr>
              <w:ind w:left="20"/>
              <w:spacing w:after="0"/>
              <w:rPr>
                <w:sz w:val="20"/>
                <w:szCs w:val="20"/>
                <w:color w:val="auto"/>
              </w:rPr>
            </w:pPr>
            <w:r>
              <w:rPr>
                <w:rFonts w:ascii="Arial" w:cs="Arial" w:eastAsia="Arial" w:hAnsi="Arial"/>
                <w:sz w:val="14"/>
                <w:szCs w:val="14"/>
                <w:color w:val="auto"/>
              </w:rPr>
              <w:t>Purchase of marketable securities</w:t>
            </w:r>
          </w:p>
        </w:tc>
        <w:tc>
          <w:tcPr>
            <w:tcW w:w="8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(96,498)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(39,314)</w:t>
            </w:r>
          </w:p>
        </w:tc>
      </w:tr>
      <w:tr>
        <w:trPr>
          <w:trHeight w:val="181"/>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8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Maturities of marketable securities</w:t>
            </w:r>
          </w:p>
        </w:tc>
        <w:tc>
          <w:tcPr>
            <w:tcW w:w="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44,915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72,635</w:t>
            </w:r>
          </w:p>
        </w:tc>
      </w:tr>
      <w:tr>
        <w:trPr>
          <w:trHeight w:val="171"/>
        </w:trPr>
        <w:tc>
          <w:tcPr>
            <w:tcW w:w="8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used in investing activities</w:t>
            </w:r>
          </w:p>
        </w:tc>
        <w:tc>
          <w:tcPr>
            <w:tcW w:w="8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(51,794)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33,321</w:t>
            </w:r>
          </w:p>
        </w:tc>
      </w:tr>
      <w:tr>
        <w:trPr>
          <w:trHeight w:val="171"/>
        </w:trPr>
        <w:tc>
          <w:tcPr>
            <w:tcW w:w="83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1"/>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employee stock plan purchases</w:t>
            </w:r>
          </w:p>
        </w:tc>
        <w:tc>
          <w:tcPr>
            <w:tcW w:w="8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w:t>
            </w:r>
          </w:p>
        </w:tc>
      </w:tr>
      <w:tr>
        <w:trPr>
          <w:trHeight w:val="171"/>
        </w:trPr>
        <w:tc>
          <w:tcPr>
            <w:tcW w:w="83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cash provided by financing activities</w:t>
            </w: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w:t>
            </w:r>
          </w:p>
        </w:tc>
      </w:tr>
      <w:tr>
        <w:trPr>
          <w:trHeight w:val="171"/>
        </w:trPr>
        <w:tc>
          <w:tcPr>
            <w:tcW w:w="8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increase (decrease) in cash and cash equivalents</w:t>
            </w:r>
          </w:p>
        </w:tc>
        <w:tc>
          <w:tcPr>
            <w:tcW w:w="8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(120,334)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(16,010)</w:t>
            </w:r>
          </w:p>
        </w:tc>
      </w:tr>
      <w:tr>
        <w:trPr>
          <w:trHeight w:val="171"/>
        </w:trPr>
        <w:tc>
          <w:tcPr>
            <w:tcW w:w="838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0"/>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8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261,447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66,373</w:t>
            </w:r>
          </w:p>
        </w:tc>
      </w:tr>
      <w:tr>
        <w:trPr>
          <w:trHeight w:val="171"/>
        </w:trPr>
        <w:tc>
          <w:tcPr>
            <w:tcW w:w="8380" w:type="dxa"/>
            <w:vAlign w:val="bottom"/>
          </w:tcPr>
          <w:p>
            <w:pPr>
              <w:ind w:left="20"/>
              <w:spacing w:after="0"/>
              <w:rPr>
                <w:sz w:val="20"/>
                <w:szCs w:val="20"/>
                <w:color w:val="auto"/>
              </w:rPr>
            </w:pPr>
            <w:r>
              <w:rPr>
                <w:rFonts w:ascii="Arial" w:cs="Arial" w:eastAsia="Arial" w:hAnsi="Arial"/>
                <w:sz w:val="14"/>
                <w:szCs w:val="14"/>
                <w:color w:val="auto"/>
              </w:rPr>
              <w:t>End of period</w:t>
            </w:r>
          </w:p>
        </w:tc>
        <w:tc>
          <w:tcPr>
            <w:tcW w:w="8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141,113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50,363</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2"/>
        </w:trPr>
        <w:tc>
          <w:tcPr>
            <w:tcW w:w="83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Supplemental disclosure of cash paid</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80"/>
        </w:trPr>
        <w:tc>
          <w:tcPr>
            <w:tcW w:w="8380" w:type="dxa"/>
            <w:vAlign w:val="bottom"/>
          </w:tcPr>
          <w:p>
            <w:pPr>
              <w:ind w:left="20"/>
              <w:spacing w:after="0"/>
              <w:rPr>
                <w:sz w:val="20"/>
                <w:szCs w:val="20"/>
                <w:color w:val="auto"/>
              </w:rPr>
            </w:pPr>
            <w:r>
              <w:rPr>
                <w:rFonts w:ascii="Arial" w:cs="Arial" w:eastAsia="Arial" w:hAnsi="Arial"/>
                <w:sz w:val="14"/>
                <w:szCs w:val="14"/>
                <w:color w:val="auto"/>
              </w:rPr>
              <w:t>Income tax refunds received</w:t>
            </w:r>
          </w:p>
        </w:tc>
        <w:tc>
          <w:tcPr>
            <w:tcW w:w="800" w:type="dxa"/>
            <w:vAlign w:val="bottom"/>
          </w:tcPr>
          <w:p>
            <w:pPr>
              <w:jc w:val="right"/>
              <w:ind w:right="634"/>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1,765</w:t>
            </w:r>
          </w:p>
        </w:tc>
      </w:tr>
      <w:tr>
        <w:trPr>
          <w:trHeight w:val="181"/>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information related to investing activities</w:t>
            </w: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8380" w:type="dxa"/>
            <w:vAlign w:val="bottom"/>
          </w:tcPr>
          <w:p>
            <w:pPr>
              <w:ind w:left="20"/>
              <w:spacing w:after="0"/>
              <w:rPr>
                <w:sz w:val="20"/>
                <w:szCs w:val="20"/>
                <w:color w:val="auto"/>
              </w:rPr>
            </w:pPr>
            <w:r>
              <w:rPr>
                <w:rFonts w:ascii="Arial" w:cs="Arial" w:eastAsia="Arial" w:hAnsi="Arial"/>
                <w:sz w:val="14"/>
                <w:szCs w:val="14"/>
                <w:color w:val="auto"/>
              </w:rPr>
              <w:t>Operating right-of-use assets obtained in exchange for lease obligations</w:t>
            </w:r>
          </w:p>
        </w:tc>
        <w:tc>
          <w:tcPr>
            <w:tcW w:w="800" w:type="dxa"/>
            <w:vAlign w:val="bottom"/>
          </w:tcPr>
          <w:p>
            <w:pPr>
              <w:jc w:val="right"/>
              <w:ind w:right="634"/>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2,086</w:t>
            </w:r>
          </w:p>
        </w:tc>
      </w:tr>
    </w:tbl>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The accompanying unaudited notes are an integral part of these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IVERIC bio,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Notes to Condensed Unaudited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thousands, except per share data)</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Business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Business and Organization</w:t>
      </w:r>
    </w:p>
    <w:p>
      <w:pPr>
        <w:spacing w:after="0" w:line="129"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IVERIC bio, Inc. (the “Company” or “IVERIC”) is a science-driven biopharmaceutical company focused on the discovery and development of novel treatments for retinal diseases with significant unmet medical needs. The Company is committed to having a positive impact on patients’ lives by delivering high-quality, safe and effective treatments designed to address debilitating retina diseases, including earlier stages of age-related macular degeneration (“AMD”).</w:t>
      </w:r>
    </w:p>
    <w:p>
      <w:pPr>
        <w:spacing w:after="0" w:line="89" w:lineRule="exact"/>
        <w:rPr>
          <w:sz w:val="20"/>
          <w:szCs w:val="20"/>
          <w:color w:val="auto"/>
        </w:rPr>
      </w:pPr>
    </w:p>
    <w:p>
      <w:pPr>
        <w:ind w:right="4220" w:firstLine="509"/>
        <w:spacing w:after="0" w:line="281" w:lineRule="auto"/>
        <w:rPr>
          <w:sz w:val="20"/>
          <w:szCs w:val="20"/>
          <w:color w:val="auto"/>
        </w:rPr>
      </w:pPr>
      <w:r>
        <w:rPr>
          <w:rFonts w:ascii="Arial" w:cs="Arial" w:eastAsia="Arial" w:hAnsi="Arial"/>
          <w:sz w:val="14"/>
          <w:szCs w:val="14"/>
          <w:color w:val="auto"/>
        </w:rPr>
        <w:t>The Company’s lead asset is its clinical stage product candidate Zimura® (avacincaptad pegol), a complement C5 inhibitor. It is currently targeting the following diseases with Zimura:</w:t>
      </w:r>
    </w:p>
    <w:p>
      <w:pPr>
        <w:spacing w:after="0" w:line="153"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Geographic Atrophy (“GA”), which is the advanced stage of AMD, and is characterized by marked thinning or atrophy of retinal tissue, leading to irreversible loss of vision;</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intermediate AMD, which is an earlier stage of AMD that precedes GA; and</w:t>
      </w:r>
    </w:p>
    <w:p>
      <w:pPr>
        <w:spacing w:after="0" w:line="199" w:lineRule="exact"/>
        <w:rPr>
          <w:rFonts w:ascii="Arial" w:cs="Arial" w:eastAsia="Arial" w:hAnsi="Arial"/>
          <w:sz w:val="14"/>
          <w:szCs w:val="14"/>
          <w:color w:val="auto"/>
        </w:rPr>
      </w:pPr>
    </w:p>
    <w:p>
      <w:pPr>
        <w:ind w:left="520" w:right="100" w:hanging="260"/>
        <w:spacing w:after="0" w:line="281"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autosomal recessive Stargardt disease (“STGD1”), which is an orphan inherited condition characterized by progressive damage to the central portion of the retina (the “macula”) and other retinal tissue, leading to loss of vision.</w:t>
      </w:r>
    </w:p>
    <w:p>
      <w:pPr>
        <w:spacing w:after="0" w:line="153"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In July 2021, the Company completed patient enrollment for GATHER2, its Phase 3 clinical trial evaluating the safety and efficacy of Zimura for the treatment of GA secondary to AMD. The Company has also received a written agreement from the U.S. Food and Drug Administration (“FDA”) under a Special Protocol Assessment for the overall design of GATHER2. The Company expects topline data from the GATHER2 trial to become available in September 2022.</w:t>
      </w:r>
    </w:p>
    <w:p>
      <w:pPr>
        <w:spacing w:after="0" w:line="78"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The Company continues to pursue various lifecycle management programs for Zimura. In June 2022, the Company entered into a license agreement (the “DelSiTech License Agreement”) with DelSiTech Ltd. (“DelSiTech”) for a worldwide, exclusive license under specified patent rights and know-how to develop and commercialize new formulations of Zimura using DelSiTech’s silica-based sustained release technology for treating diseases of the human eye.</w:t>
      </w:r>
    </w:p>
    <w:p>
      <w:pPr>
        <w:spacing w:after="0" w:line="163" w:lineRule="exact"/>
        <w:rPr>
          <w:sz w:val="20"/>
          <w:szCs w:val="20"/>
          <w:color w:val="auto"/>
        </w:rPr>
      </w:pPr>
    </w:p>
    <w:p>
      <w:pPr>
        <w:ind w:right="180" w:firstLine="509"/>
        <w:spacing w:after="0" w:line="267" w:lineRule="auto"/>
        <w:rPr>
          <w:sz w:val="20"/>
          <w:szCs w:val="20"/>
          <w:color w:val="auto"/>
        </w:rPr>
      </w:pPr>
      <w:r>
        <w:rPr>
          <w:rFonts w:ascii="Arial" w:cs="Arial" w:eastAsia="Arial" w:hAnsi="Arial"/>
          <w:sz w:val="14"/>
          <w:szCs w:val="14"/>
          <w:color w:val="auto"/>
        </w:rPr>
        <w:t>In addition to Zimura, the Company is developing its preclinical product candidate IC-500, a High temperature requirement A serine peptidase 1 protein (“HtrA1”) inhibitor, for GA secondary to AMD and potentially other age-related retinal diseases. Based on current timelines, the Company expects to submit an investigational new drug application for IC-500 to the FDA in mid-2023.</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Company’s portfolio also includes two preclinical stage gene therapy product candidates (IC-100 and IC-200)</w:t>
      </w:r>
    </w:p>
    <w:p>
      <w:pPr>
        <w:spacing w:after="0" w:line="19"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and several ongoing gene therapy research programs, each of which uses adeno-associated virus (“AAV”) for gene delivery. These AAV mediated gene therapy programs are targeting the following orphan inherited retinal diseases (“IRDs”):</w:t>
      </w:r>
    </w:p>
    <w:p>
      <w:pPr>
        <w:spacing w:after="0" w:line="163"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rhodopsin-mediated autosomal dominant retinitis pigmentosa (“RHO-adRP”), which is characterized by progressive and severe bilateral loss of vision leading to blindness;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IRDs associated with mutations in the BEST1 gene, including Best vitelliform macular dystrophy (“Best disease”);</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Leber Congenital Amaurosis type 10 (“LCA10”), which is characterized by severe bilateral loss of vision at or soon after birth;</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STGD1; and</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IRDs associated with mutations in the USH2A gene, which include Usher syndrome type 2A, and USH2A-associated non-syndromic autosomal recessive retinitis pigmentosa.</w:t>
      </w:r>
    </w:p>
    <w:p>
      <w:pPr>
        <w:spacing w:after="0" w:line="211"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As the Company focuses its efforts on and prioritizes the development and potential commercialization of Zimura, it has been considering its development options for IC-100 and IC-200, which the Company has been developing for RHO-adRP and BEST1-related IRDs, respectively. It is currently planning to seek a collaborator for the future development and potential commercialization of these product candidates.</w:t>
      </w: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19" w:lineRule="exact"/>
        <w:rPr>
          <w:sz w:val="20"/>
          <w:szCs w:val="20"/>
          <w:color w:val="auto"/>
        </w:rPr>
      </w:pPr>
    </w:p>
    <w:p>
      <w:pPr>
        <w:ind w:right="80" w:firstLine="318"/>
        <w:spacing w:after="0" w:line="321" w:lineRule="auto"/>
        <w:rPr>
          <w:sz w:val="20"/>
          <w:szCs w:val="20"/>
          <w:color w:val="auto"/>
        </w:rPr>
      </w:pPr>
      <w:r>
        <w:rPr>
          <w:rFonts w:ascii="Arial" w:cs="Arial" w:eastAsia="Arial" w:hAnsi="Arial"/>
          <w:sz w:val="13"/>
          <w:szCs w:val="13"/>
          <w:color w:val="auto"/>
        </w:rPr>
        <w:t>The Company’s significant accounting policies are described in Note 2, “Summary of Significant Accounting Policies,” in the notes to the audited consolidated financial statements included in the Company’s Annual Report on Form 10-K (“Annual Report”) for the year ended December 31, 2021 filed with th</w:t>
      </w:r>
      <w:r>
        <w:rPr>
          <w:rFonts w:ascii="Arial" w:cs="Arial" w:eastAsia="Arial" w:hAnsi="Arial"/>
          <w:sz w:val="13"/>
          <w:szCs w:val="13"/>
          <w:color w:val="212529"/>
        </w:rPr>
        <w:t>e Securities and Exchange</w:t>
      </w:r>
      <w:r>
        <w:rPr>
          <w:rFonts w:ascii="Arial" w:cs="Arial" w:eastAsia="Arial" w:hAnsi="Arial"/>
          <w:sz w:val="13"/>
          <w:szCs w:val="13"/>
          <w:color w:val="auto"/>
        </w:rPr>
        <w:t xml:space="preserve"> Commission (“SEC”) on February 24, 2022.</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 and Consolidation</w:t>
      </w:r>
    </w:p>
    <w:p>
      <w:pPr>
        <w:spacing w:after="0" w:line="129"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 xml:space="preserve">In </w:t>
      </w:r>
      <w:r>
        <w:rPr>
          <w:rFonts w:ascii="Arial" w:cs="Arial" w:eastAsia="Arial" w:hAnsi="Arial"/>
          <w:sz w:val="13"/>
          <w:szCs w:val="13"/>
          <w:color w:val="212529"/>
        </w:rPr>
        <w:t>the opinion of management, the Company’s condensed consolidated financial statements include all adjustments, consisting of normal recurring accruals, necessary for a fair statement of the</w:t>
      </w:r>
      <w:r>
        <w:rPr>
          <w:rFonts w:ascii="Arial" w:cs="Arial" w:eastAsia="Arial" w:hAnsi="Arial"/>
          <w:sz w:val="13"/>
          <w:szCs w:val="13"/>
          <w:color w:val="auto"/>
        </w:rPr>
        <w:t xml:space="preserve"> </w:t>
      </w:r>
      <w:r>
        <w:rPr>
          <w:rFonts w:ascii="Arial" w:cs="Arial" w:eastAsia="Arial" w:hAnsi="Arial"/>
          <w:sz w:val="13"/>
          <w:szCs w:val="13"/>
          <w:color w:val="212529"/>
        </w:rPr>
        <w:t>Company’s financial statements for interim periods in accordance with accounting principles generally accepted in the United States (“U.S. GAAP”). The consolidated financial statements include the accounts of the Company and its subsidiaries. All intercompany balances and transactions have been eliminated in consolidation. The information included in this quarterly report on Form 10-Q should be read in conjunction with the Company’s audited consolidated financial statements and the accompanying notes included in the Annual Report.</w:t>
      </w:r>
    </w:p>
    <w:p>
      <w:pPr>
        <w:spacing w:after="0" w:line="68"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color w:val="212529"/>
        </w:rPr>
        <w:t>year-end condensed consolidated balance sheet data presented for comparative purposes was derived from the Company’s audited financial statements but does not include all disclosures</w:t>
      </w:r>
      <w:r>
        <w:rPr>
          <w:rFonts w:ascii="Arial" w:cs="Arial" w:eastAsia="Arial" w:hAnsi="Arial"/>
          <w:sz w:val="14"/>
          <w:szCs w:val="14"/>
          <w:color w:val="auto"/>
        </w:rPr>
        <w:t xml:space="preserve"> </w:t>
      </w:r>
      <w:r>
        <w:rPr>
          <w:rFonts w:ascii="Arial" w:cs="Arial" w:eastAsia="Arial" w:hAnsi="Arial"/>
          <w:sz w:val="14"/>
          <w:szCs w:val="14"/>
          <w:color w:val="212529"/>
        </w:rPr>
        <w:t>required by U.S. GAAP. The results of operations for the six months ended June 30, 2022 are not necessarily indicative of the operating results for the full year or for any other subsequent interim period.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Segment and Geographic Information</w:t>
      </w:r>
    </w:p>
    <w:p>
      <w:pPr>
        <w:spacing w:after="0" w:line="129" w:lineRule="exact"/>
        <w:rPr>
          <w:sz w:val="20"/>
          <w:szCs w:val="20"/>
          <w:color w:val="auto"/>
        </w:rPr>
      </w:pPr>
    </w:p>
    <w:p>
      <w:pPr>
        <w:ind w:right="120" w:firstLine="318"/>
        <w:spacing w:after="0" w:line="321" w:lineRule="auto"/>
        <w:rPr>
          <w:sz w:val="20"/>
          <w:szCs w:val="20"/>
          <w:color w:val="auto"/>
        </w:rPr>
      </w:pPr>
      <w:r>
        <w:rPr>
          <w:rFonts w:ascii="Arial" w:cs="Arial" w:eastAsia="Arial" w:hAnsi="Arial"/>
          <w:sz w:val="13"/>
          <w:szCs w:val="13"/>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reportable segment.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29" w:lineRule="exact"/>
        <w:rPr>
          <w:sz w:val="20"/>
          <w:szCs w:val="20"/>
          <w:color w:val="auto"/>
        </w:rPr>
      </w:pPr>
    </w:p>
    <w:p>
      <w:pPr>
        <w:ind w:right="120" w:firstLine="318"/>
        <w:spacing w:after="0" w:line="260" w:lineRule="auto"/>
        <w:rPr>
          <w:sz w:val="20"/>
          <w:szCs w:val="20"/>
          <w:color w:val="auto"/>
        </w:rPr>
      </w:pPr>
      <w:r>
        <w:rPr>
          <w:rFonts w:ascii="Arial" w:cs="Arial" w:eastAsia="Arial" w:hAnsi="Arial"/>
          <w:sz w:val="14"/>
          <w:szCs w:val="14"/>
          <w:color w:val="auto"/>
        </w:rPr>
        <w:t>The preparation of financial statements and related disclosures in conformity with U.S.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Condensed Unaudited Consolidated Balance Sheets and the amount of expenses reported for each of the periods presented are affected by estimates and assumptions, which are used for, but not limited to, accounting for research and development costs, accounting for share-based compensation and accounting for income taxes. Actual results could differ from those estimates.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19"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The Company considers all highly liquid investments with an original maturity of 90 days or less when purchased to be cash equivalents. The carrying amounts reported in the Condensed Unaudited Consolidated Balance Sheets for cash and cash equivalents are valued at cost, which approximates their fair value.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for Sale Securities</w:t>
      </w:r>
    </w:p>
    <w:p>
      <w:pPr>
        <w:spacing w:after="0" w:line="129" w:lineRule="exact"/>
        <w:rPr>
          <w:sz w:val="20"/>
          <w:szCs w:val="20"/>
          <w:color w:val="auto"/>
        </w:rPr>
      </w:pPr>
    </w:p>
    <w:p>
      <w:pPr>
        <w:ind w:right="40" w:firstLine="318"/>
        <w:spacing w:after="0" w:line="321" w:lineRule="auto"/>
        <w:rPr>
          <w:sz w:val="20"/>
          <w:szCs w:val="20"/>
          <w:color w:val="auto"/>
        </w:rPr>
      </w:pPr>
      <w:r>
        <w:rPr>
          <w:rFonts w:ascii="Arial" w:cs="Arial" w:eastAsia="Arial" w:hAnsi="Arial"/>
          <w:sz w:val="13"/>
          <w:szCs w:val="13"/>
          <w:color w:val="auto"/>
        </w:rPr>
        <w:t>The Company considers debt securities with original maturities of greater than 90 days to be available for sale securities. Available for sale securities with original maturities of greater than one year are recorded as non-current assets. Available for sale securities are recorded at fair value and unrealized gains and losses are recorded within other comprehensive income.</w:t>
      </w:r>
    </w:p>
    <w:p>
      <w:pPr>
        <w:spacing w:after="0" w:line="46"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On a quarterly basis, the Company reviews the status of each security in an unrealized loss position, to evaluate the existence of potential credit losses. The Company first considers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income. For securities that do not meet this criteria, the Company considers a number of factors to determine if the decline in fair value has resulted from credit losses or other factors, including but not limited to: (1) the extent of the decline; (2) changes to the rating of the security by a rating agency; (3) any adverse conditions specific to the security; and (4) other market conditions that may affect the fair value of the security. If this assessment indicates that a credit loss exists and the present value of cash flows expected to be collected is less than the amortized cost basis, an allowance for credit losses is required for the credit loss. Any impairment that has not been recorded through an allowance for credit losses is recognized in other comprehensive income.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Instruments</w:t>
      </w:r>
    </w:p>
    <w:p>
      <w:pPr>
        <w:spacing w:after="0" w:line="119"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79"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 xml:space="preserve">Accounting Standards Codification, or ASC 820,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xml:space="preserve">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89" w:lineRule="exact"/>
        <w:rPr>
          <w:sz w:val="20"/>
          <w:szCs w:val="20"/>
          <w:color w:val="auto"/>
        </w:rPr>
      </w:pPr>
    </w:p>
    <w:p>
      <w:pPr>
        <w:ind w:right="20" w:firstLine="318"/>
        <w:spacing w:after="0" w:line="288" w:lineRule="auto"/>
        <w:rPr>
          <w:sz w:val="20"/>
          <w:szCs w:val="20"/>
          <w:color w:val="auto"/>
        </w:rPr>
      </w:pPr>
      <w:r>
        <w:rPr>
          <w:rFonts w:ascii="Arial" w:cs="Arial" w:eastAsia="Arial" w:hAnsi="Arial"/>
          <w:sz w:val="13"/>
          <w:szCs w:val="13"/>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valuation hierarchy is based upon the transparency of inputs to the valuation of an asset or liability on the measurement date. The three levels are defined as follows:</w:t>
      </w:r>
    </w:p>
    <w:p>
      <w:pPr>
        <w:spacing w:after="0" w:line="125" w:lineRule="exact"/>
        <w:rPr>
          <w:sz w:val="20"/>
          <w:szCs w:val="20"/>
          <w:color w:val="auto"/>
        </w:rPr>
      </w:pPr>
    </w:p>
    <w:p>
      <w:pPr>
        <w:ind w:left="520" w:right="220" w:hanging="260"/>
        <w:spacing w:after="0" w:line="28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79" w:lineRule="exact"/>
        <w:rPr>
          <w:rFonts w:ascii="Arial" w:cs="Arial" w:eastAsia="Arial" w:hAnsi="Arial"/>
          <w:sz w:val="14"/>
          <w:szCs w:val="14"/>
          <w:color w:val="auto"/>
        </w:rPr>
      </w:pPr>
    </w:p>
    <w:p>
      <w:pPr>
        <w:ind w:left="520" w:right="560" w:hanging="260"/>
        <w:spacing w:after="0" w:line="321" w:lineRule="auto"/>
        <w:tabs>
          <w:tab w:leader="none" w:pos="516" w:val="left"/>
        </w:tabs>
        <w:numPr>
          <w:ilvl w:val="0"/>
          <w:numId w:val="7"/>
        </w:numPr>
        <w:rPr>
          <w:rFonts w:ascii="Arial" w:cs="Arial" w:eastAsia="Arial" w:hAnsi="Arial"/>
          <w:sz w:val="13"/>
          <w:szCs w:val="13"/>
          <w:color w:val="auto"/>
        </w:rPr>
      </w:pPr>
      <w:r>
        <w:rPr>
          <w:rFonts w:ascii="Arial" w:cs="Arial" w:eastAsia="Arial" w:hAnsi="Arial"/>
          <w:sz w:val="13"/>
          <w:szCs w:val="13"/>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45" w:lineRule="exact"/>
        <w:rPr>
          <w:rFonts w:ascii="Arial" w:cs="Arial" w:eastAsia="Arial" w:hAnsi="Arial"/>
          <w:sz w:val="13"/>
          <w:szCs w:val="13"/>
          <w:color w:val="auto"/>
        </w:rPr>
      </w:pPr>
    </w:p>
    <w:p>
      <w:pPr>
        <w:ind w:left="520" w:right="520" w:hanging="260"/>
        <w:spacing w:after="0" w:line="28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Level 3—inputs to the valuation methodology are unobservable and significant to the fair value measurement of the asset or liability. The Company does not hold any assets that are measured using Level 3 inputs.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Credit Risk</w:t>
      </w:r>
    </w:p>
    <w:p>
      <w:pPr>
        <w:spacing w:after="0" w:line="12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Company's financial instruments that are exposed to concentration of credit risk consist primarily of cash, cash equivalents and available for sale securities. The Company maintains its cash in bank accounts, the balances of which generally exceed federally insured limits. The Company maintains its cash equivalents and available for sale securities in investments in money market funds, in U.S. Treasury securities, asset-backed securities and investment-grade corporate debt securities with original maturities of 90 days or less.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believes it is not exposed to significant credit risk on its cash, cash equivalents and available for sale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Suppliers</w:t>
      </w:r>
    </w:p>
    <w:p>
      <w:pPr>
        <w:spacing w:after="0" w:line="129" w:lineRule="exact"/>
        <w:rPr>
          <w:sz w:val="20"/>
          <w:szCs w:val="20"/>
          <w:color w:val="auto"/>
        </w:rPr>
      </w:pPr>
    </w:p>
    <w:p>
      <w:pPr>
        <w:ind w:right="40" w:firstLine="318"/>
        <w:spacing w:after="0" w:line="277" w:lineRule="auto"/>
        <w:rPr>
          <w:sz w:val="20"/>
          <w:szCs w:val="20"/>
          <w:color w:val="auto"/>
        </w:rPr>
      </w:pPr>
      <w:r>
        <w:rPr>
          <w:rFonts w:ascii="Arial" w:cs="Arial" w:eastAsia="Arial" w:hAnsi="Arial"/>
          <w:sz w:val="13"/>
          <w:szCs w:val="13"/>
          <w:color w:val="auto"/>
        </w:rPr>
        <w:t>The Company historically relied upon a single third-party manufacturer to provide the drug substance for Zimura on a purchase order basis. The Company also historically relied upon a single third-party manufacturer to provide fill/finish services for clinical supplies of Zimura. The Company has engaged one additional third-party manufacturer to provide drug substance for Zimura and one additional third-party manufacturer to provide fill/finish services for clinical supplies of Zimura. In addition, the Company currently relies upon a single third-party supplier to supply on a purchase order basis the polyethylene glycol starting material used to manufacture Zimura. Furthermore, the Company and its contract manufacturers currently rely upon sole-source suppliers of certain raw materials and other specialized components of production used in the manufacture and fill/finish of Zimura. The Company currently relies exclusively upon a single third-party contract manufacturer for IC-100 and IC-200 and also relies on sole-source suppliers for certain starting materials used in the manufacture of such product candidates. The Company currently relies upon a single third-party contract manufacturer to conduct process development, scale-up and GMP manufacture of the drug substance for IC-500 for preclinical toxicology studies and early-stage clinical trials and a single third-party contract manufacturer to conduct fill/finish services for IC-500. If the Company’s third-party manufacturers or fill/finish service providers should become unavailable to the Company for any reason, including as a result of capacity constraints, different business objectives, financial difficulties, insolvency or the COVID-19 pandemic, the Company believes that there are a limited number of potential replacement manufacturers, and the Company likely would incur added costs and delays in identifying or qualifying such replacements.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19" w:lineRule="exact"/>
        <w:rPr>
          <w:sz w:val="20"/>
          <w:szCs w:val="20"/>
          <w:color w:val="auto"/>
        </w:rPr>
      </w:pPr>
    </w:p>
    <w:p>
      <w:pPr>
        <w:ind w:right="60" w:firstLine="318"/>
        <w:spacing w:after="0" w:line="278" w:lineRule="auto"/>
        <w:rPr>
          <w:sz w:val="20"/>
          <w:szCs w:val="20"/>
          <w:color w:val="auto"/>
        </w:rPr>
      </w:pPr>
      <w:r>
        <w:rPr>
          <w:rFonts w:ascii="Arial" w:cs="Arial" w:eastAsia="Arial" w:hAnsi="Arial"/>
          <w:sz w:val="13"/>
          <w:szCs w:val="13"/>
          <w:color w:val="auto"/>
        </w:rPr>
        <w:t>The Company determines if an arrangement contains a lease at inception. For arrangements where the Company is the lessee, it recognizes a right-of-use (“ROU”) asset and operating lease liability on the Company's Condensed Unaudited Consolidated Balance Sheet. ROU lease assets represent the Company's right to use the underlying asset for the lease term and the lease obligation represents the Company's commitment to make the lease payments arising from the lease. ROU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ROU lease asset includes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Condensed Unaudited Consolidated Balance Sheet.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w:t>
      </w:r>
    </w:p>
    <w:p>
      <w:pPr>
        <w:spacing w:after="0" w:line="129" w:lineRule="exact"/>
        <w:rPr>
          <w:sz w:val="20"/>
          <w:szCs w:val="20"/>
          <w:color w:val="auto"/>
        </w:rPr>
      </w:pPr>
    </w:p>
    <w:p>
      <w:pPr>
        <w:ind w:right="260" w:firstLine="318"/>
        <w:spacing w:after="0" w:line="267" w:lineRule="auto"/>
        <w:rPr>
          <w:sz w:val="20"/>
          <w:szCs w:val="20"/>
          <w:color w:val="auto"/>
        </w:rPr>
      </w:pPr>
      <w:r>
        <w:rPr>
          <w:rFonts w:ascii="Arial" w:cs="Arial" w:eastAsia="Arial" w:hAnsi="Arial"/>
          <w:sz w:val="14"/>
          <w:szCs w:val="14"/>
          <w:color w:val="auto"/>
        </w:rPr>
        <w:t>Property and equipment, which consists mainly of clinical and laboratory equipment,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29"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The Company's research and development expenses primarily consist of costs associated with the manufacturing, development and preclinical and clinical testing of the Company’s product candidates and costs associated with its gene therapy research programs. The Company's research and development expenses consist of:</w:t>
      </w:r>
    </w:p>
    <w:p>
      <w:pPr>
        <w:spacing w:after="0" w:line="79" w:lineRule="exact"/>
        <w:rPr>
          <w:sz w:val="20"/>
          <w:szCs w:val="20"/>
          <w:color w:val="auto"/>
        </w:rPr>
      </w:pPr>
    </w:p>
    <w:p>
      <w:pPr>
        <w:ind w:left="520" w:right="60" w:hanging="260"/>
        <w:spacing w:after="0" w:line="321"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and analysis of drug substance and drug product; and</w:t>
      </w:r>
    </w:p>
    <w:p>
      <w:pPr>
        <w:spacing w:after="0" w:line="45" w:lineRule="exact"/>
        <w:rPr>
          <w:rFonts w:ascii="Arial" w:cs="Arial" w:eastAsia="Arial" w:hAnsi="Arial"/>
          <w:sz w:val="13"/>
          <w:szCs w:val="13"/>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employee-related expenses for employees dedicated to research and development activities, including salaries, benefits and share-based compensation expense.</w:t>
      </w:r>
    </w:p>
    <w:p>
      <w:pPr>
        <w:spacing w:after="0" w:line="125"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79"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 xml:space="preserve">All research and development expenses are charged to operations as incurred in accordance with ASC 730, </w:t>
      </w:r>
      <w:r>
        <w:rPr>
          <w:rFonts w:ascii="Arial" w:cs="Arial" w:eastAsia="Arial" w:hAnsi="Arial"/>
          <w:sz w:val="14"/>
          <w:szCs w:val="14"/>
          <w:i w:val="1"/>
          <w:iCs w:val="1"/>
          <w:color w:val="auto"/>
        </w:rPr>
        <w:t>Research and Development</w:t>
      </w:r>
      <w:r>
        <w:rPr>
          <w:rFonts w:ascii="Arial" w:cs="Arial" w:eastAsia="Arial" w:hAnsi="Arial"/>
          <w:sz w:val="14"/>
          <w:szCs w:val="14"/>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29"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 xml:space="preserve">The Company utilizes the liability method of accounting for deferred income taxes, as set forth in ASC 740, </w:t>
      </w:r>
      <w:r>
        <w:rPr>
          <w:rFonts w:ascii="Arial" w:cs="Arial" w:eastAsia="Arial" w:hAnsi="Arial"/>
          <w:sz w:val="14"/>
          <w:szCs w:val="14"/>
          <w:i w:val="1"/>
          <w:iCs w:val="1"/>
          <w:color w:val="auto"/>
        </w:rPr>
        <w:t>Income Taxes</w:t>
      </w:r>
      <w:r>
        <w:rPr>
          <w:rFonts w:ascii="Arial" w:cs="Arial" w:eastAsia="Arial" w:hAnsi="Arial"/>
          <w:sz w:val="14"/>
          <w:szCs w:val="14"/>
          <w:color w:val="auto"/>
        </w:rPr>
        <w:t>.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Share-Based Compensation</w:t>
      </w:r>
    </w:p>
    <w:p>
      <w:pPr>
        <w:spacing w:after="0" w:line="119"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 xml:space="preserve">The Company follows the provisions of ASC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which requires the measurement and recognition of compensation expense for all share-based payment awards made to employees, non-employees and non-employee directors,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69"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Stock Options</w:t>
      </w:r>
    </w:p>
    <w:p>
      <w:pPr>
        <w:spacing w:after="0" w:line="125" w:lineRule="exact"/>
        <w:rPr>
          <w:sz w:val="20"/>
          <w:szCs w:val="20"/>
          <w:color w:val="auto"/>
        </w:rPr>
      </w:pPr>
    </w:p>
    <w:p>
      <w:pPr>
        <w:ind w:right="100" w:firstLine="318"/>
        <w:spacing w:after="0" w:line="260" w:lineRule="auto"/>
        <w:rPr>
          <w:sz w:val="20"/>
          <w:szCs w:val="20"/>
          <w:color w:val="auto"/>
        </w:rPr>
      </w:pPr>
      <w:r>
        <w:rPr>
          <w:rFonts w:ascii="Arial" w:cs="Arial" w:eastAsia="Arial" w:hAnsi="Arial"/>
          <w:sz w:val="14"/>
          <w:szCs w:val="14"/>
          <w:color w:val="auto"/>
        </w:rPr>
        <w:t>The Company estimates the fair value of stock options granted to employees, non-employee directors and consultants on the date of grant using the Black-Scholes option-pricing model. The Company's computation of stock-price 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83" w:lineRule="exact"/>
        <w:rPr>
          <w:sz w:val="20"/>
          <w:szCs w:val="20"/>
          <w:color w:val="auto"/>
        </w:rPr>
      </w:pPr>
    </w:p>
    <w:p>
      <w:pPr>
        <w:ind w:right="340" w:firstLine="318"/>
        <w:spacing w:after="0" w:line="281" w:lineRule="auto"/>
        <w:rPr>
          <w:sz w:val="20"/>
          <w:szCs w:val="20"/>
          <w:color w:val="auto"/>
        </w:rPr>
      </w:pPr>
      <w:r>
        <w:rPr>
          <w:rFonts w:ascii="Arial" w:cs="Arial" w:eastAsia="Arial" w:hAnsi="Arial"/>
          <w:sz w:val="14"/>
          <w:szCs w:val="14"/>
          <w:color w:val="auto"/>
        </w:rPr>
        <w:t>The weighted-average assumptions used to estimate grant date fair value of stock options using the Black-Scholes option pricing model were as follows for the three and six month periods ended June 30, 2022 and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60" w:type="dxa"/>
            <w:vAlign w:val="bottom"/>
          </w:tcPr>
          <w:p>
            <w:pPr>
              <w:spacing w:after="0"/>
              <w:rPr>
                <w:sz w:val="13"/>
                <w:szCs w:val="13"/>
                <w:color w:val="auto"/>
              </w:rPr>
            </w:pPr>
          </w:p>
        </w:tc>
        <w:tc>
          <w:tcPr>
            <w:tcW w:w="3060" w:type="dxa"/>
            <w:vAlign w:val="bottom"/>
            <w:gridSpan w:val="4"/>
          </w:tcPr>
          <w:p>
            <w:pPr>
              <w:ind w:left="760"/>
              <w:spacing w:after="0"/>
              <w:rPr>
                <w:sz w:val="20"/>
                <w:szCs w:val="20"/>
                <w:color w:val="auto"/>
              </w:rPr>
            </w:pPr>
            <w:r>
              <w:rPr>
                <w:rFonts w:ascii="Arial" w:cs="Arial" w:eastAsia="Arial" w:hAnsi="Arial"/>
                <w:sz w:val="11"/>
                <w:szCs w:val="11"/>
                <w:b w:val="1"/>
                <w:bCs w:val="1"/>
                <w:color w:val="auto"/>
              </w:rPr>
              <w:t>Three Months Ended June 30,</w:t>
            </w:r>
          </w:p>
        </w:tc>
        <w:tc>
          <w:tcPr>
            <w:tcW w:w="2960" w:type="dxa"/>
            <w:vAlign w:val="bottom"/>
            <w:gridSpan w:val="3"/>
          </w:tcPr>
          <w:p>
            <w:pPr>
              <w:ind w:left="820"/>
              <w:spacing w:after="0"/>
              <w:rPr>
                <w:sz w:val="20"/>
                <w:szCs w:val="20"/>
                <w:color w:val="auto"/>
              </w:rPr>
            </w:pPr>
            <w:r>
              <w:rPr>
                <w:rFonts w:ascii="Arial" w:cs="Arial" w:eastAsia="Arial" w:hAnsi="Arial"/>
                <w:sz w:val="11"/>
                <w:szCs w:val="11"/>
                <w:b w:val="1"/>
                <w:bCs w:val="1"/>
                <w:color w:val="auto"/>
              </w:rPr>
              <w:t>Six Months Ended June 30,</w:t>
            </w:r>
          </w:p>
        </w:tc>
      </w:tr>
      <w:tr>
        <w:trPr>
          <w:trHeight w:val="142"/>
        </w:trPr>
        <w:tc>
          <w:tcPr>
            <w:tcW w:w="526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2022</w:t>
            </w:r>
          </w:p>
        </w:tc>
        <w:tc>
          <w:tcPr>
            <w:tcW w:w="100" w:type="dxa"/>
            <w:vAlign w:val="bottom"/>
            <w:tcBorders>
              <w:top w:val="single" w:sz="8" w:color="auto"/>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2022</w:t>
            </w:r>
          </w:p>
        </w:tc>
        <w:tc>
          <w:tcPr>
            <w:tcW w:w="100" w:type="dxa"/>
            <w:vAlign w:val="bottom"/>
            <w:tcBorders>
              <w:top w:val="single" w:sz="8" w:color="auto"/>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r>
      <w:tr>
        <w:trPr>
          <w:trHeight w:val="172"/>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common stock price volatility</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113%</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83%</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113%</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2.53%-2.99%</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0.89%-0.94%</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1.38%-2.99%</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0.31%-0.96%</w:t>
            </w:r>
          </w:p>
        </w:tc>
      </w:tr>
      <w:tr>
        <w:trPr>
          <w:trHeight w:val="18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of options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4.8</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5.2</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1"/>
              </w:rPr>
              <w:t>4.9</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170"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RSUs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estimates the fair value of RSUs granted to employees using the closing market price of the Company's common stock on the date of grant.</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ESPP</w:t>
      </w:r>
    </w:p>
    <w:p>
      <w:pPr>
        <w:spacing w:after="0" w:line="115" w:lineRule="exact"/>
        <w:rPr>
          <w:sz w:val="20"/>
          <w:szCs w:val="20"/>
          <w:color w:val="auto"/>
        </w:rPr>
      </w:pPr>
    </w:p>
    <w:p>
      <w:pPr>
        <w:ind w:right="440" w:firstLine="318"/>
        <w:spacing w:after="0" w:line="267" w:lineRule="auto"/>
        <w:rPr>
          <w:sz w:val="20"/>
          <w:szCs w:val="20"/>
          <w:color w:val="auto"/>
        </w:rPr>
      </w:pPr>
      <w:r>
        <w:rPr>
          <w:rFonts w:ascii="Arial" w:cs="Arial" w:eastAsia="Arial" w:hAnsi="Arial"/>
          <w:sz w:val="14"/>
          <w:szCs w:val="14"/>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29"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The Company has evaluated recent accounting pronouncements through the date the financial statements were issued and filed with the SEC and believes that there are none that will have a material impact on the Company’s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Net Loss Per Common Share</w:t>
      </w:r>
    </w:p>
    <w:p>
      <w:pPr>
        <w:spacing w:after="0" w:line="129" w:lineRule="exact"/>
        <w:rPr>
          <w:sz w:val="20"/>
          <w:szCs w:val="20"/>
          <w:color w:val="auto"/>
        </w:rPr>
      </w:pPr>
    </w:p>
    <w:p>
      <w:pPr>
        <w:ind w:right="100" w:firstLine="318"/>
        <w:spacing w:after="0" w:line="258" w:lineRule="auto"/>
        <w:rPr>
          <w:sz w:val="20"/>
          <w:szCs w:val="20"/>
          <w:color w:val="auto"/>
        </w:rPr>
      </w:pPr>
      <w:r>
        <w:rPr>
          <w:rFonts w:ascii="Arial" w:cs="Arial" w:eastAsia="Arial" w:hAnsi="Arial"/>
          <w:sz w:val="14"/>
          <w:szCs w:val="14"/>
          <w:color w:val="auto"/>
        </w:rPr>
        <w:t>Basic and diluted net loss per common share is determined by dividing net loss by the weighted average common shares and pre-funded warrants outstanding during the period. Basic and diluted shares outstanding includes the weighted average effect of the Company's outstanding pre-funded warrants as the exercise of such pre-funded warrants requires nominal consideration to be given for the delivery of the corresponding shares of common stock. As of June 30, 2022 and 2021, the Company had 3,164,280 pre-funded warrants outstanding, which if exercised, would increase the number of shares of common stock issued and outstanding. For the periods when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computation of basic and diluted net loss per common share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180" w:type="dxa"/>
            <w:vAlign w:val="bottom"/>
          </w:tcPr>
          <w:p>
            <w:pPr>
              <w:spacing w:after="0"/>
              <w:rPr>
                <w:sz w:val="13"/>
                <w:szCs w:val="13"/>
                <w:color w:val="auto"/>
              </w:rPr>
            </w:pPr>
          </w:p>
        </w:tc>
        <w:tc>
          <w:tcPr>
            <w:tcW w:w="24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1"/>
                <w:szCs w:val="11"/>
                <w:b w:val="1"/>
                <w:bCs w:val="1"/>
                <w:color w:val="auto"/>
              </w:rPr>
              <w:t>Three Months Ended June 30,</w:t>
            </w: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1"/>
                <w:szCs w:val="11"/>
                <w:b w:val="1"/>
                <w:bCs w:val="1"/>
                <w:color w:val="auto"/>
              </w:rPr>
              <w:t>Six Months Ended June 30,</w:t>
            </w:r>
          </w:p>
        </w:tc>
      </w:tr>
      <w:tr>
        <w:trPr>
          <w:trHeight w:val="142"/>
        </w:trPr>
        <w:tc>
          <w:tcPr>
            <w:tcW w:w="5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2021</w:t>
            </w:r>
          </w:p>
        </w:tc>
      </w:tr>
      <w:tr>
        <w:trPr>
          <w:trHeight w:val="172"/>
        </w:trPr>
        <w:tc>
          <w:tcPr>
            <w:tcW w:w="5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and diluted net loss per common share calculation:</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(49,263)</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(30,143)</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(83,799)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(56,938)</w:t>
            </w: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 - basic and dilutive</w:t>
            </w:r>
          </w:p>
        </w:tc>
        <w:tc>
          <w:tcPr>
            <w:tcW w:w="8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119,687</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93,409</w:t>
            </w: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119,223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93,382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180" w:type="dxa"/>
            <w:vAlign w:val="bottom"/>
          </w:tcPr>
          <w:p>
            <w:pPr>
              <w:ind w:left="20"/>
              <w:spacing w:after="0" w:line="143" w:lineRule="exact"/>
              <w:rPr>
                <w:sz w:val="20"/>
                <w:szCs w:val="20"/>
                <w:color w:val="auto"/>
              </w:rPr>
            </w:pPr>
            <w:r>
              <w:rPr>
                <w:rFonts w:ascii="Arial" w:cs="Arial" w:eastAsia="Arial" w:hAnsi="Arial"/>
                <w:sz w:val="14"/>
                <w:szCs w:val="14"/>
                <w:color w:val="auto"/>
              </w:rPr>
              <w:t>Net loss per share of common stock - basic and diluted</w:t>
            </w:r>
          </w:p>
        </w:tc>
        <w:tc>
          <w:tcPr>
            <w:tcW w:w="860" w:type="dxa"/>
            <w:vAlign w:val="bottom"/>
            <w:tcBorders>
              <w:bottom w:val="single" w:sz="8" w:color="auto"/>
            </w:tcBorders>
          </w:tcPr>
          <w:p>
            <w:pPr>
              <w:jc w:val="right"/>
              <w:ind w:right="716"/>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(0.41)</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734"/>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(0.32)</w:t>
            </w:r>
          </w:p>
        </w:tc>
        <w:tc>
          <w:tcPr>
            <w:tcW w:w="18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(0.70)</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(0.61)</w:t>
            </w:r>
          </w:p>
        </w:tc>
      </w:tr>
      <w:tr>
        <w:trPr>
          <w:trHeight w:val="20"/>
        </w:trPr>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440" w:firstLine="318"/>
        <w:spacing w:after="0" w:line="281" w:lineRule="auto"/>
        <w:rPr>
          <w:sz w:val="20"/>
          <w:szCs w:val="20"/>
          <w:color w:val="auto"/>
        </w:rPr>
      </w:pPr>
      <w:r>
        <w:rPr>
          <w:rFonts w:ascii="Arial" w:cs="Arial" w:eastAsia="Arial" w:hAnsi="Arial"/>
          <w:sz w:val="14"/>
          <w:szCs w:val="14"/>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340" w:type="dxa"/>
            <w:vAlign w:val="bottom"/>
          </w:tcPr>
          <w:p>
            <w:pPr>
              <w:spacing w:after="0"/>
              <w:rPr>
                <w:sz w:val="13"/>
                <w:szCs w:val="13"/>
                <w:color w:val="auto"/>
              </w:rPr>
            </w:pPr>
          </w:p>
        </w:tc>
        <w:tc>
          <w:tcPr>
            <w:tcW w:w="24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1"/>
                <w:szCs w:val="11"/>
                <w:b w:val="1"/>
                <w:bCs w:val="1"/>
                <w:color w:val="auto"/>
              </w:rPr>
              <w:t>Three Months Ended June 30,</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1"/>
                <w:szCs w:val="11"/>
                <w:b w:val="1"/>
                <w:bCs w:val="1"/>
                <w:color w:val="auto"/>
              </w:rPr>
              <w:t>Six Months Ended June 30,</w:t>
            </w:r>
          </w:p>
        </w:tc>
      </w:tr>
      <w:tr>
        <w:trPr>
          <w:trHeight w:val="142"/>
        </w:trPr>
        <w:tc>
          <w:tcPr>
            <w:tcW w:w="5340" w:type="dxa"/>
            <w:vAlign w:val="bottom"/>
          </w:tcPr>
          <w:p>
            <w:pPr>
              <w:spacing w:after="0"/>
              <w:rPr>
                <w:sz w:val="12"/>
                <w:szCs w:val="12"/>
                <w:color w:val="auto"/>
              </w:rPr>
            </w:pPr>
          </w:p>
        </w:tc>
        <w:tc>
          <w:tcPr>
            <w:tcW w:w="880" w:type="dxa"/>
            <w:vAlign w:val="bottom"/>
          </w:tcPr>
          <w:p>
            <w:pPr>
              <w:jc w:val="right"/>
              <w:ind w:right="23"/>
              <w:spacing w:after="0"/>
              <w:rPr>
                <w:sz w:val="20"/>
                <w:szCs w:val="20"/>
                <w:color w:val="auto"/>
              </w:rPr>
            </w:pPr>
            <w:r>
              <w:rPr>
                <w:rFonts w:ascii="Arial" w:cs="Arial" w:eastAsia="Arial" w:hAnsi="Arial"/>
                <w:sz w:val="11"/>
                <w:szCs w:val="11"/>
                <w:b w:val="1"/>
                <w:bCs w:val="1"/>
                <w:color w:val="auto"/>
              </w:rPr>
              <w:t>2022</w:t>
            </w:r>
          </w:p>
        </w:tc>
        <w:tc>
          <w:tcPr>
            <w:tcW w:w="15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2021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35"/>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1420" w:type="dxa"/>
            <w:vAlign w:val="bottom"/>
          </w:tcPr>
          <w:p>
            <w:pPr>
              <w:jc w:val="right"/>
              <w:ind w:right="533"/>
              <w:spacing w:after="0"/>
              <w:rPr>
                <w:sz w:val="20"/>
                <w:szCs w:val="20"/>
                <w:color w:val="auto"/>
              </w:rPr>
            </w:pPr>
            <w:r>
              <w:rPr>
                <w:rFonts w:ascii="Arial" w:cs="Arial" w:eastAsia="Arial" w:hAnsi="Arial"/>
                <w:sz w:val="11"/>
                <w:szCs w:val="11"/>
                <w:b w:val="1"/>
                <w:bCs w:val="1"/>
                <w:color w:val="auto"/>
              </w:rPr>
              <w:t>2021</w:t>
            </w:r>
          </w:p>
        </w:tc>
      </w:tr>
      <w:tr>
        <w:trPr>
          <w:trHeight w:val="172"/>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 outstanding</w:t>
            </w:r>
          </w:p>
        </w:tc>
        <w:tc>
          <w:tcPr>
            <w:tcW w:w="8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10,546</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9,233</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10,546</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9,233</w:t>
            </w:r>
          </w:p>
        </w:tc>
      </w:tr>
      <w:tr>
        <w:trPr>
          <w:trHeight w:val="18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stock units</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2,215</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1,953</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2,215</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1,953</w:t>
            </w:r>
          </w:p>
        </w:tc>
      </w:tr>
      <w:tr>
        <w:trPr>
          <w:trHeight w:val="191"/>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11,186</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12,761</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Licensing and Commercialization Agreements</w:t>
      </w:r>
    </w:p>
    <w:p>
      <w:pPr>
        <w:spacing w:after="0" w:line="119" w:lineRule="exact"/>
        <w:rPr>
          <w:sz w:val="20"/>
          <w:szCs w:val="20"/>
          <w:color w:val="auto"/>
        </w:rPr>
      </w:pPr>
    </w:p>
    <w:p>
      <w:pPr>
        <w:ind w:right="200" w:firstLine="318"/>
        <w:spacing w:after="0" w:line="262" w:lineRule="auto"/>
        <w:rPr>
          <w:sz w:val="20"/>
          <w:szCs w:val="20"/>
          <w:color w:val="auto"/>
        </w:rPr>
      </w:pPr>
      <w:r>
        <w:rPr>
          <w:rFonts w:ascii="Arial" w:cs="Arial" w:eastAsia="Arial" w:hAnsi="Arial"/>
          <w:sz w:val="14"/>
          <w:szCs w:val="14"/>
          <w:color w:val="auto"/>
        </w:rPr>
        <w:t>On June 30, 2022, the Company entered into the DelSiTech License Agreement with DelSiTech. Under the DelSiTech License Agreement, DelSiTech granted the Company a worldwide, exclusive license under specified patent rights and know-how to develop, have developed, make, have made, use, offer to sell, sell, have sold, otherwise commercialize, export and import Zimura using DelSiTech’s silica-based sustained release technology for the treatment of diseases of the eye in humans (the “Licensed Product”). The Company may grant sublicenses of the licensed patent rights and know-how without DelSiTech’s consent.</w:t>
      </w:r>
    </w:p>
    <w:p>
      <w:pPr>
        <w:spacing w:after="0" w:line="93" w:lineRule="exact"/>
        <w:rPr>
          <w:sz w:val="20"/>
          <w:szCs w:val="20"/>
          <w:color w:val="auto"/>
        </w:rPr>
      </w:pPr>
    </w:p>
    <w:p>
      <w:pPr>
        <w:ind w:right="20" w:firstLine="318"/>
        <w:spacing w:after="0" w:line="244" w:lineRule="auto"/>
        <w:rPr>
          <w:sz w:val="20"/>
          <w:szCs w:val="20"/>
          <w:color w:val="auto"/>
        </w:rPr>
      </w:pPr>
      <w:r>
        <w:rPr>
          <w:rFonts w:ascii="Arial" w:cs="Arial" w:eastAsia="Arial" w:hAnsi="Arial"/>
          <w:sz w:val="14"/>
          <w:szCs w:val="14"/>
          <w:color w:val="auto"/>
        </w:rPr>
        <w:t>The Company has agreed to pay DelSiTech, within 60 days after execution of the DelSiTech License Agreement, a €1.25 million upfront license fee, which was recognized as a research and development expense during the three months ended June 30, 2022. Under the DelSiTech License Agreement, the Company is further obligated to pay DelSiTech, up to an aggregate of €35.0 million, if the Company achieves specified clinical and development milestones with respect to the Licensed Product. In addition, the Company is also obligated to pay DelSiTech up to an aggregate of €60.0 million if the Company achieves specified commercial sales milestones with respect to worldwide net sales of the Licensed Product. Due to the uncertainty of the achievement of these milestones, the Company will account for any additional payments if and when such milestones are met.</w:t>
      </w:r>
    </w:p>
    <w:p>
      <w:pPr>
        <w:spacing w:after="0" w:line="168" w:lineRule="exact"/>
        <w:rPr>
          <w:sz w:val="20"/>
          <w:szCs w:val="20"/>
          <w:color w:val="auto"/>
        </w:rPr>
      </w:pPr>
    </w:p>
    <w:p>
      <w:pPr>
        <w:ind w:right="100" w:firstLine="318"/>
        <w:spacing w:after="0" w:line="246" w:lineRule="auto"/>
        <w:rPr>
          <w:sz w:val="20"/>
          <w:szCs w:val="20"/>
          <w:color w:val="auto"/>
        </w:rPr>
      </w:pPr>
      <w:r>
        <w:rPr>
          <w:rFonts w:ascii="Arial" w:cs="Arial" w:eastAsia="Arial" w:hAnsi="Arial"/>
          <w:sz w:val="14"/>
          <w:szCs w:val="14"/>
          <w:color w:val="auto"/>
        </w:rPr>
        <w:t>The Company is also obligated to pay DelSiTech royalties at a low single-digit percentage of net sales of the Licensed Product. The royalties payable by the Company are subject to reduction under specified circumstances. The Company’s obligation to pay royalties under the DelSiTech License Agreement will continue on a country-by-country basis until the later of: (a) the expiration of the last-to-expire licensed patent rights covering the Licensed Product in the country of sale, or (b) expiration of all regulatory exclusivity for the Licensed Product in the country of sale. Future milestones and royalties will be recognized in their entirety when achieved.</w:t>
      </w:r>
    </w:p>
    <w:p>
      <w:pPr>
        <w:spacing w:after="0" w:line="167" w:lineRule="exact"/>
        <w:rPr>
          <w:sz w:val="20"/>
          <w:szCs w:val="20"/>
          <w:color w:val="auto"/>
        </w:rPr>
      </w:pPr>
    </w:p>
    <w:p>
      <w:pPr>
        <w:ind w:firstLine="318"/>
        <w:spacing w:after="0" w:line="265" w:lineRule="auto"/>
        <w:rPr>
          <w:sz w:val="20"/>
          <w:szCs w:val="20"/>
          <w:color w:val="auto"/>
        </w:rPr>
      </w:pPr>
      <w:r>
        <w:rPr>
          <w:rFonts w:ascii="Arial" w:cs="Arial" w:eastAsia="Arial" w:hAnsi="Arial"/>
          <w:sz w:val="13"/>
          <w:szCs w:val="13"/>
          <w:color w:val="auto"/>
        </w:rPr>
        <w:t>Unless earlier terminated by the Company or DelSiTech, the DelSiTech License Agreement will expire on a country-by-country basis upon the expiration of the Company’s obligation to pay royalties to DelSiTech on net sales of the Licensed Product. Upon expiration of the DelSiTech License Agreement, the licenses granted by DelSiTech to the Company will become fully paid up and irrevocable. The Company may terminate the agreement at any time for any reason upon 60 days’ prior written notice to DelSiTech. Either party may also terminate the DelSiTech License Agreement if the other party materially breaches the DelSiTech License Agreement and does not cure such breach within a specified cure period. Following any termination of the DelSiTech License Agreement prior to expiration of the term of the DelSiTech License Agreement, all rights to the licensed patent rights and know-how that DelSiTech granted to the Company will revert to DelSiTech, subject to the Company’s right to sell off any Licensed Product in the Company’s inventory as of the effectiveness of such termination.</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Cash, Cash Equivalents and Available for Sale Securities</w:t>
      </w:r>
    </w:p>
    <w:p>
      <w:pPr>
        <w:spacing w:after="0" w:line="119"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The Company considers all highly liquid investments purchased with original maturities of 90 days or less at the date of purchase to be cash equivalents. As of June 30, 2022 and December 31, 2021, the Company had cash and cash equivalents of</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color w:val="auto"/>
        </w:rPr>
        <w:t>approximately $141.1 million and $261.4 million, respectively. Cash and cash equivalents included cash of $9.7 million at June 30, 2022 and $9.9 million at December 31, 2021. Cash and cash equivalents at June 30, 2022 and December 31, 2021 included $131.4 million and $251.5 million, respectively, of investments in money market funds.</w:t>
      </w:r>
    </w:p>
    <w:p>
      <w:pPr>
        <w:spacing w:after="0" w:line="69"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The Company considers debt securities with original maturities of greater than 90 days at the date of purchase to be available for sale securities. As of June 30, 2022 and December 31, 2021, the Company held available for sale securities of $170.9 million and $120.3 million, respectively, all of which have maturities of less than one year.</w:t>
      </w:r>
    </w:p>
    <w:p>
      <w:pPr>
        <w:spacing w:after="0" w:line="79" w:lineRule="exact"/>
        <w:rPr>
          <w:sz w:val="20"/>
          <w:szCs w:val="20"/>
          <w:color w:val="auto"/>
        </w:rPr>
      </w:pPr>
    </w:p>
    <w:p>
      <w:pPr>
        <w:jc w:val="both"/>
        <w:ind w:right="60" w:firstLine="318"/>
        <w:spacing w:after="0" w:line="319" w:lineRule="auto"/>
        <w:rPr>
          <w:sz w:val="20"/>
          <w:szCs w:val="20"/>
          <w:color w:val="auto"/>
        </w:rPr>
      </w:pPr>
      <w:r>
        <w:rPr>
          <w:rFonts w:ascii="Arial" w:cs="Arial" w:eastAsia="Arial" w:hAnsi="Arial"/>
          <w:sz w:val="12"/>
          <w:szCs w:val="12"/>
          <w:color w:val="auto"/>
        </w:rPr>
        <w:t>The Company evaluates securities with unrealized losses, if any, to determine whether the decline in fair value has resulted from credit loss or other factors. The Company has determined that there were no credit losses in fair value of its investments as of June 30, 2022. Factors considered in determining whether a loss resulted from a credit loss or other factors included the length of time and extent to which the investment’s fair value has been less than the cost basis, the financial condition and near-term prospects of the investee, the extent of the loss related to credit of the issuer, the expected cash flows from the security, the Company’s intent to sell the security, and whether or not the Company will be required to sell the security before the recovery of its amortized cost.</w:t>
      </w:r>
    </w:p>
    <w:p>
      <w:pPr>
        <w:spacing w:after="0" w:line="62"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The Company classifies these securities as available for sale. However, the Company has not sold and does not currently intend to sell its investments and the Company believes it is more likely than not that the Company will recover the carrying value of these investments.</w:t>
      </w:r>
    </w:p>
    <w:p>
      <w:pPr>
        <w:spacing w:after="0" w:line="69"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The Company believes that its existing cash, cash equivalents and available for sale securities as of June 30, 2022 will be sufficient to fund its currently planned capital expenditure requirements and operating expenses for at least the next 12 months from the filing of this Quarterly Report on Form 10-Q.</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Available for sale securities, including carrying value and estimated fair values, are summarized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6"/>
          </w:tcPr>
          <w:p>
            <w:pPr>
              <w:ind w:left="1180"/>
              <w:spacing w:after="0"/>
              <w:rPr>
                <w:sz w:val="20"/>
                <w:szCs w:val="20"/>
                <w:color w:val="auto"/>
              </w:rPr>
            </w:pPr>
            <w:r>
              <w:rPr>
                <w:rFonts w:ascii="Arial" w:cs="Arial" w:eastAsia="Arial" w:hAnsi="Arial"/>
                <w:sz w:val="11"/>
                <w:szCs w:val="11"/>
                <w:b w:val="1"/>
                <w:bCs w:val="1"/>
                <w:color w:val="auto"/>
                <w:w w:val="92"/>
              </w:rPr>
              <w:t>As of June 30, 2022</w:t>
            </w:r>
          </w:p>
        </w:tc>
        <w:tc>
          <w:tcPr>
            <w:tcW w:w="1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r>
      <w:tr>
        <w:trPr>
          <w:trHeight w:val="142"/>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tcPr>
          <w:p>
            <w:pPr>
              <w:ind w:left="180"/>
              <w:spacing w:after="0"/>
              <w:rPr>
                <w:sz w:val="20"/>
                <w:szCs w:val="20"/>
                <w:color w:val="auto"/>
              </w:rPr>
            </w:pPr>
            <w:r>
              <w:rPr>
                <w:rFonts w:ascii="Arial" w:cs="Arial" w:eastAsia="Arial" w:hAnsi="Arial"/>
                <w:sz w:val="11"/>
                <w:szCs w:val="11"/>
                <w:b w:val="1"/>
                <w:bCs w:val="1"/>
                <w:color w:val="auto"/>
              </w:rPr>
              <w:t>Amortized Cost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ind w:left="260"/>
              <w:spacing w:after="0"/>
              <w:rPr>
                <w:sz w:val="20"/>
                <w:szCs w:val="20"/>
                <w:color w:val="auto"/>
              </w:rPr>
            </w:pPr>
            <w:r>
              <w:rPr>
                <w:rFonts w:ascii="Arial" w:cs="Arial" w:eastAsia="Arial" w:hAnsi="Arial"/>
                <w:sz w:val="11"/>
                <w:szCs w:val="11"/>
                <w:b w:val="1"/>
                <w:bCs w:val="1"/>
                <w:color w:val="auto"/>
              </w:rPr>
              <w:t>Gross Unrealized Gains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ind w:left="160"/>
              <w:spacing w:after="0"/>
              <w:rPr>
                <w:sz w:val="20"/>
                <w:szCs w:val="20"/>
                <w:color w:val="auto"/>
              </w:rPr>
            </w:pPr>
            <w:r>
              <w:rPr>
                <w:rFonts w:ascii="Arial" w:cs="Arial" w:eastAsia="Arial" w:hAnsi="Arial"/>
                <w:sz w:val="11"/>
                <w:szCs w:val="11"/>
                <w:b w:val="1"/>
                <w:bCs w:val="1"/>
                <w:color w:val="auto"/>
              </w:rPr>
              <w:t>Gross Unrealized Losses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jc w:val="right"/>
              <w:ind w:right="652"/>
              <w:spacing w:after="0"/>
              <w:rPr>
                <w:sz w:val="20"/>
                <w:szCs w:val="20"/>
                <w:color w:val="auto"/>
              </w:rPr>
            </w:pPr>
            <w:r>
              <w:rPr>
                <w:rFonts w:ascii="Arial" w:cs="Arial" w:eastAsia="Arial" w:hAnsi="Arial"/>
                <w:sz w:val="11"/>
                <w:szCs w:val="11"/>
                <w:b w:val="1"/>
                <w:bCs w:val="1"/>
                <w:color w:val="auto"/>
              </w:rPr>
              <w:t>Fair Value</w:t>
            </w:r>
          </w:p>
        </w:tc>
      </w:tr>
      <w:tr>
        <w:trPr>
          <w:trHeight w:val="172"/>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Treasury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48,152</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tcBorders>
            <w:gridSpan w:val="2"/>
            <w:shd w:val="clear" w:color="auto" w:fill="CCEEFF"/>
          </w:tcPr>
          <w:p>
            <w:pPr>
              <w:ind w:left="1380"/>
              <w:spacing w:after="0"/>
              <w:rPr>
                <w:sz w:val="20"/>
                <w:szCs w:val="20"/>
                <w:color w:val="auto"/>
              </w:rPr>
            </w:pPr>
            <w:r>
              <w:rPr>
                <w:rFonts w:ascii="Arial" w:cs="Arial" w:eastAsia="Arial" w:hAnsi="Arial"/>
                <w:sz w:val="14"/>
                <w:szCs w:val="14"/>
                <w:color w:val="auto"/>
                <w:w w:val="97"/>
              </w:rPr>
              <w:t>(290)</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47,862</w:t>
            </w: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color w:val="auto"/>
              </w:rPr>
              <w:t>103,151 103,151</w:t>
            </w: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ind w:left="1380"/>
              <w:spacing w:after="0"/>
              <w:rPr>
                <w:sz w:val="20"/>
                <w:szCs w:val="20"/>
                <w:color w:val="auto"/>
              </w:rPr>
            </w:pPr>
            <w:r>
              <w:rPr>
                <w:rFonts w:ascii="Arial" w:cs="Arial" w:eastAsia="Arial" w:hAnsi="Arial"/>
                <w:sz w:val="14"/>
                <w:szCs w:val="14"/>
                <w:color w:val="auto"/>
                <w:w w:val="97"/>
              </w:rPr>
              <w:t>(178)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102,974</w:t>
            </w:r>
          </w:p>
        </w:tc>
      </w:tr>
      <w:tr>
        <w:trPr>
          <w:trHeight w:val="181"/>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1460"/>
              <w:spacing w:after="0"/>
              <w:rPr>
                <w:sz w:val="20"/>
                <w:szCs w:val="20"/>
                <w:color w:val="auto"/>
              </w:rPr>
            </w:pPr>
            <w:r>
              <w:rPr>
                <w:rFonts w:ascii="Arial" w:cs="Arial" w:eastAsia="Arial" w:hAnsi="Arial"/>
                <w:sz w:val="14"/>
                <w:szCs w:val="14"/>
                <w:color w:val="auto"/>
                <w:w w:val="96"/>
              </w:rPr>
              <w:t>(60)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20,014</w:t>
            </w: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Supranational securities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gridSpan w:val="4"/>
          </w:tcPr>
          <w:p>
            <w:pPr>
              <w:jc w:val="right"/>
              <w:ind w:right="140"/>
              <w:spacing w:after="0"/>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5"/>
                <w:szCs w:val="15"/>
                <w:color w:val="auto"/>
              </w:rPr>
            </w:pPr>
          </w:p>
        </w:tc>
        <w:tc>
          <w:tcPr>
            <w:tcW w:w="1720" w:type="dxa"/>
            <w:vAlign w:val="bottom"/>
            <w:gridSpan w:val="2"/>
          </w:tcPr>
          <w:p>
            <w:pPr>
              <w:ind w:left="15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171,377</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bottom w:val="single" w:sz="8" w:color="auto"/>
            </w:tcBorders>
            <w:gridSpan w:val="2"/>
            <w:shd w:val="clear" w:color="auto" w:fill="CCEEFF"/>
          </w:tcPr>
          <w:p>
            <w:pPr>
              <w:ind w:left="1380"/>
              <w:spacing w:after="0"/>
              <w:rPr>
                <w:sz w:val="20"/>
                <w:szCs w:val="20"/>
                <w:color w:val="auto"/>
              </w:rPr>
            </w:pPr>
            <w:r>
              <w:rPr>
                <w:rFonts w:ascii="Arial" w:cs="Arial" w:eastAsia="Arial" w:hAnsi="Arial"/>
                <w:sz w:val="14"/>
                <w:szCs w:val="14"/>
                <w:color w:val="auto"/>
                <w:w w:val="97"/>
              </w:rPr>
              <w:t>(528)</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170,850</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574"/>
        </w:trPr>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8"/>
          </w:tcPr>
          <w:p>
            <w:pPr>
              <w:ind w:left="1120"/>
              <w:spacing w:after="0"/>
              <w:rPr>
                <w:sz w:val="20"/>
                <w:szCs w:val="20"/>
                <w:color w:val="auto"/>
              </w:rPr>
            </w:pPr>
            <w:r>
              <w:rPr>
                <w:rFonts w:ascii="Arial" w:cs="Arial" w:eastAsia="Arial" w:hAnsi="Arial"/>
                <w:sz w:val="11"/>
                <w:szCs w:val="11"/>
                <w:b w:val="1"/>
                <w:bCs w:val="1"/>
                <w:color w:val="auto"/>
              </w:rPr>
              <w:t>As of December 31, 2021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42"/>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3"/>
          </w:tcPr>
          <w:p>
            <w:pPr>
              <w:ind w:left="340"/>
              <w:spacing w:after="0"/>
              <w:rPr>
                <w:sz w:val="20"/>
                <w:szCs w:val="20"/>
                <w:color w:val="auto"/>
              </w:rPr>
            </w:pPr>
            <w:r>
              <w:rPr>
                <w:rFonts w:ascii="Arial" w:cs="Arial" w:eastAsia="Arial" w:hAnsi="Arial"/>
                <w:sz w:val="11"/>
                <w:szCs w:val="11"/>
                <w:b w:val="1"/>
                <w:bCs w:val="1"/>
                <w:color w:val="auto"/>
              </w:rPr>
              <w:t>Amortized Cost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1"/>
                <w:szCs w:val="11"/>
                <w:b w:val="1"/>
                <w:bCs w:val="1"/>
                <w:color w:val="auto"/>
              </w:rPr>
              <w:t>Gross Unrealized Gains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ind w:left="40"/>
              <w:spacing w:after="0"/>
              <w:rPr>
                <w:sz w:val="20"/>
                <w:szCs w:val="20"/>
                <w:color w:val="auto"/>
              </w:rPr>
            </w:pPr>
            <w:r>
              <w:rPr>
                <w:rFonts w:ascii="Arial" w:cs="Arial" w:eastAsia="Arial" w:hAnsi="Arial"/>
                <w:sz w:val="11"/>
                <w:szCs w:val="11"/>
                <w:b w:val="1"/>
                <w:bCs w:val="1"/>
                <w:color w:val="auto"/>
              </w:rPr>
              <w:t>Gross Unrealized Losses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tcPr>
          <w:p>
            <w:pPr>
              <w:jc w:val="right"/>
              <w:ind w:right="692"/>
              <w:spacing w:after="0"/>
              <w:rPr>
                <w:sz w:val="20"/>
                <w:szCs w:val="20"/>
                <w:color w:val="auto"/>
              </w:rPr>
            </w:pPr>
            <w:r>
              <w:rPr>
                <w:rFonts w:ascii="Arial" w:cs="Arial" w:eastAsia="Arial" w:hAnsi="Arial"/>
                <w:sz w:val="11"/>
                <w:szCs w:val="11"/>
                <w:b w:val="1"/>
                <w:bCs w:val="1"/>
                <w:color w:val="auto"/>
              </w:rPr>
              <w:t>Fair Value</w:t>
            </w:r>
          </w:p>
        </w:tc>
      </w:tr>
      <w:tr>
        <w:trPr>
          <w:trHeight w:val="172"/>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Treasury securities</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18,201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4"/>
                <w:szCs w:val="14"/>
                <w:color w:val="auto"/>
                <w:w w:val="96"/>
              </w:rPr>
              <w:t>(16)</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gridSpan w:val="2"/>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18,185</w:t>
            </w:r>
          </w:p>
        </w:tc>
      </w:tr>
      <w:tr>
        <w:trPr>
          <w:trHeight w:val="180"/>
        </w:trPr>
        <w:tc>
          <w:tcPr>
            <w:tcW w:w="2780" w:type="dxa"/>
            <w:vAlign w:val="bottom"/>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4"/>
                <w:szCs w:val="14"/>
                <w:color w:val="auto"/>
              </w:rPr>
              <w:t>82,138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ind w:left="14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ind w:left="1380"/>
              <w:spacing w:after="0"/>
              <w:rPr>
                <w:sz w:val="20"/>
                <w:szCs w:val="20"/>
                <w:color w:val="auto"/>
              </w:rPr>
            </w:pPr>
            <w:r>
              <w:rPr>
                <w:rFonts w:ascii="Arial" w:cs="Arial" w:eastAsia="Arial" w:hAnsi="Arial"/>
                <w:sz w:val="14"/>
                <w:szCs w:val="14"/>
                <w:color w:val="auto"/>
                <w:w w:val="96"/>
              </w:rPr>
              <w:t>(57)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82,081</w:t>
            </w:r>
          </w:p>
        </w:tc>
      </w:tr>
      <w:tr>
        <w:trPr>
          <w:trHeight w:val="181"/>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16,009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ind w:left="14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ind w:left="1380"/>
              <w:spacing w:after="0"/>
              <w:rPr>
                <w:sz w:val="20"/>
                <w:szCs w:val="20"/>
                <w:color w:val="auto"/>
              </w:rPr>
            </w:pPr>
            <w:r>
              <w:rPr>
                <w:rFonts w:ascii="Arial" w:cs="Arial" w:eastAsia="Arial" w:hAnsi="Arial"/>
                <w:sz w:val="14"/>
                <w:szCs w:val="14"/>
                <w:color w:val="auto"/>
                <w:w w:val="96"/>
              </w:rPr>
              <w:t>(14)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15,995</w:t>
            </w:r>
          </w:p>
        </w:tc>
      </w:tr>
      <w:tr>
        <w:trPr>
          <w:trHeight w:val="18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Supranational securities</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4,044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w w:val="93"/>
              </w:rPr>
              <w:t>(3)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4,041</w:t>
            </w:r>
          </w:p>
        </w:tc>
      </w:tr>
      <w:tr>
        <w:trPr>
          <w:trHeight w:val="196"/>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120,392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4"/>
                <w:szCs w:val="14"/>
                <w:color w:val="auto"/>
                <w:w w:val="96"/>
              </w:rPr>
              <w:t>(90)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gridSpan w:val="2"/>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120,302</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580" w:firstLine="318"/>
        <w:spacing w:after="0" w:line="368" w:lineRule="auto"/>
        <w:rPr>
          <w:sz w:val="20"/>
          <w:szCs w:val="20"/>
          <w:color w:val="auto"/>
        </w:rPr>
      </w:pPr>
      <w:r>
        <w:rPr>
          <w:rFonts w:ascii="Arial" w:cs="Arial" w:eastAsia="Arial" w:hAnsi="Arial"/>
          <w:sz w:val="12"/>
          <w:szCs w:val="12"/>
          <w:color w:val="auto"/>
        </w:rPr>
        <w:t>The Company’s available for sale securities are reported at fair value on the Company’s balance sheet. Unrealized gains (losses) are reported within other comprehensive income in the statements of comprehensive loss. The cost of securities sold and any realized gains/losses from the sale of available for sale securities are based on the specific identification method.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changes in accumulated other comprehensive income associated with the unrealized gain on available for sale securities during the three months ended June 30, 2022 and 2021, respectively,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6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1"/>
                <w:szCs w:val="11"/>
                <w:b w:val="1"/>
                <w:bCs w:val="1"/>
                <w:color w:val="auto"/>
                <w:w w:val="91"/>
              </w:rPr>
              <w:t>Three months ended June 30,</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1"/>
                <w:szCs w:val="11"/>
                <w:b w:val="1"/>
                <w:bCs w:val="1"/>
                <w:color w:val="auto"/>
              </w:rPr>
              <w:t>Six Months Ended June 30, 2022</w:t>
            </w:r>
          </w:p>
        </w:tc>
        <w:tc>
          <w:tcPr>
            <w:tcW w:w="0" w:type="dxa"/>
            <w:vAlign w:val="bottom"/>
          </w:tcPr>
          <w:p>
            <w:pPr>
              <w:spacing w:after="0"/>
              <w:rPr>
                <w:sz w:val="1"/>
                <w:szCs w:val="1"/>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7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940" w:type="dxa"/>
            <w:vAlign w:val="bottom"/>
            <w:shd w:val="clear" w:color="auto" w:fill="CCEEFF"/>
          </w:tcPr>
          <w:p>
            <w:pPr>
              <w:jc w:val="right"/>
              <w:ind w:right="773"/>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3"/>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4600" w:type="dxa"/>
            <w:vAlign w:val="bottom"/>
          </w:tcPr>
          <w:p>
            <w:pPr>
              <w:ind w:left="20"/>
              <w:spacing w:after="0"/>
              <w:rPr>
                <w:sz w:val="20"/>
                <w:szCs w:val="20"/>
                <w:color w:val="auto"/>
              </w:rPr>
            </w:pPr>
            <w:r>
              <w:rPr>
                <w:rFonts w:ascii="Arial" w:cs="Arial" w:eastAsia="Arial" w:hAnsi="Arial"/>
                <w:sz w:val="14"/>
                <w:szCs w:val="14"/>
                <w:color w:val="auto"/>
              </w:rPr>
              <w:t>Current period changes in fair value before reclassifications, net of tax</w:t>
            </w:r>
          </w:p>
        </w:tc>
        <w:tc>
          <w:tcPr>
            <w:tcW w:w="9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6"/>
              </w:rPr>
              <w:t>Amounts reclassified from accumulated other comprehensive income, net of</w:t>
            </w:r>
          </w:p>
        </w:tc>
        <w:tc>
          <w:tcPr>
            <w:tcW w:w="9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w:t>
            </w:r>
          </w:p>
        </w:tc>
        <w:tc>
          <w:tcPr>
            <w:tcW w:w="9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comprehensive loss</w:t>
            </w:r>
          </w:p>
        </w:tc>
        <w:tc>
          <w:tcPr>
            <w:tcW w:w="94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80" w:type="dxa"/>
            <w:vAlign w:val="bottom"/>
            <w:tcBorders>
              <w:bottom w:val="single" w:sz="8" w:color="CCEEFF"/>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1033"/>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(438)</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Fair Value Measurements</w:t>
      </w:r>
    </w:p>
    <w:p>
      <w:pPr>
        <w:spacing w:after="0" w:line="129" w:lineRule="exact"/>
        <w:rPr>
          <w:sz w:val="20"/>
          <w:szCs w:val="20"/>
          <w:color w:val="auto"/>
        </w:rPr>
      </w:pPr>
    </w:p>
    <w:p>
      <w:pPr>
        <w:ind w:right="20" w:firstLine="350"/>
        <w:spacing w:after="0" w:line="267" w:lineRule="auto"/>
        <w:rPr>
          <w:sz w:val="20"/>
          <w:szCs w:val="20"/>
          <w:color w:val="auto"/>
        </w:rPr>
      </w:pPr>
      <w:r>
        <w:rPr>
          <w:rFonts w:ascii="Arial" w:cs="Arial" w:eastAsia="Arial" w:hAnsi="Arial"/>
          <w:sz w:val="14"/>
          <w:szCs w:val="14"/>
          <w:color w:val="auto"/>
        </w:rPr>
        <w:t xml:space="preserve">ASC 820,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presents, for each of the fair value hierarchy levels required under ASC 820, the Company's assets and liabilities that are measured at fair value on a recurring basis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June 30,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4"/>
              </w:rPr>
              <w:t>Fair Value Measurement Using</w:t>
            </w: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6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gridSpan w:val="2"/>
          </w:tcPr>
          <w:p>
            <w:pPr>
              <w:jc w:val="center"/>
              <w:ind w:right="340"/>
              <w:spacing w:after="0" w:line="101" w:lineRule="exact"/>
              <w:rPr>
                <w:sz w:val="20"/>
                <w:szCs w:val="20"/>
                <w:color w:val="auto"/>
              </w:rPr>
            </w:pPr>
            <w:r>
              <w:rPr>
                <w:rFonts w:ascii="Arial" w:cs="Arial" w:eastAsia="Arial" w:hAnsi="Arial"/>
                <w:sz w:val="11"/>
                <w:szCs w:val="11"/>
                <w:b w:val="1"/>
                <w:bCs w:val="1"/>
                <w:color w:val="auto"/>
                <w:w w:val="92"/>
              </w:rPr>
              <w:t>Quoted prices in</w:t>
            </w:r>
          </w:p>
        </w:tc>
        <w:tc>
          <w:tcPr>
            <w:tcW w:w="240" w:type="dxa"/>
            <w:vAlign w:val="bottom"/>
          </w:tcPr>
          <w:p>
            <w:pPr>
              <w:spacing w:after="0"/>
              <w:rPr>
                <w:sz w:val="8"/>
                <w:szCs w:val="8"/>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2"/>
              </w:rPr>
              <w:t>Significant other</w:t>
            </w:r>
          </w:p>
        </w:tc>
        <w:tc>
          <w:tcPr>
            <w:tcW w:w="280" w:type="dxa"/>
            <w:vAlign w:val="bottom"/>
          </w:tcPr>
          <w:p>
            <w:pPr>
              <w:spacing w:after="0"/>
              <w:rPr>
                <w:sz w:val="8"/>
                <w:szCs w:val="8"/>
                <w:color w:val="auto"/>
              </w:rPr>
            </w:pPr>
          </w:p>
        </w:tc>
        <w:tc>
          <w:tcPr>
            <w:tcW w:w="1360" w:type="dxa"/>
            <w:vAlign w:val="bottom"/>
          </w:tcPr>
          <w:p>
            <w:pPr>
              <w:jc w:val="center"/>
              <w:ind w:right="216"/>
              <w:spacing w:after="0" w:line="101" w:lineRule="exact"/>
              <w:rPr>
                <w:sz w:val="20"/>
                <w:szCs w:val="20"/>
                <w:color w:val="auto"/>
              </w:rPr>
            </w:pPr>
            <w:r>
              <w:rPr>
                <w:rFonts w:ascii="Arial" w:cs="Arial" w:eastAsia="Arial" w:hAnsi="Arial"/>
                <w:sz w:val="11"/>
                <w:szCs w:val="11"/>
                <w:b w:val="1"/>
                <w:bCs w:val="1"/>
                <w:color w:val="auto"/>
                <w:w w:val="92"/>
              </w:rPr>
              <w:t>Significant</w:t>
            </w:r>
          </w:p>
        </w:tc>
        <w:tc>
          <w:tcPr>
            <w:tcW w:w="0" w:type="dxa"/>
            <w:vAlign w:val="bottom"/>
          </w:tcPr>
          <w:p>
            <w:pPr>
              <w:spacing w:after="0"/>
              <w:rPr>
                <w:sz w:val="1"/>
                <w:szCs w:val="1"/>
                <w:color w:val="auto"/>
              </w:rPr>
            </w:pPr>
          </w:p>
        </w:tc>
      </w:tr>
      <w:tr>
        <w:trPr>
          <w:trHeight w:val="106"/>
        </w:trPr>
        <w:tc>
          <w:tcPr>
            <w:tcW w:w="6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93"/>
              </w:rPr>
              <w:t>active markets for</w:t>
            </w:r>
          </w:p>
        </w:tc>
        <w:tc>
          <w:tcPr>
            <w:tcW w:w="2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jc w:val="center"/>
              <w:ind w:right="216"/>
              <w:spacing w:after="0" w:line="106" w:lineRule="exact"/>
              <w:rPr>
                <w:sz w:val="20"/>
                <w:szCs w:val="20"/>
                <w:color w:val="auto"/>
              </w:rPr>
            </w:pPr>
            <w:r>
              <w:rPr>
                <w:rFonts w:ascii="Arial" w:cs="Arial" w:eastAsia="Arial" w:hAnsi="Arial"/>
                <w:sz w:val="11"/>
                <w:szCs w:val="11"/>
                <w:b w:val="1"/>
                <w:bCs w:val="1"/>
                <w:color w:val="auto"/>
                <w:w w:val="89"/>
              </w:rPr>
              <w:t>unobservable</w:t>
            </w:r>
          </w:p>
        </w:tc>
        <w:tc>
          <w:tcPr>
            <w:tcW w:w="0" w:type="dxa"/>
            <w:vAlign w:val="bottom"/>
          </w:tcPr>
          <w:p>
            <w:pPr>
              <w:spacing w:after="0"/>
              <w:rPr>
                <w:sz w:val="1"/>
                <w:szCs w:val="1"/>
                <w:color w:val="auto"/>
              </w:rPr>
            </w:pPr>
          </w:p>
        </w:tc>
      </w:tr>
      <w:tr>
        <w:trPr>
          <w:trHeight w:val="106"/>
        </w:trPr>
        <w:tc>
          <w:tcPr>
            <w:tcW w:w="6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87"/>
              </w:rPr>
              <w:t>identical assets</w:t>
            </w:r>
          </w:p>
        </w:tc>
        <w:tc>
          <w:tcPr>
            <w:tcW w:w="240" w:type="dxa"/>
            <w:vAlign w:val="bottom"/>
          </w:tcPr>
          <w:p>
            <w:pPr>
              <w:spacing w:after="0"/>
              <w:rPr>
                <w:sz w:val="9"/>
                <w:szCs w:val="9"/>
                <w:color w:val="auto"/>
              </w:rPr>
            </w:pPr>
          </w:p>
        </w:tc>
        <w:tc>
          <w:tcPr>
            <w:tcW w:w="150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89"/>
              </w:rPr>
              <w:t>observable inputs</w:t>
            </w:r>
          </w:p>
        </w:tc>
        <w:tc>
          <w:tcPr>
            <w:tcW w:w="280" w:type="dxa"/>
            <w:vAlign w:val="bottom"/>
          </w:tcPr>
          <w:p>
            <w:pPr>
              <w:spacing w:after="0"/>
              <w:rPr>
                <w:sz w:val="9"/>
                <w:szCs w:val="9"/>
                <w:color w:val="auto"/>
              </w:rPr>
            </w:pPr>
          </w:p>
        </w:tc>
        <w:tc>
          <w:tcPr>
            <w:tcW w:w="1360" w:type="dxa"/>
            <w:vAlign w:val="bottom"/>
          </w:tcPr>
          <w:p>
            <w:pPr>
              <w:jc w:val="center"/>
              <w:ind w:right="236"/>
              <w:spacing w:after="0" w:line="106" w:lineRule="exact"/>
              <w:rPr>
                <w:sz w:val="20"/>
                <w:szCs w:val="20"/>
                <w:color w:val="auto"/>
              </w:rPr>
            </w:pPr>
            <w:r>
              <w:rPr>
                <w:rFonts w:ascii="Arial" w:cs="Arial" w:eastAsia="Arial" w:hAnsi="Arial"/>
                <w:sz w:val="11"/>
                <w:szCs w:val="11"/>
                <w:b w:val="1"/>
                <w:bCs w:val="1"/>
                <w:color w:val="auto"/>
                <w:w w:val="90"/>
              </w:rPr>
              <w:t>inputs</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(Level 1)</w:t>
            </w:r>
          </w:p>
        </w:tc>
        <w:tc>
          <w:tcPr>
            <w:tcW w:w="240" w:type="dxa"/>
            <w:vAlign w:val="bottom"/>
          </w:tcPr>
          <w:p>
            <w:pPr>
              <w:spacing w:after="0"/>
              <w:rPr>
                <w:sz w:val="12"/>
                <w:szCs w:val="12"/>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(Level 2)</w:t>
            </w:r>
          </w:p>
        </w:tc>
        <w:tc>
          <w:tcPr>
            <w:tcW w:w="280" w:type="dxa"/>
            <w:vAlign w:val="bottom"/>
          </w:tcPr>
          <w:p>
            <w:pPr>
              <w:spacing w:after="0"/>
              <w:rPr>
                <w:sz w:val="12"/>
                <w:szCs w:val="12"/>
                <w:color w:val="auto"/>
              </w:rPr>
            </w:pPr>
          </w:p>
        </w:tc>
        <w:tc>
          <w:tcPr>
            <w:tcW w:w="1360" w:type="dxa"/>
            <w:vAlign w:val="bottom"/>
          </w:tcPr>
          <w:p>
            <w:pPr>
              <w:jc w:val="center"/>
              <w:ind w:right="216"/>
              <w:spacing w:after="0"/>
              <w:rPr>
                <w:sz w:val="20"/>
                <w:szCs w:val="20"/>
                <w:color w:val="auto"/>
              </w:rPr>
            </w:pPr>
            <w:r>
              <w:rPr>
                <w:rFonts w:ascii="Arial" w:cs="Arial" w:eastAsia="Arial" w:hAnsi="Arial"/>
                <w:sz w:val="11"/>
                <w:szCs w:val="11"/>
                <w:b w:val="1"/>
                <w:bCs w:val="1"/>
                <w:color w:val="auto"/>
                <w:w w:val="98"/>
              </w:rPr>
              <w:t>(Level 3)</w:t>
            </w:r>
          </w:p>
        </w:tc>
        <w:tc>
          <w:tcPr>
            <w:tcW w:w="0" w:type="dxa"/>
            <w:vAlign w:val="bottom"/>
          </w:tcPr>
          <w:p>
            <w:pPr>
              <w:spacing w:after="0"/>
              <w:rPr>
                <w:sz w:val="1"/>
                <w:szCs w:val="1"/>
                <w:color w:val="auto"/>
              </w:rPr>
            </w:pPr>
          </w:p>
        </w:tc>
      </w:tr>
      <w:tr>
        <w:trPr>
          <w:trHeight w:val="172"/>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Investments in money market funds*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131,399</w:t>
            </w:r>
          </w:p>
        </w:tc>
        <w:tc>
          <w:tcPr>
            <w:tcW w:w="10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U.S. Treasury securities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Investments in corporate debt securities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3"/>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102,974</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asset-backed securities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Investments in supranational securities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138811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1"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Investments in money market funds are reflected in cash and cash equivalents in the accompanying Condensed Unaudited Consolidated Balance Sheets.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presents, for each of the fair value hierarchy levels required under ASC 820, the Company's assets and liabilities that are measured at fair value on a recurring basis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4"/>
              </w:rPr>
              <w:t>Fair Value Measurement Using</w:t>
            </w: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6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gridSpan w:val="2"/>
          </w:tcPr>
          <w:p>
            <w:pPr>
              <w:jc w:val="center"/>
              <w:ind w:right="340"/>
              <w:spacing w:after="0" w:line="101" w:lineRule="exact"/>
              <w:rPr>
                <w:sz w:val="20"/>
                <w:szCs w:val="20"/>
                <w:color w:val="auto"/>
              </w:rPr>
            </w:pPr>
            <w:r>
              <w:rPr>
                <w:rFonts w:ascii="Arial" w:cs="Arial" w:eastAsia="Arial" w:hAnsi="Arial"/>
                <w:sz w:val="11"/>
                <w:szCs w:val="11"/>
                <w:b w:val="1"/>
                <w:bCs w:val="1"/>
                <w:color w:val="auto"/>
                <w:w w:val="92"/>
              </w:rPr>
              <w:t>Quoted prices in</w:t>
            </w:r>
          </w:p>
        </w:tc>
        <w:tc>
          <w:tcPr>
            <w:tcW w:w="240" w:type="dxa"/>
            <w:vAlign w:val="bottom"/>
          </w:tcPr>
          <w:p>
            <w:pPr>
              <w:spacing w:after="0"/>
              <w:rPr>
                <w:sz w:val="8"/>
                <w:szCs w:val="8"/>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2"/>
              </w:rPr>
              <w:t>Significant other</w:t>
            </w:r>
          </w:p>
        </w:tc>
        <w:tc>
          <w:tcPr>
            <w:tcW w:w="280" w:type="dxa"/>
            <w:vAlign w:val="bottom"/>
          </w:tcPr>
          <w:p>
            <w:pPr>
              <w:spacing w:after="0"/>
              <w:rPr>
                <w:sz w:val="8"/>
                <w:szCs w:val="8"/>
                <w:color w:val="auto"/>
              </w:rPr>
            </w:pPr>
          </w:p>
        </w:tc>
        <w:tc>
          <w:tcPr>
            <w:tcW w:w="1360" w:type="dxa"/>
            <w:vAlign w:val="bottom"/>
          </w:tcPr>
          <w:p>
            <w:pPr>
              <w:jc w:val="center"/>
              <w:ind w:right="216"/>
              <w:spacing w:after="0" w:line="101" w:lineRule="exact"/>
              <w:rPr>
                <w:sz w:val="20"/>
                <w:szCs w:val="20"/>
                <w:color w:val="auto"/>
              </w:rPr>
            </w:pPr>
            <w:r>
              <w:rPr>
                <w:rFonts w:ascii="Arial" w:cs="Arial" w:eastAsia="Arial" w:hAnsi="Arial"/>
                <w:sz w:val="11"/>
                <w:szCs w:val="11"/>
                <w:b w:val="1"/>
                <w:bCs w:val="1"/>
                <w:color w:val="auto"/>
                <w:w w:val="92"/>
              </w:rPr>
              <w:t>Significant</w:t>
            </w:r>
          </w:p>
        </w:tc>
        <w:tc>
          <w:tcPr>
            <w:tcW w:w="0" w:type="dxa"/>
            <w:vAlign w:val="bottom"/>
          </w:tcPr>
          <w:p>
            <w:pPr>
              <w:spacing w:after="0"/>
              <w:rPr>
                <w:sz w:val="1"/>
                <w:szCs w:val="1"/>
                <w:color w:val="auto"/>
              </w:rPr>
            </w:pPr>
          </w:p>
        </w:tc>
      </w:tr>
      <w:tr>
        <w:trPr>
          <w:trHeight w:val="106"/>
        </w:trPr>
        <w:tc>
          <w:tcPr>
            <w:tcW w:w="6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93"/>
              </w:rPr>
              <w:t>active markets for</w:t>
            </w:r>
          </w:p>
        </w:tc>
        <w:tc>
          <w:tcPr>
            <w:tcW w:w="2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jc w:val="center"/>
              <w:ind w:right="216"/>
              <w:spacing w:after="0" w:line="106" w:lineRule="exact"/>
              <w:rPr>
                <w:sz w:val="20"/>
                <w:szCs w:val="20"/>
                <w:color w:val="auto"/>
              </w:rPr>
            </w:pPr>
            <w:r>
              <w:rPr>
                <w:rFonts w:ascii="Arial" w:cs="Arial" w:eastAsia="Arial" w:hAnsi="Arial"/>
                <w:sz w:val="11"/>
                <w:szCs w:val="11"/>
                <w:b w:val="1"/>
                <w:bCs w:val="1"/>
                <w:color w:val="auto"/>
                <w:w w:val="89"/>
              </w:rPr>
              <w:t>unobservable</w:t>
            </w:r>
          </w:p>
        </w:tc>
        <w:tc>
          <w:tcPr>
            <w:tcW w:w="0" w:type="dxa"/>
            <w:vAlign w:val="bottom"/>
          </w:tcPr>
          <w:p>
            <w:pPr>
              <w:spacing w:after="0"/>
              <w:rPr>
                <w:sz w:val="1"/>
                <w:szCs w:val="1"/>
                <w:color w:val="auto"/>
              </w:rPr>
            </w:pPr>
          </w:p>
        </w:tc>
      </w:tr>
      <w:tr>
        <w:trPr>
          <w:trHeight w:val="106"/>
        </w:trPr>
        <w:tc>
          <w:tcPr>
            <w:tcW w:w="6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87"/>
              </w:rPr>
              <w:t>identical assets</w:t>
            </w:r>
          </w:p>
        </w:tc>
        <w:tc>
          <w:tcPr>
            <w:tcW w:w="240" w:type="dxa"/>
            <w:vAlign w:val="bottom"/>
          </w:tcPr>
          <w:p>
            <w:pPr>
              <w:spacing w:after="0"/>
              <w:rPr>
                <w:sz w:val="9"/>
                <w:szCs w:val="9"/>
                <w:color w:val="auto"/>
              </w:rPr>
            </w:pPr>
          </w:p>
        </w:tc>
        <w:tc>
          <w:tcPr>
            <w:tcW w:w="150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89"/>
              </w:rPr>
              <w:t>observable inputs</w:t>
            </w:r>
          </w:p>
        </w:tc>
        <w:tc>
          <w:tcPr>
            <w:tcW w:w="280" w:type="dxa"/>
            <w:vAlign w:val="bottom"/>
          </w:tcPr>
          <w:p>
            <w:pPr>
              <w:spacing w:after="0"/>
              <w:rPr>
                <w:sz w:val="9"/>
                <w:szCs w:val="9"/>
                <w:color w:val="auto"/>
              </w:rPr>
            </w:pPr>
          </w:p>
        </w:tc>
        <w:tc>
          <w:tcPr>
            <w:tcW w:w="1360" w:type="dxa"/>
            <w:vAlign w:val="bottom"/>
          </w:tcPr>
          <w:p>
            <w:pPr>
              <w:jc w:val="center"/>
              <w:ind w:right="236"/>
              <w:spacing w:after="0" w:line="106" w:lineRule="exact"/>
              <w:rPr>
                <w:sz w:val="20"/>
                <w:szCs w:val="20"/>
                <w:color w:val="auto"/>
              </w:rPr>
            </w:pPr>
            <w:r>
              <w:rPr>
                <w:rFonts w:ascii="Arial" w:cs="Arial" w:eastAsia="Arial" w:hAnsi="Arial"/>
                <w:sz w:val="11"/>
                <w:szCs w:val="11"/>
                <w:b w:val="1"/>
                <w:bCs w:val="1"/>
                <w:color w:val="auto"/>
                <w:w w:val="90"/>
              </w:rPr>
              <w:t>inputs</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(Level 1)</w:t>
            </w:r>
          </w:p>
        </w:tc>
        <w:tc>
          <w:tcPr>
            <w:tcW w:w="240" w:type="dxa"/>
            <w:vAlign w:val="bottom"/>
          </w:tcPr>
          <w:p>
            <w:pPr>
              <w:spacing w:after="0"/>
              <w:rPr>
                <w:sz w:val="12"/>
                <w:szCs w:val="12"/>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(Level 2)</w:t>
            </w:r>
          </w:p>
        </w:tc>
        <w:tc>
          <w:tcPr>
            <w:tcW w:w="280" w:type="dxa"/>
            <w:vAlign w:val="bottom"/>
          </w:tcPr>
          <w:p>
            <w:pPr>
              <w:spacing w:after="0"/>
              <w:rPr>
                <w:sz w:val="12"/>
                <w:szCs w:val="12"/>
                <w:color w:val="auto"/>
              </w:rPr>
            </w:pPr>
          </w:p>
        </w:tc>
        <w:tc>
          <w:tcPr>
            <w:tcW w:w="1360" w:type="dxa"/>
            <w:vAlign w:val="bottom"/>
          </w:tcPr>
          <w:p>
            <w:pPr>
              <w:jc w:val="center"/>
              <w:ind w:right="216"/>
              <w:spacing w:after="0"/>
              <w:rPr>
                <w:sz w:val="20"/>
                <w:szCs w:val="20"/>
                <w:color w:val="auto"/>
              </w:rPr>
            </w:pPr>
            <w:r>
              <w:rPr>
                <w:rFonts w:ascii="Arial" w:cs="Arial" w:eastAsia="Arial" w:hAnsi="Arial"/>
                <w:sz w:val="11"/>
                <w:szCs w:val="11"/>
                <w:b w:val="1"/>
                <w:bCs w:val="1"/>
                <w:color w:val="auto"/>
                <w:w w:val="98"/>
              </w:rPr>
              <w:t>(Level 3)</w:t>
            </w:r>
          </w:p>
        </w:tc>
        <w:tc>
          <w:tcPr>
            <w:tcW w:w="0" w:type="dxa"/>
            <w:vAlign w:val="bottom"/>
          </w:tcPr>
          <w:p>
            <w:pPr>
              <w:spacing w:after="0"/>
              <w:rPr>
                <w:sz w:val="1"/>
                <w:szCs w:val="1"/>
                <w:color w:val="auto"/>
              </w:rPr>
            </w:pPr>
          </w:p>
        </w:tc>
      </w:tr>
      <w:tr>
        <w:trPr>
          <w:trHeight w:val="172"/>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Investments in money market funds*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251,488</w:t>
            </w:r>
          </w:p>
        </w:tc>
        <w:tc>
          <w:tcPr>
            <w:tcW w:w="100" w:type="dxa"/>
            <w:vAlign w:val="bottom"/>
          </w:tcPr>
          <w:p>
            <w:pPr>
              <w:spacing w:after="0"/>
              <w:rPr>
                <w:sz w:val="15"/>
                <w:szCs w:val="15"/>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U.S. Treasury securities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Investments in corporate debt securities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82,081</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asset-backed securities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20" w:type="dxa"/>
            <w:vAlign w:val="bottom"/>
          </w:tcPr>
          <w:p>
            <w:pPr>
              <w:ind w:left="20"/>
              <w:spacing w:after="0"/>
              <w:rPr>
                <w:sz w:val="20"/>
                <w:szCs w:val="20"/>
                <w:color w:val="auto"/>
              </w:rPr>
            </w:pPr>
            <w:r>
              <w:rPr>
                <w:rFonts w:ascii="Arial" w:cs="Arial" w:eastAsia="Arial" w:hAnsi="Arial"/>
                <w:sz w:val="14"/>
                <w:szCs w:val="14"/>
                <w:color w:val="auto"/>
              </w:rPr>
              <w:t>Investments in supranational securities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4,041</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138811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1" w:lineRule="exact"/>
        <w:rPr>
          <w:sz w:val="20"/>
          <w:szCs w:val="20"/>
          <w:color w:val="auto"/>
        </w:rPr>
      </w:pPr>
    </w:p>
    <w:p>
      <w:pPr>
        <w:ind w:left="320" w:right="2120" w:hanging="60"/>
        <w:spacing w:after="0" w:line="571" w:lineRule="auto"/>
        <w:tabs>
          <w:tab w:leader="none" w:pos="507"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Investments in money market funds are reflected in cash and cash equivalents in the accompanying Condensed Unaudited Consolidated Balance Sheets. No transfer of assets between Level 1 and Level 2 of the fair value measurement hierarchy occurred during the three and six months ended June 30, 2022.</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Share-Based Compensation</w:t>
      </w:r>
    </w:p>
    <w:p>
      <w:pPr>
        <w:spacing w:after="0" w:line="119"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Pursuant to the evergreen provisions of the Company's 2013 stock incentive plan (the “2013 Plan”), annual increases have resulted in the addition of an aggregate of approximately 15,624,000 additional shares to the 2013 Plan, including for 2022, an increase of approximately 2,542,000 shares. As of June 30, 2022, the Company had approximately 3,507,000 shares available for grant under the 2013 Plan.</w:t>
      </w:r>
    </w:p>
    <w:p>
      <w:pPr>
        <w:spacing w:after="0" w:line="89"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In October 2019, the Company's board of directors adopted its 2019 Inducement Stock Incentive Plan (the “2019 Inducement Plan”) to reserve initially 1,000,000 shares of its common stock to be used exclusively for grants of awards to individuals who were not previously employees or directors of the Company as a material inducement to such individuals’ entry into employment with the Company within Rule 5635(c)(4) of the Nasdaq Listing Rules. The terms and conditions of the 2019 Inducement Plan are substantially similar to those of the 2013 Plan. In March 2020, the Company's board of directors amended the 2019 Inducement Plan to reserve an additional 1,000,000 shares of its common stock for issuance under the plan, and in February 2021, September 2021, December 2021 and May 2022, the Company's board of directors further amended the 2019 Inducement Plan to reserve an additional 600,000 shares, an additional 1,000,000 shares, an additional 1,000,000 shares and an additional 1,000,000 shares, respectively, of its common stock for issuance under the plan. As of June 30, 2022, the Company had approximately 1,341,000 shares available for grant under the 2019 Inducement Plan.</w:t>
      </w:r>
    </w:p>
    <w:p>
      <w:pPr>
        <w:spacing w:after="0" w:line="98"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Share-based compensation expense, net of estimated forfeitures, includes expenses related to stock options and RSUs granted to employees, non-employee directors and consultants, as well as options granted to employees to purchase shares under the ESPP. Stock-based compensation by award type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2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1"/>
                <w:szCs w:val="11"/>
                <w:b w:val="1"/>
                <w:bCs w:val="1"/>
                <w:color w:val="auto"/>
              </w:rPr>
              <w:t>Three Months Ended June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1"/>
                <w:szCs w:val="11"/>
                <w:b w:val="1"/>
                <w:bCs w:val="1"/>
                <w:color w:val="auto"/>
              </w:rPr>
              <w:t>Six Months Ended June 30,</w:t>
            </w:r>
          </w:p>
        </w:tc>
      </w:tr>
      <w:tr>
        <w:trPr>
          <w:trHeight w:val="142"/>
        </w:trPr>
        <w:tc>
          <w:tcPr>
            <w:tcW w:w="5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2021</w:t>
            </w:r>
          </w:p>
        </w:tc>
      </w:tr>
      <w:tr>
        <w:trPr>
          <w:trHeight w:val="172"/>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2,511</w:t>
            </w:r>
          </w:p>
        </w:tc>
      </w:tr>
      <w:tr>
        <w:trPr>
          <w:trHeight w:val="180"/>
        </w:trPr>
        <w:tc>
          <w:tcPr>
            <w:tcW w:w="522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2,571</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1,795</w:t>
            </w:r>
          </w:p>
        </w:tc>
      </w:tr>
      <w:tr>
        <w:trPr>
          <w:trHeight w:val="180"/>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71"/>
        </w:trPr>
        <w:tc>
          <w:tcPr>
            <w:tcW w:w="5220" w:type="dxa"/>
            <w:vAlign w:val="bottom"/>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6,388</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4,371</w:t>
            </w:r>
          </w:p>
        </w:tc>
      </w:tr>
      <w:tr>
        <w:trPr>
          <w:trHeight w:val="20"/>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allocated stock-based compensation expense in the Company’s Consolidated Statements of Operations and Comprehensive Loss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2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1"/>
                <w:szCs w:val="11"/>
                <w:b w:val="1"/>
                <w:bCs w:val="1"/>
                <w:color w:val="auto"/>
              </w:rPr>
              <w:t>Three Months Ended June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1"/>
                <w:szCs w:val="11"/>
                <w:b w:val="1"/>
                <w:bCs w:val="1"/>
                <w:color w:val="auto"/>
              </w:rPr>
              <w:t>Six Months Ended June 30,</w:t>
            </w:r>
          </w:p>
        </w:tc>
      </w:tr>
      <w:tr>
        <w:trPr>
          <w:trHeight w:val="142"/>
        </w:trPr>
        <w:tc>
          <w:tcPr>
            <w:tcW w:w="5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2021</w:t>
            </w:r>
          </w:p>
        </w:tc>
      </w:tr>
      <w:tr>
        <w:trPr>
          <w:trHeight w:val="172"/>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2,662</w:t>
            </w:r>
          </w:p>
        </w:tc>
      </w:tr>
      <w:tr>
        <w:trPr>
          <w:trHeight w:val="18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3,622</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w:t>
            </w:r>
          </w:p>
        </w:tc>
      </w:tr>
      <w:tr>
        <w:trPr>
          <w:trHeight w:val="19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6,388</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Stock Options</w:t>
      </w:r>
    </w:p>
    <w:p>
      <w:pPr>
        <w:spacing w:after="0" w:line="115"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A summary of the stock option activity, weighted average exercise prices, options outstanding, exercisable and expected to vest as of June 30, 2022 is as follows (in thousands except weighted average exercise price):</w:t>
      </w:r>
    </w:p>
    <w:p>
      <w:pPr>
        <w:spacing w:after="0" w:line="4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75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Pr>
          <w:p>
            <w:pPr>
              <w:jc w:val="right"/>
              <w:ind w:right="414"/>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06"/>
        </w:trPr>
        <w:tc>
          <w:tcPr>
            <w:tcW w:w="7560" w:type="dxa"/>
            <w:vAlign w:val="bottom"/>
          </w:tcPr>
          <w:p>
            <w:pPr>
              <w:spacing w:after="0"/>
              <w:rPr>
                <w:sz w:val="9"/>
                <w:szCs w:val="9"/>
                <w:color w:val="auto"/>
              </w:rPr>
            </w:pPr>
          </w:p>
        </w:tc>
        <w:tc>
          <w:tcPr>
            <w:tcW w:w="1420" w:type="dxa"/>
            <w:vAlign w:val="bottom"/>
            <w:vMerge w:val="restart"/>
          </w:tcPr>
          <w:p>
            <w:pPr>
              <w:jc w:val="right"/>
              <w:ind w:right="32"/>
              <w:spacing w:after="0"/>
              <w:rPr>
                <w:sz w:val="20"/>
                <w:szCs w:val="20"/>
                <w:color w:val="auto"/>
              </w:rPr>
            </w:pPr>
            <w:r>
              <w:rPr>
                <w:rFonts w:ascii="Arial" w:cs="Arial" w:eastAsia="Arial" w:hAnsi="Arial"/>
                <w:sz w:val="11"/>
                <w:szCs w:val="11"/>
                <w:b w:val="1"/>
                <w:bCs w:val="1"/>
                <w:color w:val="auto"/>
              </w:rPr>
              <w:t>Number of Shares</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jc w:val="center"/>
              <w:ind w:right="474"/>
              <w:spacing w:after="0" w:line="106" w:lineRule="exact"/>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06"/>
        </w:trPr>
        <w:tc>
          <w:tcPr>
            <w:tcW w:w="75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jc w:val="center"/>
              <w:ind w:right="474"/>
              <w:spacing w:after="0" w:line="106" w:lineRule="exact"/>
              <w:rPr>
                <w:sz w:val="20"/>
                <w:szCs w:val="20"/>
                <w:color w:val="auto"/>
              </w:rPr>
            </w:pPr>
            <w:r>
              <w:rPr>
                <w:rFonts w:ascii="Arial" w:cs="Arial" w:eastAsia="Arial" w:hAnsi="Arial"/>
                <w:sz w:val="11"/>
                <w:szCs w:val="11"/>
                <w:b w:val="1"/>
                <w:bCs w:val="1"/>
                <w:color w:val="auto"/>
                <w:w w:val="92"/>
              </w:rPr>
              <w:t>Exercise</w:t>
            </w:r>
          </w:p>
        </w:tc>
        <w:tc>
          <w:tcPr>
            <w:tcW w:w="0" w:type="dxa"/>
            <w:vAlign w:val="bottom"/>
          </w:tcPr>
          <w:p>
            <w:pPr>
              <w:spacing w:after="0"/>
              <w:rPr>
                <w:sz w:val="1"/>
                <w:szCs w:val="1"/>
                <w:color w:val="auto"/>
              </w:rPr>
            </w:pPr>
          </w:p>
        </w:tc>
      </w:tr>
      <w:tr>
        <w:trPr>
          <w:trHeight w:val="148"/>
        </w:trPr>
        <w:tc>
          <w:tcPr>
            <w:tcW w:w="756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1"/>
                <w:szCs w:val="11"/>
                <w:b w:val="1"/>
                <w:bCs w:val="1"/>
                <w:color w:val="auto"/>
              </w:rPr>
              <w:t>Underlying Options</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474"/>
              <w:spacing w:after="0"/>
              <w:rPr>
                <w:sz w:val="20"/>
                <w:szCs w:val="20"/>
                <w:color w:val="auto"/>
              </w:rPr>
            </w:pPr>
            <w:r>
              <w:rPr>
                <w:rFonts w:ascii="Arial" w:cs="Arial" w:eastAsia="Arial" w:hAnsi="Arial"/>
                <w:sz w:val="11"/>
                <w:szCs w:val="11"/>
                <w:b w:val="1"/>
                <w:bCs w:val="1"/>
                <w:color w:val="auto"/>
                <w:w w:val="96"/>
              </w:rPr>
              <w:t>Price</w:t>
            </w:r>
          </w:p>
        </w:tc>
        <w:tc>
          <w:tcPr>
            <w:tcW w:w="0" w:type="dxa"/>
            <w:vAlign w:val="bottom"/>
          </w:tcPr>
          <w:p>
            <w:pPr>
              <w:spacing w:after="0"/>
              <w:rPr>
                <w:sz w:val="1"/>
                <w:szCs w:val="1"/>
                <w:color w:val="auto"/>
              </w:rPr>
            </w:pPr>
          </w:p>
        </w:tc>
      </w:tr>
      <w:tr>
        <w:trPr>
          <w:trHeight w:val="172"/>
        </w:trPr>
        <w:tc>
          <w:tcPr>
            <w:tcW w:w="7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Outstanding, December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180"/>
        </w:trPr>
        <w:tc>
          <w:tcPr>
            <w:tcW w:w="7560" w:type="dxa"/>
            <w:vAlign w:val="bottom"/>
          </w:tcPr>
          <w:p>
            <w:pPr>
              <w:ind w:left="440"/>
              <w:spacing w:after="0"/>
              <w:rPr>
                <w:sz w:val="20"/>
                <w:szCs w:val="20"/>
                <w:color w:val="auto"/>
              </w:rPr>
            </w:pPr>
            <w:r>
              <w:rPr>
                <w:rFonts w:ascii="Arial" w:cs="Arial" w:eastAsia="Arial" w:hAnsi="Arial"/>
                <w:sz w:val="14"/>
                <w:szCs w:val="14"/>
                <w:color w:val="auto"/>
              </w:rPr>
              <w:t>Granted</w:t>
            </w:r>
          </w:p>
        </w:tc>
        <w:tc>
          <w:tcPr>
            <w:tcW w:w="1420" w:type="dxa"/>
            <w:vAlign w:val="bottom"/>
          </w:tcPr>
          <w:p>
            <w:pPr>
              <w:jc w:val="right"/>
              <w:spacing w:after="0"/>
              <w:rPr>
                <w:sz w:val="20"/>
                <w:szCs w:val="20"/>
                <w:color w:val="auto"/>
              </w:rPr>
            </w:pPr>
            <w:r>
              <w:rPr>
                <w:rFonts w:ascii="Arial" w:cs="Arial" w:eastAsia="Arial" w:hAnsi="Arial"/>
                <w:sz w:val="14"/>
                <w:szCs w:val="14"/>
                <w:color w:val="auto"/>
              </w:rPr>
              <w:t>1,222</w:t>
            </w:r>
          </w:p>
        </w:tc>
        <w:tc>
          <w:tcPr>
            <w:tcW w:w="6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181"/>
        </w:trPr>
        <w:tc>
          <w:tcPr>
            <w:tcW w:w="75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6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0"/>
        </w:trPr>
        <w:tc>
          <w:tcPr>
            <w:tcW w:w="756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640" w:type="dxa"/>
            <w:vAlign w:val="bottom"/>
            <w:tcBorders>
              <w:bottom w:val="single" w:sz="8" w:color="CCEEFF"/>
            </w:tcBorders>
            <w:gridSpan w:val="2"/>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14.78</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Outstanding,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10,545</w:t>
            </w:r>
          </w:p>
        </w:tc>
        <w:tc>
          <w:tcPr>
            <w:tcW w:w="64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60" w:type="dxa"/>
            <w:vAlign w:val="bottom"/>
          </w:tcPr>
          <w:p>
            <w:pPr>
              <w:ind w:left="340"/>
              <w:spacing w:after="0" w:line="143" w:lineRule="exact"/>
              <w:rPr>
                <w:sz w:val="20"/>
                <w:szCs w:val="20"/>
                <w:color w:val="auto"/>
              </w:rPr>
            </w:pPr>
            <w:r>
              <w:rPr>
                <w:rFonts w:ascii="Arial" w:cs="Arial" w:eastAsia="Arial" w:hAnsi="Arial"/>
                <w:sz w:val="14"/>
                <w:szCs w:val="14"/>
                <w:color w:val="auto"/>
              </w:rPr>
              <w:t>Vested and exercisable, June 30, 2022</w:t>
            </w:r>
          </w:p>
        </w:tc>
        <w:tc>
          <w:tcPr>
            <w:tcW w:w="1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4,811</w:t>
            </w:r>
          </w:p>
        </w:tc>
        <w:tc>
          <w:tcPr>
            <w:tcW w:w="640" w:type="dxa"/>
            <w:vAlign w:val="bottom"/>
            <w:gridSpan w:val="2"/>
          </w:tcPr>
          <w:p>
            <w:pPr>
              <w:jc w:val="right"/>
              <w:ind w:right="69"/>
              <w:spacing w:after="0" w:line="143"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3" w:lineRule="exact"/>
              <w:rPr>
                <w:sz w:val="20"/>
                <w:szCs w:val="20"/>
                <w:color w:val="auto"/>
              </w:rPr>
            </w:pPr>
            <w:r>
              <w:rPr>
                <w:rFonts w:ascii="Arial" w:cs="Arial" w:eastAsia="Arial" w:hAnsi="Arial"/>
                <w:sz w:val="14"/>
                <w:szCs w:val="14"/>
                <w:color w:val="auto"/>
              </w:rPr>
              <w:t>13.21</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Vested and expected to vest,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10,087</w:t>
            </w:r>
          </w:p>
        </w:tc>
        <w:tc>
          <w:tcPr>
            <w:tcW w:w="64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200" w:firstLine="318"/>
        <w:spacing w:after="0" w:line="281" w:lineRule="auto"/>
        <w:rPr>
          <w:sz w:val="20"/>
          <w:szCs w:val="20"/>
          <w:color w:val="auto"/>
        </w:rPr>
      </w:pPr>
      <w:r>
        <w:rPr>
          <w:rFonts w:ascii="Arial" w:cs="Arial" w:eastAsia="Arial" w:hAnsi="Arial"/>
          <w:sz w:val="14"/>
          <w:szCs w:val="14"/>
          <w:color w:val="auto"/>
        </w:rPr>
        <w:t>As of June 30, 2022, there were approximately $41.3 million of unrecognized compensation costs, net of estimated forfeitures, related to stock option awards grants, which are expected to be recognized over a remaining weighted average period of 3.1 years.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RSUs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a summary of the Company's outstanding RSU awards granted as of June 30, 2022 (in thousands except weighted average grant-date fair value):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40" w:type="dxa"/>
            <w:vAlign w:val="bottom"/>
          </w:tcPr>
          <w:p>
            <w:pPr>
              <w:spacing w:after="0"/>
              <w:rPr>
                <w:sz w:val="10"/>
                <w:szCs w:val="10"/>
                <w:color w:val="auto"/>
              </w:rPr>
            </w:pPr>
          </w:p>
        </w:tc>
        <w:tc>
          <w:tcPr>
            <w:tcW w:w="1260" w:type="dxa"/>
            <w:vAlign w:val="bottom"/>
          </w:tcPr>
          <w:p>
            <w:pPr>
              <w:jc w:val="center"/>
              <w:ind w:left="463"/>
              <w:spacing w:after="0"/>
              <w:rPr>
                <w:sz w:val="20"/>
                <w:szCs w:val="20"/>
                <w:color w:val="auto"/>
              </w:rPr>
            </w:pPr>
            <w:r>
              <w:rPr>
                <w:rFonts w:ascii="Arial" w:cs="Arial" w:eastAsia="Arial" w:hAnsi="Arial"/>
                <w:sz w:val="11"/>
                <w:szCs w:val="11"/>
                <w:b w:val="1"/>
                <w:bCs w:val="1"/>
                <w:color w:val="auto"/>
                <w:w w:val="92"/>
              </w:rPr>
              <w:t>Restricted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tcPr>
          <w:p>
            <w:pPr>
              <w:jc w:val="center"/>
              <w:ind w:right="194"/>
              <w:spacing w:after="0"/>
              <w:rPr>
                <w:sz w:val="20"/>
                <w:szCs w:val="20"/>
                <w:color w:val="auto"/>
              </w:rPr>
            </w:pPr>
            <w:r>
              <w:rPr>
                <w:rFonts w:ascii="Arial" w:cs="Arial" w:eastAsia="Arial" w:hAnsi="Arial"/>
                <w:sz w:val="11"/>
                <w:szCs w:val="11"/>
                <w:b w:val="1"/>
                <w:bCs w:val="1"/>
                <w:color w:val="auto"/>
                <w:w w:val="91"/>
              </w:rPr>
              <w:t>Weighted Average</w:t>
            </w:r>
          </w:p>
        </w:tc>
      </w:tr>
      <w:tr>
        <w:trPr>
          <w:trHeight w:val="106"/>
        </w:trPr>
        <w:tc>
          <w:tcPr>
            <w:tcW w:w="7640" w:type="dxa"/>
            <w:vAlign w:val="bottom"/>
          </w:tcPr>
          <w:p>
            <w:pPr>
              <w:spacing w:after="0"/>
              <w:rPr>
                <w:sz w:val="9"/>
                <w:szCs w:val="9"/>
                <w:color w:val="auto"/>
              </w:rPr>
            </w:pPr>
          </w:p>
        </w:tc>
        <w:tc>
          <w:tcPr>
            <w:tcW w:w="1260" w:type="dxa"/>
            <w:vAlign w:val="bottom"/>
          </w:tcPr>
          <w:p>
            <w:pPr>
              <w:jc w:val="center"/>
              <w:ind w:left="443"/>
              <w:spacing w:after="0" w:line="106" w:lineRule="exact"/>
              <w:rPr>
                <w:sz w:val="20"/>
                <w:szCs w:val="20"/>
                <w:color w:val="auto"/>
              </w:rPr>
            </w:pPr>
            <w:r>
              <w:rPr>
                <w:rFonts w:ascii="Arial" w:cs="Arial" w:eastAsia="Arial" w:hAnsi="Arial"/>
                <w:sz w:val="11"/>
                <w:szCs w:val="11"/>
                <w:b w:val="1"/>
                <w:bCs w:val="1"/>
                <w:color w:val="auto"/>
                <w:w w:val="93"/>
              </w:rPr>
              <w:t>Stock</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tcPr>
          <w:p>
            <w:pPr>
              <w:jc w:val="center"/>
              <w:ind w:right="194"/>
              <w:spacing w:after="0" w:line="106" w:lineRule="exact"/>
              <w:rPr>
                <w:sz w:val="20"/>
                <w:szCs w:val="20"/>
                <w:color w:val="auto"/>
              </w:rPr>
            </w:pPr>
            <w:r>
              <w:rPr>
                <w:rFonts w:ascii="Arial" w:cs="Arial" w:eastAsia="Arial" w:hAnsi="Arial"/>
                <w:sz w:val="11"/>
                <w:szCs w:val="11"/>
                <w:b w:val="1"/>
                <w:bCs w:val="1"/>
                <w:color w:val="auto"/>
                <w:w w:val="98"/>
              </w:rPr>
              <w:t>Grant-Date</w:t>
            </w:r>
          </w:p>
        </w:tc>
      </w:tr>
      <w:tr>
        <w:trPr>
          <w:trHeight w:val="148"/>
        </w:trPr>
        <w:tc>
          <w:tcPr>
            <w:tcW w:w="764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center"/>
              <w:ind w:left="463"/>
              <w:spacing w:after="0"/>
              <w:rPr>
                <w:sz w:val="20"/>
                <w:szCs w:val="20"/>
                <w:color w:val="auto"/>
              </w:rPr>
            </w:pPr>
            <w:r>
              <w:rPr>
                <w:rFonts w:ascii="Arial" w:cs="Arial" w:eastAsia="Arial" w:hAnsi="Arial"/>
                <w:sz w:val="11"/>
                <w:szCs w:val="11"/>
                <w:b w:val="1"/>
                <w:bCs w:val="1"/>
                <w:color w:val="auto"/>
                <w:w w:val="94"/>
              </w:rPr>
              <w:t>Units</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194"/>
              <w:spacing w:after="0"/>
              <w:rPr>
                <w:sz w:val="20"/>
                <w:szCs w:val="20"/>
                <w:color w:val="auto"/>
              </w:rPr>
            </w:pPr>
            <w:r>
              <w:rPr>
                <w:rFonts w:ascii="Arial" w:cs="Arial" w:eastAsia="Arial" w:hAnsi="Arial"/>
                <w:sz w:val="11"/>
                <w:szCs w:val="11"/>
                <w:b w:val="1"/>
                <w:bCs w:val="1"/>
                <w:color w:val="auto"/>
                <w:w w:val="98"/>
              </w:rPr>
              <w:t>Fair Value</w:t>
            </w:r>
          </w:p>
        </w:tc>
      </w:tr>
      <w:tr>
        <w:trPr>
          <w:trHeight w:val="172"/>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r>
      <w:tr>
        <w:trPr>
          <w:trHeight w:val="180"/>
        </w:trPr>
        <w:tc>
          <w:tcPr>
            <w:tcW w:w="8900" w:type="dxa"/>
            <w:vAlign w:val="bottom"/>
            <w:gridSpan w:val="2"/>
          </w:tcPr>
          <w:p>
            <w:pPr>
              <w:ind w:left="20"/>
              <w:spacing w:after="0"/>
              <w:rPr>
                <w:sz w:val="20"/>
                <w:szCs w:val="20"/>
                <w:color w:val="auto"/>
              </w:rPr>
            </w:pPr>
            <w:r>
              <w:rPr>
                <w:rFonts w:ascii="Arial" w:cs="Arial" w:eastAsia="Arial" w:hAnsi="Arial"/>
                <w:sz w:val="14"/>
                <w:szCs w:val="14"/>
                <w:color w:val="auto"/>
              </w:rPr>
              <w:t>Awarded</w:t>
            </w:r>
          </w:p>
        </w:tc>
        <w:tc>
          <w:tcPr>
            <w:tcW w:w="500" w:type="dxa"/>
            <w:vAlign w:val="bottom"/>
          </w:tcPr>
          <w:p>
            <w:pPr>
              <w:jc w:val="right"/>
              <w:spacing w:after="0"/>
              <w:rPr>
                <w:sz w:val="20"/>
                <w:szCs w:val="20"/>
                <w:color w:val="auto"/>
              </w:rPr>
            </w:pPr>
            <w:r>
              <w:rPr>
                <w:rFonts w:ascii="Arial" w:cs="Arial" w:eastAsia="Arial" w:hAnsi="Arial"/>
                <w:sz w:val="14"/>
                <w:szCs w:val="14"/>
                <w:color w:val="auto"/>
              </w:rPr>
              <w:t>192</w:t>
            </w:r>
          </w:p>
        </w:tc>
        <w:tc>
          <w:tcPr>
            <w:tcW w:w="3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12.22</w:t>
            </w:r>
          </w:p>
        </w:tc>
      </w:tr>
      <w:tr>
        <w:trPr>
          <w:trHeight w:val="181"/>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w:t>
            </w:r>
          </w:p>
        </w:tc>
      </w:tr>
      <w:tr>
        <w:trPr>
          <w:trHeight w:val="18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360" w:type="dxa"/>
            <w:vAlign w:val="bottom"/>
            <w:tcBorders>
              <w:bottom w:val="single" w:sz="8" w:color="CCEEFF"/>
            </w:tcBorders>
            <w:gridSpan w:val="2"/>
          </w:tcPr>
          <w:p>
            <w:pPr>
              <w:jc w:val="right"/>
              <w:ind w:right="10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10.80</w:t>
            </w:r>
          </w:p>
        </w:tc>
      </w:tr>
      <w:tr>
        <w:trPr>
          <w:trHeight w:val="191"/>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June 30, 2022</w:t>
            </w:r>
          </w:p>
        </w:tc>
        <w:tc>
          <w:tcPr>
            <w:tcW w:w="12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2,215</w:t>
            </w:r>
          </w:p>
        </w:tc>
        <w:tc>
          <w:tcPr>
            <w:tcW w:w="36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r>
      <w:tr>
        <w:trPr>
          <w:trHeight w:val="20"/>
        </w:trPr>
        <w:tc>
          <w:tcPr>
            <w:tcW w:w="7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3"/>
        </w:trPr>
        <w:tc>
          <w:tcPr>
            <w:tcW w:w="89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Outstanding, expected to vest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2,038</w:t>
            </w:r>
          </w:p>
        </w:tc>
        <w:tc>
          <w:tcPr>
            <w:tcW w:w="360" w:type="dxa"/>
            <w:vAlign w:val="bottom"/>
            <w:gridSpan w:val="2"/>
          </w:tcPr>
          <w:p>
            <w:pPr>
              <w:jc w:val="right"/>
              <w:ind w:right="109"/>
              <w:spacing w:after="0" w:line="143"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43" w:lineRule="exact"/>
              <w:rPr>
                <w:sz w:val="20"/>
                <w:szCs w:val="20"/>
                <w:color w:val="auto"/>
              </w:rPr>
            </w:pPr>
            <w:r>
              <w:rPr>
                <w:rFonts w:ascii="Arial" w:cs="Arial" w:eastAsia="Arial" w:hAnsi="Arial"/>
                <w:sz w:val="14"/>
                <w:szCs w:val="14"/>
                <w:color w:val="auto"/>
              </w:rPr>
              <w:t>10.24</w:t>
            </w:r>
          </w:p>
        </w:tc>
      </w:tr>
      <w:tr>
        <w:trPr>
          <w:trHeight w:val="20"/>
        </w:trPr>
        <w:tc>
          <w:tcPr>
            <w:tcW w:w="76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40" w:firstLine="318"/>
        <w:spacing w:after="0" w:line="281" w:lineRule="auto"/>
        <w:rPr>
          <w:sz w:val="20"/>
          <w:szCs w:val="20"/>
          <w:color w:val="auto"/>
        </w:rPr>
      </w:pPr>
      <w:r>
        <w:rPr>
          <w:rFonts w:ascii="Arial" w:cs="Arial" w:eastAsia="Arial" w:hAnsi="Arial"/>
          <w:sz w:val="14"/>
          <w:szCs w:val="14"/>
          <w:color w:val="auto"/>
        </w:rPr>
        <w:t>As of June 30, 2022, there were approximately $16.3 million of unrecognized compensation costs, net of estimated forfeitures, related to RSUs grants, which are expected to be recognized over a remaining weighted average period of 2.8 years.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ESPP</w:t>
      </w:r>
    </w:p>
    <w:p>
      <w:pPr>
        <w:spacing w:after="0" w:line="125" w:lineRule="exact"/>
        <w:rPr>
          <w:sz w:val="20"/>
          <w:szCs w:val="20"/>
          <w:color w:val="auto"/>
        </w:rPr>
      </w:pPr>
    </w:p>
    <w:p>
      <w:pPr>
        <w:ind w:right="220" w:firstLine="318"/>
        <w:spacing w:after="0" w:line="267" w:lineRule="auto"/>
        <w:rPr>
          <w:sz w:val="20"/>
          <w:szCs w:val="20"/>
          <w:color w:val="auto"/>
        </w:rPr>
      </w:pPr>
      <w:r>
        <w:rPr>
          <w:rFonts w:ascii="Arial" w:cs="Arial" w:eastAsia="Arial" w:hAnsi="Arial"/>
          <w:sz w:val="14"/>
          <w:szCs w:val="14"/>
          <w:color w:val="auto"/>
        </w:rPr>
        <w:t>As of June 30, 2022, there were 738,315 shares available for future purchases under the ESPP. There were no shares issued under the ESPP during the three months ended June 30, 2022 and 2021, respectively. There were 15,095 and 24,422 shares of common stock issued under the ESPP during the six months ended June 30, 2022 and 2021, respectively. Cash proceeds from ESPP purchases were $184 thousand and $121 thousand during the six months ended June 30, 2022 and 2021,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Commitments and Contingencies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Zimura - Archemix Corp.</w:t>
      </w:r>
    </w:p>
    <w:p>
      <w:pPr>
        <w:spacing w:after="0" w:line="125"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The Company is party to an agreement with Archemix Corp. (“Archemix”) under which the Company in-licensed rights in certain patents, patent applications and other intellectual property related to Zimura and pursuant to which the Company may be required to pay sublicense fees and make milestone payments (the “C5 License Agreement”). Under the C5 License Agreement, for each anti-C5 aptamer product that the Company may develop under the agreement, including Zimura, the Company is obligated to make additional payments to Archemix of up to an aggregate of $50.5 million if the Company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Zimura Sustained Release Delivery Technology - DelSiTech</w:t>
      </w:r>
    </w:p>
    <w:p>
      <w:pPr>
        <w:spacing w:after="0" w:line="125"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Under the DelSiTech License Agreement with DelSiTech, the Company is obligated to make payments up to an aggregate of €35.0 million, if the Company achieves specified clinical and development milestones with respect to a Licensed Product. In addition, the Company is also obligated to pay DelSiTech up to an aggregate of €60.0 million if the Company achieves specified commercial sales milestones with respect to worldwide net sales of the Licensed Product. The Company is also obligated to pay DelSiTech royalties at a low single-digit percentage of net sales of the Licensed Product. The royalties payable by the Company are subject to reduction under specified circumstances.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IC-100 - University of Florida and the University of Pennsylvania</w:t>
      </w:r>
    </w:p>
    <w:p>
      <w:pPr>
        <w:spacing w:after="0" w:line="115" w:lineRule="exact"/>
        <w:rPr>
          <w:sz w:val="20"/>
          <w:szCs w:val="20"/>
          <w:color w:val="auto"/>
        </w:rPr>
      </w:pPr>
    </w:p>
    <w:p>
      <w:pPr>
        <w:ind w:right="200" w:firstLine="318"/>
        <w:spacing w:after="0" w:line="288" w:lineRule="auto"/>
        <w:rPr>
          <w:sz w:val="20"/>
          <w:szCs w:val="20"/>
          <w:color w:val="auto"/>
        </w:rPr>
      </w:pPr>
      <w:r>
        <w:rPr>
          <w:rFonts w:ascii="Arial" w:cs="Arial" w:eastAsia="Arial" w:hAnsi="Arial"/>
          <w:sz w:val="13"/>
          <w:szCs w:val="13"/>
          <w:color w:val="auto"/>
        </w:rPr>
        <w:t>Under its exclusive license agreement with the University of Florida Research Foundation, Incorporated (“UFRF”) and the University of Pennsylvania (“Penn”) for rights to IC-100, the Company is obligated to make payments to UFRF, for the benefit of Penn and UFRF (together,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IC-200 - University of Pennsylvania and the University of Florida</w:t>
      </w:r>
    </w:p>
    <w:p>
      <w:pPr>
        <w:spacing w:after="0" w:line="125"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Under its exclusive license agreement with Penn and UFRF for rights to IC-200, the Company is obligated to make payments to Penn, for the benefit of the Licensors, of up to an aggregate of $15.7 million if the Company achieves specified clinical, marketing approval and reimbursement approval milestones with respect to one licensed product and up to an aggregate of an additional $3.1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 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mid-teen percentage of specified non-royalty payments the Company may receive from any third-party sublicensee of the licensed 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miniCEP290 Program - University of Massachusetts</w:t>
      </w:r>
    </w:p>
    <w:p>
      <w:pPr>
        <w:spacing w:after="0" w:line="115"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 xml:space="preserve">Under its exclusive license agreement with the University of Massachusetts (“UMass”) for its miniCEP290 program, which targets LCA10, which is associated with mutations in the </w:t>
      </w:r>
      <w:r>
        <w:rPr>
          <w:rFonts w:ascii="Arial" w:cs="Arial" w:eastAsia="Arial" w:hAnsi="Arial"/>
          <w:sz w:val="13"/>
          <w:szCs w:val="13"/>
          <w:i w:val="1"/>
          <w:iCs w:val="1"/>
          <w:color w:val="auto"/>
        </w:rPr>
        <w:t>CEP290</w:t>
      </w:r>
      <w:r>
        <w:rPr>
          <w:rFonts w:ascii="Arial" w:cs="Arial" w:eastAsia="Arial" w:hAnsi="Arial"/>
          <w:sz w:val="13"/>
          <w:szCs w:val="13"/>
          <w:color w:val="auto"/>
        </w:rPr>
        <w:t xml:space="preserve"> gene, the Company is obligated to pay UMass up to 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IC-500 - Former Equity holders of Inception 4</w:t>
      </w:r>
    </w:p>
    <w:p>
      <w:pPr>
        <w:spacing w:after="0" w:line="125" w:lineRule="exact"/>
        <w:rPr>
          <w:sz w:val="20"/>
          <w:szCs w:val="20"/>
          <w:color w:val="auto"/>
        </w:rPr>
      </w:pPr>
    </w:p>
    <w:p>
      <w:pPr>
        <w:ind w:right="100" w:firstLine="318"/>
        <w:spacing w:after="0" w:line="260" w:lineRule="auto"/>
        <w:rPr>
          <w:sz w:val="20"/>
          <w:szCs w:val="20"/>
          <w:color w:val="auto"/>
        </w:rPr>
      </w:pPr>
      <w:r>
        <w:rPr>
          <w:rFonts w:ascii="Arial" w:cs="Arial" w:eastAsia="Arial" w:hAnsi="Arial"/>
          <w:sz w:val="14"/>
          <w:szCs w:val="14"/>
          <w:color w:val="auto"/>
        </w:rPr>
        <w:t>Under the agreement and plan of merger between the Company and Inception 4, Inc. (“Inception 4”), pursuant to which the Company acquired IC-500 and its other HtrA1 inhibitors (the “Inception 4 Merger Agreement”), the Company is obligated to make payments to the former equity holders of Inception 4 of up to an aggregate of $105 million, subject to the terms and conditions of the Inception 4 Merger Agreement, if the Company achieves certain specified clinical and regulatory milestones with respect to IC-500 or any other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ind w:right="80"/>
        <w:spacing w:after="0" w:line="313" w:lineRule="auto"/>
        <w:rPr>
          <w:sz w:val="20"/>
          <w:szCs w:val="20"/>
          <w:color w:val="auto"/>
        </w:rPr>
      </w:pPr>
      <w:r>
        <w:rPr>
          <w:rFonts w:ascii="Arial" w:cs="Arial" w:eastAsia="Arial" w:hAnsi="Arial"/>
          <w:sz w:val="12"/>
          <w:szCs w:val="12"/>
          <w:color w:val="auto"/>
        </w:rPr>
        <w:t>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 holders of Inception 4, including for breaches of the representations and warranties, covenants and agreements of the Company and its subsidiaries (other than Inception 4) in the Inception 4 Merger Agreement.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Employment Contracts</w:t>
      </w:r>
    </w:p>
    <w:p>
      <w:pPr>
        <w:spacing w:after="0" w:line="125"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Contract Service Providers</w:t>
      </w:r>
    </w:p>
    <w:p>
      <w:pPr>
        <w:spacing w:after="0" w:line="115" w:lineRule="exact"/>
        <w:rPr>
          <w:sz w:val="20"/>
          <w:szCs w:val="20"/>
          <w:color w:val="auto"/>
        </w:rPr>
      </w:pPr>
    </w:p>
    <w:p>
      <w:pPr>
        <w:ind w:right="60" w:firstLine="318"/>
        <w:spacing w:after="0" w:line="331" w:lineRule="auto"/>
        <w:rPr>
          <w:sz w:val="20"/>
          <w:szCs w:val="20"/>
          <w:color w:val="auto"/>
        </w:rPr>
      </w:pPr>
      <w:r>
        <w:rPr>
          <w:rFonts w:ascii="Arial" w:cs="Arial" w:eastAsia="Arial" w:hAnsi="Arial"/>
          <w:sz w:val="12"/>
          <w:szCs w:val="12"/>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Proceedings</w:t>
      </w:r>
    </w:p>
    <w:p>
      <w:pPr>
        <w:spacing w:after="0" w:line="125" w:lineRule="exact"/>
        <w:rPr>
          <w:sz w:val="20"/>
          <w:szCs w:val="20"/>
          <w:color w:val="auto"/>
        </w:rPr>
      </w:pPr>
    </w:p>
    <w:p>
      <w:pPr>
        <w:ind w:firstLine="318"/>
        <w:spacing w:after="0" w:line="300" w:lineRule="auto"/>
        <w:rPr>
          <w:sz w:val="20"/>
          <w:szCs w:val="20"/>
          <w:color w:val="auto"/>
        </w:rPr>
      </w:pPr>
      <w:r>
        <w:rPr>
          <w:rFonts w:ascii="Arial" w:cs="Arial" w:eastAsia="Arial" w:hAnsi="Arial"/>
          <w:sz w:val="12"/>
          <w:szCs w:val="12"/>
          <w:color w:val="auto"/>
        </w:rPr>
        <w:t>On January 11, 2017, a putative class action lawsuit was filed against the Company and certain of its current and former executive officers in the United States District Court for the Southern District of New York, captioned Frank Micholle v. IVERIC bio, Inc., et al., No. 1:17-cv-00210. On March 9, 2017, a related putative class action lawsuit was filed against the Company and the same group of its current and former executive officers in the United States District Court for the Southern District of New York, captioned Wasson v. IVERIC bio, Inc.,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On September 18, 2019, the court issued an order dismissing some, but not all, of the allegations in the CAC. On November 18, 2019, the Company and the individual defendants filed an answer to the complaint. On June 12, 2020, the lead plaintiff filed a motion for class certification. On August 11, 2020, the defendants filed a notice of non-opposition to lead plaintiff's motion for class certification. On April 23, 2021, the court issued an order staying the action until July 1, 2021, 10 days after a mediation scheduled for June 21, 2021. On July 1, 2021, following the June 21, 2021 mediation, the parties notified the court that they had reached an agreement in principle to settle the class action. On September 8, 2021, the parties executed a settlement agreement and submitted the agreement to the court for approval. Under the terms of the settlement agreement, the Company agreed to pay $29 million, which includes the attorneys' fees and costs and expenses for the plaintiffs' counsel. On March 17, 2022, the court provided a preliminary approval of the settlement. In April 2022, the Company’s insurance carriers paid the full amount of the settlement directly to the plaintiffs’ escrow account. A hearing to determine whether the settlement should be granted final approval is scheduled for September 8, 2022. The Company does not expect this settlement, if granted final approval in its current form, to have a material impact on its financial condition.</w:t>
      </w:r>
    </w:p>
    <w:p>
      <w:pPr>
        <w:spacing w:after="0" w:line="238" w:lineRule="exact"/>
        <w:rPr>
          <w:sz w:val="20"/>
          <w:szCs w:val="20"/>
          <w:color w:val="auto"/>
        </w:rPr>
      </w:pPr>
    </w:p>
    <w:p>
      <w:pPr>
        <w:ind w:firstLine="318"/>
        <w:spacing w:after="0" w:line="307" w:lineRule="auto"/>
        <w:rPr>
          <w:sz w:val="20"/>
          <w:szCs w:val="20"/>
          <w:color w:val="auto"/>
        </w:rPr>
      </w:pPr>
      <w:r>
        <w:rPr>
          <w:rFonts w:ascii="Arial" w:cs="Arial" w:eastAsia="Arial" w:hAnsi="Arial"/>
          <w:sz w:val="12"/>
          <w:szCs w:val="12"/>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2"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On September 19, 2019, the court denied its motion to dismiss this complaint. This matter was subsequently referred to a special litigation committee (“SLC”) of the Company's board of directors. On February 18, 2020, the Company filed an answer to the complaint. The Company and the plaintiff agreed to stay this litigation while the SLC conducts its investigation. On May 4, 2020, the court approved the stipulation and stayed the litigation through November 1, 2020. By agreement of the parties, the court has since extended the stay through June 26, 2021. The Company also entered into tolling agreements with the defendant directors to December 2022. On October 18, 2021, the parties notified the court overseeing the Pacheco matter that they had reached an agreement in principle to settle the action. On January 27, 2022, the parties executed a settlement agreement, which has been submitted to the court for approval.</w:t>
      </w:r>
    </w:p>
    <w:p>
      <w:pPr>
        <w:spacing w:after="0" w:line="70"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were referred to a demand review committee of the Company's board of directors. On May 6, 2021, the shareholders who served the October 16, 2018 demand filed a shareholder derivative action against current and former members of the Company’s Board of Directors and certain current and former officers of the Company in the New York Supreme Court, captioned Brian Ferber et al., derivatively on behalf of Ophthotech Corporation v. Axel Bolte et al., Index No. 154462/2021. The complaint asserts the same claims as those asserted in the Pacheco complaint and is based on factual allegations that are materially similar to the allegations in the Pacheco complaint. On June 22, 2021, the parties filed a stipulation staying the Ferber action until 60 days after the SLC concludes its investigation. The Company has entered into tolling agreements with the directors named in the demands to December 2022. On January 27, 2022, the parties executed a settlement agreement.</w:t>
      </w:r>
    </w:p>
    <w:p>
      <w:pPr>
        <w:spacing w:after="0" w:line="89" w:lineRule="exact"/>
        <w:rPr>
          <w:sz w:val="20"/>
          <w:szCs w:val="20"/>
          <w:color w:val="auto"/>
        </w:rPr>
      </w:pPr>
    </w:p>
    <w:p>
      <w:pPr>
        <w:ind w:right="140" w:firstLine="318"/>
        <w:spacing w:after="0" w:line="260" w:lineRule="auto"/>
        <w:rPr>
          <w:sz w:val="20"/>
          <w:szCs w:val="20"/>
          <w:color w:val="auto"/>
        </w:rPr>
      </w:pPr>
      <w:r>
        <w:rPr>
          <w:rFonts w:ascii="Arial" w:cs="Arial" w:eastAsia="Arial" w:hAnsi="Arial"/>
          <w:sz w:val="14"/>
          <w:szCs w:val="14"/>
          <w:color w:val="auto"/>
        </w:rPr>
        <w:t>The Company denies any and all allegations of wrongdoing and intends to vigorously defend against these lawsuits. The Company is unable, however, to predict the outcome of these matters, including that of the settlement agreement discussions,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Operating Leases</w:t>
      </w:r>
    </w:p>
    <w:p>
      <w:pPr>
        <w:spacing w:after="0" w:line="119"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The Company leases office space located in Cranbury, New Jersey and Parsippany, New Jersey under non-cancelable operating lease arrangements. In May 2022, the Company amended its Cranbury office space lease to extend the lease period by one year through the end of February 2024.</w:t>
      </w:r>
    </w:p>
    <w:p>
      <w:pPr>
        <w:spacing w:after="0" w:line="79"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In addition, in June 2022 the Company amended its Parsippany office lease to include an additional portion of the premises consisting of approximately 34,836 square feet of the third floor of the building. The Parsippany lease expires at the end of August 2023.</w:t>
      </w:r>
    </w:p>
    <w:p>
      <w:pPr>
        <w:spacing w:after="0" w:line="79" w:lineRule="exact"/>
        <w:rPr>
          <w:sz w:val="20"/>
          <w:szCs w:val="20"/>
          <w:color w:val="auto"/>
        </w:rPr>
      </w:pPr>
    </w:p>
    <w:p>
      <w:pPr>
        <w:ind w:right="560" w:firstLine="318"/>
        <w:spacing w:after="0" w:line="281" w:lineRule="auto"/>
        <w:rPr>
          <w:sz w:val="20"/>
          <w:szCs w:val="20"/>
          <w:color w:val="auto"/>
        </w:rPr>
      </w:pPr>
      <w:r>
        <w:rPr>
          <w:rFonts w:ascii="Arial" w:cs="Arial" w:eastAsia="Arial" w:hAnsi="Arial"/>
          <w:sz w:val="14"/>
          <w:szCs w:val="14"/>
          <w:color w:val="auto"/>
        </w:rPr>
        <w:t>As of June 30, 2022, the Company recognized additional right-of-use assets and lease liabilities of approximately $1.0 million, which represents the present value of its remaining lease payments using a weighted average estimated incremental borrowing rate of 8%.</w:t>
      </w:r>
    </w:p>
    <w:p>
      <w:pPr>
        <w:spacing w:after="0" w:line="69"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For the three and six months ended June 30, 2022, lease expense was $0.2 million and $0.5 million, respectively. Cash paid from operating cash flows for amounts included in the measurement of lease liabilities was $0.2 million and $0.5 million, respectively, for the three and six months ended June 30, 2022. At June 30, 2022, the Company's operating leases had a weighted average remaining lease term of 1.2 years.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676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20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765"/>
        </w:trPr>
        <w:tc>
          <w:tcPr>
            <w:tcW w:w="6760" w:type="dxa"/>
            <w:vAlign w:val="bottom"/>
            <w:gridSpan w:val="2"/>
          </w:tcPr>
          <w:p>
            <w:pPr>
              <w:ind w:left="320"/>
              <w:spacing w:after="0"/>
              <w:rPr>
                <w:sz w:val="20"/>
                <w:szCs w:val="20"/>
                <w:color w:val="auto"/>
              </w:rPr>
            </w:pPr>
            <w:r>
              <w:rPr>
                <w:rFonts w:ascii="Arial" w:cs="Arial" w:eastAsia="Arial" w:hAnsi="Arial"/>
                <w:sz w:val="14"/>
                <w:szCs w:val="14"/>
                <w:color w:val="auto"/>
              </w:rPr>
              <w:t>The following presents the maturity of the Company’s operating lease liabilities as of June 30, 2022:</w:t>
            </w:r>
          </w:p>
        </w:tc>
        <w:tc>
          <w:tcPr>
            <w:tcW w:w="12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02"/>
        </w:trPr>
        <w:tc>
          <w:tcPr>
            <w:tcW w:w="1000" w:type="dxa"/>
            <w:vAlign w:val="bottom"/>
            <w:tcBorders>
              <w:bottom w:val="single" w:sz="8" w:color="CCEEFF"/>
            </w:tcBorders>
          </w:tcPr>
          <w:p>
            <w:pPr>
              <w:spacing w:after="0"/>
              <w:rPr>
                <w:sz w:val="17"/>
                <w:szCs w:val="17"/>
                <w:color w:val="auto"/>
              </w:rPr>
            </w:pPr>
          </w:p>
        </w:tc>
        <w:tc>
          <w:tcPr>
            <w:tcW w:w="57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jc w:val="right"/>
              <w:ind w:right="1629"/>
              <w:spacing w:after="0"/>
              <w:rPr>
                <w:sz w:val="20"/>
                <w:szCs w:val="20"/>
                <w:color w:val="auto"/>
              </w:rPr>
            </w:pPr>
            <w:r>
              <w:rPr>
                <w:rFonts w:ascii="Arial" w:cs="Arial" w:eastAsia="Arial" w:hAnsi="Arial"/>
                <w:sz w:val="14"/>
                <w:szCs w:val="14"/>
                <w:color w:val="auto"/>
              </w:rPr>
              <w:t>June 30, 2022</w:t>
            </w:r>
          </w:p>
        </w:tc>
      </w:tr>
      <w:tr>
        <w:trPr>
          <w:trHeight w:val="171"/>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Remainder of 2022</w:t>
            </w:r>
          </w:p>
        </w:tc>
        <w:tc>
          <w:tcPr>
            <w:tcW w:w="1200" w:type="dxa"/>
            <w:vAlign w:val="bottom"/>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3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w:t>
            </w:r>
          </w:p>
        </w:tc>
      </w:tr>
      <w:tr>
        <w:trPr>
          <w:trHeight w:val="180"/>
        </w:trPr>
        <w:tc>
          <w:tcPr>
            <w:tcW w:w="1000" w:type="dxa"/>
            <w:vAlign w:val="bottom"/>
          </w:tcPr>
          <w:p>
            <w:pPr>
              <w:ind w:left="340"/>
              <w:spacing w:after="0"/>
              <w:rPr>
                <w:sz w:val="20"/>
                <w:szCs w:val="20"/>
                <w:color w:val="auto"/>
              </w:rPr>
            </w:pPr>
            <w:r>
              <w:rPr>
                <w:rFonts w:ascii="Arial" w:cs="Arial" w:eastAsia="Arial" w:hAnsi="Arial"/>
                <w:sz w:val="14"/>
                <w:szCs w:val="14"/>
                <w:color w:val="auto"/>
              </w:rPr>
              <w:t>2023</w:t>
            </w:r>
          </w:p>
        </w:tc>
        <w:tc>
          <w:tcPr>
            <w:tcW w:w="5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320" w:type="dxa"/>
            <w:vAlign w:val="bottom"/>
          </w:tcPr>
          <w:p>
            <w:pPr>
              <w:jc w:val="right"/>
              <w:spacing w:after="0"/>
              <w:rPr>
                <w:sz w:val="20"/>
                <w:szCs w:val="20"/>
                <w:color w:val="auto"/>
              </w:rPr>
            </w:pPr>
            <w:r>
              <w:rPr>
                <w:rFonts w:ascii="Arial" w:cs="Arial" w:eastAsia="Arial" w:hAnsi="Arial"/>
                <w:sz w:val="14"/>
                <w:szCs w:val="14"/>
                <w:color w:val="auto"/>
              </w:rPr>
              <w:t>1,216</w:t>
            </w:r>
          </w:p>
        </w:tc>
      </w:tr>
      <w:tr>
        <w:trPr>
          <w:trHeight w:val="181"/>
        </w:trPr>
        <w:tc>
          <w:tcPr>
            <w:tcW w:w="1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2024</w:t>
            </w:r>
          </w:p>
        </w:tc>
        <w:tc>
          <w:tcPr>
            <w:tcW w:w="576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3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71"/>
        </w:trPr>
        <w:tc>
          <w:tcPr>
            <w:tcW w:w="6760" w:type="dxa"/>
            <w:vAlign w:val="bottom"/>
            <w:gridSpan w:val="2"/>
          </w:tcPr>
          <w:p>
            <w:pPr>
              <w:ind w:left="520"/>
              <w:spacing w:after="0"/>
              <w:rPr>
                <w:sz w:val="20"/>
                <w:szCs w:val="20"/>
                <w:color w:val="auto"/>
              </w:rPr>
            </w:pPr>
            <w:r>
              <w:rPr>
                <w:rFonts w:ascii="Arial" w:cs="Arial" w:eastAsia="Arial" w:hAnsi="Arial"/>
                <w:sz w:val="14"/>
                <w:szCs w:val="14"/>
                <w:color w:val="auto"/>
              </w:rPr>
              <w:t>Total remaining obligation</w:t>
            </w:r>
          </w:p>
        </w:tc>
        <w:tc>
          <w:tcPr>
            <w:tcW w:w="1200" w:type="dxa"/>
            <w:vAlign w:val="bottom"/>
          </w:tcPr>
          <w:p>
            <w:pPr>
              <w:jc w:val="right"/>
              <w:ind w:right="729"/>
              <w:spacing w:after="0"/>
              <w:rPr>
                <w:sz w:val="20"/>
                <w:szCs w:val="20"/>
                <w:color w:val="auto"/>
              </w:rPr>
            </w:pPr>
            <w:r>
              <w:rPr>
                <w:rFonts w:ascii="Arial" w:cs="Arial" w:eastAsia="Arial" w:hAnsi="Arial"/>
                <w:sz w:val="14"/>
                <w:szCs w:val="14"/>
                <w:color w:val="auto"/>
              </w:rPr>
              <w:t>$</w:t>
            </w:r>
          </w:p>
        </w:tc>
        <w:tc>
          <w:tcPr>
            <w:tcW w:w="3320" w:type="dxa"/>
            <w:vAlign w:val="bottom"/>
          </w:tcPr>
          <w:p>
            <w:pPr>
              <w:jc w:val="right"/>
              <w:spacing w:after="0"/>
              <w:rPr>
                <w:sz w:val="20"/>
                <w:szCs w:val="20"/>
                <w:color w:val="auto"/>
              </w:rPr>
            </w:pPr>
            <w:r>
              <w:rPr>
                <w:rFonts w:ascii="Arial" w:cs="Arial" w:eastAsia="Arial" w:hAnsi="Arial"/>
                <w:sz w:val="14"/>
                <w:szCs w:val="14"/>
                <w:color w:val="auto"/>
              </w:rPr>
              <w:t>2,129</w:t>
            </w:r>
          </w:p>
        </w:tc>
      </w:tr>
      <w:tr>
        <w:trPr>
          <w:trHeight w:val="180"/>
        </w:trPr>
        <w:tc>
          <w:tcPr>
            <w:tcW w:w="67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Less imputed interest</w:t>
            </w:r>
          </w:p>
        </w:tc>
        <w:tc>
          <w:tcPr>
            <w:tcW w:w="1200" w:type="dxa"/>
            <w:vAlign w:val="bottom"/>
            <w:tcBorders>
              <w:bottom w:val="single" w:sz="8" w:color="auto"/>
            </w:tcBorders>
            <w:shd w:val="clear" w:color="auto" w:fill="CCEEFF"/>
          </w:tcPr>
          <w:p>
            <w:pPr>
              <w:spacing w:after="0"/>
              <w:rPr>
                <w:sz w:val="15"/>
                <w:szCs w:val="15"/>
                <w:color w:val="auto"/>
              </w:rPr>
            </w:pPr>
          </w:p>
        </w:tc>
        <w:tc>
          <w:tcPr>
            <w:tcW w:w="3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71"/>
        </w:trPr>
        <w:tc>
          <w:tcPr>
            <w:tcW w:w="6760" w:type="dxa"/>
            <w:vAlign w:val="bottom"/>
            <w:gridSpan w:val="2"/>
          </w:tcPr>
          <w:p>
            <w:pPr>
              <w:ind w:left="520"/>
              <w:spacing w:after="0"/>
              <w:rPr>
                <w:sz w:val="20"/>
                <w:szCs w:val="20"/>
                <w:color w:val="auto"/>
              </w:rPr>
            </w:pPr>
            <w:r>
              <w:rPr>
                <w:rFonts w:ascii="Arial" w:cs="Arial" w:eastAsia="Arial" w:hAnsi="Arial"/>
                <w:sz w:val="14"/>
                <w:szCs w:val="14"/>
                <w:color w:val="auto"/>
              </w:rPr>
              <w:t>Present value of lease liabilities</w:t>
            </w:r>
          </w:p>
        </w:tc>
        <w:tc>
          <w:tcPr>
            <w:tcW w:w="1200" w:type="dxa"/>
            <w:vAlign w:val="bottom"/>
            <w:tcBorders>
              <w:bottom w:val="single" w:sz="8" w:color="auto"/>
            </w:tcBorders>
          </w:tcPr>
          <w:p>
            <w:pPr>
              <w:jc w:val="right"/>
              <w:ind w:right="729"/>
              <w:spacing w:after="0"/>
              <w:rPr>
                <w:sz w:val="20"/>
                <w:szCs w:val="20"/>
                <w:color w:val="auto"/>
              </w:rPr>
            </w:pPr>
            <w:r>
              <w:rPr>
                <w:rFonts w:ascii="Arial" w:cs="Arial" w:eastAsia="Arial" w:hAnsi="Arial"/>
                <w:sz w:val="14"/>
                <w:szCs w:val="14"/>
                <w:color w:val="auto"/>
              </w:rPr>
              <w:t>$</w:t>
            </w:r>
          </w:p>
        </w:tc>
        <w:tc>
          <w:tcPr>
            <w:tcW w:w="3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2,056</w:t>
            </w:r>
          </w:p>
        </w:tc>
      </w:tr>
      <w:tr>
        <w:trPr>
          <w:trHeight w:val="20"/>
        </w:trPr>
        <w:tc>
          <w:tcPr>
            <w:tcW w:w="10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Subsequent Events</w:t>
      </w:r>
    </w:p>
    <w:p>
      <w:pPr>
        <w:spacing w:after="0" w:line="204" w:lineRule="exact"/>
        <w:rPr>
          <w:sz w:val="20"/>
          <w:szCs w:val="20"/>
          <w:color w:val="auto"/>
        </w:rPr>
      </w:pPr>
    </w:p>
    <w:p>
      <w:pPr>
        <w:ind w:right="40" w:firstLine="318"/>
        <w:spacing w:after="0" w:line="299" w:lineRule="auto"/>
        <w:rPr>
          <w:sz w:val="20"/>
          <w:szCs w:val="20"/>
          <w:color w:val="auto"/>
        </w:rPr>
      </w:pPr>
      <w:r>
        <w:rPr>
          <w:rFonts w:ascii="Arial" w:cs="Arial" w:eastAsia="Arial" w:hAnsi="Arial"/>
          <w:sz w:val="12"/>
          <w:szCs w:val="12"/>
          <w:color w:val="auto"/>
        </w:rPr>
        <w:t>On July 26, 2022 (the “Closing Date”), the Company and certain of its subsidiaries (the “Subsidiary Borrowers”) entered into a Loan and Security Agreement (the “Loan Agreement”) with Hercules Capital, Inc. (“Hercules”), in its capacity as administrative agent and collateral agent (in such capacity, the “Agent”) and as a lender, Silicon Valley Bank (“SVB”) and certain other financial institutions that from time to time become parties to the Loan Agreement as lenders (collectively, the “Lenders”). The Loan Agreement provides for term loans in an aggregate principal amount of up to $250.0 million under multiple tranches (the “2022 Term Loan Facility”), available as follows: (i) a term loan advance in the amount of $50.0 million on the Closing Date; (ii) subject to the Company’s announcement that the GATHER2 trial evaluating Zimura in GA has achieved its protocol-specified primary endpoint and the Company has a sufficient clinical data package to support the submission of an NDA to the FDA for Zimura in GA (“Milestone 1”), a second tranche consisting of term loan advances in the aggregate principal amount of $50.0 million available at the Company’s option beginning on the date that Milestone 1 is achieved through December 15, 2022; (iii) subject to the Company’s submission of an NDA to the FDA for Zimura in GA and the FDA accepting such NDA for review (“Milestone 2”), a third tranche consisting of term loan advances in the aggregate principal amount of $25.0 million, available at the Company’s option beginning on the date that Milestone 2 is achieved through September 30, 2023; (iv) subject to FDA approval of Zimura in GA with a label generally consistent with that sought in the Company’s NDA (“Milestone 3”), a fourth tranche consisting of term loan advances in the aggregate principal amount of $75.0 million, available at the Company’s option beginning on the date that Milestone 3 is achieved and continuing through the earlier of (x) September 30, 2024 and (y) the date that is ninety (90) days after the date that Milestone 3 is achieved; and (v) subject to approval by the Lenders’ investment committee in its discretion, a fifth tranche of additional term loans in an aggregate principal amount of up to $50.0 million, available on or before the Amortization Date (as defined</w:t>
      </w:r>
    </w:p>
    <w:p>
      <w:pPr>
        <w:spacing w:after="0" w:line="6" w:lineRule="exact"/>
        <w:rPr>
          <w:sz w:val="20"/>
          <w:szCs w:val="20"/>
          <w:color w:val="auto"/>
        </w:rPr>
      </w:pPr>
    </w:p>
    <w:p>
      <w:pPr>
        <w:ind w:right="460"/>
        <w:spacing w:after="0" w:line="281" w:lineRule="auto"/>
        <w:rPr>
          <w:sz w:val="20"/>
          <w:szCs w:val="20"/>
          <w:color w:val="auto"/>
        </w:rPr>
      </w:pPr>
      <w:r>
        <w:rPr>
          <w:rFonts w:ascii="Arial" w:cs="Arial" w:eastAsia="Arial" w:hAnsi="Arial"/>
          <w:sz w:val="14"/>
          <w:szCs w:val="14"/>
          <w:color w:val="auto"/>
        </w:rPr>
        <w:t>below). With the exception of the first $50.0 million tranche available on the Closing Date, each of the tranches may be drawn down in $5.0 million increments at the Company's election. The Company has agreed to use the proceeds of the 2022 Term Loan Facility for working capital and general corporate purposes.</w:t>
      </w:r>
    </w:p>
    <w:p>
      <w:pPr>
        <w:spacing w:after="0" w:line="153" w:lineRule="exact"/>
        <w:rPr>
          <w:sz w:val="20"/>
          <w:szCs w:val="20"/>
          <w:color w:val="auto"/>
        </w:rPr>
      </w:pPr>
    </w:p>
    <w:p>
      <w:pPr>
        <w:ind w:right="160" w:firstLine="318"/>
        <w:spacing w:after="0" w:line="322" w:lineRule="auto"/>
        <w:rPr>
          <w:sz w:val="20"/>
          <w:szCs w:val="20"/>
          <w:color w:val="auto"/>
        </w:rPr>
      </w:pPr>
      <w:r>
        <w:rPr>
          <w:rFonts w:ascii="Arial" w:cs="Arial" w:eastAsia="Arial" w:hAnsi="Arial"/>
          <w:sz w:val="12"/>
          <w:szCs w:val="12"/>
          <w:color w:val="auto"/>
        </w:rPr>
        <w:t>Notwithstanding limitations and restrictions imposed by covenants in the Loan Agreement, the Company is permitted to engage in certain specified transactions. For example, the terms of the Loan Agreement provide that the Company may issue convertible notes in an aggregate principal amount of not more than $400.0 million, provided that such notes are unsecured, have a maturity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date no earlier than six months following the Maturity Date (as defined below), and meet certain other conditions. The Loan Agreement also provides that the Company may enter into royalty interest</w:t>
      </w:r>
    </w:p>
    <w:p>
      <w:pPr>
        <w:spacing w:after="0" w:line="64"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financing transactions that are subordinated to the 2022 Term Loan Facility, have a maturity date no earlier than six months following the Maturity Date, and meet certain other conditions. Following the achievement of Milestone 3, the Loan Agreement also provides for a possible additional revolving credit facility of up to $50.0 million, which will be formula-based and backed by the Company’s accounts receivables. This potential revolving credit facility is not an existing facility under the Loan Agreement, is not committed, and is subject to agreement among the Company and the Lenders.</w:t>
      </w:r>
    </w:p>
    <w:p>
      <w:pPr>
        <w:ind w:right="120"/>
        <w:spacing w:after="0" w:line="314" w:lineRule="auto"/>
        <w:rPr>
          <w:sz w:val="20"/>
          <w:szCs w:val="20"/>
          <w:color w:val="auto"/>
        </w:rPr>
      </w:pPr>
      <w:r>
        <w:rPr>
          <w:rFonts w:ascii="Arial" w:cs="Arial" w:eastAsia="Arial" w:hAnsi="Arial"/>
          <w:sz w:val="12"/>
          <w:szCs w:val="12"/>
          <w:color w:val="auto"/>
        </w:rPr>
        <w:t>The Company may enter into non-exclusive and certain specified exclusive licensing arrangements with respect to core intellectual property and non-exclusive and exclusive licensing arrangements or otherwise transfer non-core intellectual property without the consent of the Lenders. The Company may also enter into certain permitted acquisitions, subject to a limit on total cash consideration</w:t>
      </w:r>
    </w:p>
    <w:p>
      <w:pPr>
        <w:jc w:val="both"/>
        <w:ind w:right="160"/>
        <w:spacing w:after="0" w:line="267" w:lineRule="auto"/>
        <w:rPr>
          <w:sz w:val="20"/>
          <w:szCs w:val="20"/>
          <w:color w:val="auto"/>
        </w:rPr>
      </w:pPr>
      <w:r>
        <w:rPr>
          <w:rFonts w:ascii="Arial" w:cs="Arial" w:eastAsia="Arial" w:hAnsi="Arial"/>
          <w:sz w:val="14"/>
          <w:szCs w:val="14"/>
          <w:color w:val="auto"/>
        </w:rPr>
        <w:t>for acquisitions consummated during specified periods. Additionally, the Company must provide the Lenders the opportunity to invest up to $10.0 million in any equity financing, subject to certain exclusions, that is broadly marketed to multiple investors and in which the Company receives net cash proceeds of $75.0 million or more in any one or series of related financings (or in the case of any such equity financing that is a registered offering, use its commercially reasonable efforts to provide such opportunity to the Lenders).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7" w:lineRule="exact"/>
        <w:rPr>
          <w:sz w:val="20"/>
          <w:szCs w:val="20"/>
          <w:color w:val="auto"/>
        </w:rPr>
      </w:pPr>
    </w:p>
    <w:p>
      <w:pPr>
        <w:ind w:firstLine="318"/>
        <w:spacing w:after="0" w:line="350" w:lineRule="auto"/>
        <w:rPr>
          <w:sz w:val="20"/>
          <w:szCs w:val="20"/>
          <w:color w:val="auto"/>
        </w:rPr>
      </w:pPr>
      <w:r>
        <w:rPr>
          <w:rFonts w:ascii="Arial" w:cs="Arial" w:eastAsia="Arial" w:hAnsi="Arial"/>
          <w:sz w:val="12"/>
          <w:szCs w:val="12"/>
          <w:color w:val="auto"/>
        </w:rPr>
        <w:t>The 2022 Term Loan Facility will mature on August 1, 2027 (the “Maturity Date”). The outstanding principal balance of the 2022 Term Loan Facility bears interest at a floating interest rate per annum equal to the greater of either (i) (x) the lesser of the Wall Street Journal prime rate and 6.25% plus (y) 4.00% or (ii) 8.75%. The per annum Interest rate is capped at 10.25%. Accrued interest is</w:t>
      </w:r>
    </w:p>
    <w:p>
      <w:pPr>
        <w:spacing w:after="0" w:line="1" w:lineRule="exact"/>
        <w:rPr>
          <w:sz w:val="20"/>
          <w:szCs w:val="20"/>
          <w:color w:val="auto"/>
        </w:rPr>
      </w:pPr>
    </w:p>
    <w:p>
      <w:pPr>
        <w:ind w:right="220"/>
        <w:spacing w:after="0" w:line="331" w:lineRule="auto"/>
        <w:rPr>
          <w:sz w:val="20"/>
          <w:szCs w:val="20"/>
          <w:color w:val="auto"/>
        </w:rPr>
      </w:pPr>
      <w:r>
        <w:rPr>
          <w:rFonts w:ascii="Arial" w:cs="Arial" w:eastAsia="Arial" w:hAnsi="Arial"/>
          <w:sz w:val="12"/>
          <w:szCs w:val="12"/>
          <w:color w:val="auto"/>
        </w:rPr>
        <w:t>payable monthly following the funding of each term loan. The Company may make payments of interest only, without any loan amortization payments, for a period of forty-two (42) months following the Closing Date, which period may be extended to the Maturity Date if (i) Milestone 3 has been achieved and (ii) no default or event of default exists under the Loan Agreement. At the end of the interest only period (the “Amortization Date”), the Company is required to begin repayment of the outstanding principal of the 2022 Term Loan Facility in equal monthly installments.</w:t>
      </w:r>
    </w:p>
    <w:p>
      <w:pPr>
        <w:spacing w:after="0" w:line="129"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As collateral for the obligations under the 2022 Term Loan Facility, the Company has granted to Agent for the benefit of the Lenders a senior security interest in substantially all of its and each Subsidiary Borrower’s property, inclusive of intellectual property, with certain limited exceptions set forth in the Loan Agreement.</w:t>
      </w:r>
    </w:p>
    <w:p>
      <w:pPr>
        <w:spacing w:after="0" w:line="153" w:lineRule="exact"/>
        <w:rPr>
          <w:sz w:val="20"/>
          <w:szCs w:val="20"/>
          <w:color w:val="auto"/>
        </w:rPr>
      </w:pPr>
    </w:p>
    <w:p>
      <w:pPr>
        <w:ind w:right="120" w:firstLine="318"/>
        <w:spacing w:after="0" w:line="322" w:lineRule="auto"/>
        <w:rPr>
          <w:sz w:val="20"/>
          <w:szCs w:val="20"/>
          <w:color w:val="auto"/>
        </w:rPr>
      </w:pPr>
      <w:r>
        <w:rPr>
          <w:rFonts w:ascii="Arial" w:cs="Arial" w:eastAsia="Arial" w:hAnsi="Arial"/>
          <w:sz w:val="12"/>
          <w:szCs w:val="12"/>
          <w:color w:val="auto"/>
        </w:rPr>
        <w:t>The Loan Agreement contains customary closing and commitment fees, prepayment fees and provisions, events of default and representations, warranties and affirmative and negative covenants, including a financial covenant requiring the Company to maintain certain levels of cash in accounts subject to a control agreement in favor of the Agent (the “Qualified Cash”) during the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period commencing on May 15, 2023 through August 14, 2024. Commencing on August 15, 2024, the Company will also be required to maintain a certain minimum amount of trailing six-month net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product revenue from the sale of Zimura, tested on a quarterly basis. The revenue covenant will be waived at any time at which the Company (x) (i) maintains a market capitalization in excess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$600.0 million and (ii) maintains Qualified Cash in an amount greater than or equal to fifty percent (50%) of the outstanding 2022 Term Loan Facility at such time or (y) maintains Qualified Cash in</w:t>
      </w:r>
    </w:p>
    <w:p>
      <w:pPr>
        <w:spacing w:after="0" w:line="42"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an amount greater than or equal to ninety percent (90%) of the outstanding 2022 Term Loan Facility at such time. Upon the occurrence of an event of default, including a material adverse effect, subject to certain exceptions, on the business, operations, properties, assets or financial condition of the Company and the Subsidiary Borrowers taken as a whole, and subject to any specified cure periods, all amounts owed by the Company may be declared immediately due and payable by the Lenders. As of the Closing Date, the Company was in compliance with all applicable covenants under the Loan Agreement.</w:t>
      </w:r>
    </w:p>
    <w:p>
      <w:pPr>
        <w:spacing w:after="0" w:line="167"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In addition, the Company is required to make a final payment fee (the “End of Term Charge”) upon the earlier of (i) the Maturity Date or (ii) the date the Company prepays, in full or in part, the outstanding principal balance of the 2022 Term Loan Facility. The End of Term Charge is 4.25% of the aggregate original principal amount of the term loans repaid or prepaid under the Loan Agreement.</w:t>
      </w:r>
    </w:p>
    <w:p>
      <w:pPr>
        <w:spacing w:after="0" w:line="163" w:lineRule="exact"/>
        <w:rPr>
          <w:sz w:val="20"/>
          <w:szCs w:val="20"/>
          <w:color w:val="auto"/>
        </w:rPr>
      </w:pPr>
    </w:p>
    <w:p>
      <w:pPr>
        <w:ind w:right="140" w:firstLine="318"/>
        <w:spacing w:after="0" w:line="304" w:lineRule="auto"/>
        <w:rPr>
          <w:sz w:val="20"/>
          <w:szCs w:val="20"/>
          <w:color w:val="auto"/>
        </w:rPr>
      </w:pPr>
      <w:r>
        <w:rPr>
          <w:rFonts w:ascii="Arial" w:cs="Arial" w:eastAsia="Arial" w:hAnsi="Arial"/>
          <w:sz w:val="12"/>
          <w:szCs w:val="12"/>
          <w:color w:val="auto"/>
        </w:rPr>
        <w:t>The Company may, at its option, prepay the term loans in full or in part, subject to a prepayment penalty equal to (i) 2.0% of the principal amount prepaid if the prepayment occurs prior to the first anniversary of the Closing Date, (ii) 1.5% of the principal amount prepaid if the prepayment occurs on or after the first anniversary and prior to the second anniversary of the Closing Date, and</w:t>
      </w:r>
    </w:p>
    <w:p>
      <w:pPr>
        <w:ind w:left="260" w:hanging="255"/>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0.75% of the principal amount prepaid if the prepayment occurs on or after the second anniversary and prior to the third anniversary of the Closing Date.</w:t>
      </w: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119" w:lineRule="exact"/>
        <w:rPr>
          <w:sz w:val="20"/>
          <w:szCs w:val="20"/>
          <w:color w:val="auto"/>
        </w:rPr>
      </w:pPr>
    </w:p>
    <w:p>
      <w:pPr>
        <w:ind w:right="120" w:firstLine="318"/>
        <w:spacing w:after="0" w:line="262" w:lineRule="auto"/>
        <w:rPr>
          <w:sz w:val="20"/>
          <w:szCs w:val="20"/>
          <w:color w:val="auto"/>
        </w:rPr>
      </w:pPr>
      <w:r>
        <w:rPr>
          <w:rFonts w:ascii="Arial" w:cs="Arial" w:eastAsia="Arial" w:hAnsi="Arial"/>
          <w:sz w:val="13"/>
          <w:szCs w:val="13"/>
          <w:i w:val="1"/>
          <w:iCs w:val="1"/>
          <w:color w:val="auto"/>
        </w:rPr>
        <w:t>The following discussion and analysis is meant to provide material information relevant to an assessment of the financial condition and results of operations of our company, including an evaluation of the amounts and certainty of cash flows from operations and from outside sources, so as to allow investors to better view our company from management’s perspective. This discussion and analysis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2021 included in our Annual Report on Form 10-K filed with the Securities and Exchange Commission on February 24, 2022.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19"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We are a science-driven biopharmaceutical company focused on the discovery and development of novel treatments for retinal diseases with significant unmet medical needs. We are committed to having a positive impact on patients’ lives by delivering high-quality, safe and effective treatments designed to address debilitating retinal diseases, including earlier stages of age-related macular degeneration, or AMD.</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lead asset is our clinical stage product candidate Zimura® (avacincaptad pegol), a complement C5 inhibitor. We are currently targeting the following diseases with Zimura:</w:t>
      </w:r>
    </w:p>
    <w:p>
      <w:pPr>
        <w:spacing w:after="0" w:line="125"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Geographic Atrophy, or GA, which is the advanced stage of AMD and is characterized by marked thinning or atrophy of retinal tissue, leading to irreversible loss of vision;</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intermediate AMD, which is an earlier stage of AMD that precedes GA; and</w:t>
      </w:r>
    </w:p>
    <w:p>
      <w:pPr>
        <w:spacing w:after="0" w:line="125" w:lineRule="exact"/>
        <w:rPr>
          <w:rFonts w:ascii="Arial" w:cs="Arial" w:eastAsia="Arial" w:hAnsi="Arial"/>
          <w:sz w:val="14"/>
          <w:szCs w:val="14"/>
          <w:color w:val="auto"/>
        </w:rPr>
      </w:pPr>
    </w:p>
    <w:p>
      <w:pPr>
        <w:ind w:left="520" w:right="220" w:hanging="260"/>
        <w:spacing w:after="0" w:line="281"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79" w:lineRule="exact"/>
        <w:rPr>
          <w:sz w:val="20"/>
          <w:szCs w:val="20"/>
          <w:color w:val="auto"/>
        </w:rPr>
      </w:pPr>
    </w:p>
    <w:p>
      <w:pPr>
        <w:ind w:right="260" w:firstLine="318"/>
        <w:spacing w:after="0" w:line="267" w:lineRule="auto"/>
        <w:rPr>
          <w:sz w:val="20"/>
          <w:szCs w:val="20"/>
          <w:color w:val="auto"/>
        </w:rPr>
      </w:pPr>
      <w:r>
        <w:rPr>
          <w:rFonts w:ascii="Arial" w:cs="Arial" w:eastAsia="Arial" w:hAnsi="Arial"/>
          <w:sz w:val="14"/>
          <w:szCs w:val="14"/>
          <w:color w:val="auto"/>
        </w:rPr>
        <w:t>In July 2021, we completed patient enrollment for GATHER2, our Phase 3 clinical trial evaluating the safety and efficacy of Zimura for the treatment of GA secondary to AMD. We also received a written agreement from the U.S. Food and Drug Administration, or the FDA, under a Special Protocol Assessment, or SPA, for the overall design of GATHER2. We expect topline data from the GATHER2 trial to become available in September 2022.</w:t>
      </w:r>
    </w:p>
    <w:p>
      <w:pPr>
        <w:spacing w:after="0" w:line="78"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We continue to pursue various lifecycle management programs for Zimura. In June 2022, we entered into a license agreement, or the DelSiTech License Agreement, with DelSiTech Ltd., or DelSiTech, for a worldwide, exclusive license under specified patent rights and know-how to develop and commercialize new formulations of Zimura using DelSiTech’s silica-based sustained release technology for treating diseases of the human eye.</w:t>
      </w:r>
    </w:p>
    <w:p>
      <w:pPr>
        <w:spacing w:after="0" w:line="89" w:lineRule="exact"/>
        <w:rPr>
          <w:sz w:val="20"/>
          <w:szCs w:val="20"/>
          <w:color w:val="auto"/>
        </w:rPr>
      </w:pPr>
    </w:p>
    <w:p>
      <w:pPr>
        <w:ind w:right="300" w:firstLine="318"/>
        <w:spacing w:after="0" w:line="321" w:lineRule="auto"/>
        <w:rPr>
          <w:sz w:val="20"/>
          <w:szCs w:val="20"/>
          <w:color w:val="auto"/>
        </w:rPr>
      </w:pPr>
      <w:r>
        <w:rPr>
          <w:rFonts w:ascii="Arial" w:cs="Arial" w:eastAsia="Arial" w:hAnsi="Arial"/>
          <w:sz w:val="13"/>
          <w:szCs w:val="13"/>
          <w:color w:val="auto"/>
        </w:rPr>
        <w:t>In addition to Zimura, we are developing our preclinical product candidate IC-500, a High temperature requirement A serine peptidase 1 protein, or HtrA1, inhibitor, for GA and potentially other age-related retinal diseases. Based on current timelines, we expect to submit an investigational new drug application, or IND, to the FDA for IC-500 in mid-2023.</w:t>
      </w:r>
    </w:p>
    <w:p>
      <w:pPr>
        <w:spacing w:after="0" w:line="56"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Our portfolio also includes two preclinical stage gene therapy product candidates (IC-100 and IC-200) and several ongoing gene therapy research programs, each of which uses adeno-associated virus, or AAV, for gene delivery. These AAV mediated gene therapy programs are targeting the following orphan inherited retinal diseases, or IRDs:</w:t>
      </w:r>
    </w:p>
    <w:p>
      <w:pPr>
        <w:spacing w:after="0" w:line="69"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rhodopsin-mediated autosomal dominant retinitis pigmentosa, or RHO-adRP, which is characterized by progressive and severe bilateral loss of vision leading to blindness;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IRDs associated with mutations in the BEST1 gene, including Best vitelliform macular dystrophy, or Best disease;</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Leber Congenital Amaurosis type 10, or LCA10, which is characterized by severe bilateral loss of vision at or soon after birth;</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STGD1;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IRDs associated with mutations in the USH2A gene, which include Usher syndrome type 2A, or Usher 2A, and USH2A-associated non-syndromic autosomal recessive retinitis pigmentosa.</w:t>
      </w:r>
    </w:p>
    <w:p>
      <w:pPr>
        <w:spacing w:after="0" w:line="148"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As we focus our efforts on and prioritize the development and potential commercialization of Zimura, we have been considering our development options for IC-100 and IC-200, which we have been developing for RHO-adRP and BEST1-related IRDs, respectively. We are currently planning to seek a collaborator for the future development and potential commercialization of these product candidates.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Pipeline</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have summarized the current status of our ongoing research and development programs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4608195" cy="2028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08195" cy="202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*We have an option to exclusively in-license intellectual property resulting from these research programs.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Therapeutic Development Programs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Zimura</w:t>
      </w:r>
    </w:p>
    <w:p>
      <w:pPr>
        <w:spacing w:after="0" w:line="125" w:lineRule="exact"/>
        <w:rPr>
          <w:sz w:val="20"/>
          <w:szCs w:val="20"/>
          <w:color w:val="auto"/>
        </w:rPr>
      </w:pPr>
    </w:p>
    <w:p>
      <w:pPr>
        <w:jc w:val="both"/>
        <w:ind w:right="280" w:firstLine="318"/>
        <w:spacing w:after="0" w:line="267" w:lineRule="auto"/>
        <w:rPr>
          <w:sz w:val="20"/>
          <w:szCs w:val="20"/>
          <w:color w:val="auto"/>
        </w:rPr>
      </w:pPr>
      <w:r>
        <w:rPr>
          <w:rFonts w:ascii="Arial" w:cs="Arial" w:eastAsia="Arial" w:hAnsi="Arial"/>
          <w:sz w:val="14"/>
          <w:szCs w:val="14"/>
          <w:color w:val="auto"/>
        </w:rPr>
        <w:t>Zimura, our complement C5 inhibitor, is a chemically-synthesized, pegylated RNA aptamer. Aptamers are short molecules made up of a single stranded nucleic acid sequence or amino acid sequence that binds molecular targets with high selectivity and specificity. The following are brief descriptions of our clinical development programs for Zimura, our manufacturing activities for Zimura and our lifecycle management initiatives for Zimura.</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i w:val="1"/>
          <w:iCs w:val="1"/>
          <w:u w:val="single" w:color="auto"/>
          <w:color w:val="auto"/>
        </w:rPr>
        <w:t>GATHER2 (GA secondary to AMD - Ongoing)</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Trial Design</w:t>
      </w:r>
    </w:p>
    <w:p>
      <w:pPr>
        <w:spacing w:after="0" w:line="125"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GATHER2 is an international, randomized, double-masked, sham controlled, multi-center Phase 3 clinical trial evaluating the safety and efficacy of Zimura for the treatment of GA secondary to AMD. In this trial, we enrolled 448 patients who were randomized to receive either monthly administration of Zimura 2 mg or sham during the first 12 months of the trial. At month 12, patients in the Zimura 2 mg arm are re-randomized to receive either monthly or every other month administration of Zimura 2 mg and patients receiving monthly administrations of sham will continue to receive monthly administrations of sham. The final evaluation for patients will take place at month 24.</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Plans for Topline Data and Patient Retention Update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expect 12-month topline data from this trial to become available in September 2022. We plan to report the following:</w:t>
      </w:r>
    </w:p>
    <w:p>
      <w:pPr>
        <w:spacing w:after="0" w:line="121" w:lineRule="exact"/>
        <w:rPr>
          <w:sz w:val="20"/>
          <w:szCs w:val="20"/>
          <w:color w:val="auto"/>
        </w:rPr>
      </w:pPr>
    </w:p>
    <w:p>
      <w:pPr>
        <w:ind w:left="520" w:right="200" w:hanging="260"/>
        <w:spacing w:after="0" w:line="27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the prespecified primary efficacy endpoint, </w:t>
      </w:r>
      <w:r>
        <w:rPr>
          <w:rFonts w:ascii="Arial" w:cs="Arial" w:eastAsia="Arial" w:hAnsi="Arial"/>
          <w:sz w:val="14"/>
          <w:szCs w:val="14"/>
          <w:color w:val="auto"/>
        </w:rPr>
        <w:t>which is the mean rate of growth (slope) estimated based on GA area, as measured by fundus autofluorescence, or FAF, based on readings at</w:t>
      </w:r>
      <w:r>
        <w:rPr>
          <w:rFonts w:ascii="Arial" w:cs="Arial" w:eastAsia="Arial" w:hAnsi="Arial"/>
          <w:sz w:val="14"/>
          <w:szCs w:val="14"/>
          <w:b w:val="1"/>
          <w:bCs w:val="1"/>
          <w:color w:val="auto"/>
        </w:rPr>
        <w:t xml:space="preserve"> </w:t>
      </w:r>
      <w:r>
        <w:rPr>
          <w:rFonts w:ascii="Arial" w:cs="Arial" w:eastAsia="Arial" w:hAnsi="Arial"/>
          <w:sz w:val="14"/>
          <w:szCs w:val="14"/>
          <w:color w:val="auto"/>
        </w:rPr>
        <w:t>three timepoints: baseline, month 6 and month 12, calculated by using the square root transformation of the GA area. This is consistent with our SPA with the FDA, which is described in more detail below. In addition, we will present the same data using a point analysis.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left="520" w:right="120" w:hanging="260"/>
        <w:spacing w:after="0" w:line="26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b w:val="1"/>
          <w:bCs w:val="1"/>
          <w:color w:val="auto"/>
        </w:rPr>
        <w:t xml:space="preserve">a summary of the safety profile at 12 months, </w:t>
      </w:r>
      <w:r>
        <w:rPr>
          <w:rFonts w:ascii="Arial" w:cs="Arial" w:eastAsia="Arial" w:hAnsi="Arial"/>
          <w:sz w:val="14"/>
          <w:szCs w:val="14"/>
          <w:color w:val="auto"/>
        </w:rPr>
        <w:t>including potential cases of choroidal neovascularization, or CNV, as reported in the traditional manner, commonly defined in the retinal</w:t>
      </w:r>
      <w:r>
        <w:rPr>
          <w:rFonts w:ascii="Arial" w:cs="Arial" w:eastAsia="Arial" w:hAnsi="Arial"/>
          <w:sz w:val="14"/>
          <w:szCs w:val="14"/>
          <w:b w:val="1"/>
          <w:bCs w:val="1"/>
          <w:color w:val="auto"/>
        </w:rPr>
        <w:t xml:space="preserve"> </w:t>
      </w:r>
      <w:r>
        <w:rPr>
          <w:rFonts w:ascii="Arial" w:cs="Arial" w:eastAsia="Arial" w:hAnsi="Arial"/>
          <w:sz w:val="14"/>
          <w:szCs w:val="14"/>
          <w:color w:val="auto"/>
        </w:rPr>
        <w:t>community as a choroidal neovascular membrane. While the FDA did not request potential CNV cases to be reported using the non-traditional, recently defined terms, “exudative” versus “non-exudative” macular neovascularization, or MNV, we plan to provide these data. For detailed definitions of “exudative” and “non-exudative” MNV, as defined by the Center for Ocular Research and Evaluation at the Cole Eye Institute of the Cleveland Clinic, see our Form 8-K filed on April 4, 2022. In addition to CNV, we plan to also provide rates of potential inflammation and endophthalmitis, if any.</w:t>
      </w:r>
    </w:p>
    <w:p>
      <w:pPr>
        <w:spacing w:after="0" w:line="94" w:lineRule="exact"/>
        <w:rPr>
          <w:sz w:val="20"/>
          <w:szCs w:val="20"/>
          <w:color w:val="auto"/>
        </w:rPr>
      </w:pPr>
    </w:p>
    <w:p>
      <w:pPr>
        <w:jc w:val="both"/>
        <w:ind w:right="320" w:firstLine="318"/>
        <w:spacing w:after="0" w:line="267" w:lineRule="auto"/>
        <w:rPr>
          <w:sz w:val="20"/>
          <w:szCs w:val="20"/>
          <w:color w:val="auto"/>
        </w:rPr>
      </w:pPr>
      <w:r>
        <w:rPr>
          <w:rFonts w:ascii="Arial" w:cs="Arial" w:eastAsia="Arial" w:hAnsi="Arial"/>
          <w:sz w:val="14"/>
          <w:szCs w:val="14"/>
          <w:color w:val="auto"/>
        </w:rPr>
        <w:t>If the 12-month results are positive, we plan to submit a new drug application to the FDA and a marketing authorization application to the EMA for marketing approval of Zimura for GA. Following our topline data announcement, the American Academy of Ophthalmology has reserved timeslots at its Annual Meeting on Friday, September 30, 2022 for presentations of the topline efficacy and safety results.</w:t>
      </w:r>
    </w:p>
    <w:p>
      <w:pPr>
        <w:spacing w:after="0" w:line="78"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We are focusing on patient retention and continue to closely monitor the COVID-19 pandemic and its potential effect on the trial. We believe injection fidelity to be the most important and stringent measure of patient retention because it reflects the timely administration of the study drug into the patient’s eye. We achieved a 12-month injection fidelity rate for GATHER2 of 92.5%. The 12-month injection fidelity rate for our previously completed GATHER1 trial was 87%. The injection fidelity rate is calculated by dividing the total number of actual injections for all patients by the total number of expected injections based on the total number of patients enrolled in the trial.</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Special Protocol Assessment</w:t>
      </w:r>
    </w:p>
    <w:p>
      <w:pPr>
        <w:spacing w:after="0" w:line="125" w:lineRule="exact"/>
        <w:rPr>
          <w:sz w:val="20"/>
          <w:szCs w:val="20"/>
          <w:color w:val="auto"/>
        </w:rPr>
      </w:pPr>
    </w:p>
    <w:p>
      <w:pPr>
        <w:ind w:right="120" w:firstLine="318"/>
        <w:spacing w:after="0" w:line="288" w:lineRule="auto"/>
        <w:rPr>
          <w:sz w:val="20"/>
          <w:szCs w:val="20"/>
          <w:color w:val="auto"/>
        </w:rPr>
      </w:pPr>
      <w:r>
        <w:rPr>
          <w:rFonts w:ascii="Arial" w:cs="Arial" w:eastAsia="Arial" w:hAnsi="Arial"/>
          <w:sz w:val="13"/>
          <w:szCs w:val="13"/>
          <w:color w:val="auto"/>
        </w:rPr>
        <w:t>In July 2021, we received a written agreement from the FDA under a SPA for the overall design of GATHER2. The SPA is a procedure by which the FDA provides a clinical trial sponsor with an official evaluation and written guidance on the design of a proposed protocol intended to form the basis for an NDA. In connection with our SPA, the FDA recommended, and we accepted, modifying the primary efficacy endpoint for the GATHER2 trial from the mean rate of change in GA area over 12 months measured by FAF at three timepoints: baseline, month 6 and month 12, to the mean rate of growth (slope) estimated based on GA area measured by FAF in at least three timepoints: baseline, month 6 and month 12.</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Planned Phase 3 Clinical Trial in Intermediate AMD</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currently plan to initiate a Phase 3 clinical trial studying Zimura in patients with intermediate AMD. Intermediate AMD is an earlier stage of AMD that precedes GA.</w:t>
      </w:r>
    </w:p>
    <w:p>
      <w:pPr>
        <w:spacing w:after="0" w:line="125"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We expect the intermediate AMD trial will be an international, randomized, double-masked, sham-controlled, multi-center trial with approximately 200 patients per treatment group. We expect to treat and follow patients for 24 months. We are currently evaluating other aspects of the design of this trial, including patient inclusion criteria and primary efficacy endpoints. Before initiating this trial, we plan to obtain feedback from the FDA and other regulatory authorities on our plans for this trial and our development strategy in this indication. Based on current timelines and subject to regulatory review, we expect to initiate this trial during the fourth quarter of 2022.</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i w:val="1"/>
          <w:iCs w:val="1"/>
          <w:u w:val="single" w:color="auto"/>
          <w:color w:val="auto"/>
        </w:rPr>
        <w:t>STAR (STGD1 - Ongoing)</w:t>
      </w:r>
    </w:p>
    <w:p>
      <w:pPr>
        <w:spacing w:after="0" w:line="125"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STAR is an international, randomized, double-masked, sham controlled, multi-center clinical trial evaluating the safety and efficacy of Zimura for the treatment of STGD1. STAR, similar to GATHER1, was designed to be a Phase 2b screening trial, with the potential to demonstrate statistically significant results depending on the magnitude of the potential benefit observed. If the results are positive and statistically significant, we believe this trial could potentially serve as a clinical trial that can support an application for marketing approval. We initially enrolled 95 patients in the STAR trial, none of whom have any remaining study visits.</w:t>
      </w:r>
    </w:p>
    <w:p>
      <w:pPr>
        <w:spacing w:after="0" w:line="93" w:lineRule="exact"/>
        <w:rPr>
          <w:sz w:val="20"/>
          <w:szCs w:val="20"/>
          <w:color w:val="auto"/>
        </w:rPr>
      </w:pPr>
    </w:p>
    <w:p>
      <w:pPr>
        <w:ind w:right="120" w:firstLine="318"/>
        <w:spacing w:after="0" w:line="284" w:lineRule="auto"/>
        <w:rPr>
          <w:sz w:val="20"/>
          <w:szCs w:val="20"/>
          <w:color w:val="auto"/>
        </w:rPr>
      </w:pPr>
      <w:r>
        <w:rPr>
          <w:rFonts w:ascii="Arial" w:cs="Arial" w:eastAsia="Arial" w:hAnsi="Arial"/>
          <w:sz w:val="13"/>
          <w:szCs w:val="13"/>
          <w:color w:val="auto"/>
        </w:rPr>
        <w:t>In July 2020, we reopened enrollment in this trial in the United States. We continue to enroll new patients and plan to enroll approximately 25 additional patients, with the goal of enrolling a total of approximately 120 patients. As we continue to enroll new patients, we continue to monitor the COVID-19 pandemic closely and may need to slow down or stop patient enrollment in certain geographies depending on the local situation. Newly enrolled patients are randomized on a 1:1 basis to be treated with either Zimura 4 mg or sham for 18 months. We have been and plan to remain masked to the treatment group of all patients in the trial. In addition, we have not reviewed and do not plan to review or analyze efficacy data for any patients in the trial, until the 18-month data has been collected and analyzed for all patients enrolled in the trial. We expect results from this trial to be available after the 12-month topline data from the GATHER2 trial.</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4"/>
          <w:szCs w:val="14"/>
          <w:i w:val="1"/>
          <w:iCs w:val="1"/>
          <w:u w:val="single" w:color="auto"/>
          <w:color w:val="auto"/>
        </w:rPr>
        <w:t>Zimura Manufacturing</w:t>
      </w:r>
    </w:p>
    <w:p>
      <w:pPr>
        <w:spacing w:after="0" w:line="125"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In early 2017, we completed the small scale manufacture of multiple batches of Zimura drug substance that we are using to support clinical drug supply for the GATHER2 trial and the expanded STAR trial. We are working with our historical</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contract manufacturer for Zimura drug substance, Agilent Technologies, Inc., or Agilent, to scale up and potentially validate the manufacturing process for Zimura drug substance. Recently, Agilent completed the manufacture of multiple batches of Zimura drug substance at a larger scale, which scale we believe can support our commercial needs.</w:t>
      </w:r>
    </w:p>
    <w:p>
      <w:pPr>
        <w:spacing w:after="0" w:line="132"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In parallel, we are working with a new contract manufacturer with the goal of assessing whether this manufacturer can produce Zimura drug substance at an adequate scale for potential commercial use. We experienced issues during technology transfer of the existing manufacturing process to this manufacturer, which resulted in delays to our timelines with this manufacturer. Subject to successful completion of scale up and validation activities, we currently plan to use Agilent as the primary source of supply of Zimura drug substance upon launch, if approved, and the new manufacturer as a second source of supply of Zimura drug substance. Validation requires that we demonstrate that the drug substance produced through the scaled up process can be produced consistently, delivering quality product within a range of acceptable specifications. We are continuing analytical method development and qualification with our contract manufacturers and laboratories.</w:t>
      </w:r>
    </w:p>
    <w:p>
      <w:pPr>
        <w:spacing w:after="0" w:line="150"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Starting in 2020, we have worked with a contract manufacturer to provide us with additional supply of finished Zimura drug product to support our needs for the GATHER2 trial and the expanded STAR trial. We believe we have sufficient finished Zimura drug product for these two clinical trials. In addition, we are working with our historical fill/finish manufacturer, Ajinomoto Bio-Pharma Services, or Ajinomoto, on fill/finish of Zimura drug product with a new vial, which we believe will allow us to support a more efficient and robust fill/finish operation at a commercial scale. Ajinomoto has produced Zimura drug product using the new vial, which we are using for a portion of the second-year study visits for patients in the GATHER2 trial. We believe Ajinomoto has the capacity to supply us with Zimura drug product with the new vial for our expected commercial supply needs upon launch, if approved.</w:t>
      </w:r>
    </w:p>
    <w:p>
      <w:pPr>
        <w:spacing w:after="0" w:line="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order the polyethylene glycol, or PEG, starting material used to make Zimura drug substance from a sole source third-party manufacturer outside the United States. We currently procure the supply on a purchase order basis and are continuing discussions regarding a long-term supply agreement with this manufacturer for the PEG starting material. We believe this supplier has the capacity to supply us with the PEG at the scale that we will need for commercial manufacturing.</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i w:val="1"/>
          <w:iCs w:val="1"/>
          <w:u w:val="single" w:color="auto"/>
          <w:color w:val="auto"/>
        </w:rPr>
        <w:t>Zimura Lifecycle Initiatives</w:t>
      </w:r>
    </w:p>
    <w:p>
      <w:pPr>
        <w:spacing w:after="0" w:line="125" w:lineRule="exact"/>
        <w:rPr>
          <w:sz w:val="20"/>
          <w:szCs w:val="20"/>
          <w:color w:val="auto"/>
        </w:rPr>
      </w:pPr>
    </w:p>
    <w:p>
      <w:pPr>
        <w:ind w:right="460" w:firstLine="318"/>
        <w:spacing w:after="0" w:line="281" w:lineRule="auto"/>
        <w:rPr>
          <w:sz w:val="20"/>
          <w:szCs w:val="20"/>
          <w:color w:val="auto"/>
        </w:rPr>
      </w:pPr>
      <w:r>
        <w:rPr>
          <w:rFonts w:ascii="Arial" w:cs="Arial" w:eastAsia="Arial" w:hAnsi="Arial"/>
          <w:sz w:val="14"/>
          <w:szCs w:val="14"/>
          <w:color w:val="auto"/>
        </w:rPr>
        <w:t xml:space="preserve">We continue to pursue various lifecycle management initiatives for Zimura. We have been exploring multiple </w:t>
      </w:r>
      <w:r>
        <w:rPr>
          <w:rFonts w:ascii="Arial" w:cs="Arial" w:eastAsia="Arial" w:hAnsi="Arial"/>
          <w:sz w:val="14"/>
          <w:szCs w:val="14"/>
          <w:color w:val="212529"/>
        </w:rPr>
        <w:t>sustained release delivery technologies for Zimura, including analyzing and</w:t>
      </w:r>
      <w:r>
        <w:rPr>
          <w:rFonts w:ascii="Arial" w:cs="Arial" w:eastAsia="Arial" w:hAnsi="Arial"/>
          <w:sz w:val="14"/>
          <w:szCs w:val="14"/>
          <w:color w:val="auto"/>
        </w:rPr>
        <w:t xml:space="preserve"> </w:t>
      </w:r>
      <w:r>
        <w:rPr>
          <w:rFonts w:ascii="Arial" w:cs="Arial" w:eastAsia="Arial" w:hAnsi="Arial"/>
          <w:sz w:val="14"/>
          <w:szCs w:val="14"/>
          <w:color w:val="212529"/>
        </w:rPr>
        <w:t>evaluating the resulting formulations of the technologies with Zimura.</w:t>
      </w:r>
    </w:p>
    <w:p>
      <w:pPr>
        <w:spacing w:after="0" w:line="69"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212529"/>
        </w:rPr>
        <w:t>One of the technologies that we have evaluated is DelSiTech’s proprietary silica-based sustained release technology. We have been encouraged by the results of preliminary feasibility studies of Zimura formulated with DelSiTech’s silica-based sustained release technology and as a result, we entered into the DelSiTech License Agreement with DelSiTech in June 2022. Under the DelSiTech L</w:t>
      </w:r>
      <w:r>
        <w:rPr>
          <w:rFonts w:ascii="Arial" w:cs="Arial" w:eastAsia="Arial" w:hAnsi="Arial"/>
          <w:sz w:val="14"/>
          <w:szCs w:val="14"/>
          <w:color w:val="000000"/>
        </w:rPr>
        <w:t>icense Agreement, we obtained a worldwide, exclusive license under specified patent rights and know-how to develop and commercialize new formulations of Zimura using DelSiTech’s silica-based sustained release technology for treating diseases of the human eye. We plan to develop these sustained release delivery technologies for GA and earlier stages of AMD, such as intermediate AMD.</w:t>
      </w:r>
    </w:p>
    <w:p>
      <w:pPr>
        <w:spacing w:after="0" w:line="93"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212529"/>
        </w:rPr>
        <w:t>In addition to DelSiTech’s technology, we continue to evaluate other sustained release delivery technologies for Zimura. If any of the other resulting formulations are promising, we may pursue long-term development collaborations with those technologies.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IC-500: HtrA1 Inhibitor</w:t>
      </w:r>
    </w:p>
    <w:p>
      <w:pPr>
        <w:spacing w:after="0" w:line="179"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We are pursuing the preclinical development of IC-500 for the treatment of GA and potentially other age-related retinal diseases. We have selected IC-500 as the lead compound from our HtrA1 inhibitor program, which includes a number of small molecule compounds that show high affinity and specificity for HtrA1 when tested in vitro.</w:t>
      </w:r>
    </w:p>
    <w:p>
      <w:pPr>
        <w:spacing w:after="0" w:line="69"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We are continuing the preclinical development of IC-500. In 2021, we initiated a number of preclinical tolerability and pharmacokinetic studies for IC-500, and we are planning for IND-enabling GLP toxicology studies. We have developed a formulation that we believe will be safe and effective for intravitreal administration into the eye, and are conducting current Good Manufacturing Practices, or cGMP, manufacturing activities for IC-500. Based on current timelines and subject to successful preclinical development and cGMP manufacturing, we expect to submit an IND to the FDA for IC-500 in mid-2023.</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 Therapy Research and Development Programs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IC-100: Product Candidate for RHO-adRP</w:t>
      </w:r>
    </w:p>
    <w:p>
      <w:pPr>
        <w:spacing w:after="0" w:line="125" w:lineRule="exact"/>
        <w:rPr>
          <w:sz w:val="20"/>
          <w:szCs w:val="20"/>
          <w:color w:val="auto"/>
        </w:rPr>
      </w:pPr>
    </w:p>
    <w:p>
      <w:pPr>
        <w:ind w:right="80" w:firstLine="318"/>
        <w:spacing w:after="0" w:line="260" w:lineRule="auto"/>
        <w:rPr>
          <w:sz w:val="20"/>
          <w:szCs w:val="20"/>
          <w:color w:val="auto"/>
        </w:rPr>
      </w:pPr>
      <w:r>
        <w:rPr>
          <w:rFonts w:ascii="Arial" w:cs="Arial" w:eastAsia="Arial" w:hAnsi="Arial"/>
          <w:sz w:val="14"/>
          <w:szCs w:val="14"/>
          <w:color w:val="auto"/>
        </w:rPr>
        <w:t>We have been conducting the preclinical development of IC-100, our novel AAV gene therapy product candidate for the treatment of RHO-adRP. We worked with a gene therapy contract development and manufacturing organization, or CDMO, for preclinical and early-stage clinical supply of IC-100. This CDMO produced, and we released, a cGMP batch of IC-100. In addition, we and the University of Pennsylvania, or Penn, conducted a number of preclinical studies of IC-100 and a natural history study of RHO-adRP patients, including a preclinical toxicology and efficacy study of IC-100 in the naturally occurring canine model of RHO-adRP. We have been considering our development options for this product candidate. We currently plan to seek a collaborator for the future development and potential commercialization of IC-100.</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IC-200: Product Candidate for BEST1-Related IRDs</w:t>
      </w:r>
    </w:p>
    <w:p>
      <w:pPr>
        <w:spacing w:after="0" w:line="125" w:lineRule="exact"/>
        <w:rPr>
          <w:sz w:val="20"/>
          <w:szCs w:val="20"/>
          <w:color w:val="auto"/>
        </w:rPr>
      </w:pPr>
    </w:p>
    <w:p>
      <w:pPr>
        <w:ind w:firstLine="318"/>
        <w:spacing w:after="0" w:line="319" w:lineRule="auto"/>
        <w:rPr>
          <w:sz w:val="20"/>
          <w:szCs w:val="20"/>
          <w:color w:val="auto"/>
        </w:rPr>
      </w:pPr>
      <w:r>
        <w:rPr>
          <w:rFonts w:ascii="Arial" w:cs="Arial" w:eastAsia="Arial" w:hAnsi="Arial"/>
          <w:sz w:val="12"/>
          <w:szCs w:val="12"/>
          <w:color w:val="auto"/>
        </w:rPr>
        <w:t xml:space="preserve">We have been conducting the preclinical development of IC-200, our novel AAV gene therapy product candidate for the treatment of </w:t>
      </w:r>
      <w:r>
        <w:rPr>
          <w:rFonts w:ascii="Arial" w:cs="Arial" w:eastAsia="Arial" w:hAnsi="Arial"/>
          <w:sz w:val="12"/>
          <w:szCs w:val="12"/>
          <w:i w:val="1"/>
          <w:iCs w:val="1"/>
          <w:color w:val="auto"/>
        </w:rPr>
        <w:t>BEST1</w:t>
      </w:r>
      <w:r>
        <w:rPr>
          <w:rFonts w:ascii="Arial" w:cs="Arial" w:eastAsia="Arial" w:hAnsi="Arial"/>
          <w:sz w:val="12"/>
          <w:szCs w:val="12"/>
          <w:color w:val="auto"/>
        </w:rPr>
        <w:t xml:space="preserve">-related IRDs. We worked with a gene therapy CDMO for preclinical and early-stage clinical supply of IC-200. This CDMO produced, and we released, a cGMP batch of IC-200. In addition, we and Penn conducted a number of preclinical studies of IC-200 and natural history studies of patients with </w:t>
      </w:r>
      <w:r>
        <w:rPr>
          <w:rFonts w:ascii="Arial" w:cs="Arial" w:eastAsia="Arial" w:hAnsi="Arial"/>
          <w:sz w:val="12"/>
          <w:szCs w:val="12"/>
          <w:i w:val="1"/>
          <w:iCs w:val="1"/>
          <w:color w:val="auto"/>
        </w:rPr>
        <w:t>BEST1</w:t>
      </w:r>
      <w:r>
        <w:rPr>
          <w:rFonts w:ascii="Arial" w:cs="Arial" w:eastAsia="Arial" w:hAnsi="Arial"/>
          <w:sz w:val="12"/>
          <w:szCs w:val="12"/>
          <w:color w:val="auto"/>
        </w:rPr>
        <w:t>-related IRDs, including a preclinical toxicology and efficacy study of IC-200 in the naturally occurring canine model of Best disease. We have been considering our development options for this product candidate. We currently plan to seek a collaborator for the future development and potential commercialization of IC-200.</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Minigene Programs</w:t>
      </w:r>
    </w:p>
    <w:p>
      <w:pPr>
        <w:spacing w:after="0" w:line="115" w:lineRule="exact"/>
        <w:rPr>
          <w:sz w:val="20"/>
          <w:szCs w:val="20"/>
          <w:color w:val="auto"/>
        </w:rPr>
      </w:pPr>
    </w:p>
    <w:p>
      <w:pPr>
        <w:jc w:val="both"/>
        <w:ind w:right="220" w:firstLine="318"/>
        <w:spacing w:after="0" w:line="267" w:lineRule="auto"/>
        <w:rPr>
          <w:sz w:val="20"/>
          <w:szCs w:val="20"/>
          <w:color w:val="auto"/>
        </w:rPr>
      </w:pPr>
      <w:r>
        <w:rPr>
          <w:rFonts w:ascii="Arial" w:cs="Arial" w:eastAsia="Arial" w:hAnsi="Arial"/>
          <w:sz w:val="14"/>
          <w:szCs w:val="14"/>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goal of minigene therapy is to deliver a gene expressing a protein that, although smaller than the naturally occurring protein, is nonetheless functional for purposes of treating the associated disease.</w:t>
      </w:r>
    </w:p>
    <w:p>
      <w:pPr>
        <w:spacing w:after="0" w:line="78" w:lineRule="exact"/>
        <w:rPr>
          <w:sz w:val="20"/>
          <w:szCs w:val="20"/>
          <w:color w:val="auto"/>
        </w:rPr>
      </w:pPr>
    </w:p>
    <w:p>
      <w:pPr>
        <w:ind w:right="140" w:firstLine="318"/>
        <w:spacing w:after="0" w:line="254" w:lineRule="auto"/>
        <w:rPr>
          <w:sz w:val="20"/>
          <w:szCs w:val="20"/>
          <w:color w:val="auto"/>
        </w:rPr>
      </w:pPr>
      <w:r>
        <w:rPr>
          <w:rFonts w:ascii="Arial" w:cs="Arial" w:eastAsia="Arial" w:hAnsi="Arial"/>
          <w:sz w:val="13"/>
          <w:szCs w:val="13"/>
          <w:color w:val="auto"/>
        </w:rPr>
        <w:t>Starting in 2018, we funded several sponsored research programs at the University of Massachusetts Medical School, or UMMS, seeking to use a minigene approach to develop new gene therapies for several orphan IRDs. These programs (miniCEP290, miniABCA4 and miniUSH2A) are described below. In July 2021, we hired four individuals who were previously at UMMS and working on these sponsored research programs, including the principal investigator for these programs. We have transitioned the preclinical research activities for these programs from UMMS to us and we have established a laboratory for these employees to continue working on these programs and other preclinical ocular research and development activities.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summary of these minigene programs and their status:</w:t>
      </w:r>
    </w:p>
    <w:p>
      <w:pPr>
        <w:spacing w:after="0" w:line="111" w:lineRule="exact"/>
        <w:rPr>
          <w:sz w:val="20"/>
          <w:szCs w:val="20"/>
          <w:color w:val="auto"/>
        </w:rPr>
      </w:pPr>
    </w:p>
    <w:p>
      <w:pPr>
        <w:ind w:left="520" w:right="40" w:hanging="260"/>
        <w:spacing w:after="0" w:line="261"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 xml:space="preserve">miniCEP290 (LCA10): </w:t>
      </w:r>
      <w:r>
        <w:rPr>
          <w:rFonts w:ascii="Arial" w:cs="Arial" w:eastAsia="Arial" w:hAnsi="Arial"/>
          <w:sz w:val="14"/>
          <w:szCs w:val="14"/>
          <w:color w:val="auto"/>
        </w:rPr>
        <w:t>This program, which we refer to as the miniCEP290 program, is targeting LCA10, which is associated with mutations in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CEP290</w:t>
      </w:r>
      <w:r>
        <w:rPr>
          <w:rFonts w:ascii="Arial" w:cs="Arial" w:eastAsia="Arial" w:hAnsi="Arial"/>
          <w:sz w:val="14"/>
          <w:szCs w:val="14"/>
          <w:b w:val="1"/>
          <w:bCs w:val="1"/>
          <w:color w:val="auto"/>
        </w:rPr>
        <w:t xml:space="preserve"> </w:t>
      </w:r>
      <w:r>
        <w:rPr>
          <w:rFonts w:ascii="Arial" w:cs="Arial" w:eastAsia="Arial" w:hAnsi="Arial"/>
          <w:sz w:val="14"/>
          <w:szCs w:val="14"/>
          <w:color w:val="auto"/>
        </w:rPr>
        <w:t>gene. In July 2019, we entered</w:t>
      </w:r>
      <w:r>
        <w:rPr>
          <w:rFonts w:ascii="Arial" w:cs="Arial" w:eastAsia="Arial" w:hAnsi="Arial"/>
          <w:sz w:val="14"/>
          <w:szCs w:val="14"/>
          <w:b w:val="1"/>
          <w:bCs w:val="1"/>
          <w:color w:val="auto"/>
        </w:rPr>
        <w:t xml:space="preserve"> </w:t>
      </w:r>
      <w:r>
        <w:rPr>
          <w:rFonts w:ascii="Arial" w:cs="Arial" w:eastAsia="Arial" w:hAnsi="Arial"/>
          <w:sz w:val="14"/>
          <w:szCs w:val="14"/>
          <w:color w:val="auto"/>
        </w:rPr>
        <w:t>into a license agreement with the University of Massachusetts, or UMass, for exclusive development and commercialization rights to this program. The sponsored research yielded a number of minigene constructs that show encouraging results when tested in a mouse model. UMMS conducted additional experiments to optimize constructs, which were delayed during 2020 because of restrictions placed by UMMS on animal research activities as a result of the COVID-19 pandemic. We have identified a lead construct from this program and are considering preclinical development options.</w:t>
      </w:r>
    </w:p>
    <w:p>
      <w:pPr>
        <w:spacing w:after="0" w:line="143" w:lineRule="exact"/>
        <w:rPr>
          <w:rFonts w:ascii="Arial" w:cs="Arial" w:eastAsia="Arial" w:hAnsi="Arial"/>
          <w:sz w:val="14"/>
          <w:szCs w:val="14"/>
          <w:color w:val="auto"/>
        </w:rPr>
      </w:pPr>
    </w:p>
    <w:p>
      <w:pPr>
        <w:ind w:left="520" w:right="260" w:hanging="260"/>
        <w:spacing w:after="0" w:line="335" w:lineRule="auto"/>
        <w:tabs>
          <w:tab w:leader="none" w:pos="516" w:val="left"/>
        </w:tabs>
        <w:numPr>
          <w:ilvl w:val="0"/>
          <w:numId w:val="17"/>
        </w:numPr>
        <w:rPr>
          <w:rFonts w:ascii="Arial" w:cs="Arial" w:eastAsia="Arial" w:hAnsi="Arial"/>
          <w:sz w:val="12"/>
          <w:szCs w:val="12"/>
          <w:color w:val="auto"/>
        </w:rPr>
      </w:pPr>
      <w:r>
        <w:rPr>
          <w:rFonts w:ascii="Arial" w:cs="Arial" w:eastAsia="Arial" w:hAnsi="Arial"/>
          <w:sz w:val="12"/>
          <w:szCs w:val="12"/>
          <w:b w:val="1"/>
          <w:bCs w:val="1"/>
          <w:color w:val="auto"/>
        </w:rPr>
        <w:t xml:space="preserve">miniABCA4 (STGD1): </w:t>
      </w:r>
      <w:r>
        <w:rPr>
          <w:rFonts w:ascii="Arial" w:cs="Arial" w:eastAsia="Arial" w:hAnsi="Arial"/>
          <w:sz w:val="12"/>
          <w:szCs w:val="12"/>
          <w:color w:val="auto"/>
        </w:rPr>
        <w:t>This program, which we refer to as the miniABCA4 program, is targeting STGD1, which is associated with mutations in the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ABCA4</w:t>
      </w:r>
      <w:r>
        <w:rPr>
          <w:rFonts w:ascii="Arial" w:cs="Arial" w:eastAsia="Arial" w:hAnsi="Arial"/>
          <w:sz w:val="12"/>
          <w:szCs w:val="12"/>
          <w:b w:val="1"/>
          <w:bCs w:val="1"/>
          <w:color w:val="auto"/>
        </w:rPr>
        <w:t xml:space="preserve"> </w:t>
      </w:r>
      <w:r>
        <w:rPr>
          <w:rFonts w:ascii="Arial" w:cs="Arial" w:eastAsia="Arial" w:hAnsi="Arial"/>
          <w:sz w:val="12"/>
          <w:szCs w:val="12"/>
          <w:color w:val="auto"/>
        </w:rPr>
        <w:t>gene. UMMS granted us an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option to obtain an exclusive license to certain patent applications for this program. UMMS generated and evaluated several </w:t>
      </w:r>
      <w:r>
        <w:rPr>
          <w:rFonts w:ascii="Arial" w:cs="Arial" w:eastAsia="Arial" w:hAnsi="Arial"/>
          <w:sz w:val="12"/>
          <w:szCs w:val="12"/>
          <w:i w:val="1"/>
          <w:iCs w:val="1"/>
          <w:color w:val="auto"/>
        </w:rPr>
        <w:t>ABCA4</w:t>
      </w:r>
      <w:r>
        <w:rPr>
          <w:rFonts w:ascii="Arial" w:cs="Arial" w:eastAsia="Arial" w:hAnsi="Arial"/>
          <w:sz w:val="12"/>
          <w:szCs w:val="12"/>
          <w:color w:val="auto"/>
        </w:rPr>
        <w:t xml:space="preserve"> minigene constructs in both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experiments, which yielded what we believe to be encouraging results. We are conducting additional experiments to optimize the constructs and assess their efficacy in the mouse model.</w:t>
      </w:r>
    </w:p>
    <w:p>
      <w:pPr>
        <w:spacing w:after="0" w:line="101" w:lineRule="exact"/>
        <w:rPr>
          <w:rFonts w:ascii="Arial" w:cs="Arial" w:eastAsia="Arial" w:hAnsi="Arial"/>
          <w:sz w:val="12"/>
          <w:szCs w:val="12"/>
          <w:color w:val="auto"/>
        </w:rPr>
      </w:pPr>
    </w:p>
    <w:p>
      <w:pPr>
        <w:ind w:left="520" w:right="20" w:hanging="260"/>
        <w:spacing w:after="0" w:line="261"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miniUSH2A (</w:t>
      </w:r>
      <w:r>
        <w:rPr>
          <w:rFonts w:ascii="Arial" w:cs="Arial" w:eastAsia="Arial" w:hAnsi="Arial"/>
          <w:sz w:val="14"/>
          <w:szCs w:val="14"/>
          <w:b w:val="1"/>
          <w:bCs w:val="1"/>
          <w:i w:val="1"/>
          <w:iCs w:val="1"/>
          <w:color w:val="auto"/>
        </w:rPr>
        <w:t>USH2A</w:t>
      </w:r>
      <w:r>
        <w:rPr>
          <w:rFonts w:ascii="Arial" w:cs="Arial" w:eastAsia="Arial" w:hAnsi="Arial"/>
          <w:sz w:val="14"/>
          <w:szCs w:val="14"/>
          <w:b w:val="1"/>
          <w:bCs w:val="1"/>
          <w:color w:val="auto"/>
        </w:rPr>
        <w:t xml:space="preserve">-related IRDs): </w:t>
      </w:r>
      <w:r>
        <w:rPr>
          <w:rFonts w:ascii="Arial" w:cs="Arial" w:eastAsia="Arial" w:hAnsi="Arial"/>
          <w:sz w:val="14"/>
          <w:szCs w:val="14"/>
          <w:color w:val="auto"/>
        </w:rPr>
        <w:t>This program, which we refer to as the miniUSH2A program, is targeting IRDs associated with mutations in the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USH2A</w:t>
      </w:r>
      <w:r>
        <w:rPr>
          <w:rFonts w:ascii="Arial" w:cs="Arial" w:eastAsia="Arial" w:hAnsi="Arial"/>
          <w:sz w:val="14"/>
          <w:szCs w:val="14"/>
          <w:b w:val="1"/>
          <w:bCs w:val="1"/>
          <w:color w:val="auto"/>
        </w:rPr>
        <w:t xml:space="preserve"> </w:t>
      </w:r>
      <w:r>
        <w:rPr>
          <w:rFonts w:ascii="Arial" w:cs="Arial" w:eastAsia="Arial" w:hAnsi="Arial"/>
          <w:sz w:val="14"/>
          <w:szCs w:val="14"/>
          <w:color w:val="auto"/>
        </w:rPr>
        <w:t>gene, including Usher 2A and</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USH2A</w:t>
      </w:r>
      <w:r>
        <w:rPr>
          <w:rFonts w:ascii="Arial" w:cs="Arial" w:eastAsia="Arial" w:hAnsi="Arial"/>
          <w:sz w:val="14"/>
          <w:szCs w:val="14"/>
          <w:color w:val="auto"/>
        </w:rPr>
        <w:t>-associated non-syndromic autosomal recessive retinitis pigmentosa. UMMS granted us an option to obtain an exclusive license to certain patent applications for this program. Some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of the activities in this program were delayed during 2020 as a result of the closure of UMMS animal research laboratories due to the COVID-19 pandemic. UMMS generated and evaluated several </w:t>
      </w:r>
      <w:r>
        <w:rPr>
          <w:rFonts w:ascii="Arial" w:cs="Arial" w:eastAsia="Arial" w:hAnsi="Arial"/>
          <w:sz w:val="14"/>
          <w:szCs w:val="14"/>
          <w:i w:val="1"/>
          <w:iCs w:val="1"/>
          <w:color w:val="auto"/>
        </w:rPr>
        <w:t>USH2A</w:t>
      </w:r>
      <w:r>
        <w:rPr>
          <w:rFonts w:ascii="Arial" w:cs="Arial" w:eastAsia="Arial" w:hAnsi="Arial"/>
          <w:sz w:val="14"/>
          <w:szCs w:val="14"/>
          <w:color w:val="auto"/>
        </w:rPr>
        <w:t xml:space="preserve"> minigene constructs in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experiments and we are planning to evaluate their efficacy in animals. The animal experiments have been delayed as a result of transitioning the work from UMMS to us.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Impact of COVID-19 and the Ongoing Military Conflict in Ukraine</w:t>
      </w:r>
    </w:p>
    <w:p>
      <w:pPr>
        <w:spacing w:after="0" w:line="179"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The COVID-19 pandemic and other recent macro-economic events, such as the military action taken by Russia against Ukraine, and governmental responses to those events have affected the world economy in various ways, including causing delays and challenges to the global supply chain and the work and operations of many manufacturers and service providers. We rely heavily on third-party contract manufacturing organizations, contract research organizations and other vendors to support our clinical trials, manufacturing activities and other business operations. We describe below some of the recent impacts of these macro-economic events on our business and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Recent Impact of COVID-19</w:t>
      </w:r>
    </w:p>
    <w:p>
      <w:pPr>
        <w:spacing w:after="0" w:line="200" w:lineRule="exact"/>
        <w:rPr>
          <w:sz w:val="20"/>
          <w:szCs w:val="20"/>
          <w:color w:val="auto"/>
        </w:rPr>
      </w:pPr>
    </w:p>
    <w:p>
      <w:pPr>
        <w:ind w:right="40" w:firstLine="318"/>
        <w:spacing w:after="0" w:line="257" w:lineRule="auto"/>
        <w:rPr>
          <w:sz w:val="20"/>
          <w:szCs w:val="20"/>
          <w:color w:val="auto"/>
        </w:rPr>
      </w:pPr>
      <w:r>
        <w:rPr>
          <w:rFonts w:ascii="Arial" w:cs="Arial" w:eastAsia="Arial" w:hAnsi="Arial"/>
          <w:sz w:val="14"/>
          <w:szCs w:val="14"/>
          <w:color w:val="auto"/>
        </w:rPr>
        <w:t>Over the past two years, the pharmaceutical industry and the contract manufacturing organizations and suppliers supporting the industry as a whole have been impacted by the global supply chain disruptions in wake of the COVID-19 pandemic. Earlier this year, several of our vendors experienced high levels of absenteeism in their workforce as a result of the Omicron variant and scaled back their operations. We learned that several of our contract manufacturing organizations and suppliers have been experiencing difficulty with procuring certain materials as a result of the ongoing COVID-19 pandemic and the Omicron variant and subvariants, which has caused a slight delay to our planned manufacturing timelines for Zimura. To date, we have not experienced any drug product supply issues impacting our GATHER2 and STAR clinical trials and we do not believe our overall timelines for Zimura have been materially impacted as a result of supply chain issues affecting our contract manufacturers. The impact of the COVID-19 pandemic and future variants and subvariants on our operations remain uncertain and we are continuing to monitor the situation closely.</w:t>
      </w:r>
    </w:p>
    <w:p>
      <w:pPr>
        <w:spacing w:after="0" w:line="98" w:lineRule="exact"/>
        <w:rPr>
          <w:sz w:val="20"/>
          <w:szCs w:val="20"/>
          <w:color w:val="auto"/>
        </w:rPr>
      </w:pPr>
    </w:p>
    <w:p>
      <w:pPr>
        <w:ind w:right="220" w:firstLine="318"/>
        <w:spacing w:after="0" w:line="297" w:lineRule="auto"/>
        <w:rPr>
          <w:sz w:val="20"/>
          <w:szCs w:val="20"/>
          <w:color w:val="auto"/>
        </w:rPr>
      </w:pPr>
      <w:r>
        <w:rPr>
          <w:rFonts w:ascii="Arial" w:cs="Arial" w:eastAsia="Arial" w:hAnsi="Arial"/>
          <w:sz w:val="13"/>
          <w:szCs w:val="13"/>
          <w:color w:val="212529"/>
        </w:rPr>
        <w:t>We do not believe that the COVID-19 pandemic, and our actions in response and the costs of those actions, have had a material impact on our financial position, results of operations, or cash flows for the three and six months ended June 30, 2022. For further information on actual and potential impacts to us as a result of the COVID-19 pandemic, see the other sections of this Management's Discussion and Analysis of Results of Operations and Financial Position and the Risk Factors contained in this Quarterly Report on Form 10-Q.</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212529"/>
        </w:rPr>
        <w:t>Impact of Russia’s Military Action in Ukraine</w:t>
      </w:r>
    </w:p>
    <w:p>
      <w:pPr>
        <w:spacing w:after="0" w:line="125" w:lineRule="exact"/>
        <w:rPr>
          <w:sz w:val="20"/>
          <w:szCs w:val="20"/>
          <w:color w:val="auto"/>
        </w:rPr>
      </w:pPr>
    </w:p>
    <w:p>
      <w:pPr>
        <w:ind w:right="80" w:firstLine="318"/>
        <w:spacing w:after="0" w:line="284" w:lineRule="auto"/>
        <w:rPr>
          <w:sz w:val="20"/>
          <w:szCs w:val="20"/>
          <w:color w:val="auto"/>
        </w:rPr>
      </w:pPr>
      <w:r>
        <w:rPr>
          <w:rFonts w:ascii="Arial" w:cs="Arial" w:eastAsia="Arial" w:hAnsi="Arial"/>
          <w:sz w:val="13"/>
          <w:szCs w:val="13"/>
          <w:color w:val="auto"/>
        </w:rPr>
        <w:t>The military conflict in Ukraine, which began in February 2022 and is ongoing, has affected the world economy, including global supply chains, prices for materials and the financial markets. To date, we do not believe the military conflict and governmental actions in response, including sanctions imposed by the United States and other governments, have had a material impact on our financial position or results of operations. Although we have no clinical trial sites or other operations in Ukraine, we have a number of clinical trial sites for our GATHER2 trial located in several other countries in Eastern Europe. To date, the military conflict in Ukraine has not had any material impact on patient retention in our clinical trials. We also believe we have adequate supply of drug product for our clinical trial sites in Eastern Europe for our expected needs. We continue to monitor the situation closely.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and Financing Activities</w:t>
      </w:r>
    </w:p>
    <w:p>
      <w:pPr>
        <w:spacing w:after="0" w:line="115" w:lineRule="exact"/>
        <w:rPr>
          <w:sz w:val="20"/>
          <w:szCs w:val="20"/>
          <w:color w:val="auto"/>
        </w:rPr>
      </w:pPr>
    </w:p>
    <w:p>
      <w:pPr>
        <w:ind w:right="20" w:firstLine="509"/>
        <w:spacing w:after="0" w:line="280" w:lineRule="auto"/>
        <w:rPr>
          <w:sz w:val="20"/>
          <w:szCs w:val="20"/>
          <w:color w:val="auto"/>
        </w:rPr>
      </w:pPr>
      <w:r>
        <w:rPr>
          <w:rFonts w:ascii="Arial" w:cs="Arial" w:eastAsia="Arial" w:hAnsi="Arial"/>
          <w:sz w:val="13"/>
          <w:szCs w:val="13"/>
          <w:color w:val="212529"/>
        </w:rPr>
        <w:t>As we continue the development of our product candidates and programs, prepare for the potential commercialization of Zimura and evaluate our overall strategic priorities, we continue to pursue selective business development and financing opportunities that advance us toward our strategic goals. We have been focused on pursuing potential sustained release delivery technologies for Zimura, such as DelSiTech’s silica-based sustained release technology, for which we entered into the DelSiTech License Agreement. We plan to continue to evaluate, on a selective and targeted basis, additional opportunities to obtain rights to product candidates and technologies for retinal diseases, including additional sustained release delivery technologies for Zimura that may be promising and meet our criteria. In addition, we continue to explore potential collaboration and out-licensing opportunities for the future development and potential commercialization of our product candidates, including potential collaboration opportunities for the future development and potential commercialization of Zimura in one or more territories outside the United States and collaboration opportunities for the future development and potential commercialization of IC-100 and IC-200.</w:t>
      </w:r>
    </w:p>
    <w:p>
      <w:pPr>
        <w:spacing w:after="0" w:line="84"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212529"/>
        </w:rPr>
        <w:t>For information about our follow-on public offerings that we completed in July 2021 and October 2021 and our 2022 term loan facility, please see the Liquidity a</w:t>
      </w:r>
      <w:r>
        <w:rPr>
          <w:rFonts w:ascii="Arial" w:cs="Arial" w:eastAsia="Arial" w:hAnsi="Arial"/>
          <w:sz w:val="14"/>
          <w:szCs w:val="14"/>
          <w:color w:val="000000"/>
        </w:rPr>
        <w:t>nd Capital Resources section of</w:t>
      </w:r>
      <w:r>
        <w:rPr>
          <w:rFonts w:ascii="Arial" w:cs="Arial" w:eastAsia="Arial" w:hAnsi="Arial"/>
          <w:sz w:val="14"/>
          <w:szCs w:val="14"/>
          <w:color w:val="212529"/>
        </w:rPr>
        <w:t xml:space="preserve"> </w:t>
      </w:r>
      <w:r>
        <w:rPr>
          <w:rFonts w:ascii="Arial" w:cs="Arial" w:eastAsia="Arial" w:hAnsi="Arial"/>
          <w:sz w:val="14"/>
          <w:szCs w:val="14"/>
          <w:color w:val="000000"/>
        </w:rPr>
        <w:t>this Management' s Discussion and Analysis of Financial Condition and Results of Operations. We expect to continue to pursue capital raising transactions when they are available on terms favorable to us and if the opportunity advances our strategic goals. However, we do not currently plan to offer equity or equity-linked securities for capital-raising purposes in advance of topline data for the GATHER2 trial becoming available.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Matters</w:t>
      </w:r>
    </w:p>
    <w:p>
      <w:pPr>
        <w:spacing w:after="0" w:line="104" w:lineRule="exact"/>
        <w:rPr>
          <w:sz w:val="20"/>
          <w:szCs w:val="20"/>
          <w:color w:val="auto"/>
        </w:rPr>
      </w:pPr>
    </w:p>
    <w:p>
      <w:pPr>
        <w:ind w:right="20" w:firstLine="318"/>
        <w:spacing w:after="0" w:line="237" w:lineRule="auto"/>
        <w:rPr>
          <w:sz w:val="20"/>
          <w:szCs w:val="20"/>
          <w:color w:val="auto"/>
        </w:rPr>
      </w:pPr>
      <w:r>
        <w:rPr>
          <w:rFonts w:ascii="Arial" w:cs="Arial" w:eastAsia="Arial" w:hAnsi="Arial"/>
          <w:sz w:val="14"/>
          <w:szCs w:val="14"/>
          <w:color w:val="auto"/>
        </w:rPr>
        <w:t>As of June 30, 2022, we had cash, cash equivalents and available-for-sale securities of $312.0 million. In July 2022, we borrowed $50.0 million under the 2022 Term Loan Facility with Hercules and SVB. Including the proceeds of that borrowing, we estimate that our year-end 2022 cash, cash equivalents and available-for-sale securities will range between $260.0 million and $270.0 million. We plan to provide additional information regarding our financing strategy following the GATHER2 topline data announcement.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15" w:lineRule="exact"/>
        <w:rPr>
          <w:sz w:val="20"/>
          <w:szCs w:val="20"/>
          <w:color w:val="auto"/>
        </w:rPr>
      </w:pPr>
    </w:p>
    <w:p>
      <w:pPr>
        <w:ind w:firstLine="318"/>
        <w:spacing w:after="0" w:line="297" w:lineRule="auto"/>
        <w:rPr>
          <w:sz w:val="20"/>
          <w:szCs w:val="20"/>
          <w:color w:val="auto"/>
        </w:rPr>
      </w:pPr>
      <w:r>
        <w:rPr>
          <w:rFonts w:ascii="Arial" w:cs="Arial" w:eastAsia="Arial" w:hAnsi="Arial"/>
          <w:sz w:val="13"/>
          <w:szCs w:val="13"/>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collaboration agreements with third parties, we may generate revenue from product sales or from such third parties.</w:t>
      </w:r>
    </w:p>
    <w:p>
      <w:pPr>
        <w:spacing w:after="0" w:line="71" w:lineRule="exact"/>
        <w:rPr>
          <w:sz w:val="20"/>
          <w:szCs w:val="20"/>
          <w:color w:val="auto"/>
        </w:rPr>
      </w:pPr>
    </w:p>
    <w:p>
      <w:pPr>
        <w:ind w:right="380" w:firstLine="318"/>
        <w:spacing w:after="0" w:line="262" w:lineRule="auto"/>
        <w:rPr>
          <w:sz w:val="20"/>
          <w:szCs w:val="20"/>
          <w:color w:val="auto"/>
        </w:rPr>
      </w:pPr>
      <w:r>
        <w:rPr>
          <w:rFonts w:ascii="Arial" w:cs="Arial" w:eastAsia="Arial" w:hAnsi="Arial"/>
          <w:sz w:val="14"/>
          <w:szCs w:val="14"/>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15"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color w:val="auto"/>
        </w:rPr>
        <w:t>Our research and development expenses primarily consist of costs associated with the manufacturing, development, and preclinical and clinical testing of our product candidates and costs associated with our gene therapy research programs. Our research and development expenses consist of:</w:t>
      </w:r>
    </w:p>
    <w:p>
      <w:pPr>
        <w:spacing w:after="0" w:line="79" w:lineRule="exact"/>
        <w:rPr>
          <w:sz w:val="20"/>
          <w:szCs w:val="20"/>
          <w:color w:val="auto"/>
        </w:rPr>
      </w:pPr>
    </w:p>
    <w:p>
      <w:pPr>
        <w:ind w:left="760" w:right="60" w:hanging="246"/>
        <w:spacing w:after="0" w:line="281" w:lineRule="auto"/>
        <w:tabs>
          <w:tab w:leader="none" w:pos="7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external research and development expenses incurred under arrangements with third parties, such as academic research collaborators, contract research organizations, or CROs, CDMOs and other vendors for the production and analysis of drug substance and drug product; and</w:t>
      </w:r>
    </w:p>
    <w:p>
      <w:pPr>
        <w:spacing w:after="0" w:line="79"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employee-related expenses for employees dedicated to research and development activities, including salaries, benefits and share-based compensation expense.</w:t>
      </w:r>
    </w:p>
    <w:p>
      <w:pPr>
        <w:spacing w:after="0" w:line="115"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79"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 xml:space="preserve">All research and development expenses are charged to operations as incurred in accordance with Financial Accounting Standards Board, or FASB, Accounting Standards Codification, or ASC, 730, </w:t>
      </w:r>
      <w:r>
        <w:rPr>
          <w:rFonts w:ascii="Arial" w:cs="Arial" w:eastAsia="Arial" w:hAnsi="Arial"/>
          <w:sz w:val="13"/>
          <w:szCs w:val="13"/>
          <w:i w:val="1"/>
          <w:iCs w:val="1"/>
          <w:color w:val="auto"/>
        </w:rPr>
        <w:t>Research and Development</w:t>
      </w:r>
      <w:r>
        <w:rPr>
          <w:rFonts w:ascii="Arial" w:cs="Arial" w:eastAsia="Arial" w:hAnsi="Arial"/>
          <w:sz w:val="13"/>
          <w:szCs w:val="13"/>
          <w:color w:val="auto"/>
        </w:rPr>
        <w:t>, or ASC 730</w:t>
      </w:r>
      <w:r>
        <w:rPr>
          <w:rFonts w:ascii="Arial" w:cs="Arial" w:eastAsia="Arial" w:hAnsi="Arial"/>
          <w:sz w:val="13"/>
          <w:szCs w:val="13"/>
          <w:i w:val="1"/>
          <w:iCs w:val="1"/>
          <w:color w:val="auto"/>
        </w:rPr>
        <w:t>.</w:t>
      </w:r>
      <w:r>
        <w:rPr>
          <w:rFonts w:ascii="Arial" w:cs="Arial" w:eastAsia="Arial" w:hAnsi="Arial"/>
          <w:sz w:val="13"/>
          <w:szCs w:val="13"/>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project area or product candidate, as shown below.</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our research and development expenses for the three and six months ended June 30, 2022 and June 30,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8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1"/>
                <w:szCs w:val="11"/>
                <w:b w:val="1"/>
                <w:bCs w:val="1"/>
                <w:color w:val="auto"/>
              </w:rPr>
              <w:t>Three Months Ended June 30,</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4"/>
              </w:rPr>
              <w:t>Six Months Ended June 30,</w:t>
            </w:r>
          </w:p>
        </w:tc>
        <w:tc>
          <w:tcPr>
            <w:tcW w:w="940" w:type="dxa"/>
            <w:vAlign w:val="bottom"/>
            <w:tcBorders>
              <w:bottom w:val="single" w:sz="8" w:color="auto"/>
            </w:tcBorders>
          </w:tcPr>
          <w:p>
            <w:pPr>
              <w:spacing w:after="0"/>
              <w:rPr>
                <w:sz w:val="13"/>
                <w:szCs w:val="13"/>
                <w:color w:val="auto"/>
              </w:rPr>
            </w:pPr>
          </w:p>
        </w:tc>
      </w:tr>
      <w:tr>
        <w:trPr>
          <w:trHeight w:val="142"/>
        </w:trPr>
        <w:tc>
          <w:tcPr>
            <w:tcW w:w="4580" w:type="dxa"/>
            <w:vAlign w:val="bottom"/>
          </w:tcPr>
          <w:p>
            <w:pPr>
              <w:spacing w:after="0"/>
              <w:rPr>
                <w:sz w:val="12"/>
                <w:szCs w:val="1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w w:val="97"/>
              </w:rPr>
              <w:t>2021</w:t>
            </w:r>
          </w:p>
        </w:tc>
      </w:tr>
      <w:tr>
        <w:trPr>
          <w:trHeight w:val="139"/>
        </w:trPr>
        <w:tc>
          <w:tcPr>
            <w:tcW w:w="4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80" w:type="dxa"/>
            <w:vAlign w:val="bottom"/>
            <w:gridSpan w:val="3"/>
          </w:tcPr>
          <w:p>
            <w:pPr>
              <w:jc w:val="right"/>
              <w:ind w:right="654"/>
              <w:spacing w:after="0"/>
              <w:rPr>
                <w:sz w:val="20"/>
                <w:szCs w:val="20"/>
                <w:color w:val="auto"/>
              </w:rPr>
            </w:pPr>
            <w:r>
              <w:rPr>
                <w:rFonts w:ascii="Arial" w:cs="Arial" w:eastAsia="Arial" w:hAnsi="Arial"/>
                <w:sz w:val="11"/>
                <w:szCs w:val="11"/>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3"/>
          </w:tcPr>
          <w:p>
            <w:pPr>
              <w:jc w:val="right"/>
              <w:ind w:right="269"/>
              <w:spacing w:after="0"/>
              <w:rPr>
                <w:sz w:val="20"/>
                <w:szCs w:val="20"/>
                <w:color w:val="auto"/>
              </w:rPr>
            </w:pPr>
            <w:r>
              <w:rPr>
                <w:rFonts w:ascii="Arial" w:cs="Arial" w:eastAsia="Arial" w:hAnsi="Arial"/>
                <w:sz w:val="11"/>
                <w:szCs w:val="11"/>
                <w:b w:val="1"/>
                <w:bCs w:val="1"/>
                <w:color w:val="auto"/>
              </w:rPr>
              <w:t>(in thousands)</w:t>
            </w:r>
          </w:p>
        </w:tc>
        <w:tc>
          <w:tcPr>
            <w:tcW w:w="940" w:type="dxa"/>
            <w:vAlign w:val="bottom"/>
          </w:tcPr>
          <w:p>
            <w:pPr>
              <w:spacing w:after="0"/>
              <w:rPr>
                <w:sz w:val="12"/>
                <w:szCs w:val="12"/>
                <w:color w:val="auto"/>
              </w:rPr>
            </w:pPr>
          </w:p>
        </w:tc>
      </w:tr>
      <w:tr>
        <w:trPr>
          <w:trHeight w:val="18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Zimura</w:t>
            </w:r>
          </w:p>
        </w:tc>
        <w:tc>
          <w:tcPr>
            <w:tcW w:w="1020" w:type="dxa"/>
            <w:vAlign w:val="bottom"/>
            <w:shd w:val="clear" w:color="auto" w:fill="CCEEFF"/>
          </w:tcPr>
          <w:p>
            <w:pPr>
              <w:jc w:val="right"/>
              <w:ind w:right="856"/>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36,760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26,024</w:t>
            </w:r>
          </w:p>
        </w:tc>
      </w:tr>
      <w:tr>
        <w:trPr>
          <w:trHeight w:val="180"/>
        </w:trPr>
        <w:tc>
          <w:tcPr>
            <w:tcW w:w="4580" w:type="dxa"/>
            <w:vAlign w:val="bottom"/>
          </w:tcPr>
          <w:p>
            <w:pPr>
              <w:ind w:left="20"/>
              <w:spacing w:after="0"/>
              <w:rPr>
                <w:sz w:val="20"/>
                <w:szCs w:val="20"/>
                <w:color w:val="auto"/>
              </w:rPr>
            </w:pPr>
            <w:r>
              <w:rPr>
                <w:rFonts w:ascii="Arial" w:cs="Arial" w:eastAsia="Arial" w:hAnsi="Arial"/>
                <w:sz w:val="14"/>
                <w:szCs w:val="14"/>
                <w:color w:val="auto"/>
              </w:rPr>
              <w:t>IC-500: HtrA1</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1,319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972</w:t>
            </w:r>
          </w:p>
        </w:tc>
      </w:tr>
      <w:tr>
        <w:trPr>
          <w:trHeight w:val="18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IC-100: RHO-adRP</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w:t>
            </w:r>
          </w:p>
        </w:tc>
      </w:tr>
      <w:tr>
        <w:trPr>
          <w:trHeight w:val="180"/>
        </w:trPr>
        <w:tc>
          <w:tcPr>
            <w:tcW w:w="4580" w:type="dxa"/>
            <w:vAlign w:val="bottom"/>
          </w:tcPr>
          <w:p>
            <w:pPr>
              <w:ind w:left="20"/>
              <w:spacing w:after="0"/>
              <w:rPr>
                <w:sz w:val="20"/>
                <w:szCs w:val="20"/>
                <w:color w:val="auto"/>
              </w:rPr>
            </w:pPr>
            <w:r>
              <w:rPr>
                <w:rFonts w:ascii="Arial" w:cs="Arial" w:eastAsia="Arial" w:hAnsi="Arial"/>
                <w:sz w:val="14"/>
                <w:szCs w:val="14"/>
                <w:color w:val="auto"/>
              </w:rPr>
              <w:t>IC-200: BEST1</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1,961</w:t>
            </w:r>
          </w:p>
        </w:tc>
      </w:tr>
      <w:tr>
        <w:trPr>
          <w:trHeight w:val="18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gene therapy</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4580" w:type="dxa"/>
            <w:vAlign w:val="bottom"/>
          </w:tcPr>
          <w:p>
            <w:pPr>
              <w:ind w:left="20"/>
              <w:spacing w:after="0"/>
              <w:rPr>
                <w:sz w:val="20"/>
                <w:szCs w:val="20"/>
                <w:color w:val="auto"/>
              </w:rPr>
            </w:pPr>
            <w:r>
              <w:rPr>
                <w:rFonts w:ascii="Arial" w:cs="Arial" w:eastAsia="Arial" w:hAnsi="Arial"/>
                <w:sz w:val="14"/>
                <w:szCs w:val="14"/>
                <w:color w:val="auto"/>
              </w:rPr>
              <w:t>Prior product candidate Fovista</w:t>
            </w:r>
          </w:p>
        </w:tc>
        <w:tc>
          <w:tcPr>
            <w:tcW w:w="10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Personnel-related</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5,904</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8,970</w:t>
            </w:r>
          </w:p>
        </w:tc>
      </w:tr>
      <w:tr>
        <w:trPr>
          <w:trHeight w:val="180"/>
        </w:trPr>
        <w:tc>
          <w:tcPr>
            <w:tcW w:w="45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2,766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5,427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2,662</w:t>
            </w:r>
          </w:p>
        </w:tc>
      </w:tr>
      <w:tr>
        <w:trPr>
          <w:trHeight w:val="18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r>
      <w:tr>
        <w:trPr>
          <w:trHeight w:val="171"/>
        </w:trPr>
        <w:tc>
          <w:tcPr>
            <w:tcW w:w="458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33,647</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23,488</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56,204</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42,037</w:t>
            </w: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As we continue our ongoing clinical trials, plan for and initiate clinical development of Zimura in intermediate AMD and continue our ongoing and planned manufacturing and lifecycle management activities for Zimura, we expect our research and development expenses for Zimura to increase. We expect our research and development expenses for IC-500 to increase as we continue preclinical development. We expect our research and development expenses for IC-100 and IC-200 to be de minimis for the foreseeable near future. We expect our research and development expenses for our minigene research programs to remain largely unchanged as we continue those programs as currently planned. Our research and development expenses may increase if we in-license or acquire any new product candidates or technologies or if we commence any new development programs.</w:t>
      </w:r>
    </w:p>
    <w:p>
      <w:pPr>
        <w:spacing w:after="0" w:line="93"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We expect the development of our product candidates will continue for at least the next several years. At this time, we cannot reasonably estimate that the total remaining costs necessary to complete development, to complete process development and manufacturing scale-up and validation activities, and to potentially seek marketing approval for Zimura for indications outside of GA or for any of our other product candidates.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successful development of our product candidates is subject to numerous risks and uncertainties associated with developing drugs, including the uncertainty of:</w:t>
      </w:r>
    </w:p>
    <w:p>
      <w:pPr>
        <w:spacing w:after="0" w:line="115" w:lineRule="exact"/>
        <w:rPr>
          <w:sz w:val="20"/>
          <w:szCs w:val="20"/>
          <w:color w:val="auto"/>
        </w:rPr>
      </w:pPr>
    </w:p>
    <w:p>
      <w:pPr>
        <w:ind w:left="760" w:hanging="18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scope, rate of progress and costs of our research and development activities, including manufacturing activities;</w:t>
      </w:r>
    </w:p>
    <w:p>
      <w:pPr>
        <w:spacing w:after="0" w:line="125" w:lineRule="exact"/>
        <w:rPr>
          <w:rFonts w:ascii="Arial" w:cs="Arial" w:eastAsia="Arial" w:hAnsi="Arial"/>
          <w:sz w:val="14"/>
          <w:szCs w:val="14"/>
          <w:color w:val="auto"/>
        </w:rPr>
      </w:pPr>
    </w:p>
    <w:p>
      <w:pPr>
        <w:ind w:left="760" w:hanging="18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potential benefits of our product candidates over other therapies;</w:t>
      </w:r>
    </w:p>
    <w:p>
      <w:pPr>
        <w:spacing w:after="0" w:line="125" w:lineRule="exact"/>
        <w:rPr>
          <w:rFonts w:ascii="Arial" w:cs="Arial" w:eastAsia="Arial" w:hAnsi="Arial"/>
          <w:sz w:val="14"/>
          <w:szCs w:val="14"/>
          <w:color w:val="auto"/>
        </w:rPr>
      </w:pPr>
    </w:p>
    <w:p>
      <w:pPr>
        <w:ind w:left="760" w:hanging="18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preclinical development results and clinical trial results;</w:t>
      </w:r>
    </w:p>
    <w:p>
      <w:pPr>
        <w:spacing w:after="0" w:line="114" w:lineRule="exact"/>
        <w:rPr>
          <w:rFonts w:ascii="Arial" w:cs="Arial" w:eastAsia="Arial" w:hAnsi="Arial"/>
          <w:sz w:val="14"/>
          <w:szCs w:val="14"/>
          <w:color w:val="auto"/>
        </w:rPr>
      </w:pPr>
    </w:p>
    <w:p>
      <w:pPr>
        <w:ind w:left="760" w:hanging="18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terms and timing of regulatory approvals;</w:t>
      </w:r>
    </w:p>
    <w:p>
      <w:pPr>
        <w:spacing w:after="0" w:line="125" w:lineRule="exact"/>
        <w:rPr>
          <w:rFonts w:ascii="Arial" w:cs="Arial" w:eastAsia="Arial" w:hAnsi="Arial"/>
          <w:sz w:val="14"/>
          <w:szCs w:val="14"/>
          <w:color w:val="auto"/>
        </w:rPr>
      </w:pPr>
    </w:p>
    <w:p>
      <w:pPr>
        <w:ind w:left="760" w:hanging="18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market, commercialize and achieve market acceptance for any of our product candidates; and</w:t>
      </w:r>
    </w:p>
    <w:p>
      <w:pPr>
        <w:spacing w:after="0" w:line="125" w:lineRule="exact"/>
        <w:rPr>
          <w:rFonts w:ascii="Arial" w:cs="Arial" w:eastAsia="Arial" w:hAnsi="Arial"/>
          <w:sz w:val="14"/>
          <w:szCs w:val="14"/>
          <w:color w:val="auto"/>
        </w:rPr>
      </w:pPr>
    </w:p>
    <w:p>
      <w:pPr>
        <w:ind w:left="760" w:hanging="182"/>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successfully file, prosecute, defend and enforce patent claims and other intellectual property rights, together with associated expenses.</w:t>
      </w:r>
    </w:p>
    <w:p>
      <w:pPr>
        <w:spacing w:after="0" w:line="115"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A change in the outcome of any of these variables with respect to the development of our product candidates could mean a significant change in the costs and timing associated with the development of that product candidate. For example, we are conducting the GATHER2 trial, which is a Phase 3 clinical trial evaluating Zimura for GA, with the expectation that data collected from this trial, if positive, together with other available data, will be sufficient to seek marketing approval for this indication in the United States and the European Union. We may subsequently decide to, or be required by regulatory authorities to, enroll additional patients in the GATHER2 trial, conduct additional clinical trials for Zimura in GA or conduct additional nonclinical studies of Zimura in order to seek or maintain regulatory approval or qualify for reimbursement approval. As a result of any of the above, we could be required to expend significant additional financial resources and time on the completion of development of Zimura in GA. For example, based on our assessment of the data we have collected for Zimura to date and the requirements of regulatory authorities, we are conducting a pharmacokinetic substudy involving a portion of the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patients enrolled in the GATHER2 trial and an additional nonclinical study of Zimura, which has increased the research and development expenses for Zimura.</w:t>
      </w:r>
    </w:p>
    <w:p>
      <w:pPr>
        <w:spacing w:after="0" w:line="115" w:lineRule="exact"/>
        <w:rPr>
          <w:sz w:val="20"/>
          <w:szCs w:val="20"/>
          <w:color w:val="auto"/>
        </w:rPr>
      </w:pPr>
    </w:p>
    <w:p>
      <w:pPr>
        <w:ind w:right="480" w:firstLine="318"/>
        <w:spacing w:after="0" w:line="281" w:lineRule="auto"/>
        <w:rPr>
          <w:sz w:val="20"/>
          <w:szCs w:val="20"/>
          <w:color w:val="auto"/>
        </w:rPr>
      </w:pPr>
      <w:r>
        <w:rPr>
          <w:rFonts w:ascii="Arial" w:cs="Arial" w:eastAsia="Arial" w:hAnsi="Arial"/>
          <w:sz w:val="14"/>
          <w:szCs w:val="14"/>
          <w:color w:val="auto"/>
        </w:rPr>
        <w:t>See the “Liquidity and Capital Resources” section of this Quarterly Report on Form 10-Q for more information regarding our current and future financial resources and our expectations regarding our research and development expenses and funding requirements.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25"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General and administrative expenses consist primarily of salaries and related costs for personnel, including share-based compensation expense, in our executive, legal, finance, business development, commercial operations,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expect to incur additional general and administrative expenses as we continue preparing for the potential commercialization of Zimura.</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25"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We currently have invested our cash, cash equivalents and available for sale securities in money market funds, U.S. Treasury securities, investment-grade corporate debt securities, asset-backed securities, and debt instruments issued by foreign governments, which generate a nominal amount of interest income.</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Significant Judgments and Estimates</w:t>
      </w:r>
    </w:p>
    <w:p>
      <w:pPr>
        <w:spacing w:after="0" w:line="129"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firstLine="318"/>
        <w:spacing w:after="0" w:line="321" w:lineRule="auto"/>
        <w:rPr>
          <w:sz w:val="20"/>
          <w:szCs w:val="20"/>
          <w:color w:val="auto"/>
        </w:rPr>
      </w:pPr>
      <w:r>
        <w:rPr>
          <w:rFonts w:ascii="Arial" w:cs="Arial" w:eastAsia="Arial" w:hAnsi="Arial"/>
          <w:sz w:val="13"/>
          <w:szCs w:val="13"/>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Accrued Research and Development Expenses</w:t>
      </w:r>
    </w:p>
    <w:p>
      <w:pPr>
        <w:spacing w:after="0" w:line="125"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related to our academic research collaborators, CROs, CDMOs and other vendors in connection with research and development and manufacturing activities.</w:t>
      </w:r>
    </w:p>
    <w:p>
      <w:pPr>
        <w:spacing w:after="0" w:line="97"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low in any particular period. There have been no material changes in estimates for the periods presented in this Quarterly Report on Form 10-Q.</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Three Month Periods Ended June 30, 2022 and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460" w:type="dxa"/>
            <w:vAlign w:val="bottom"/>
          </w:tcPr>
          <w:p>
            <w:pPr>
              <w:spacing w:after="0"/>
              <w:rPr>
                <w:sz w:val="12"/>
                <w:szCs w:val="12"/>
                <w:color w:val="auto"/>
              </w:rPr>
            </w:pPr>
          </w:p>
        </w:tc>
        <w:tc>
          <w:tcPr>
            <w:tcW w:w="256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1"/>
                <w:szCs w:val="11"/>
                <w:b w:val="1"/>
                <w:bCs w:val="1"/>
                <w:color w:val="auto"/>
              </w:rPr>
              <w:t>Three months ended June 30,</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46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jc w:val="right"/>
              <w:ind w:right="512"/>
              <w:spacing w:after="0" w:line="95"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(Decrease)</w:t>
            </w:r>
          </w:p>
        </w:tc>
        <w:tc>
          <w:tcPr>
            <w:tcW w:w="0" w:type="dxa"/>
            <w:vAlign w:val="bottom"/>
          </w:tcPr>
          <w:p>
            <w:pPr>
              <w:spacing w:after="0"/>
              <w:rPr>
                <w:sz w:val="1"/>
                <w:szCs w:val="1"/>
                <w:color w:val="auto"/>
              </w:rPr>
            </w:pPr>
          </w:p>
        </w:tc>
      </w:tr>
      <w:tr>
        <w:trPr>
          <w:trHeight w:val="139"/>
        </w:trPr>
        <w:tc>
          <w:tcPr>
            <w:tcW w:w="6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gridSpan w:val="3"/>
          </w:tcPr>
          <w:p>
            <w:pPr>
              <w:jc w:val="right"/>
              <w:ind w:right="574"/>
              <w:spacing w:after="0"/>
              <w:rPr>
                <w:sz w:val="20"/>
                <w:szCs w:val="20"/>
                <w:color w:val="auto"/>
              </w:rPr>
            </w:pPr>
            <w:r>
              <w:rPr>
                <w:rFonts w:ascii="Arial" w:cs="Arial" w:eastAsia="Arial" w:hAnsi="Arial"/>
                <w:sz w:val="11"/>
                <w:szCs w:val="11"/>
                <w:b w:val="1"/>
                <w:bCs w:val="1"/>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 and development</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33,647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10,159</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General and administrative</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16,106</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9,388</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49,753</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30,206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19,547</w:t>
            </w:r>
          </w:p>
        </w:tc>
        <w:tc>
          <w:tcPr>
            <w:tcW w:w="0" w:type="dxa"/>
            <w:vAlign w:val="bottom"/>
          </w:tcPr>
          <w:p>
            <w:pPr>
              <w:spacing w:after="0"/>
              <w:rPr>
                <w:sz w:val="1"/>
                <w:szCs w:val="1"/>
                <w:color w:val="auto"/>
              </w:rPr>
            </w:pPr>
          </w:p>
        </w:tc>
      </w:tr>
      <w:tr>
        <w:trPr>
          <w:trHeight w:val="171"/>
        </w:trPr>
        <w:tc>
          <w:tcPr>
            <w:tcW w:w="64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(49,753)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(30,206)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19,547</w:t>
            </w: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net</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before income tax benefit</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(49,263)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19,120</w:t>
            </w:r>
          </w:p>
        </w:tc>
        <w:tc>
          <w:tcPr>
            <w:tcW w:w="0" w:type="dxa"/>
            <w:vAlign w:val="bottom"/>
          </w:tcPr>
          <w:p>
            <w:pPr>
              <w:spacing w:after="0"/>
              <w:rPr>
                <w:sz w:val="1"/>
                <w:szCs w:val="1"/>
                <w:color w:val="auto"/>
              </w:rPr>
            </w:pP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9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15" w:lineRule="exact"/>
        <w:rPr>
          <w:sz w:val="20"/>
          <w:szCs w:val="20"/>
          <w:color w:val="auto"/>
        </w:rPr>
      </w:pPr>
    </w:p>
    <w:p>
      <w:pPr>
        <w:ind w:right="120" w:firstLine="318"/>
        <w:spacing w:after="0" w:line="282" w:lineRule="auto"/>
        <w:rPr>
          <w:sz w:val="20"/>
          <w:szCs w:val="20"/>
          <w:color w:val="auto"/>
        </w:rPr>
      </w:pPr>
      <w:r>
        <w:rPr>
          <w:rFonts w:ascii="Arial" w:cs="Arial" w:eastAsia="Arial" w:hAnsi="Arial"/>
          <w:sz w:val="13"/>
          <w:szCs w:val="13"/>
          <w:color w:val="auto"/>
        </w:rPr>
        <w:t>Our research and development expenses were $33.6 million for the three months ended June 30, 2022, an increase of $10.2 million compared to $23.5 million for the three months ended June 30, 2021. The increase in research and development expenses for the three months ended June 30, 2022 was primarily due to a $7.3 million increase in costs associated with Zimura, a $1.3 million upfront license fee related to lifecycle management programs for Zimura, and a $2.5 million increase in personnel costs, including share-based compensation associated with additional research and development staffing. The increased costs for Zimura were primarily due to the ongoing progress and the commencement of patient recruitment activities for our GATHER2 trial and increased manufacturing activities. The increase in research and development expenses was partially offset by a $0.6 million decrease in costs associated with IC-100 and a $0.3 million decrease in costs associated with IC-200. The decreased costs for IC-100 and IC-200 primarily reflect decreased manufacturing and preclinical development activities.</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15"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4"/>
          <w:szCs w:val="14"/>
          <w:color w:val="auto"/>
        </w:rPr>
        <w:t>Our general and administrative expenses were $16.1 million for the three months ended June 30, 2022, an increase of $9.4 million compared to $6.7 million for the three months ended June 30, 2021. The increase in general and administration expenses for the three months ended June 30, 2022 was primarily due to increases in personnel costs, including share-based compensation associated with staffing for commercial preparation.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Interest Income</w:t>
      </w:r>
    </w:p>
    <w:p>
      <w:pPr>
        <w:spacing w:after="0" w:line="125" w:lineRule="exact"/>
        <w:rPr>
          <w:sz w:val="20"/>
          <w:szCs w:val="20"/>
          <w:color w:val="auto"/>
        </w:rPr>
      </w:pPr>
    </w:p>
    <w:p>
      <w:pPr>
        <w:ind w:right="200" w:firstLine="318"/>
        <w:spacing w:after="0" w:line="321" w:lineRule="auto"/>
        <w:rPr>
          <w:sz w:val="20"/>
          <w:szCs w:val="20"/>
          <w:color w:val="auto"/>
        </w:rPr>
      </w:pPr>
      <w:r>
        <w:rPr>
          <w:rFonts w:ascii="Arial" w:cs="Arial" w:eastAsia="Arial" w:hAnsi="Arial"/>
          <w:sz w:val="13"/>
          <w:szCs w:val="13"/>
          <w:color w:val="auto"/>
        </w:rPr>
        <w:t>Interest income for the three months ended June 30, 2022 was $482 thousand compared to interest income of $65 thousand for the three months ended June 30, 2021. The increase in interest income for the three months ended June 30, 2022 was primarily due to rising interest rates and an increase in our cash equivalents and marketable securities average balances.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Six Month Periods Ended June 30, 2022 and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460" w:type="dxa"/>
            <w:vAlign w:val="bottom"/>
          </w:tcPr>
          <w:p>
            <w:pPr>
              <w:spacing w:after="0"/>
              <w:rPr>
                <w:sz w:val="12"/>
                <w:szCs w:val="12"/>
                <w:color w:val="auto"/>
              </w:rPr>
            </w:pPr>
          </w:p>
        </w:tc>
        <w:tc>
          <w:tcPr>
            <w:tcW w:w="256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1"/>
                <w:szCs w:val="11"/>
                <w:b w:val="1"/>
                <w:bCs w:val="1"/>
                <w:color w:val="auto"/>
              </w:rPr>
              <w:t>Six months ended June 30, 2020</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46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jc w:val="right"/>
              <w:ind w:right="512"/>
              <w:spacing w:after="0" w:line="95"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(Decrease)</w:t>
            </w:r>
          </w:p>
        </w:tc>
        <w:tc>
          <w:tcPr>
            <w:tcW w:w="0" w:type="dxa"/>
            <w:vAlign w:val="bottom"/>
          </w:tcPr>
          <w:p>
            <w:pPr>
              <w:spacing w:after="0"/>
              <w:rPr>
                <w:sz w:val="1"/>
                <w:szCs w:val="1"/>
                <w:color w:val="auto"/>
              </w:rPr>
            </w:pPr>
          </w:p>
        </w:tc>
      </w:tr>
      <w:tr>
        <w:trPr>
          <w:trHeight w:val="139"/>
        </w:trPr>
        <w:tc>
          <w:tcPr>
            <w:tcW w:w="6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gridSpan w:val="3"/>
          </w:tcPr>
          <w:p>
            <w:pPr>
              <w:jc w:val="right"/>
              <w:ind w:right="574"/>
              <w:spacing w:after="0"/>
              <w:rPr>
                <w:sz w:val="20"/>
                <w:szCs w:val="20"/>
                <w:color w:val="auto"/>
              </w:rPr>
            </w:pPr>
            <w:r>
              <w:rPr>
                <w:rFonts w:ascii="Arial" w:cs="Arial" w:eastAsia="Arial" w:hAnsi="Arial"/>
                <w:sz w:val="11"/>
                <w:szCs w:val="11"/>
                <w:b w:val="1"/>
                <w:bCs w:val="1"/>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 and development</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56,204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14,167</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General and administrative</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28,219</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15,040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13,179</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84,423</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57,077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27,346</w:t>
            </w:r>
          </w:p>
        </w:tc>
        <w:tc>
          <w:tcPr>
            <w:tcW w:w="0" w:type="dxa"/>
            <w:vAlign w:val="bottom"/>
          </w:tcPr>
          <w:p>
            <w:pPr>
              <w:spacing w:after="0"/>
              <w:rPr>
                <w:sz w:val="1"/>
                <w:szCs w:val="1"/>
                <w:color w:val="auto"/>
              </w:rPr>
            </w:pPr>
          </w:p>
        </w:tc>
      </w:tr>
      <w:tr>
        <w:trPr>
          <w:trHeight w:val="171"/>
        </w:trPr>
        <w:tc>
          <w:tcPr>
            <w:tcW w:w="64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(84,423)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(57,077)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27,346</w:t>
            </w:r>
          </w:p>
        </w:tc>
        <w:tc>
          <w:tcPr>
            <w:tcW w:w="0" w:type="dxa"/>
            <w:vAlign w:val="bottom"/>
          </w:tcPr>
          <w:p>
            <w:pPr>
              <w:spacing w:after="0"/>
              <w:rPr>
                <w:sz w:val="1"/>
                <w:szCs w:val="1"/>
                <w:color w:val="auto"/>
              </w:rPr>
            </w:pP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net</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before income tax benefit</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(83,799)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26,861</w:t>
            </w:r>
          </w:p>
        </w:tc>
        <w:tc>
          <w:tcPr>
            <w:tcW w:w="0" w:type="dxa"/>
            <w:vAlign w:val="bottom"/>
          </w:tcPr>
          <w:p>
            <w:pPr>
              <w:spacing w:after="0"/>
              <w:rPr>
                <w:sz w:val="1"/>
                <w:szCs w:val="1"/>
                <w:color w:val="auto"/>
              </w:rPr>
            </w:pP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9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25"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Our research and development expenses were $56.2 million for the six months ended June 30, 2022, an increase of $14.2 million compared to $42.0 million for the six months ended June 30, 2021. The increase in research and development expenses for the six months ended June 30, 2022 was primarily due to a $10.7 million increase in costs associated with Zimura, a $1.3 million upfront license fee related to lifecycle management programs for Zimura and a $5.2 million increase in personnel costs, including share-based compensation associated with additional research and development staffing. The increased costs for Zimura were primarily due to the ongoing progress and the commencement of patient recruitment activities for our GATHER2 trial and increased manufacturing activities. The increase in research and development expenses was partially offset by a $1.5 million decrease in costs associated with IC-100 and a $1.9 million decrease in costs associated with IC-200. The decreased costs for IC-100 and IC-200 primarily reflect decreased manufacturing and preclinical development activities.</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04" w:lineRule="exact"/>
        <w:rPr>
          <w:sz w:val="20"/>
          <w:szCs w:val="20"/>
          <w:color w:val="auto"/>
        </w:rPr>
      </w:pPr>
    </w:p>
    <w:p>
      <w:pPr>
        <w:jc w:val="both"/>
        <w:ind w:right="140" w:firstLine="318"/>
        <w:spacing w:after="0" w:line="237" w:lineRule="auto"/>
        <w:rPr>
          <w:sz w:val="20"/>
          <w:szCs w:val="20"/>
          <w:color w:val="auto"/>
        </w:rPr>
      </w:pPr>
      <w:r>
        <w:rPr>
          <w:rFonts w:ascii="Arial" w:cs="Arial" w:eastAsia="Arial" w:hAnsi="Arial"/>
          <w:sz w:val="14"/>
          <w:szCs w:val="14"/>
          <w:color w:val="auto"/>
        </w:rPr>
        <w:t>Our general and administrative expenses were $28.2 million for the six months ended June 30, 2022, an increase of $13.2 million compared to $15.0 million for the six months ended June 30, 2021. The increase in general and administration expenses for the six months ended June 30, 2022 was primarily due to increases in personnel costs, including share-based compensation associated with preparations for potential commercial launch of Zimura in GA.</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Interest Income</w:t>
      </w:r>
    </w:p>
    <w:p>
      <w:pPr>
        <w:spacing w:after="0" w:line="125" w:lineRule="exact"/>
        <w:rPr>
          <w:sz w:val="20"/>
          <w:szCs w:val="20"/>
          <w:color w:val="auto"/>
        </w:rPr>
      </w:pPr>
    </w:p>
    <w:p>
      <w:pPr>
        <w:ind w:right="380" w:firstLine="318"/>
        <w:spacing w:after="0" w:line="321" w:lineRule="auto"/>
        <w:rPr>
          <w:sz w:val="20"/>
          <w:szCs w:val="20"/>
          <w:color w:val="auto"/>
        </w:rPr>
      </w:pPr>
      <w:r>
        <w:rPr>
          <w:rFonts w:ascii="Arial" w:cs="Arial" w:eastAsia="Arial" w:hAnsi="Arial"/>
          <w:sz w:val="13"/>
          <w:szCs w:val="13"/>
          <w:color w:val="auto"/>
        </w:rPr>
        <w:t>Interest income for the six months ended June 30, 2022 was $615 thousand compared to interest income of $142 thousand for the six months ended June 30, 2021. The increase in interest income for the six months ended June 30, 2022 was primarily due to rising interest rates and an increase in our cash equivalents and marketable securities average balances.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25" w:lineRule="exact"/>
        <w:rPr>
          <w:sz w:val="20"/>
          <w:szCs w:val="20"/>
          <w:color w:val="auto"/>
        </w:rPr>
      </w:pPr>
    </w:p>
    <w:p>
      <w:pPr>
        <w:ind w:right="80" w:firstLine="318"/>
        <w:spacing w:after="0" w:line="288" w:lineRule="auto"/>
        <w:rPr>
          <w:sz w:val="20"/>
          <w:szCs w:val="20"/>
          <w:color w:val="auto"/>
        </w:rPr>
      </w:pPr>
      <w:r>
        <w:rPr>
          <w:rFonts w:ascii="Arial" w:cs="Arial" w:eastAsia="Arial" w:hAnsi="Arial"/>
          <w:sz w:val="13"/>
          <w:szCs w:val="13"/>
          <w:color w:val="auto"/>
        </w:rPr>
        <w:t>Since inception, we have financed our operations primarily through private placements of our common stock and preferred stock, venture debt borrowings, funds received under the Novo Holdings A/S Agreement, our initial public offering, which we closed in September 2013, funds we received under a prior agreement with Novartis Pharma AG related to the licensing and commercialization of Fovista, funds we received in connection with our acquisition of Inception 4, Inc., or Inception 4, in October 2018, our follow-on public offerings, which we closed in February 2014, December 2019, June 2020, July 2021 and October 2021 and borrowings under the 2022 Term Loan Facility with Hercules Capital, Inc., or Hercules, and Silicon Valley Bank, or SVB.</w:t>
      </w:r>
    </w:p>
    <w:p>
      <w:pPr>
        <w:spacing w:after="0" w:line="68"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In July 2022 we entered into a Loan and Security Agreement with Hercules and SVB for a term loan facility, which consists of several tranches of potential financing in an aggregate principal amount of up to $250.0 million. The first tranche consists of a term loan advance in the amount of $50.0 million funded upon execution of the Loan and Security Agreement on July 26, 2022. An aggregate of $150.0 million may be drawn at our option, in three separate tranches, subject to our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achievement of specified performance milestones relating to development and regulatory events for Zimura, as described below in “—Contractual Obligations and Commitments”. An additional</w:t>
      </w:r>
    </w:p>
    <w:p>
      <w:pPr>
        <w:spacing w:after="0" w:line="31"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$50.0 million is available subject to the approval of the facility lenders’ investment committees in their discretion. Loans outstanding under facility bear interest at a floating interest rate per annum equal to the greater of either (i) (x) the lesser of the Wall Street Journal prime rate and 6.25% plus (y) 4.00% or (ii) 8.75%, capped at 10.25%. The the facility matures in August 2027 and has an initial interest-only payment period of 42 months, which may be extended to up to 60 months upon the satisfaction of certain conditions.</w:t>
      </w:r>
    </w:p>
    <w:p>
      <w:pPr>
        <w:spacing w:after="0" w:line="84"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We currently have an effective universal shelf registration statement on Form S-3, or the March 2021 Shelf Registration, on file with the SEC registering for sale from time to time up to $300.0 million of common stock, preferred stock, debt securities, depositary shares, subscription rights, warrants and/or units in one or more registered offerings, of which $100.0 million may be offered, issued and sold under an “at-the-market” Sales Agreement, or the ATM Agreement, with Cowen and Company, LLC. We also have an automatically effective shelf registration statement on Form S-3, or the October 2021 Shelf Registration, pursuant to which we may offer and sell an indeterminate amount of shares of common stock, preferred stock, debt securities, depositary shares, subscription rights, warrants and/or units in one or more registered offerings.</w:t>
      </w:r>
    </w:p>
    <w:p>
      <w:pPr>
        <w:spacing w:after="0" w:line="93"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In July 2021, we closed an underwritten public offering in which we sold 13,397,500 shares of our common stock under the March 2021 Shelf Registration, which included the exercise in full of the underwriters’ option to purchase an additional 1,747,500 shares of our common stock, at a price to the public of $8.60 per share and at a price to the underwriters of $8.084 per share. The net proceeds from the public offering, after deducting underwriting discounts and commissions and other offering expenses payable by us totaling approximately $7.4 million, was approximately $107.8 million.</w:t>
      </w:r>
    </w:p>
    <w:p>
      <w:pPr>
        <w:spacing w:after="0" w:line="93"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In October 2021, we closed an underwritten public offering in which we sold 10,350,000 shares of our common stock, under the October 2021 Shelf Registration, which included the exercise in full of the underwriters’ option to purchase an additional 1,350,000 shares of our common stock, at a price to the public of $16.750 per share and at a price to the underwriters of $15.745 per share. The net proceeds from the public offering, after deducting underwriting discounts and commissions and other offering expenses payable by us totaling approximately $10.8 million, was approximately $162.6 million.</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have not yet issued and sold any shares of our common stock under the ATM Agreement.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25" w:lineRule="exact"/>
        <w:rPr>
          <w:sz w:val="20"/>
          <w:szCs w:val="20"/>
          <w:color w:val="auto"/>
        </w:rPr>
      </w:pPr>
    </w:p>
    <w:p>
      <w:pPr>
        <w:ind w:right="80" w:firstLine="318"/>
        <w:spacing w:after="0" w:line="321" w:lineRule="auto"/>
        <w:rPr>
          <w:sz w:val="20"/>
          <w:szCs w:val="20"/>
          <w:color w:val="auto"/>
        </w:rPr>
      </w:pPr>
      <w:r>
        <w:rPr>
          <w:rFonts w:ascii="Arial" w:cs="Arial" w:eastAsia="Arial" w:hAnsi="Arial"/>
          <w:sz w:val="13"/>
          <w:szCs w:val="13"/>
          <w:color w:val="auto"/>
        </w:rPr>
        <w:t>As of June 30, 2022, we had cash, cash equivalents and available for sale securities totaling $312.0 million and no debt. We currently have invested our cash, cash equivalents and available for sale securities in money market funds, U.S. Treasury securities, certain asset-backed securities and certain investment-grade corporate debt securities.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shows a summary of our cash flows for the six months ended June 30, 2022 and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40" w:type="dxa"/>
            <w:vAlign w:val="bottom"/>
          </w:tcPr>
          <w:p>
            <w:pPr>
              <w:spacing w:after="0"/>
              <w:rPr>
                <w:sz w:val="13"/>
                <w:szCs w:val="13"/>
                <w:color w:val="auto"/>
              </w:rPr>
            </w:pPr>
          </w:p>
        </w:tc>
        <w:tc>
          <w:tcPr>
            <w:tcW w:w="23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1"/>
                <w:szCs w:val="11"/>
                <w:b w:val="1"/>
                <w:bCs w:val="1"/>
                <w:color w:val="auto"/>
              </w:rPr>
              <w:t>Six months ended June 30,</w:t>
            </w:r>
          </w:p>
        </w:tc>
        <w:tc>
          <w:tcPr>
            <w:tcW w:w="540" w:type="dxa"/>
            <w:vAlign w:val="bottom"/>
            <w:tcBorders>
              <w:bottom w:val="single" w:sz="8" w:color="auto"/>
            </w:tcBorders>
          </w:tcPr>
          <w:p>
            <w:pPr>
              <w:spacing w:after="0"/>
              <w:rPr>
                <w:sz w:val="13"/>
                <w:szCs w:val="13"/>
                <w:color w:val="auto"/>
              </w:rPr>
            </w:pPr>
          </w:p>
        </w:tc>
      </w:tr>
      <w:tr>
        <w:trPr>
          <w:trHeight w:val="142"/>
        </w:trPr>
        <w:tc>
          <w:tcPr>
            <w:tcW w:w="834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r>
      <w:tr>
        <w:trPr>
          <w:trHeight w:val="139"/>
        </w:trPr>
        <w:tc>
          <w:tcPr>
            <w:tcW w:w="8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gridSpan w:val="3"/>
          </w:tcPr>
          <w:p>
            <w:pPr>
              <w:jc w:val="right"/>
              <w:ind w:right="494"/>
              <w:spacing w:after="0"/>
              <w:rPr>
                <w:sz w:val="20"/>
                <w:szCs w:val="20"/>
                <w:color w:val="auto"/>
              </w:rPr>
            </w:pPr>
            <w:r>
              <w:rPr>
                <w:rFonts w:ascii="Arial" w:cs="Arial" w:eastAsia="Arial" w:hAnsi="Arial"/>
                <w:sz w:val="11"/>
                <w:szCs w:val="11"/>
                <w:b w:val="1"/>
                <w:bCs w:val="1"/>
                <w:color w:val="auto"/>
              </w:rPr>
              <w:t>(in thousands)</w:t>
            </w:r>
          </w:p>
        </w:tc>
        <w:tc>
          <w:tcPr>
            <w:tcW w:w="540" w:type="dxa"/>
            <w:vAlign w:val="bottom"/>
          </w:tcPr>
          <w:p>
            <w:pPr>
              <w:spacing w:after="0"/>
              <w:rPr>
                <w:sz w:val="12"/>
                <w:szCs w:val="12"/>
                <w:color w:val="auto"/>
              </w:rPr>
            </w:pPr>
          </w:p>
        </w:tc>
      </w:tr>
      <w:tr>
        <w:trPr>
          <w:trHeight w:val="181"/>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0"/>
        </w:trPr>
        <w:tc>
          <w:tcPr>
            <w:tcW w:w="8340" w:type="dxa"/>
            <w:vAlign w:val="bottom"/>
          </w:tcPr>
          <w:p>
            <w:pPr>
              <w:ind w:left="120"/>
              <w:spacing w:after="0"/>
              <w:rPr>
                <w:sz w:val="20"/>
                <w:szCs w:val="20"/>
                <w:color w:val="auto"/>
              </w:rPr>
            </w:pPr>
            <w:r>
              <w:rPr>
                <w:rFonts w:ascii="Arial" w:cs="Arial" w:eastAsia="Arial" w:hAnsi="Arial"/>
                <w:sz w:val="14"/>
                <w:szCs w:val="14"/>
                <w:color w:val="auto"/>
              </w:rPr>
              <w:t>Operating Activities</w:t>
            </w:r>
          </w:p>
        </w:tc>
        <w:tc>
          <w:tcPr>
            <w:tcW w:w="820" w:type="dxa"/>
            <w:vAlign w:val="bottom"/>
          </w:tcPr>
          <w:p>
            <w:pPr>
              <w:jc w:val="right"/>
              <w:ind w:right="676"/>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(73,421)</w:t>
            </w:r>
          </w:p>
        </w:tc>
        <w:tc>
          <w:tcPr>
            <w:tcW w:w="100" w:type="dxa"/>
            <w:vAlign w:val="bottom"/>
          </w:tcPr>
          <w:p>
            <w:pPr>
              <w:spacing w:after="0"/>
              <w:rPr>
                <w:sz w:val="15"/>
                <w:szCs w:val="15"/>
                <w:color w:val="auto"/>
              </w:rPr>
            </w:pPr>
          </w:p>
        </w:tc>
        <w:tc>
          <w:tcPr>
            <w:tcW w:w="860" w:type="dxa"/>
            <w:vAlign w:val="bottom"/>
          </w:tcPr>
          <w:p>
            <w:pPr>
              <w:jc w:val="right"/>
              <w:ind w:right="714"/>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(49,908)</w:t>
            </w:r>
          </w:p>
        </w:tc>
      </w:tr>
      <w:tr>
        <w:trPr>
          <w:trHeight w:val="181"/>
        </w:trPr>
        <w:tc>
          <w:tcPr>
            <w:tcW w:w="8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Investing Activities</w:t>
            </w: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(51,794)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33,321</w:t>
            </w:r>
          </w:p>
        </w:tc>
      </w:tr>
      <w:tr>
        <w:trPr>
          <w:trHeight w:val="180"/>
        </w:trPr>
        <w:tc>
          <w:tcPr>
            <w:tcW w:w="83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Financing Activities</w:t>
            </w:r>
          </w:p>
        </w:tc>
        <w:tc>
          <w:tcPr>
            <w:tcW w:w="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4,881</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w:t>
            </w:r>
          </w:p>
        </w:tc>
      </w:tr>
      <w:tr>
        <w:trPr>
          <w:trHeight w:val="19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(120,334)</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(16,010)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Cash Flows from Operating Activities</w:t>
      </w:r>
    </w:p>
    <w:p>
      <w:pPr>
        <w:spacing w:after="0" w:line="125" w:lineRule="exact"/>
        <w:rPr>
          <w:sz w:val="20"/>
          <w:szCs w:val="20"/>
          <w:color w:val="auto"/>
        </w:rPr>
      </w:pPr>
    </w:p>
    <w:p>
      <w:pPr>
        <w:ind w:right="400" w:firstLine="318"/>
        <w:spacing w:after="0" w:line="321" w:lineRule="auto"/>
        <w:rPr>
          <w:sz w:val="20"/>
          <w:szCs w:val="20"/>
          <w:color w:val="auto"/>
        </w:rPr>
      </w:pPr>
      <w:r>
        <w:rPr>
          <w:rFonts w:ascii="Arial" w:cs="Arial" w:eastAsia="Arial" w:hAnsi="Arial"/>
          <w:sz w:val="13"/>
          <w:szCs w:val="13"/>
          <w:color w:val="auto"/>
        </w:rPr>
        <w:t>Net cash used in operating activities in the six months ended June 30, 2022 and 2021 related primarily to net cash used to fund our Zimura clinical trials and manufacturing activities, our preclinical development of IC-500, IC-100 and IC-200, our gene therapy research programs and to support our general and administrative operations.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“—Funding Requirements” below for a description of how we expect to use our cash for operating activities in future periods.</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Cash Flows from Investing Activities</w:t>
      </w:r>
    </w:p>
    <w:p>
      <w:pPr>
        <w:spacing w:after="0" w:line="125"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Net cash used in investing activities was $51.8 million for the six months ended June 30, 2022, which related to the purchases of marketable securities. Net cash provided by investing activities was $33.3 million for the six months ended June 30, 2021, which related to the maturities of marketable securities.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Cash Flows from Financing Activities</w:t>
      </w:r>
    </w:p>
    <w:p>
      <w:pPr>
        <w:spacing w:after="0" w:line="115"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Net cash provided by financing activities was $4.9 million and $0.6 million, respectively, for the six months ended June 30, 2022 and 2021, consisted primarily of proceeds related to stock option exercises and purchases made under our employee stock purchase plan.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25" w:lineRule="exact"/>
        <w:rPr>
          <w:sz w:val="20"/>
          <w:szCs w:val="20"/>
          <w:color w:val="auto"/>
        </w:rPr>
      </w:pPr>
    </w:p>
    <w:p>
      <w:pPr>
        <w:ind w:firstLine="318"/>
        <w:spacing w:after="0" w:line="299" w:lineRule="auto"/>
        <w:rPr>
          <w:sz w:val="20"/>
          <w:szCs w:val="20"/>
          <w:color w:val="auto"/>
        </w:rPr>
      </w:pPr>
      <w:r>
        <w:rPr>
          <w:rFonts w:ascii="Arial" w:cs="Arial" w:eastAsia="Arial" w:hAnsi="Arial"/>
          <w:sz w:val="12"/>
          <w:szCs w:val="12"/>
          <w:color w:val="auto"/>
        </w:rPr>
        <w:t>Zimura is in clinical development, IC-500 is in preclinical development, and we are exploring multiple sustained release delivery technologies for Zimura and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our preclinical development programs or our gene therapy research programs, or if we in-license or acquire, and undertake development of, additional product candidates and technologies, including additional sustained release delivery technologies for Zimura and any promising product candidates that emerge from our gene therapy research programs. We plan to find a collaborator for the future development and potential commercialization of IC-100 and IC-200; if we are not successful in finding a collaborator, we may need to continue the development of one or both of those product candidates by ourselves, which would increase our research and development expenses.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have started incurring these expenses as we prepare for the potential commercialization of Zimura. We are party to agreements with Archemix with respect to Zimura, DelSiTech with respect to formulations of Zimura with DelSiTech’s silica-based sustained release delivery technology, the former equity holders of Inception 4 with respect to IC-500, the University of Florida Research Foundation, Incorporated, or UFRF, and Penn, with respect to IC-100 and IC-200,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formulations of Zimura with DelSiTech’s silica-based sustained release delivery technology,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expect that we will continue to incur significant expenses as we:</w:t>
      </w:r>
    </w:p>
    <w:p>
      <w:pPr>
        <w:spacing w:after="0" w:line="125" w:lineRule="exact"/>
        <w:rPr>
          <w:sz w:val="20"/>
          <w:szCs w:val="20"/>
          <w:color w:val="auto"/>
        </w:rPr>
      </w:pPr>
    </w:p>
    <w:p>
      <w:pPr>
        <w:ind w:left="760" w:hanging="246"/>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continue the development of Zimura in GA and STGD1 and initiate development of Zimura in intermediate AMD and potentially other indications;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expand our outsourced manufacturing capabilities for Zimura and IC-500 and establish commercial operations and sales, marketing and distribution capabilities for Zimura;</w:t>
      </w:r>
    </w:p>
    <w:p>
      <w:pPr>
        <w:spacing w:after="0" w:line="126" w:lineRule="exact"/>
        <w:rPr>
          <w:rFonts w:ascii="Arial" w:cs="Arial" w:eastAsia="Arial" w:hAnsi="Arial"/>
          <w:sz w:val="13"/>
          <w:szCs w:val="13"/>
          <w:color w:val="auto"/>
        </w:rPr>
      </w:pPr>
    </w:p>
    <w:p>
      <w:pPr>
        <w:ind w:left="760" w:hanging="246"/>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prepare an NDA and an MAA for Zimura and seek marketing approval for any product candidates that successfully complete clinical trials;</w:t>
      </w:r>
    </w:p>
    <w:p>
      <w:pPr>
        <w:spacing w:after="0" w:line="125" w:lineRule="exact"/>
        <w:rPr>
          <w:rFonts w:ascii="Arial" w:cs="Arial" w:eastAsia="Arial" w:hAnsi="Arial"/>
          <w:sz w:val="14"/>
          <w:szCs w:val="14"/>
          <w:color w:val="auto"/>
        </w:rPr>
      </w:pPr>
    </w:p>
    <w:p>
      <w:pPr>
        <w:ind w:left="760" w:right="20" w:hanging="246"/>
        <w:spacing w:after="0" w:line="281" w:lineRule="auto"/>
        <w:tabs>
          <w:tab w:leader="none" w:pos="756" w:val="left"/>
        </w:tabs>
        <w:numPr>
          <w:ilvl w:val="0"/>
          <w:numId w:val="20"/>
        </w:numPr>
        <w:rPr>
          <w:rFonts w:ascii="Arial" w:cs="Arial" w:eastAsia="Arial" w:hAnsi="Arial"/>
          <w:sz w:val="14"/>
          <w:szCs w:val="14"/>
          <w:color w:val="212529"/>
        </w:rPr>
      </w:pPr>
      <w:r>
        <w:rPr>
          <w:rFonts w:ascii="Arial" w:cs="Arial" w:eastAsia="Arial" w:hAnsi="Arial"/>
          <w:sz w:val="14"/>
          <w:szCs w:val="14"/>
          <w:color w:val="auto"/>
        </w:rPr>
        <w:t xml:space="preserve">in-license or acquire the rights to, and pursue the development of, other product candidates or technologies </w:t>
      </w:r>
      <w:r>
        <w:rPr>
          <w:rFonts w:ascii="Arial" w:cs="Arial" w:eastAsia="Arial" w:hAnsi="Arial"/>
          <w:sz w:val="14"/>
          <w:szCs w:val="14"/>
          <w:color w:val="212529"/>
        </w:rPr>
        <w:t>for retinal diseases, such as additional sustained release delivery technologies</w:t>
      </w:r>
      <w:r>
        <w:rPr>
          <w:rFonts w:ascii="Arial" w:cs="Arial" w:eastAsia="Arial" w:hAnsi="Arial"/>
          <w:sz w:val="14"/>
          <w:szCs w:val="14"/>
          <w:color w:val="auto"/>
        </w:rPr>
        <w:t xml:space="preserve"> </w:t>
      </w:r>
      <w:r>
        <w:rPr>
          <w:rFonts w:ascii="Arial" w:cs="Arial" w:eastAsia="Arial" w:hAnsi="Arial"/>
          <w:sz w:val="14"/>
          <w:szCs w:val="14"/>
          <w:color w:val="212529"/>
        </w:rPr>
        <w:t>for Zimura</w:t>
      </w:r>
      <w:r>
        <w:rPr>
          <w:rFonts w:ascii="Arial" w:cs="Arial" w:eastAsia="Arial" w:hAnsi="Arial"/>
          <w:sz w:val="14"/>
          <w:szCs w:val="14"/>
          <w:color w:val="000000"/>
        </w:rPr>
        <w:t>;</w:t>
      </w:r>
    </w:p>
    <w:p>
      <w:pPr>
        <w:spacing w:after="0" w:line="79" w:lineRule="exact"/>
        <w:rPr>
          <w:rFonts w:ascii="Arial" w:cs="Arial" w:eastAsia="Arial" w:hAnsi="Arial"/>
          <w:sz w:val="14"/>
          <w:szCs w:val="14"/>
          <w:color w:val="212529"/>
        </w:rPr>
      </w:pPr>
    </w:p>
    <w:p>
      <w:pPr>
        <w:ind w:left="760" w:hanging="246"/>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continue the development of IC-500 and pursue our gene therapy research programs;</w:t>
      </w:r>
    </w:p>
    <w:p>
      <w:pPr>
        <w:spacing w:after="0" w:line="114" w:lineRule="exact"/>
        <w:rPr>
          <w:rFonts w:ascii="Arial" w:cs="Arial" w:eastAsia="Arial" w:hAnsi="Arial"/>
          <w:sz w:val="14"/>
          <w:szCs w:val="14"/>
          <w:color w:val="auto"/>
        </w:rPr>
      </w:pPr>
    </w:p>
    <w:p>
      <w:pPr>
        <w:ind w:left="760" w:hanging="246"/>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hire additional clinical, commercial, medical affairs, regulatory, pharmacovigilance, manufacturing, quality control, quality assurance and scientific personnel; and</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expand our general and administrative functions to support our future growth.</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right="20" w:firstLine="318"/>
        <w:spacing w:after="0" w:line="237" w:lineRule="auto"/>
        <w:rPr>
          <w:sz w:val="20"/>
          <w:szCs w:val="20"/>
          <w:color w:val="auto"/>
        </w:rPr>
      </w:pPr>
      <w:r>
        <w:rPr>
          <w:rFonts w:ascii="Arial" w:cs="Arial" w:eastAsia="Arial" w:hAnsi="Arial"/>
          <w:sz w:val="14"/>
          <w:szCs w:val="14"/>
          <w:color w:val="auto"/>
        </w:rPr>
        <w:t>As of June 30, 2022, we had cash, cash equivalents and available-for-sale securities of $312.0 million. In July 2022, we borrowed $50.0 million under the 2022 Term Loan Facility with Hercules and SVB. Including the proceeds of that borrowing, we estimate that our year-end 2022 cash, cash equivalents and available-for-sale securities will range between $260.0 million and $270.0 million.</w:t>
      </w:r>
    </w:p>
    <w:p>
      <w:pPr>
        <w:spacing w:after="0" w:line="85"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We expect the development of our product candidates will continue for at least the next several years. Although we believe we have sufficient financial resources for the activities necessary to complete development of, including manufacturing scale-up and validation activities, and potentially seek marketing approval of Zimura in GA, we expect we will require additional funding in order to launch and commercialize Zimura in GA, if approved. We also expect we will require substantial, additional funding in order to complete the activities necessary to develop and commercialize Zimura for other indications, a sustained release delivery technology for Zimura or any of our other product candidates. At this time, we cannot reasonably estimate the total remaining costs necessary to complete development, to complete process development and manufacturing scale-up and validation activities and to potentially seek marketing approval for Zimura for any other indication, a sustained release delivery technology for Zimura or for any of our other product candidates.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125" w:lineRule="exact"/>
        <w:rPr>
          <w:sz w:val="20"/>
          <w:szCs w:val="20"/>
          <w:color w:val="auto"/>
        </w:rPr>
      </w:pPr>
    </w:p>
    <w:p>
      <w:pPr>
        <w:ind w:left="760" w:right="240" w:hanging="246"/>
        <w:spacing w:after="0" w:line="281"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scope, progress, costs and results of our current and future Zimura clinical programs and any further development we may undertake to enable us to file an NDA and an MAA for Zimura in one or more indications;</w:t>
      </w:r>
    </w:p>
    <w:p>
      <w:pPr>
        <w:spacing w:after="0" w:line="68" w:lineRule="exact"/>
        <w:rPr>
          <w:rFonts w:ascii="Arial" w:cs="Arial" w:eastAsia="Arial" w:hAnsi="Arial"/>
          <w:sz w:val="14"/>
          <w:szCs w:val="14"/>
          <w:color w:val="auto"/>
        </w:rPr>
      </w:pPr>
    </w:p>
    <w:p>
      <w:pPr>
        <w:ind w:left="760" w:right="240" w:hanging="246"/>
        <w:spacing w:after="0" w:line="281"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scope, progress, costs and results of process development, manufacturing scale-up and validation activities, analytical method development and qualification, and stability studies associated with Zimura and our other product candidates;</w:t>
      </w:r>
    </w:p>
    <w:p>
      <w:pPr>
        <w:spacing w:after="0" w:line="79" w:lineRule="exact"/>
        <w:rPr>
          <w:rFonts w:ascii="Arial" w:cs="Arial" w:eastAsia="Arial" w:hAnsi="Arial"/>
          <w:sz w:val="14"/>
          <w:szCs w:val="14"/>
          <w:color w:val="auto"/>
        </w:rPr>
      </w:pPr>
    </w:p>
    <w:p>
      <w:pPr>
        <w:ind w:left="760" w:right="40" w:hanging="246"/>
        <w:spacing w:after="0" w:line="281"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timing, scope and costs of establishing a commercial infrastructure for potential commercialization of Zimura and for any other product candidates for which we receive, or expect to receive, marketing approval;</w:t>
      </w:r>
    </w:p>
    <w:p>
      <w:pPr>
        <w:spacing w:after="0" w:line="79" w:lineRule="exact"/>
        <w:rPr>
          <w:rFonts w:ascii="Arial" w:cs="Arial" w:eastAsia="Arial" w:hAnsi="Arial"/>
          <w:sz w:val="14"/>
          <w:szCs w:val="14"/>
          <w:color w:val="auto"/>
        </w:rPr>
      </w:pPr>
    </w:p>
    <w:p>
      <w:pPr>
        <w:ind w:left="760" w:right="80" w:hanging="246"/>
        <w:spacing w:after="0" w:line="281"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costs, timing and outcome of regulatory filings and reviews of our product candidates, including the potential submission and regulatory review of an NDA and an MAA for Zimura in GA;</w:t>
      </w:r>
    </w:p>
    <w:p>
      <w:pPr>
        <w:spacing w:after="0" w:line="68" w:lineRule="exact"/>
        <w:rPr>
          <w:rFonts w:ascii="Arial" w:cs="Arial" w:eastAsia="Arial" w:hAnsi="Arial"/>
          <w:sz w:val="14"/>
          <w:szCs w:val="14"/>
          <w:color w:val="auto"/>
        </w:rPr>
      </w:pPr>
    </w:p>
    <w:p>
      <w:pPr>
        <w:ind w:left="760" w:right="120" w:hanging="246"/>
        <w:spacing w:after="0" w:line="321" w:lineRule="auto"/>
        <w:tabs>
          <w:tab w:leader="none" w:pos="756"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ability to establish collaborations on favorable terms, if at all, if we choose to do so, including a potential collaboration for the further development and potential commercialization of Zimura in one or more territories outside the United States and a collaboration for the further development and potential commercialization of IC-100 and IC-200;</w:t>
      </w:r>
    </w:p>
    <w:p>
      <w:pPr>
        <w:spacing w:after="0" w:line="56" w:lineRule="exact"/>
        <w:rPr>
          <w:rFonts w:ascii="Arial" w:cs="Arial" w:eastAsia="Arial" w:hAnsi="Arial"/>
          <w:sz w:val="13"/>
          <w:szCs w:val="13"/>
          <w:color w:val="auto"/>
        </w:rPr>
      </w:pPr>
    </w:p>
    <w:p>
      <w:pPr>
        <w:ind w:left="760" w:right="260" w:hanging="246"/>
        <w:spacing w:after="0" w:line="281"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extent to which we in-license or acquire rights to, and undertake research or development of, additional product candidates or technologies, including additional sustained release delivery technologies for Zimura;</w:t>
      </w:r>
    </w:p>
    <w:p>
      <w:pPr>
        <w:spacing w:after="0" w:line="79" w:lineRule="exact"/>
        <w:rPr>
          <w:rFonts w:ascii="Arial" w:cs="Arial" w:eastAsia="Arial" w:hAnsi="Arial"/>
          <w:sz w:val="14"/>
          <w:szCs w:val="14"/>
          <w:color w:val="auto"/>
        </w:rPr>
      </w:pPr>
    </w:p>
    <w:p>
      <w:pPr>
        <w:ind w:left="760" w:hanging="246"/>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extent of our debt service obligations and our ability, if desired, to refinance any of our existing debt on terms that are more favorable to us;</w:t>
      </w:r>
    </w:p>
    <w:p>
      <w:pPr>
        <w:spacing w:after="0" w:line="114"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scope, progress, costs and results of our efforts to develop IC-500, including activities to establish manufacturing capabilities and other preclinical development activities to enable us to file an IND for this product candidate;</w:t>
      </w:r>
    </w:p>
    <w:p>
      <w:pPr>
        <w:spacing w:after="0" w:line="79" w:lineRule="exact"/>
        <w:rPr>
          <w:rFonts w:ascii="Arial" w:cs="Arial" w:eastAsia="Arial" w:hAnsi="Arial"/>
          <w:sz w:val="14"/>
          <w:szCs w:val="14"/>
          <w:color w:val="auto"/>
        </w:rPr>
      </w:pPr>
    </w:p>
    <w:p>
      <w:pPr>
        <w:ind w:left="760" w:right="60" w:hanging="246"/>
        <w:spacing w:after="0" w:line="281"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79" w:lineRule="exact"/>
        <w:rPr>
          <w:rFonts w:ascii="Arial" w:cs="Arial" w:eastAsia="Arial" w:hAnsi="Arial"/>
          <w:sz w:val="14"/>
          <w:szCs w:val="14"/>
          <w:color w:val="auto"/>
        </w:rPr>
      </w:pPr>
    </w:p>
    <w:p>
      <w:pPr>
        <w:ind w:left="760" w:hanging="246"/>
        <w:spacing w:after="0"/>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timing and extent of delays or disruptions to our research and development programs as a result of the COVID-19 pandemic;</w:t>
      </w:r>
    </w:p>
    <w:p>
      <w:pPr>
        <w:spacing w:after="0" w:line="114" w:lineRule="exact"/>
        <w:rPr>
          <w:rFonts w:ascii="Arial" w:cs="Arial" w:eastAsia="Arial" w:hAnsi="Arial"/>
          <w:sz w:val="14"/>
          <w:szCs w:val="14"/>
          <w:color w:val="auto"/>
        </w:rPr>
      </w:pPr>
    </w:p>
    <w:p>
      <w:pPr>
        <w:ind w:left="760" w:hanging="246"/>
        <w:spacing w:after="0"/>
        <w:tabs>
          <w:tab w:leader="none" w:pos="7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costs of preparing, filing and prosecuting patent applications, maintaining and protecting our intellectual property rights and defending intellectual property-related claims; and</w:t>
      </w:r>
    </w:p>
    <w:p>
      <w:pPr>
        <w:spacing w:after="0" w:line="136" w:lineRule="exact"/>
        <w:rPr>
          <w:rFonts w:ascii="Arial" w:cs="Arial" w:eastAsia="Arial" w:hAnsi="Arial"/>
          <w:sz w:val="13"/>
          <w:szCs w:val="13"/>
          <w:color w:val="auto"/>
        </w:rPr>
      </w:pPr>
    </w:p>
    <w:p>
      <w:pPr>
        <w:ind w:left="760" w:right="80" w:hanging="246"/>
        <w:spacing w:after="0" w:line="281"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subject to receipt of marketing approval, net revenue received from commercial sales of any of our product candidates, after milestone payments and royalty payments that we would be obligated to make.</w:t>
      </w:r>
    </w:p>
    <w:p>
      <w:pPr>
        <w:spacing w:after="0" w:line="79"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with manufacturing, such as issues with process development, scale-up and validation, or establishing and qualifying second source suppliers and ensuring adequate inventory for our expected needs, if we experience an issue in our preclinical development programs, such as unfavorable toxicology or other preclinical data, or if we modify or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For example, we are conducting the GATHER2 trial with the expectation that data collected from such trial, if it is positive, together with other available data, will be sufficient to support an application for marketing approval in the United States and the European Union and we may subsequently decide to, or be required by regulatory authorities to, enroll additional patients in the GATHER2 trial, or conduct additional clinical trials or nonclinical studies of Zimura in order to seek or maintain marketing approval or qualify for reimbursement approval. In addition, the COVID-19 pandemic may result in disruptions to the progress of the GATHER2 or STAR trials,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75"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other macro-economic events, such as the current high levels of inflation, and governmental responses to those events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successful in raising approximately $162.6 million in net proceeds in an underwritten public offering of our common stock in October 2021, we may not be able to successfully raise additional capital in the future.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gene therapy research programs, or our future commercialization efforts.</w:t>
      </w:r>
    </w:p>
    <w:p>
      <w:pPr>
        <w:spacing w:after="0" w:line="91" w:lineRule="exact"/>
        <w:rPr>
          <w:sz w:val="20"/>
          <w:szCs w:val="20"/>
          <w:color w:val="auto"/>
        </w:rPr>
      </w:pPr>
    </w:p>
    <w:p>
      <w:pPr>
        <w:ind w:right="160" w:firstLine="318"/>
        <w:spacing w:after="0" w:line="276" w:lineRule="auto"/>
        <w:rPr>
          <w:sz w:val="20"/>
          <w:szCs w:val="20"/>
          <w:color w:val="auto"/>
        </w:rPr>
      </w:pPr>
      <w:r>
        <w:rPr>
          <w:rFonts w:ascii="Arial" w:cs="Arial" w:eastAsia="Arial" w:hAnsi="Arial"/>
          <w:sz w:val="13"/>
          <w:szCs w:val="13"/>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For example, in July 2022, we entered into a Loan and Security Agreement, or the Loan Agreement, with Hercules and SVB, providing for a term loan facility, or the 2022 Term Loan Facility, pursuant to which we have total borrowing capacity under several tranches of up to $250.0 million aggregate principal amount, of which (i) $50.0 million has been drawn down upon execution of the Loan Agreement, (ii) an aggregate of $150.0 million may be drawn down at our option, in three separate tranches, subject to our achievement of specified performance milestones relating to development of regulatory events for Zimura as described in “Management’s Discussion and Analysis of Financial Condition and Results of Operations— Contractual Obligations and Commitments” and (iii) an additional $50.0 million is available subject to approval of the facility lenders’ investment committees in their discretion. However, if we do not satisfy the specified performance milestones or the facility lenders do not otherwise approve additional borrowings, we will not have access to the remaining amounts of the 2022 Term Loan Facility.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would involve agreements that include covenants limiting or restricting our ability to take specific actions, such as incurring additional debt, making capital expenditures, declaring dividends, making certain investments or entering into certain other transactions. For example, the covenants under the Loan Agreement include limitations on our ability to obtain additional financing, to make certain investments and enter into certain other transactions. In addition, we have issued, and may in the future issue additional, equity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securities as consideration for business development transactions, which may also dilute our existing stockholders' ownership interests.</w:t>
      </w:r>
    </w:p>
    <w:p>
      <w:pPr>
        <w:spacing w:after="0" w:line="115"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If we raise additional funds through collaborations, royalty transactions,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 of our product candidates,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78" w:lineRule="exact"/>
        <w:rPr>
          <w:sz w:val="20"/>
          <w:szCs w:val="20"/>
          <w:color w:val="auto"/>
        </w:rPr>
      </w:pPr>
    </w:p>
    <w:p>
      <w:pPr>
        <w:ind w:right="20" w:firstLine="318"/>
        <w:spacing w:after="0" w:line="288" w:lineRule="auto"/>
        <w:rPr>
          <w:sz w:val="20"/>
          <w:szCs w:val="20"/>
          <w:color w:val="auto"/>
        </w:rPr>
      </w:pPr>
      <w:r>
        <w:rPr>
          <w:rFonts w:ascii="Arial" w:cs="Arial" w:eastAsia="Arial" w:hAnsi="Arial"/>
          <w:sz w:val="13"/>
          <w:szCs w:val="13"/>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40" w:lineRule="exact"/>
        <w:rPr>
          <w:sz w:val="20"/>
          <w:szCs w:val="20"/>
          <w:color w:val="auto"/>
        </w:rPr>
      </w:pPr>
    </w:p>
    <w:p>
      <w:pPr>
        <w:ind w:right="20" w:firstLine="318"/>
        <w:spacing w:after="0" w:line="249" w:lineRule="auto"/>
        <w:rPr>
          <w:sz w:val="20"/>
          <w:szCs w:val="20"/>
          <w:color w:val="auto"/>
        </w:rPr>
      </w:pPr>
      <w:r>
        <w:rPr>
          <w:rFonts w:ascii="Arial" w:cs="Arial" w:eastAsia="Arial" w:hAnsi="Arial"/>
          <w:sz w:val="14"/>
          <w:szCs w:val="14"/>
          <w:color w:val="auto"/>
        </w:rPr>
        <w:t>As disclosed in “Note 8 — Commitments and Contingencies” in the notes to the financial statements filed with this Quarterly Report on Form 10-Q, we have exposure for certain commitments and contingencies.</w:t>
      </w:r>
    </w:p>
    <w:p>
      <w:pPr>
        <w:spacing w:after="0" w:line="90" w:lineRule="exact"/>
        <w:rPr>
          <w:sz w:val="20"/>
          <w:szCs w:val="20"/>
          <w:color w:val="auto"/>
        </w:rPr>
      </w:pPr>
    </w:p>
    <w:p>
      <w:pPr>
        <w:ind w:right="380" w:firstLine="318"/>
        <w:spacing w:after="0" w:line="267" w:lineRule="auto"/>
        <w:rPr>
          <w:sz w:val="20"/>
          <w:szCs w:val="20"/>
          <w:color w:val="auto"/>
        </w:rPr>
      </w:pPr>
      <w:r>
        <w:rPr>
          <w:rFonts w:ascii="Arial" w:cs="Arial" w:eastAsia="Arial" w:hAnsi="Arial"/>
          <w:sz w:val="14"/>
          <w:szCs w:val="14"/>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2022 annual meeting of stockholders, as filed with the SEC on March 30, 2022.</w:t>
      </w:r>
    </w:p>
    <w:p>
      <w:pPr>
        <w:spacing w:after="0" w:line="89" w:lineRule="exact"/>
        <w:rPr>
          <w:sz w:val="20"/>
          <w:szCs w:val="20"/>
          <w:color w:val="auto"/>
        </w:rPr>
      </w:pPr>
    </w:p>
    <w:p>
      <w:pPr>
        <w:ind w:right="20" w:firstLine="318"/>
        <w:spacing w:after="0" w:line="288" w:lineRule="auto"/>
        <w:rPr>
          <w:sz w:val="20"/>
          <w:szCs w:val="20"/>
          <w:color w:val="auto"/>
        </w:rPr>
      </w:pPr>
      <w:r>
        <w:rPr>
          <w:rFonts w:ascii="Arial" w:cs="Arial" w:eastAsia="Arial" w:hAnsi="Arial"/>
          <w:sz w:val="13"/>
          <w:szCs w:val="13"/>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and development, contract research, manufacturing, and supplier agreements in the future, which may require upfront payments and long-term commitments of cash.</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Licensing Arrangements - DelSiTech License Agreement</w:t>
      </w:r>
    </w:p>
    <w:p>
      <w:pPr>
        <w:spacing w:after="0" w:line="125"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On June 30, 2022, we entered into the DelSiTech License Agreement with DelSiTech, under which DelSiTech granted us a worldwide, exclusive license under specified patent rights and know-how to develop, have developed, make, have made, use, offer to sell, sell, have sold, otherwise commercialize, export and import Zimura using DelSiTech’s silica-based sustained release technology for the treatment of diseases of the eye in humans, which we refer to as the Licensed Product. We may grant sublicenses of the licensed patent rights and know-how without DelSiTech’s consent.</w:t>
      </w:r>
    </w:p>
    <w:p>
      <w:pPr>
        <w:spacing w:after="0" w:line="93"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As a condition to the ongoing effectiveness of DelSiTech’s grant of exclusive rights, (a) we would use commercially reasonable efforts to develop the Licensed Product and to seek regulatory approval for the Licensed Product in either the United States or the European Union and (b) we would use commercially reasonable efforts to commercialize the Licensed Product following receipt of regulatory approval in the United States, France, Germany, Italy, Spain or the United Kingdom, as applicable. We have sole discretion as to the use of commercially reasonable efforts for the above, and in the event that we choose not to or fail to use commercially reasonable efforts to develop or commercialize the Licensed Product, DelSiTech’s sole remedy for such failure is to convert the licenses granted to us under the DelSiTech License Agreement from exclusive to non-exclusive.</w:t>
      </w:r>
    </w:p>
    <w:p>
      <w:pPr>
        <w:spacing w:after="0" w:line="168" w:lineRule="exact"/>
        <w:rPr>
          <w:sz w:val="20"/>
          <w:szCs w:val="20"/>
          <w:color w:val="auto"/>
        </w:rPr>
      </w:pPr>
    </w:p>
    <w:p>
      <w:pPr>
        <w:ind w:right="140" w:firstLine="509"/>
        <w:spacing w:after="0" w:line="279" w:lineRule="auto"/>
        <w:rPr>
          <w:sz w:val="20"/>
          <w:szCs w:val="20"/>
          <w:color w:val="auto"/>
        </w:rPr>
      </w:pPr>
      <w:r>
        <w:rPr>
          <w:rFonts w:ascii="Arial" w:cs="Arial" w:eastAsia="Arial" w:hAnsi="Arial"/>
          <w:sz w:val="13"/>
          <w:szCs w:val="13"/>
          <w:color w:val="auto"/>
        </w:rPr>
        <w:t>We agreed to pay DelSiTech a €1.25 million upfront license fee within 60 days after execution of the DelSiTech License Agreement, which we have recognized as a research and development expense. We further agreed to pay DelSiTech up to an aggregate of €35.0 million if we achieve specified clinical and development milestones with respect to the Licensed Product. In addition, we agreed to pay DelSiTech up to an aggregate of €60.0 million if we achieve specified commercial sales milestones with respect to worldwide net sales of the Licensed Product.</w:t>
      </w:r>
    </w:p>
    <w:p>
      <w:pPr>
        <w:spacing w:after="0" w:line="147" w:lineRule="exact"/>
        <w:rPr>
          <w:sz w:val="20"/>
          <w:szCs w:val="20"/>
          <w:color w:val="auto"/>
        </w:rPr>
      </w:pPr>
    </w:p>
    <w:p>
      <w:pPr>
        <w:ind w:right="200" w:firstLine="509"/>
        <w:spacing w:after="0" w:line="281" w:lineRule="auto"/>
        <w:rPr>
          <w:sz w:val="20"/>
          <w:szCs w:val="20"/>
          <w:color w:val="auto"/>
        </w:rPr>
      </w:pPr>
      <w:r>
        <w:rPr>
          <w:rFonts w:ascii="Arial" w:cs="Arial" w:eastAsia="Arial" w:hAnsi="Arial"/>
          <w:sz w:val="14"/>
          <w:szCs w:val="14"/>
          <w:color w:val="auto"/>
        </w:rPr>
        <w:t>We are also obligated to pay DelSiTech royalties at a low single-digit percentage of net sales of the Licensed Product. The royalties payable by us are subject to reduction under specified circumstances. Our obligation to pay royalties under the</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DelSiTech License Agreement will continue on a country-by-country basis until the later of: (a) the expiration of the last-to-expire licensed patent rights covering the Licensed Product in the country of sale, or (b) expiration of all regulatory exclusivity for the Licensed Product in the country of sale.</w:t>
      </w:r>
    </w:p>
    <w:p>
      <w:pPr>
        <w:spacing w:after="0" w:line="153" w:lineRule="exact"/>
        <w:rPr>
          <w:sz w:val="20"/>
          <w:szCs w:val="20"/>
          <w:color w:val="auto"/>
        </w:rPr>
      </w:pPr>
    </w:p>
    <w:p>
      <w:pPr>
        <w:jc w:val="both"/>
        <w:ind w:right="20" w:firstLine="509"/>
        <w:spacing w:after="0" w:line="301" w:lineRule="auto"/>
        <w:rPr>
          <w:sz w:val="20"/>
          <w:szCs w:val="20"/>
          <w:color w:val="auto"/>
        </w:rPr>
      </w:pPr>
      <w:r>
        <w:rPr>
          <w:rFonts w:ascii="Arial" w:cs="Arial" w:eastAsia="Arial" w:hAnsi="Arial"/>
          <w:sz w:val="12"/>
          <w:szCs w:val="12"/>
          <w:color w:val="auto"/>
        </w:rPr>
        <w:t>The DelSiTech License Agreement also contains representations and warranties, covenants, indemnification and other negotiated provisions, including confidentiality obligations, customary for transactions of this nature. Unless earlier terminated by us or DelSiTech, the DelSiTech License Agreement will expire on a country-by-country basis upon the expiration of our obligation to pay royalties to DelSiTech on net sales of the Licensed Product. Upon expiration of the DelSiTech License Agreement, the licenses granted by DelSiTech to us will become fully paid up and irrevocable.</w:t>
      </w:r>
    </w:p>
    <w:p>
      <w:pPr>
        <w:jc w:val="both"/>
        <w:spacing w:after="0" w:line="227"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4"/>
          <w:szCs w:val="14"/>
          <w:color w:val="auto"/>
        </w:rPr>
        <w:t>may terminate the DelSiTech License Agreement at any time for any reason upon 60 days’ prior written notice to DelSiTech. Either party may also terminate the DelSiTech License Agreement if</w:t>
      </w:r>
      <w:r>
        <w:rPr>
          <w:rFonts w:ascii="Arial" w:cs="Arial" w:eastAsia="Arial" w:hAnsi="Arial"/>
          <w:sz w:val="17"/>
          <w:szCs w:val="17"/>
          <w:color w:val="auto"/>
        </w:rPr>
        <w:t xml:space="preserve"> </w:t>
      </w:r>
      <w:r>
        <w:rPr>
          <w:rFonts w:ascii="Arial" w:cs="Arial" w:eastAsia="Arial" w:hAnsi="Arial"/>
          <w:sz w:val="14"/>
          <w:szCs w:val="14"/>
          <w:color w:val="auto"/>
        </w:rPr>
        <w:t>the other party materially breaches the DelSiTech License Agreement and does not cure such breach within a specified cure period.</w:t>
      </w:r>
    </w:p>
    <w:p>
      <w:pPr>
        <w:spacing w:after="0" w:line="182" w:lineRule="exact"/>
        <w:rPr>
          <w:sz w:val="20"/>
          <w:szCs w:val="20"/>
          <w:color w:val="auto"/>
        </w:rPr>
      </w:pPr>
    </w:p>
    <w:p>
      <w:pPr>
        <w:ind w:right="220" w:firstLine="509"/>
        <w:spacing w:after="0" w:line="321" w:lineRule="auto"/>
        <w:rPr>
          <w:sz w:val="20"/>
          <w:szCs w:val="20"/>
          <w:color w:val="auto"/>
        </w:rPr>
      </w:pPr>
      <w:r>
        <w:rPr>
          <w:rFonts w:ascii="Arial" w:cs="Arial" w:eastAsia="Arial" w:hAnsi="Arial"/>
          <w:sz w:val="13"/>
          <w:szCs w:val="13"/>
          <w:color w:val="auto"/>
        </w:rPr>
        <w:t>Following any termination of the DelSiTech License Agreement prior to expiration of the term of the DelSiTech License Agreement, all rights to the licensed patent rights and know-how that DelSiTech granted to us will revert to DelSiTech, subject to our right to sell off any Licensed Product in our inventory as of the effectiveness of such termination.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200" w:lineRule="exact"/>
        <w:rPr>
          <w:sz w:val="20"/>
          <w:szCs w:val="20"/>
          <w:color w:val="auto"/>
        </w:rPr>
      </w:pPr>
    </w:p>
    <w:p>
      <w:pPr>
        <w:jc w:val="both"/>
        <w:ind w:right="80" w:firstLine="509"/>
        <w:spacing w:after="0" w:line="301" w:lineRule="auto"/>
        <w:rPr>
          <w:sz w:val="20"/>
          <w:szCs w:val="20"/>
          <w:color w:val="auto"/>
        </w:rPr>
      </w:pPr>
      <w:r>
        <w:rPr>
          <w:rFonts w:ascii="Arial" w:cs="Arial" w:eastAsia="Arial" w:hAnsi="Arial"/>
          <w:sz w:val="12"/>
          <w:szCs w:val="12"/>
          <w:color w:val="auto"/>
        </w:rPr>
        <w:t>On July 26, 2022, or the Closing Date, we and certain of our subsidiaries, or the Subsidiary Borrowers, entered into a Loan Agreement with Hercules in its capacity as administrative agent and collateral agent, or the Agent, and as a lender, SVB and certain other financial institutions that from time to time become parties to the Loan Agreement as lenders, which we refer to collectively as the Lenders. The Loan Agreement provides for term loans in an aggregate principal amount of up to $250.0 million under multiple tranches, or the 2022 Term Loan Facility, available as follows:</w:t>
      </w:r>
    </w:p>
    <w:p>
      <w:pPr>
        <w:ind w:right="20" w:firstLine="5"/>
        <w:spacing w:after="0" w:line="276" w:lineRule="auto"/>
        <w:tabs>
          <w:tab w:leader="none" w:pos="169"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term loan advance in the amount of $50.0 million on the Closing Date; (ii) subject to our announcement that the GATHER2 trial evaluating Zimura in GA has achieved its protocol-specified primary endpoint and that we have a sufficient clinical data package to support the submission of an NDA to the FDA for Zimura in GA, or Milestone 1, a second tranche consisting of term loan advances in the aggregate principal amount of $50.0 million available at our option beginning on the date that Milestone 1 is achieved through December 15, 2022; (iii) subject to our submission of an NDA to the FDA for Zimura in GA and the FDA accepting such NDA for review, or Milestone 2, a third tranche consisting of term loan advances in the aggregate principal amount of $25.0 million, available at our option beginning on the date that Milestone 2 is achieved through September 30, 2023; (iv) subject to FDA approval of Zimura in GA with a label generally consistent with that sought in our NDA, or Milestone 3, a fourth tranche consisting of term loan advances in the aggregate principal amount of $75.0 million, available at our option beginning on the date that Milestone 3 is achieved and continuing through the earlier of (x) September 30, 2024 and (y) the date that is ninety (90) days after the date that Milestone 3 is achieved; and (v) subject to approval by the Lenders’ investment committee in its discretion, a fifth tranche of additional term loans in an aggregate principal amount of up to $50.0 million, available on or before the Amortization Date (as defined below). With the exception of the first $50.0 million tranche available on the Closing Date, each of the tranches may be drawn down in $5.0 million increments at our election. We have agreed to use the proceeds of the 2022 Term Loan Facility for working capital and general corporate purposes.</w:t>
      </w:r>
    </w:p>
    <w:p>
      <w:pPr>
        <w:spacing w:after="0" w:line="180" w:lineRule="exact"/>
        <w:rPr>
          <w:sz w:val="20"/>
          <w:szCs w:val="20"/>
          <w:color w:val="auto"/>
        </w:rPr>
      </w:pPr>
    </w:p>
    <w:p>
      <w:pPr>
        <w:ind w:right="40" w:firstLine="509"/>
        <w:spacing w:after="0" w:line="286" w:lineRule="auto"/>
        <w:rPr>
          <w:sz w:val="20"/>
          <w:szCs w:val="20"/>
          <w:color w:val="auto"/>
        </w:rPr>
      </w:pPr>
      <w:r>
        <w:rPr>
          <w:rFonts w:ascii="Arial" w:cs="Arial" w:eastAsia="Arial" w:hAnsi="Arial"/>
          <w:sz w:val="12"/>
          <w:szCs w:val="12"/>
          <w:color w:val="auto"/>
        </w:rPr>
        <w:t>Notwithstanding limitations and restrictions imposed by covenants in the Loan Agreement, we are permitted to engage in certain specified transactions. For example, the terms of the Loan Agreement provide that we may issue convertible notes in an aggregate principal amount of not more than $400.0 million, provided that such notes are unsecured, have a maturity date no earlier than</w:t>
      </w:r>
    </w:p>
    <w:p>
      <w:pPr>
        <w:spacing w:after="0"/>
        <w:rPr>
          <w:sz w:val="20"/>
          <w:szCs w:val="20"/>
          <w:color w:val="auto"/>
        </w:rPr>
      </w:pPr>
      <w:r>
        <w:rPr>
          <w:rFonts w:ascii="Arial" w:cs="Arial" w:eastAsia="Arial" w:hAnsi="Arial"/>
          <w:sz w:val="13"/>
          <w:szCs w:val="13"/>
          <w:color w:val="auto"/>
        </w:rPr>
        <w:t>six months following the Maturity Date, and meet certain other conditions. The Loan Agreement also provides that we may enter into royalty interest financing transactions that are subordinated to</w:t>
      </w:r>
    </w:p>
    <w:p>
      <w:pPr>
        <w:spacing w:after="0" w:line="31"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 xml:space="preserve">the 2022 Term Loan Facility, have a maturity date no earlier than six months following the Maturity Date, and meet certain other conditions. Following the achievement of Milestone 3, the Loan Agreement also provides for a possible additional revolving credit facility of up to $50.0 million, which will be formula-based and backed by our accounts receivables. This potential revolving credit facility is not an existing facility under the Loan Agreement, is not committed, and </w:t>
      </w:r>
      <w:r>
        <w:rPr>
          <w:rFonts w:ascii="Arial" w:cs="Arial" w:eastAsia="Arial" w:hAnsi="Arial"/>
          <w:sz w:val="13"/>
          <w:szCs w:val="13"/>
          <w:color w:val="008080"/>
        </w:rPr>
        <w:t>is</w:t>
      </w:r>
      <w:r>
        <w:rPr>
          <w:rFonts w:ascii="Arial" w:cs="Arial" w:eastAsia="Arial" w:hAnsi="Arial"/>
          <w:sz w:val="13"/>
          <w:szCs w:val="13"/>
          <w:color w:val="auto"/>
        </w:rPr>
        <w:t xml:space="preserve"> subject to agreement among us and the Lenders. We also may enter into non-exclusive and exclusive licensing arrangements or otherwise transfer non-core intellectual property without the consent of the Lenders, and can enter into non-exclusive and certain specified exclusive licensing arrangements with</w:t>
      </w:r>
    </w:p>
    <w:p>
      <w:pPr>
        <w:spacing w:after="0" w:line="1" w:lineRule="exact"/>
        <w:rPr>
          <w:sz w:val="20"/>
          <w:szCs w:val="20"/>
          <w:color w:val="auto"/>
        </w:rPr>
      </w:pPr>
    </w:p>
    <w:p>
      <w:pPr>
        <w:ind w:right="260"/>
        <w:spacing w:after="0" w:line="233" w:lineRule="auto"/>
        <w:rPr>
          <w:sz w:val="20"/>
          <w:szCs w:val="20"/>
          <w:color w:val="auto"/>
        </w:rPr>
      </w:pPr>
      <w:r>
        <w:rPr>
          <w:rFonts w:ascii="Arial" w:cs="Arial" w:eastAsia="Arial" w:hAnsi="Arial"/>
          <w:sz w:val="14"/>
          <w:szCs w:val="14"/>
          <w:color w:val="auto"/>
        </w:rPr>
        <w:t>respect to core intellectual property. We may also enter into certain permitted acquisitions, subject to a limit on total cash consideration for acquisitions consummated during specified periods. Additionally, we must provide the Lenders the opportunity to invest up to $10.0 million in any equity financing, subject to certain exclusions, that is broadly marketed to multiple investors and in which we receive net cash proceeds of $75.0 million or more in any one or series of related financings (or in the case of such equity financing that is a registered offering, use its commercially reasonable efforts to provide such opportunity to the Lenders).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ind w:right="120" w:firstLine="509"/>
        <w:spacing w:after="0" w:line="350" w:lineRule="auto"/>
        <w:rPr>
          <w:sz w:val="20"/>
          <w:szCs w:val="20"/>
          <w:color w:val="auto"/>
        </w:rPr>
      </w:pPr>
      <w:r>
        <w:rPr>
          <w:rFonts w:ascii="Arial" w:cs="Arial" w:eastAsia="Arial" w:hAnsi="Arial"/>
          <w:sz w:val="12"/>
          <w:szCs w:val="12"/>
          <w:color w:val="auto"/>
        </w:rPr>
        <w:t>The 2022 Term Loan Facility will mature on August 1, 2027, or the Maturity Date. The outstanding principal balance of the 2022 Term Loan Facility bears interest at a floating interest rate per annum equal to the greater of either (i) (x) the lesser of the Wall Street Journal prime rate and 6.25% plus (y) 4.00% or (ii) 8.75%. The per annum interest rate is capped at 10.25%. Accrued</w:t>
      </w:r>
    </w:p>
    <w:p>
      <w:pPr>
        <w:spacing w:after="0" w:line="1"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interest is payable monthly following the funding of each term loan. We may make payments of interest only, without any loan amortization payments, for a period of forty-two (42) months following the Closing Date, which period may be extended to the Maturity Date if (i) Milestone 3 has been achieved and (ii) no default or event of default exists under the Loan Agreement. At the end of this interest only period, or the Amortization Date, we are required to begin repayment of the outstanding principal of the 2022 Term Loan Facility in equal monthly installments.</w:t>
      </w:r>
    </w:p>
    <w:p>
      <w:pPr>
        <w:spacing w:after="0" w:line="145"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As collateral for the obligations under the 2022 Term Loan Facility, we have granted to the Agent for the benefit of the Lenders a senior security interest in substantially all of our and each Subsidiary Borrower’s property, inclusive of intellectual property, with certain limited exceptions set forth in the Loan Agreement.</w:t>
      </w:r>
    </w:p>
    <w:p>
      <w:pPr>
        <w:spacing w:after="0" w:line="153" w:lineRule="exact"/>
        <w:rPr>
          <w:sz w:val="20"/>
          <w:szCs w:val="20"/>
          <w:color w:val="auto"/>
        </w:rPr>
      </w:pPr>
    </w:p>
    <w:p>
      <w:pPr>
        <w:ind w:right="360" w:firstLine="509"/>
        <w:spacing w:after="0" w:line="322" w:lineRule="auto"/>
        <w:rPr>
          <w:sz w:val="20"/>
          <w:szCs w:val="20"/>
          <w:color w:val="auto"/>
        </w:rPr>
      </w:pPr>
      <w:r>
        <w:rPr>
          <w:rFonts w:ascii="Arial" w:cs="Arial" w:eastAsia="Arial" w:hAnsi="Arial"/>
          <w:sz w:val="12"/>
          <w:szCs w:val="12"/>
          <w:color w:val="auto"/>
        </w:rPr>
        <w:t>The Loan Agreement contains customary closing and commitment fees, prepayment fees and provisions, events of default and representations, warranties and affirmative and negative covenants, including a financial covenant requiring us to maintain certain levels of cash in accounts subject to a control agreement in favor of the Agent, or the Qualified Cash, during the period</w:t>
      </w:r>
    </w:p>
    <w:p>
      <w:pPr>
        <w:spacing w:after="0" w:line="1"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commencing on May 15, 2023 through August 14, 2024. Commencing on August 15, 2024, we will also be required to maintain a certain minimum amount of trailing six-month net product revenue from the sale of Zimura, tested on a quarterly basis. The revenue covenant will be waived at any time at which we (x) (i) maintain a market capitalization in excess of $600.0 million and (ii) maintains Qualified Cash in an amount greater than or equal to fifty percent (50%) of the outstanding 2022 Term Loan Facility at such time or (y) maintain Qualified Cash in an amount greater than or equal to</w:t>
      </w:r>
    </w:p>
    <w:p>
      <w:pPr>
        <w:spacing w:after="0" w:line="1"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ninety percent (90%) of the outstanding 2022 Term Loan Facility at such time. Upon the occurrence of an event of default, including a material adverse change, subject to certain exceptions, on our business, operations, properties, assets or financial condition, and of the Subsidiary Borrowers taken as a whole, and subject to any specified cure periods, all amounts owed by us may be declared immediately due and payable by the Lenders. As of the Closing, we were in compliance with all applicable covenants under the Loan Agreement.</w:t>
      </w:r>
    </w:p>
    <w:p>
      <w:pPr>
        <w:spacing w:after="0" w:line="145" w:lineRule="exact"/>
        <w:rPr>
          <w:sz w:val="20"/>
          <w:szCs w:val="20"/>
          <w:color w:val="auto"/>
        </w:rPr>
      </w:pPr>
    </w:p>
    <w:p>
      <w:pPr>
        <w:ind w:right="320" w:firstLine="509"/>
        <w:spacing w:after="0" w:line="368" w:lineRule="auto"/>
        <w:rPr>
          <w:sz w:val="20"/>
          <w:szCs w:val="20"/>
          <w:color w:val="auto"/>
        </w:rPr>
      </w:pPr>
      <w:r>
        <w:rPr>
          <w:rFonts w:ascii="Arial" w:cs="Arial" w:eastAsia="Arial" w:hAnsi="Arial"/>
          <w:sz w:val="12"/>
          <w:szCs w:val="12"/>
          <w:color w:val="auto"/>
        </w:rPr>
        <w:t>In addition, we are required to make a final payment fee, or the End of Term Charge, upon the earlier of (i) the Maturity Date or (ii) the date we prepay, in full or in part, the outstanding principal balance of the 2022 Term Loan Facility. The End of Term Charge is 4.25% of the aggregate original principal amount of the term loans repaid or repaid under the Loan Agreement.</w:t>
      </w:r>
    </w:p>
    <w:p>
      <w:pPr>
        <w:spacing w:after="0" w:line="107" w:lineRule="exact"/>
        <w:rPr>
          <w:sz w:val="20"/>
          <w:szCs w:val="20"/>
          <w:color w:val="auto"/>
        </w:rPr>
      </w:pPr>
    </w:p>
    <w:p>
      <w:pPr>
        <w:ind w:right="180" w:firstLine="509"/>
        <w:spacing w:after="0" w:line="297" w:lineRule="auto"/>
        <w:rPr>
          <w:sz w:val="20"/>
          <w:szCs w:val="20"/>
          <w:color w:val="auto"/>
        </w:rPr>
      </w:pPr>
      <w:r>
        <w:rPr>
          <w:rFonts w:ascii="Arial" w:cs="Arial" w:eastAsia="Arial" w:hAnsi="Arial"/>
          <w:sz w:val="13"/>
          <w:szCs w:val="13"/>
          <w:color w:val="auto"/>
        </w:rPr>
        <w:t>We may, at our option, prepay the term loans in full or in part, subject to a prepayment penalty equal to (i) 2.0% of the principal amount prepaid if the prepayment occurs prior to the first anniversary of the Closing Date, (ii) 1.5% of the principal amount prepaid if the prepayment occurs on or after the first anniversary and prior to the second anniversary of the Closing Date, and (iii) 0.75% of the principal amount prepaid if the prepayment occurs on or after the second anniversary and prior to the third anniversary of the Closing Date.</w:t>
      </w:r>
    </w:p>
    <w:p>
      <w:pPr>
        <w:spacing w:after="0" w:line="25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19" w:lineRule="exact"/>
        <w:rPr>
          <w:sz w:val="20"/>
          <w:szCs w:val="20"/>
          <w:color w:val="auto"/>
        </w:rPr>
      </w:pPr>
    </w:p>
    <w:p>
      <w:pPr>
        <w:ind w:right="160" w:firstLine="318"/>
        <w:spacing w:after="0" w:line="288" w:lineRule="auto"/>
        <w:rPr>
          <w:sz w:val="20"/>
          <w:szCs w:val="20"/>
          <w:color w:val="auto"/>
        </w:rPr>
      </w:pPr>
      <w:r>
        <w:rPr>
          <w:rFonts w:ascii="Arial" w:cs="Arial" w:eastAsia="Arial" w:hAnsi="Arial"/>
          <w:sz w:val="13"/>
          <w:szCs w:val="13"/>
          <w:color w:val="auto"/>
        </w:rPr>
        <w:t>We are exposed to market risk related to changes in interest rates. We had cash, cash equivalents and available for sale securities of $312.0 million as of June 30, 2022, consisting of cash and investments in money market funds, U. S. Treasury securities, corporate debt securities and asset-backed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78" w:lineRule="exact"/>
        <w:rPr>
          <w:sz w:val="20"/>
          <w:szCs w:val="20"/>
          <w:color w:val="auto"/>
        </w:rPr>
      </w:pPr>
    </w:p>
    <w:p>
      <w:pPr>
        <w:ind w:right="380" w:firstLine="318"/>
        <w:spacing w:after="0" w:line="267" w:lineRule="auto"/>
        <w:rPr>
          <w:sz w:val="20"/>
          <w:szCs w:val="20"/>
          <w:color w:val="auto"/>
        </w:rPr>
      </w:pPr>
      <w:r>
        <w:rPr>
          <w:rFonts w:ascii="Arial" w:cs="Arial" w:eastAsia="Arial" w:hAnsi="Arial"/>
          <w:sz w:val="14"/>
          <w:szCs w:val="14"/>
          <w:color w:val="auto"/>
        </w:rPr>
        <w:t>We contract with CDMOs, CROs and certain other vendors to perform services outside of the United States. We may be subject to fluctuations in foreign currency rates in connection with certain of these agreements. Transactions denominated in currencies other than the U.S. dollar are recorded based on exchange rates at the time such transactions arise. As of June 30, 2022, substantially all of our total liabilities were denominated in the U.S. dollar.</w:t>
      </w:r>
    </w:p>
    <w:p>
      <w:pPr>
        <w:spacing w:after="0" w:line="8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29"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Our management, with the participation of our chief executive officer and chief financial officer, evaluated the effectiveness of our disclosure controls and procedures as of June 30, 2022. The term “disclosure controls and procedures,” as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8"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29"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No changes in our internal control over financial reporting (as defined in Rules 13a-15(d) and 15d-15(d) under the Exchange Act) occurred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2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Descriptions of legal proceedings are set forth in “Note 8-Commitments and Contingencies” in the notes to the financial statements filed with this Quarterly Report on Form 10-Q.</w:t>
      </w:r>
    </w:p>
    <w:p>
      <w:pPr>
        <w:spacing w:after="0" w:line="111"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29"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Plan, Financial Position and Need for Additional Capital</w:t>
      </w:r>
    </w:p>
    <w:p>
      <w:pPr>
        <w:spacing w:after="0" w:line="119"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b w:val="1"/>
          <w:bCs w:val="1"/>
          <w:i w:val="1"/>
          <w:iCs w:val="1"/>
          <w:color w:val="auto"/>
        </w:rPr>
        <w:t>We are a development-stage company without any commercial products. The value of our company, therefore, is highly dependent on the success of Zimura and our other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89" w:lineRule="exact"/>
        <w:rPr>
          <w:sz w:val="20"/>
          <w:szCs w:val="20"/>
          <w:color w:val="auto"/>
        </w:rPr>
      </w:pPr>
    </w:p>
    <w:p>
      <w:pPr>
        <w:ind w:right="20" w:firstLine="351"/>
        <w:spacing w:after="0" w:line="288" w:lineRule="auto"/>
        <w:rPr>
          <w:sz w:val="20"/>
          <w:szCs w:val="20"/>
          <w:color w:val="auto"/>
        </w:rPr>
      </w:pPr>
      <w:r>
        <w:rPr>
          <w:rFonts w:ascii="Arial" w:cs="Arial" w:eastAsia="Arial" w:hAnsi="Arial"/>
          <w:sz w:val="13"/>
          <w:szCs w:val="13"/>
          <w:color w:val="auto"/>
        </w:rPr>
        <w:t>We are a development-stage company without any approved products. Our growth prospects and the future value of our company are highly dependent on the progress of our research and development programs, including our ongoing and any future clinical trials for Zimura, our preclinical development program for IC-500, and our gene therapy research programs. In particular, we are highly dependent on the success of Zimura, and any delays or issues with its further development, its potential marketing approval, or its potential commercialization will likely cause the value of your investment to decline significantly. Drug development is a highly uncertain undertaking and carries significant scientific and other risks.</w:t>
      </w:r>
    </w:p>
    <w:p>
      <w:pPr>
        <w:spacing w:after="0" w:line="78"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or other factors, including disruptions resulting from the COVID-19 pandemic,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having a product development focus to a company capable of commercializing pharmaceutical products. At this time, we are continuing to hire commercialization personnel and build a commercial infrastructure for the potential commercialization of Zimura, if approved. We may not be successful in such a transition, as our company has never conducted the sales, marketing, manufacturing and distribution activities necessary for successful product commercialization.</w:t>
      </w:r>
    </w:p>
    <w:p>
      <w:pPr>
        <w:spacing w:after="0" w:line="75"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In addition, even if we are successful in advancing the development of IC-500, which is currently in preclinical development, the value of our common stock may not rise in a meaningful way. As we continue to invest in our research and development programs to generate data to support further development or applications to obtain marketing approval for commercialization, the amount of our available cash will continue to decline until we raise additional finances.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53"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Since inception, we have experienced significant cash outflows in funding our operations. To date, we have not generated any revenues from commercial product sales and have financed our operations primarily through private placements of our common stock and preferred stock, venture debt borrowings, funds received under our prior Fovista royalty purchase and sale agreement with Novo Holdings A/S, our initial public offering, which we closed in September 2013, funds we received under our prior Fovista licensing and commercialization agreement with Novartis Pharma AG, funds we received in connection with our acquisition of Inception 4 in October 2018, our follow-on public offerings, which we closed in February 2014, December 2019, June 2020, July 2021 and October 2021 and borrowings under our term loan facility with Hercules, Inc., or Hercules, and Silicon Valley Bank, or SVB. As of June 30, 2022, we had an accumulated deficit of $763.4 million. Our net loss was $49.4 million for the six months ended June 30, 2022 and we expect to continue to incur significant operating losses for the foreseeable future.</w:t>
      </w:r>
    </w:p>
    <w:p>
      <w:pPr>
        <w:spacing w:after="0" w:line="81" w:lineRule="exact"/>
        <w:rPr>
          <w:sz w:val="20"/>
          <w:szCs w:val="20"/>
          <w:color w:val="auto"/>
        </w:rPr>
      </w:pPr>
    </w:p>
    <w:p>
      <w:pPr>
        <w:ind w:firstLine="318"/>
        <w:spacing w:after="0" w:line="280" w:lineRule="auto"/>
        <w:rPr>
          <w:sz w:val="20"/>
          <w:szCs w:val="20"/>
          <w:color w:val="auto"/>
        </w:rPr>
      </w:pPr>
      <w:r>
        <w:rPr>
          <w:rFonts w:ascii="Arial" w:cs="Arial" w:eastAsia="Arial" w:hAnsi="Arial"/>
          <w:sz w:val="12"/>
          <w:szCs w:val="12"/>
          <w:color w:val="auto"/>
        </w:rPr>
        <w:t>Zimura is in clinical development, IC-500 is in preclinical development, and we are exploring multiple sustained release delivery technologies for Zimura and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our preclinical development programs or our gene therapy research programs, or if we in-license or acquire, and undertake development of, additional product candidates and technologies, including additional sustained release delivery technologies for Zimura and any promising product candidates that emerge from our gene therapy research programs. We plan to find a collaborator for the future development and potential commercialization of IC-100 and IC-200; if we are not successful in finding a collaborator, we may need to continue the development of one or both of those product candidates by ourselves, which would increase our research and development expenses.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have started incurring these expenses as we prepare for the potential commercialization of Zimura. We are party to agreements with Archemix with respect to Zimura, DelSiTech with respect to formulations of Zimura with DelSiTech’s silica-based sustained release delivery technology, the former equity holders of Inception 4 with respect to IC-500, the University of Florida Research Foundation, Incorporated, or UFRF, and Penn, with respect to IC-100 and IC-200,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formulations of Zimura with DelSiTech’s silica-based sustained release delivery technology,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expect that we will continue to incur significant expenses as we:</w:t>
      </w:r>
    </w:p>
    <w:p>
      <w:pPr>
        <w:spacing w:after="0" w:line="125" w:lineRule="exact"/>
        <w:rPr>
          <w:sz w:val="20"/>
          <w:szCs w:val="20"/>
          <w:color w:val="auto"/>
        </w:rPr>
      </w:pPr>
    </w:p>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continue the development of Zimura in GA and STGD1 and initiate development of Zimura in intermediate AMD and potentially other indications;</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expand our outsourced manufacturing capabilities for Zimura and IC-500 and establish commercial operations and sales, marketing and distribution capabilities for Zimura;</w:t>
      </w:r>
    </w:p>
    <w:p>
      <w:pPr>
        <w:spacing w:after="0" w:line="126" w:lineRule="exact"/>
        <w:rPr>
          <w:rFonts w:ascii="Arial" w:cs="Arial" w:eastAsia="Arial" w:hAnsi="Arial"/>
          <w:sz w:val="13"/>
          <w:szCs w:val="13"/>
          <w:color w:val="auto"/>
        </w:rPr>
      </w:pPr>
    </w:p>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prepare an NDA and an MAA for Zimura and seek marketing approval for any product candidates that successfully complete clinical trials;</w:t>
      </w:r>
    </w:p>
    <w:p>
      <w:pPr>
        <w:spacing w:after="0" w:line="125" w:lineRule="exact"/>
        <w:rPr>
          <w:rFonts w:ascii="Arial" w:cs="Arial" w:eastAsia="Arial" w:hAnsi="Arial"/>
          <w:sz w:val="14"/>
          <w:szCs w:val="14"/>
          <w:color w:val="auto"/>
        </w:rPr>
      </w:pPr>
    </w:p>
    <w:p>
      <w:pPr>
        <w:ind w:left="760" w:right="20" w:hanging="246"/>
        <w:spacing w:after="0" w:line="281" w:lineRule="auto"/>
        <w:tabs>
          <w:tab w:leader="none" w:pos="756" w:val="left"/>
        </w:tabs>
        <w:numPr>
          <w:ilvl w:val="0"/>
          <w:numId w:val="23"/>
        </w:numPr>
        <w:rPr>
          <w:rFonts w:ascii="Arial" w:cs="Arial" w:eastAsia="Arial" w:hAnsi="Arial"/>
          <w:sz w:val="14"/>
          <w:szCs w:val="14"/>
          <w:color w:val="212529"/>
        </w:rPr>
      </w:pPr>
      <w:r>
        <w:rPr>
          <w:rFonts w:ascii="Arial" w:cs="Arial" w:eastAsia="Arial" w:hAnsi="Arial"/>
          <w:sz w:val="14"/>
          <w:szCs w:val="14"/>
          <w:color w:val="auto"/>
        </w:rPr>
        <w:t xml:space="preserve">in-license or acquire the rights to, and pursue the development of, other product candidates or technologies </w:t>
      </w:r>
      <w:r>
        <w:rPr>
          <w:rFonts w:ascii="Arial" w:cs="Arial" w:eastAsia="Arial" w:hAnsi="Arial"/>
          <w:sz w:val="14"/>
          <w:szCs w:val="14"/>
          <w:color w:val="212529"/>
        </w:rPr>
        <w:t>for retinal diseases, such as additional sustained release delivery technologies</w:t>
      </w:r>
      <w:r>
        <w:rPr>
          <w:rFonts w:ascii="Arial" w:cs="Arial" w:eastAsia="Arial" w:hAnsi="Arial"/>
          <w:sz w:val="14"/>
          <w:szCs w:val="14"/>
          <w:color w:val="auto"/>
        </w:rPr>
        <w:t xml:space="preserve"> </w:t>
      </w:r>
      <w:r>
        <w:rPr>
          <w:rFonts w:ascii="Arial" w:cs="Arial" w:eastAsia="Arial" w:hAnsi="Arial"/>
          <w:sz w:val="14"/>
          <w:szCs w:val="14"/>
          <w:color w:val="212529"/>
        </w:rPr>
        <w:t>for Zimura</w:t>
      </w:r>
      <w:r>
        <w:rPr>
          <w:rFonts w:ascii="Arial" w:cs="Arial" w:eastAsia="Arial" w:hAnsi="Arial"/>
          <w:sz w:val="14"/>
          <w:szCs w:val="14"/>
          <w:color w:val="000000"/>
        </w:rPr>
        <w:t>;</w:t>
      </w:r>
    </w:p>
    <w:p>
      <w:pPr>
        <w:spacing w:after="0" w:line="79" w:lineRule="exact"/>
        <w:rPr>
          <w:rFonts w:ascii="Arial" w:cs="Arial" w:eastAsia="Arial" w:hAnsi="Arial"/>
          <w:sz w:val="14"/>
          <w:szCs w:val="14"/>
          <w:color w:val="212529"/>
        </w:rPr>
      </w:pPr>
    </w:p>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continue the development of IC-500 and pursue our gene therapy research programs;</w:t>
      </w:r>
    </w:p>
    <w:p>
      <w:pPr>
        <w:spacing w:after="0" w:line="114" w:lineRule="exact"/>
        <w:rPr>
          <w:rFonts w:ascii="Arial" w:cs="Arial" w:eastAsia="Arial" w:hAnsi="Arial"/>
          <w:sz w:val="14"/>
          <w:szCs w:val="14"/>
          <w:color w:val="auto"/>
        </w:rPr>
      </w:pPr>
    </w:p>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hire additional clinical, commercial, medical affairs, regulatory, pharmacovigilance, manufacturing, quality control, quality assurance and scientific personnel; and</w:t>
      </w:r>
    </w:p>
    <w:p>
      <w:pPr>
        <w:spacing w:after="0" w:line="114"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expand our general and administrative functions to support our future growth.</w:t>
      </w:r>
    </w:p>
    <w:p>
      <w:pPr>
        <w:spacing w:after="0" w:line="125" w:lineRule="exact"/>
        <w:rPr>
          <w:sz w:val="20"/>
          <w:szCs w:val="20"/>
          <w:color w:val="auto"/>
        </w:rPr>
      </w:pPr>
    </w:p>
    <w:p>
      <w:pPr>
        <w:ind w:right="160" w:firstLine="318"/>
        <w:spacing w:after="0" w:line="260" w:lineRule="auto"/>
        <w:rPr>
          <w:sz w:val="20"/>
          <w:szCs w:val="20"/>
          <w:color w:val="auto"/>
        </w:rPr>
      </w:pPr>
      <w:r>
        <w:rPr>
          <w:rFonts w:ascii="Arial" w:cs="Arial" w:eastAsia="Arial" w:hAnsi="Arial"/>
          <w:sz w:val="14"/>
          <w:szCs w:val="14"/>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93"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b w:val="1"/>
          <w:bCs w:val="1"/>
          <w:i w:val="1"/>
          <w:iCs w:val="1"/>
          <w:color w:val="auto"/>
        </w:rPr>
        <w:t>We expect we will require substantial, additional funding in order to complete the activities necessary to develop and commercialize Zimura or any of our other product candidates. If we are unable to raise capital when needed, we could be forced to delay, reduce or eliminate one or more of our product development programs or commercialization efforts. We may require additional funding beyond what we currently expect or sooner than we currently expect.</w:t>
      </w:r>
    </w:p>
    <w:p>
      <w:pPr>
        <w:spacing w:after="0" w:line="152" w:lineRule="exact"/>
        <w:rPr>
          <w:sz w:val="20"/>
          <w:szCs w:val="20"/>
          <w:color w:val="auto"/>
        </w:rPr>
      </w:pPr>
    </w:p>
    <w:p>
      <w:pPr>
        <w:ind w:right="20" w:firstLine="318"/>
        <w:spacing w:after="0" w:line="237" w:lineRule="auto"/>
        <w:rPr>
          <w:sz w:val="20"/>
          <w:szCs w:val="20"/>
          <w:color w:val="auto"/>
        </w:rPr>
      </w:pPr>
      <w:r>
        <w:rPr>
          <w:rFonts w:ascii="Arial" w:cs="Arial" w:eastAsia="Arial" w:hAnsi="Arial"/>
          <w:sz w:val="14"/>
          <w:szCs w:val="14"/>
          <w:color w:val="auto"/>
        </w:rPr>
        <w:t>As of June 30, 2022, we had cash, cash equivalents and available-for-sale securities of $312.0 million. In July 2022, we borrowed $50.0 million under the 2022 Term Loan Facility with Hercules and SVB. Including the proceeds of that borrowing, we estimate that our year-end 2022 cash, cash equivalents and available-for-sale securities will range between $260.0 million and $270.0 million.</w:t>
      </w:r>
    </w:p>
    <w:p>
      <w:pPr>
        <w:spacing w:after="0" w:line="85"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We expect the development of our product candidates will continue for at least the next several years. Although we believe we have sufficient financial resources for the activities necessary to complete development of, including manufacturing scale-up and validation activities, and potentially seek marketing approval of Zimura in GA, we expect we will require additional funding in order to launch and commercialize Zimura in GA, if approved. We also expect we will require substantial, additional funding in order to complete the activities necessary to develop and commercialize Zimura for other indications, a sustained release delivery technology for Zimura or any of our other product candidates. At this time, we cannot reasonably estimate the total remaining costs necessary to complete development, to complete process development and manufacturing scale-up and validation activities and to potentially seek marketing approval for Zimura for any other indication, a sustained release delivery technology for Zimura or for any of our other product candidates.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125" w:lineRule="exact"/>
        <w:rPr>
          <w:sz w:val="20"/>
          <w:szCs w:val="20"/>
          <w:color w:val="auto"/>
        </w:rPr>
      </w:pPr>
    </w:p>
    <w:p>
      <w:pPr>
        <w:ind w:left="760" w:right="240" w:hanging="246"/>
        <w:spacing w:after="0" w:line="281"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scope, progress, costs and results of our current and future Zimura clinical programs and any further development we may undertake to enable us to file an NDA and an MAA for Zimura in one or more indications;</w:t>
      </w:r>
    </w:p>
    <w:p>
      <w:pPr>
        <w:spacing w:after="0" w:line="68" w:lineRule="exact"/>
        <w:rPr>
          <w:rFonts w:ascii="Arial" w:cs="Arial" w:eastAsia="Arial" w:hAnsi="Arial"/>
          <w:sz w:val="14"/>
          <w:szCs w:val="14"/>
          <w:color w:val="auto"/>
        </w:rPr>
      </w:pPr>
    </w:p>
    <w:p>
      <w:pPr>
        <w:ind w:left="760" w:right="240" w:hanging="246"/>
        <w:spacing w:after="0" w:line="281"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scope, progress, costs and results of process development, manufacturing scale-up and validation activities, analytical method development and qualification, and stability studies associated with Zimura and our other product candidates;</w:t>
      </w:r>
    </w:p>
    <w:p>
      <w:pPr>
        <w:spacing w:after="0" w:line="79" w:lineRule="exact"/>
        <w:rPr>
          <w:rFonts w:ascii="Arial" w:cs="Arial" w:eastAsia="Arial" w:hAnsi="Arial"/>
          <w:sz w:val="14"/>
          <w:szCs w:val="14"/>
          <w:color w:val="auto"/>
        </w:rPr>
      </w:pPr>
    </w:p>
    <w:p>
      <w:pPr>
        <w:ind w:left="760" w:right="40" w:hanging="246"/>
        <w:spacing w:after="0" w:line="281"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timing, scope and costs of establishing a commercial infrastructure for potential commercialization of Zimura and for any other product candidates for which we receive, or expect to receive, marketing approval;</w:t>
      </w:r>
    </w:p>
    <w:p>
      <w:pPr>
        <w:spacing w:after="0" w:line="79" w:lineRule="exact"/>
        <w:rPr>
          <w:rFonts w:ascii="Arial" w:cs="Arial" w:eastAsia="Arial" w:hAnsi="Arial"/>
          <w:sz w:val="14"/>
          <w:szCs w:val="14"/>
          <w:color w:val="auto"/>
        </w:rPr>
      </w:pPr>
    </w:p>
    <w:p>
      <w:pPr>
        <w:ind w:left="760" w:right="80" w:hanging="246"/>
        <w:spacing w:after="0" w:line="281"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costs, timing and outcome of regulatory filings and reviews of our product candidates, including the potential submission and regulatory review of an NDA and an MAA for Zimura in GA;</w:t>
      </w:r>
    </w:p>
    <w:p>
      <w:pPr>
        <w:spacing w:after="0" w:line="68" w:lineRule="exact"/>
        <w:rPr>
          <w:rFonts w:ascii="Arial" w:cs="Arial" w:eastAsia="Arial" w:hAnsi="Arial"/>
          <w:sz w:val="14"/>
          <w:szCs w:val="14"/>
          <w:color w:val="auto"/>
        </w:rPr>
      </w:pPr>
    </w:p>
    <w:p>
      <w:pPr>
        <w:ind w:left="760" w:right="120" w:hanging="246"/>
        <w:spacing w:after="0" w:line="321" w:lineRule="auto"/>
        <w:tabs>
          <w:tab w:leader="none" w:pos="756"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ability to establish collaborations on favorable terms, if at all, if we choose to do so, including a potential collaboration for the further development and potential commercialization of Zimura in one or more territories outside the United States and a collaboration for the further development and potential commercialization of IC-100 and IC-200;</w:t>
      </w:r>
    </w:p>
    <w:p>
      <w:pPr>
        <w:spacing w:after="0" w:line="56" w:lineRule="exact"/>
        <w:rPr>
          <w:rFonts w:ascii="Arial" w:cs="Arial" w:eastAsia="Arial" w:hAnsi="Arial"/>
          <w:sz w:val="13"/>
          <w:szCs w:val="13"/>
          <w:color w:val="auto"/>
        </w:rPr>
      </w:pPr>
    </w:p>
    <w:p>
      <w:pPr>
        <w:ind w:left="760" w:right="260" w:hanging="246"/>
        <w:spacing w:after="0" w:line="281"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extent to which we in-license or acquire rights to, and undertake research or development of, additional product candidates or technologies, including additional sustained release delivery technologies for Zimura;</w:t>
      </w:r>
    </w:p>
    <w:p>
      <w:pPr>
        <w:spacing w:after="0" w:line="79"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extent of our debt service obligations and our ability, if desired, to refinance any of our existing debt on terms that are more favorable to us;</w:t>
      </w:r>
    </w:p>
    <w:p>
      <w:pPr>
        <w:spacing w:after="0" w:line="114"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scope, progress, costs and results of our efforts to develop IC-500, including activities to establish manufacturing capabilities and other preclinical development activities to enable us to file an IND for this product candidate;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left="760" w:right="6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68"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timing and extent of delays or disruptions to our research and development programs as a result of the COVID-19 pandemic;</w:t>
      </w:r>
    </w:p>
    <w:p>
      <w:pPr>
        <w:spacing w:after="0" w:line="125"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costs of preparing, filing and prosecuting patent applications, maintaining and protecting our intellectual property rights and defending intellectual property-related claims; and</w:t>
      </w:r>
    </w:p>
    <w:p>
      <w:pPr>
        <w:spacing w:after="0" w:line="136" w:lineRule="exact"/>
        <w:rPr>
          <w:rFonts w:ascii="Arial" w:cs="Arial" w:eastAsia="Arial" w:hAnsi="Arial"/>
          <w:sz w:val="13"/>
          <w:szCs w:val="13"/>
          <w:color w:val="auto"/>
        </w:rPr>
      </w:pPr>
    </w:p>
    <w:p>
      <w:pPr>
        <w:ind w:left="760" w:right="80" w:hanging="246"/>
        <w:spacing w:after="0" w:line="281" w:lineRule="auto"/>
        <w:tabs>
          <w:tab w:leader="none" w:pos="7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subject to receipt of marketing approval, net revenue received from commercial sales of any of our product candidates, after milestone payments and royalty payments that we would be obligated to make.</w:t>
      </w:r>
    </w:p>
    <w:p>
      <w:pPr>
        <w:spacing w:after="0" w:line="69"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other macro-economic events, such as the current high levels of inflation, and governmental responses to those events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successful in raising approximately $162.6 million in net proceeds in an underwritten public offering of our common stock in October 2021, we may not be able to successfully raise additional capital in the future.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gene therapy research programs, or our future commercialization efforts.</w:t>
      </w:r>
    </w:p>
    <w:p>
      <w:pPr>
        <w:spacing w:after="0" w:line="91" w:lineRule="exact"/>
        <w:rPr>
          <w:sz w:val="20"/>
          <w:szCs w:val="20"/>
          <w:color w:val="auto"/>
        </w:rPr>
      </w:pPr>
    </w:p>
    <w:p>
      <w:pPr>
        <w:ind w:right="60" w:firstLine="318"/>
        <w:spacing w:after="0" w:line="276" w:lineRule="auto"/>
        <w:rPr>
          <w:sz w:val="20"/>
          <w:szCs w:val="20"/>
          <w:color w:val="auto"/>
        </w:rPr>
      </w:pPr>
      <w:r>
        <w:rPr>
          <w:rFonts w:ascii="Arial" w:cs="Arial" w:eastAsia="Arial" w:hAnsi="Arial"/>
          <w:sz w:val="13"/>
          <w:szCs w:val="13"/>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with manufacturing, such as issues with process development, scale-up and validation, or establishing and qualifying second source suppliers and ensuring adequate inventory for our expected needs, if we experience an issue in our preclinical development programs, such as unfavorable toxicology or other preclinical data,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For example, we are conducting the GATHER2 trial with the expectation that data collected from such trial, if it is positive, together with other available data, will be sufficient to support an application for marketing approval in the United States and the European Union and we may subsequently decide to, or be required by regulatory authorities to, enroll additional patients in the GATHER2 trial, or conduct additional clinical trials or nonclinical studies of Zimura in order to seek or maintain marketing approval or qualify for reimbursement approval. In addition, the COVID-19 pandemic may result in disruptions to the progress of the GATHER2 or STAR trials,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89" w:lineRule="exact"/>
        <w:rPr>
          <w:sz w:val="20"/>
          <w:szCs w:val="20"/>
          <w:color w:val="auto"/>
        </w:rPr>
      </w:pPr>
    </w:p>
    <w:p>
      <w:pPr>
        <w:ind w:right="80" w:firstLine="318"/>
        <w:spacing w:after="0" w:line="288" w:lineRule="auto"/>
        <w:rPr>
          <w:sz w:val="20"/>
          <w:szCs w:val="20"/>
          <w:color w:val="auto"/>
        </w:rPr>
      </w:pPr>
      <w:r>
        <w:rPr>
          <w:rFonts w:ascii="Arial" w:cs="Arial" w:eastAsia="Arial" w:hAnsi="Arial"/>
          <w:sz w:val="13"/>
          <w:szCs w:val="13"/>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may cause dilution to our stockholders, restrict our operations or require us to relinquish rights to our technologies or product candidates.</w:t>
      </w:r>
    </w:p>
    <w:p>
      <w:pPr>
        <w:spacing w:after="0" w:line="115" w:lineRule="exact"/>
        <w:rPr>
          <w:sz w:val="20"/>
          <w:szCs w:val="20"/>
          <w:color w:val="auto"/>
        </w:rPr>
      </w:pPr>
    </w:p>
    <w:p>
      <w:pPr>
        <w:ind w:right="160" w:firstLine="318"/>
        <w:spacing w:after="0" w:line="276" w:lineRule="auto"/>
        <w:rPr>
          <w:sz w:val="20"/>
          <w:szCs w:val="20"/>
          <w:color w:val="auto"/>
        </w:rPr>
      </w:pPr>
      <w:r>
        <w:rPr>
          <w:rFonts w:ascii="Arial" w:cs="Arial" w:eastAsia="Arial" w:hAnsi="Arial"/>
          <w:sz w:val="13"/>
          <w:szCs w:val="13"/>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For example, in July 2022, we entered into a Loan and Security Agreement, or the Loan Agreement, with Hercules and SVB, providing for a term loan facility, or the 2022 Term Loan Facility, pursuant to which we have total borrowing capacity under several tranches of up to $250.0 million aggregate principal amount, of which (i) $50.0 million has been drawn down upon execution of the Loan Agreement, (ii) an aggregate of $150.0 million may be drawn down at our option, in three separate tranches, subject to our achievement of specified performance milestones relating to development of regulatory events for Zimura as described in “Management’s Discussion and Analysis of Financial Condition and Results of Operations— Contractual Obligations and Commitments” and (iii) an additional $50.0 million is available subject to approval of the facility lenders’ investment committees in their discretion. However, if we do not satisfy the specified performance milestones or the facility lenders do not otherwise approve additional borrowings, we will not have access to the remaining amounts of the 2022 Term Loan Facility.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would involve agreements that include covenants limiting or restricting our ability to take specific actions, such as incurring additional debt, making capital expenditures, declaring dividends, making certain investments or entering into certain other transactions. For example, the covenants under the Loan Agreement include limitations on our ability to obtain additional financing, to make certain investments and enter into certain other transactions.</w:t>
      </w:r>
    </w:p>
    <w:p>
      <w:pPr>
        <w:spacing w:after="0" w:line="86"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In addition, we have issued, and may in the future issue additional, equity securities as consideration for business development transactions, which may also dilute our existing stockholders' ownership interests. For example, under the agreement and plan of merger pursuant to which we acquired Inception 4, or the Inception 4 Merger Agreement, we issued an aggregate of 5,174,727 shares of our common stock as up-front consideration to the former equity holders of Inception 4. The Inception 4 Merger Agreement also requires us to make payments to the former equity 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UMass as partial upfront consideration for the in-license of our miniCEP290 program, and are obligated to issue up to 75,000 additional shares to UMass upon the achievement of a development milestone.</w:t>
      </w:r>
    </w:p>
    <w:p>
      <w:pPr>
        <w:spacing w:after="0" w:line="75" w:lineRule="exact"/>
        <w:rPr>
          <w:sz w:val="20"/>
          <w:szCs w:val="20"/>
          <w:color w:val="auto"/>
        </w:rPr>
      </w:pPr>
    </w:p>
    <w:p>
      <w:pPr>
        <w:ind w:right="20" w:firstLine="318"/>
        <w:spacing w:after="0" w:line="268" w:lineRule="auto"/>
        <w:rPr>
          <w:sz w:val="20"/>
          <w:szCs w:val="20"/>
          <w:color w:val="auto"/>
        </w:rPr>
      </w:pPr>
      <w:r>
        <w:rPr>
          <w:rFonts w:ascii="Arial" w:cs="Arial" w:eastAsia="Arial" w:hAnsi="Arial"/>
          <w:sz w:val="12"/>
          <w:szCs w:val="12"/>
          <w:color w:val="auto"/>
        </w:rPr>
        <w:t>In March 2021, we filed a shelf registration statement on Form S-3, or the March 2021 Shelf Registration, pursuant to which we may offer and sell shares of common stock, debt securities and other securities for aggregate gross sale proceeds of up to $300.0 million, of which we may offer and sell up to $100.0 million from time to time pursuant to an “at-the-market” sales agreement, or the ATM Agreement, we entered into in March 2021 with Cowen and Company, LLC, or Cowen, as agent, subject to the terms and conditions described in the ATM Agreement and SEC rules and regulations. In July 2021, we issued and sold 13,397,500 shares of our common stock in an underwritten public offering under the March 2021 Shelf Registration. We have not yet issued and sold any shares of common stock under our “at-the-market” offering program. In addition, in October 2021, we filed an automatically effective shelf registration statement, or the October 2021 Shelf Registration, under which we may issue an indeterminate amount of shares of common stock, debt securities and other securities. In October 2021, we issued and sold 10,350,000 shares of our common stock in an underwritten public offering under the October 2021 Shelf Registration. If we make further sales under the March 2021 Shelf Registration or the October 2021 Shelf Registration or if we make sales under our “at-the-market” offering program, the sales could dilute our stockholders, reduce the trading price of our common stock or impede our ability to raise future capital.</w:t>
      </w:r>
    </w:p>
    <w:p>
      <w:pPr>
        <w:spacing w:after="0" w:line="72"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If we raise additional funds through collaborations, royalty transactions,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 of our product candidates, we may be required to relinquish certain valuable rights depending on the terms of such a transaction. If we are unable to raise additional funds through equity or debt financings when needed, we may be required to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grant rights to develop and market products or product candidates that we would otherwise prefer to develop and market ourselves.</w:t>
      </w:r>
    </w:p>
    <w:p>
      <w:pPr>
        <w:spacing w:after="0" w:line="115"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b w:val="1"/>
          <w:bCs w:val="1"/>
          <w:i w:val="1"/>
          <w:iCs w:val="1"/>
          <w:color w:val="auto"/>
        </w:rPr>
        <w:t>Our operating activities may be restricted as a result of covenants related to the outstanding indebtedness under our Loan Agreement with Hercules and SVB and we may be required to repay the outstanding indebtedness in an event of default, which could have a materially adverse effect on our business.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As more fully described in “Management’s Discussion and Analysis of Financial Condition and Results of Operations—Contractual Obligations and Commitments”, in July 2022, we entered</w:t>
      </w:r>
    </w:p>
    <w:p>
      <w:pPr>
        <w:spacing w:after="0" w:line="52" w:lineRule="exact"/>
        <w:rPr>
          <w:sz w:val="20"/>
          <w:szCs w:val="20"/>
          <w:color w:val="auto"/>
        </w:rPr>
      </w:pPr>
    </w:p>
    <w:p>
      <w:pPr>
        <w:ind w:right="180"/>
        <w:spacing w:after="0" w:line="260" w:lineRule="auto"/>
        <w:rPr>
          <w:sz w:val="20"/>
          <w:szCs w:val="20"/>
          <w:color w:val="auto"/>
        </w:rPr>
      </w:pPr>
      <w:r>
        <w:rPr>
          <w:rFonts w:ascii="Arial" w:cs="Arial" w:eastAsia="Arial" w:hAnsi="Arial"/>
          <w:sz w:val="14"/>
          <w:szCs w:val="14"/>
          <w:color w:val="auto"/>
        </w:rPr>
        <w:t>into the 2022 Term Loan Facility. The 2022 Term Loan Facility is secured by a lien on substantially all of our assets, including intellectual property, with certain limited exceptions set forth in the Loan Agreement. The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and acquisitions; make certain restricted payments, including paying dividends on, or repurchasing or making distributions with respect to, our common stock; and enter into certain transactions. Our business may be adversely affected by these restrictions on our ability to operate our business.</w:t>
      </w:r>
    </w:p>
    <w:p>
      <w:pPr>
        <w:spacing w:after="0" w:line="168"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The covenants under the 2022 Term Loan Facility also include a requirement to maintain certain minimum levels of cash in accounts subject to a control agreement in favor of Hercules as agent, which we refer to as Qualified Cash.</w:t>
      </w:r>
    </w:p>
    <w:p>
      <w:pPr>
        <w:spacing w:after="0" w:line="153"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Further, starting on August 15, 2024, we will be required to maintain a certain minimum amount of trailing six-month net product revenue from sales of Zimura. However, this revenue covenant will be waived during periods in which we (x) (i) maintain a market capitalization in excess of $600.0 million and (ii) maintain Qualified Cash in an amount greater than or equal to fifty percent (50%) of the outstanding term loan advances made under the 2022 Term Loan Facility at such time or (y) maintain Qualified Cash in an amount greater than or equal to ninety percent (90%) of the outstanding term loan advances made under the 2022 Term Loan Facility at such time.</w:t>
      </w:r>
    </w:p>
    <w:p>
      <w:pPr>
        <w:spacing w:after="0" w:line="167" w:lineRule="exact"/>
        <w:rPr>
          <w:sz w:val="20"/>
          <w:szCs w:val="20"/>
          <w:color w:val="auto"/>
        </w:rPr>
      </w:pPr>
    </w:p>
    <w:p>
      <w:pPr>
        <w:ind w:firstLine="509"/>
        <w:spacing w:after="0" w:line="246" w:lineRule="auto"/>
        <w:rPr>
          <w:sz w:val="20"/>
          <w:szCs w:val="20"/>
          <w:color w:val="auto"/>
        </w:rPr>
      </w:pPr>
      <w:r>
        <w:rPr>
          <w:rFonts w:ascii="Arial" w:cs="Arial" w:eastAsia="Arial" w:hAnsi="Arial"/>
          <w:sz w:val="14"/>
          <w:szCs w:val="14"/>
          <w:color w:val="auto"/>
        </w:rPr>
        <w:t>A breach of any of the covenants under the Loan Agreement could result in a default under the 2022 Term Loan Facility. If an event of default under the 2022 Term Loan Facility occurs, including a material adverse effect, subject to certain exceptions, on our business, operations, properties, assets or financial condition,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them to secure such indebtedness.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addition, our outstanding debt combined with our other financial obligations and contractual commitments, could have significant adverse consequences, including:</w:t>
      </w:r>
    </w:p>
    <w:p>
      <w:pPr>
        <w:spacing w:after="0" w:line="210" w:lineRule="exact"/>
        <w:rPr>
          <w:sz w:val="20"/>
          <w:szCs w:val="20"/>
          <w:color w:val="auto"/>
        </w:rPr>
      </w:pPr>
    </w:p>
    <w:p>
      <w:pPr>
        <w:ind w:left="520" w:right="420" w:hanging="260"/>
        <w:spacing w:after="0" w:line="235" w:lineRule="auto"/>
        <w:tabs>
          <w:tab w:leader="none" w:pos="516" w:val="left"/>
        </w:tabs>
        <w:numPr>
          <w:ilvl w:val="0"/>
          <w:numId w:val="27"/>
        </w:numPr>
        <w:rPr>
          <w:rFonts w:ascii="Arial" w:cs="Arial" w:eastAsia="Arial" w:hAnsi="Arial"/>
          <w:sz w:val="17"/>
          <w:szCs w:val="17"/>
          <w:color w:val="auto"/>
        </w:rPr>
      </w:pPr>
      <w:r>
        <w:rPr>
          <w:rFonts w:ascii="Arial" w:cs="Arial" w:eastAsia="Arial" w:hAnsi="Arial"/>
          <w:sz w:val="14"/>
          <w:szCs w:val="14"/>
          <w:color w:val="auto"/>
        </w:rPr>
        <w:t>requiring us to dedicate a substantial portion of cash, cash equivalents and available for sale securities to the payment of interest on, and principal of, our debt, which would reduce the amounts available to fund working capital, commercialization expenditures, product development efforts and other general corporate purposes;</w:t>
      </w:r>
    </w:p>
    <w:p>
      <w:pPr>
        <w:spacing w:after="0" w:line="176" w:lineRule="exact"/>
        <w:rPr>
          <w:rFonts w:ascii="Arial" w:cs="Arial" w:eastAsia="Arial" w:hAnsi="Arial"/>
          <w:sz w:val="17"/>
          <w:szCs w:val="17"/>
          <w:color w:val="auto"/>
        </w:rPr>
      </w:pPr>
    </w:p>
    <w:p>
      <w:pPr>
        <w:ind w:left="500" w:hanging="240"/>
        <w:spacing w:after="0"/>
        <w:tabs>
          <w:tab w:leader="none" w:pos="500" w:val="left"/>
        </w:tabs>
        <w:numPr>
          <w:ilvl w:val="0"/>
          <w:numId w:val="27"/>
        </w:numPr>
        <w:rPr>
          <w:rFonts w:ascii="Arial" w:cs="Arial" w:eastAsia="Arial" w:hAnsi="Arial"/>
          <w:sz w:val="17"/>
          <w:szCs w:val="17"/>
          <w:color w:val="auto"/>
        </w:rPr>
      </w:pPr>
      <w:r>
        <w:rPr>
          <w:rFonts w:ascii="Arial" w:cs="Arial" w:eastAsia="Arial" w:hAnsi="Arial"/>
          <w:sz w:val="14"/>
          <w:szCs w:val="14"/>
          <w:color w:val="auto"/>
        </w:rPr>
        <w:t>limiting our flexibility in planning for, or reacting to, changes in our business and our industry; and</w:t>
      </w:r>
    </w:p>
    <w:p>
      <w:pPr>
        <w:spacing w:after="0" w:line="180" w:lineRule="exact"/>
        <w:rPr>
          <w:rFonts w:ascii="Arial" w:cs="Arial" w:eastAsia="Arial" w:hAnsi="Arial"/>
          <w:sz w:val="17"/>
          <w:szCs w:val="17"/>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placing us at a competitive disadvantage compared to our competitors that have less debt or better debt servicing options.</w:t>
      </w:r>
    </w:p>
    <w:p>
      <w:pPr>
        <w:spacing w:after="0" w:line="189" w:lineRule="exact"/>
        <w:rPr>
          <w:sz w:val="20"/>
          <w:szCs w:val="20"/>
          <w:color w:val="auto"/>
        </w:rPr>
      </w:pPr>
    </w:p>
    <w:p>
      <w:pPr>
        <w:ind w:right="60" w:firstLine="509"/>
        <w:spacing w:after="0" w:line="251" w:lineRule="auto"/>
        <w:rPr>
          <w:sz w:val="20"/>
          <w:szCs w:val="20"/>
          <w:color w:val="auto"/>
        </w:rPr>
      </w:pPr>
      <w:r>
        <w:rPr>
          <w:rFonts w:ascii="Arial" w:cs="Arial" w:eastAsia="Arial" w:hAnsi="Arial"/>
          <w:sz w:val="14"/>
          <w:szCs w:val="14"/>
          <w:color w:val="auto"/>
        </w:rPr>
        <w:t>We intend to satisfy our current and future debt service obligations with our existing cash, cash equivalents and available for sale securities, potential future product revenues and funds from external sources. However, we may not have sufficient funds or may be unable to arrange for additional financing to pay the amounts due under the 2022 Term Loan Facility. Funds from external sources may not be available on acceptable terms, if at all.</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20"/>
        <w:spacing w:after="0" w:line="368" w:lineRule="auto"/>
        <w:rPr>
          <w:sz w:val="20"/>
          <w:szCs w:val="20"/>
          <w:color w:val="auto"/>
        </w:rPr>
      </w:pPr>
      <w:r>
        <w:rPr>
          <w:rFonts w:ascii="Arial" w:cs="Arial" w:eastAsia="Arial" w:hAnsi="Arial"/>
          <w:sz w:val="12"/>
          <w:szCs w:val="12"/>
          <w:b w:val="1"/>
          <w:bCs w:val="1"/>
          <w:i w:val="1"/>
          <w:iCs w:val="1"/>
          <w:color w:val="auto"/>
        </w:rPr>
        <w:t>The COVID-19 pandemic, which is a fluid and evolving situation, has adversely affected and may continue to negatively affect our business and operations in a number of ways, and its long-term effects are uncertain. In addition, the pandemic has caused substantial disruptions in the financial markets and economies, which could adversely affect our business and operations.</w:t>
      </w:r>
    </w:p>
    <w:p>
      <w:pPr>
        <w:spacing w:after="0" w:line="33"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The COVID-19 pandemic, which began in December 2019, has spread worldwide. A majority of the world's population has been affected by government efforts to slow the spread of the outbreak through stay-at-home and social distancing orders, shutdowns of businesses and public places, heightened border security, travel restrictions, quarantines and other measures. The COVID-19 pandemic and government measures taken in response have had a significant impact, both direct and indirect, on businesses and commerce, as a substantial number of people have been required to stay and work from home; worker shortages have occurred; supply chains have been disrupted; facilities and production have been suspended; and demand for certain goods and services, such as medical services and supplies, has spiked, while demand for other goods and services, such as travel and conferences, has fallen.</w:t>
      </w:r>
    </w:p>
    <w:p>
      <w:pPr>
        <w:spacing w:after="0" w:line="70"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color w:val="auto"/>
        </w:rPr>
        <w:t>Beginning in March 2020, the COVID-19 pandemic and measures taken to contain it have affected our business and operations in a number of ways. These include, but are not limited to, the following:</w:t>
      </w:r>
    </w:p>
    <w:p>
      <w:pPr>
        <w:spacing w:after="0" w:line="79" w:lineRule="exact"/>
        <w:rPr>
          <w:sz w:val="20"/>
          <w:szCs w:val="20"/>
          <w:color w:val="auto"/>
        </w:rPr>
      </w:pPr>
    </w:p>
    <w:p>
      <w:pPr>
        <w:ind w:left="520" w:firstLine="312"/>
        <w:spacing w:after="0" w:line="255" w:lineRule="auto"/>
        <w:tabs>
          <w:tab w:leader="none" w:pos="1026" w:val="left"/>
        </w:tabs>
        <w:numPr>
          <w:ilvl w:val="0"/>
          <w:numId w:val="28"/>
        </w:numPr>
        <w:rPr>
          <w:rFonts w:ascii="Arial" w:cs="Arial" w:eastAsia="Arial" w:hAnsi="Arial"/>
          <w:sz w:val="14"/>
          <w:szCs w:val="14"/>
          <w:color w:val="auto"/>
        </w:rPr>
      </w:pPr>
      <w:r>
        <w:rPr>
          <w:rFonts w:ascii="Arial" w:cs="Arial" w:eastAsia="Arial" w:hAnsi="Arial"/>
          <w:sz w:val="14"/>
          <w:szCs w:val="14"/>
          <w:u w:val="single" w:color="auto"/>
          <w:color w:val="auto"/>
        </w:rPr>
        <w:t>Clinical Trial Operations</w:t>
      </w:r>
      <w:r>
        <w:rPr>
          <w:rFonts w:ascii="Arial" w:cs="Arial" w:eastAsia="Arial" w:hAnsi="Arial"/>
          <w:sz w:val="14"/>
          <w:szCs w:val="14"/>
          <w:color w:val="auto"/>
        </w:rPr>
        <w:t>. In March 2020, we decided to delay the initiation of patient enrollment in our GATHER2 trial. As we initiated patient enrollment in June 2020, we and our clinical trial sites implemented new health and safety practices to mitigate the effects of the COVID-19 pandemic and to support patients and site staff. In addition, we added more than 30 new sites to the GATHER2 trial to help with patient recruitment. Although we have since completed patient enrollment in GATHER2, we may face difficulties in retaining patients or maintaining scheduled visits to the extent patients are affected by the virus or lockdown measures or are fearful of visiting or traveling to our clinical trial sites because of the pandemic. We are aware that a number of patients initially enrolled in the STAR trial missed consecutive visits during the early months of the pandemic, and that a number of patients in our Latin America sites for GATHER2 missed visits because of the COVID-19 pandemic. We do not yet know whether the number of missed visits will increase or decrease in the GATHER2 or STAR trials, or what the impact of missed visits may be on patient retention in those trials or the trial results, especially because we are masked to the treatment of patients during the conduct of the trials. We have been and continue to monitor the situation closely. For a more detailed discussion of the impact of the COVID-19 pandemic on our clinical trial operations, please see the Risk Factor titled, “</w:t>
      </w:r>
      <w:r>
        <w:rPr>
          <w:rFonts w:ascii="Arial" w:cs="Arial" w:eastAsia="Arial" w:hAnsi="Arial"/>
          <w:sz w:val="14"/>
          <w:szCs w:val="14"/>
          <w:i w:val="1"/>
          <w:iCs w:val="1"/>
          <w:color w:val="auto"/>
        </w:rPr>
        <w:t>The COVID-19 pandemic has affected and may continue to affect the initiation and conduct of our clinical trials, including the retention of patients for our GATHER2 clinical</w:t>
      </w:r>
      <w:r>
        <w:rPr>
          <w:rFonts w:ascii="Arial" w:cs="Arial" w:eastAsia="Arial" w:hAnsi="Arial"/>
          <w:sz w:val="14"/>
          <w:szCs w:val="14"/>
          <w:color w:val="auto"/>
        </w:rPr>
        <w:t xml:space="preserve"> </w:t>
      </w:r>
      <w:r>
        <w:rPr>
          <w:rFonts w:ascii="Arial" w:cs="Arial" w:eastAsia="Arial" w:hAnsi="Arial"/>
          <w:sz w:val="14"/>
          <w:szCs w:val="14"/>
          <w:i w:val="1"/>
          <w:iCs w:val="1"/>
          <w:color w:val="auto"/>
        </w:rPr>
        <w:t>trial and patient recruitment and retention for our STAR clinical trial. It may have long-lasting effects on the conduct of clinical trials, which can make our ongoing and any future trials more difficult, costly or time consuming</w:t>
      </w:r>
      <w:r>
        <w:rPr>
          <w:rFonts w:ascii="Arial" w:cs="Arial" w:eastAsia="Arial" w:hAnsi="Arial"/>
          <w:sz w:val="14"/>
          <w:szCs w:val="14"/>
          <w:color w:val="auto"/>
        </w:rPr>
        <w:t>”.</w:t>
      </w:r>
    </w:p>
    <w:p>
      <w:pPr>
        <w:spacing w:after="0" w:line="102" w:lineRule="exact"/>
        <w:rPr>
          <w:rFonts w:ascii="Arial" w:cs="Arial" w:eastAsia="Arial" w:hAnsi="Arial"/>
          <w:sz w:val="14"/>
          <w:szCs w:val="14"/>
          <w:color w:val="auto"/>
        </w:rPr>
      </w:pPr>
    </w:p>
    <w:p>
      <w:pPr>
        <w:ind w:left="520" w:firstLine="312"/>
        <w:spacing w:after="0" w:line="278" w:lineRule="auto"/>
        <w:tabs>
          <w:tab w:leader="none" w:pos="1026" w:val="left"/>
        </w:tabs>
        <w:numPr>
          <w:ilvl w:val="0"/>
          <w:numId w:val="28"/>
        </w:numPr>
        <w:rPr>
          <w:rFonts w:ascii="Arial" w:cs="Arial" w:eastAsia="Arial" w:hAnsi="Arial"/>
          <w:sz w:val="13"/>
          <w:szCs w:val="13"/>
          <w:b w:val="1"/>
          <w:bCs w:val="1"/>
          <w:i w:val="1"/>
          <w:iCs w:val="1"/>
          <w:color w:val="auto"/>
        </w:rPr>
      </w:pPr>
      <w:r>
        <w:rPr>
          <w:rFonts w:ascii="Arial" w:cs="Arial" w:eastAsia="Arial" w:hAnsi="Arial"/>
          <w:sz w:val="13"/>
          <w:szCs w:val="13"/>
          <w:u w:val="single" w:color="auto"/>
          <w:color w:val="auto"/>
        </w:rPr>
        <w:t>Third-Party Collaborators and Vendors</w:t>
      </w:r>
      <w:r>
        <w:rPr>
          <w:rFonts w:ascii="Arial" w:cs="Arial" w:eastAsia="Arial" w:hAnsi="Arial"/>
          <w:sz w:val="13"/>
          <w:szCs w:val="13"/>
          <w:color w:val="auto"/>
        </w:rPr>
        <w:t>. Many of our third-party contract manufacturers, academic research collaborators and contract research organizations limited their operations and staff during the COVID-19 pandemic, which resulted in delays to some of our manufacturing and research and development activities and limited our ability to be on site to oversee these activities. For example, the closure of animal research laboratories at UMMS for several months during 2020 caused delays to the progress of, and to our timelines for receipt of data from, our minigene research programs. Over the past year, several of our vendors have been facing backlogs due to work and demands from other clients, including those who are developing vaccines or medicines for the COVID-19 pandemic, which has limited their availability to perform work for us. In addition, earlier this year, several of our vendors experienced high levels of absenteeism of their workforce due to the Omicron variant and as a result scaled back their operations. For example, many CROs have limited slots available for preclinical studies and experienced increased absenteeism of staff in wake of the Omicron variant; these factors resulted in us securing a start date for our IND-enabling toxicology studies for IC-500 that is later than what we had originally planned. These operational and staffing limitations may cause further delays for our development and manufacturing activities. At this time, we do not know whether there will be further impact on the work of our third-party vendors and collaborators due to the COVID-19 pandemic.</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left="520" w:right="40" w:firstLine="312"/>
        <w:spacing w:after="0" w:line="276" w:lineRule="auto"/>
        <w:tabs>
          <w:tab w:leader="none" w:pos="1026" w:val="left"/>
        </w:tabs>
        <w:numPr>
          <w:ilvl w:val="0"/>
          <w:numId w:val="29"/>
        </w:numPr>
        <w:rPr>
          <w:rFonts w:ascii="Arial" w:cs="Arial" w:eastAsia="Arial" w:hAnsi="Arial"/>
          <w:sz w:val="13"/>
          <w:szCs w:val="13"/>
          <w:color w:val="auto"/>
        </w:rPr>
      </w:pPr>
      <w:r>
        <w:rPr>
          <w:rFonts w:ascii="Arial" w:cs="Arial" w:eastAsia="Arial" w:hAnsi="Arial"/>
          <w:sz w:val="13"/>
          <w:szCs w:val="13"/>
          <w:u w:val="single" w:color="auto"/>
          <w:color w:val="auto"/>
        </w:rPr>
        <w:t>Supply Chain and Materials.</w:t>
      </w:r>
      <w:r>
        <w:rPr>
          <w:rFonts w:ascii="Arial" w:cs="Arial" w:eastAsia="Arial" w:hAnsi="Arial"/>
          <w:sz w:val="13"/>
          <w:szCs w:val="13"/>
          <w:color w:val="auto"/>
        </w:rPr>
        <w:t xml:space="preserve"> Shortages, delays and governmental restrictions arising from the COVID-19 pandemic have disrupted and may continue to disrupt the ability of our contract manufacturers to procure items, such as raw materials, that are essential for the manufacture of our product candidates. For example, during 2020, our contract manufacturer for IC-500 drug substance experienced a shortage in obtaining one of the raw materials that was sourced from China, which was caused by the shutdown of local suppliers and the slowdown in trade due to the COVID-19 pandemic. This shortage delayed our process development activities for the drug substance for IC-500 by a number of months. In addition, since 2020, there have been shortages of various animals used in research studies, such as several types of non-human primates, which are typically sourced from China, due to the COVID-19 pandemic and disruptions to the global supply chain. Although our development programs have not yet been affected by these shortages, we are continuing to monitor the situation. Furthermore, in October 2021 we learned that the new manufacturer we are working with for second source of supply for Zimura drug substance was experiencing issues with procuring an important raw material common to many manufacturing processes, which occurred due to supply chain interruptions and caused a slight delay to our manufacturing timelines with this manufacturer. We also learned that several of our contract manufacturing organizations and suppliers were experiencing difficulty with procuring certain materials as a result of the ongoing COVID-19 pandemic and the Omicron variant, which has caused a slight delay to our planned manufacturing timelines for Zimura. To date, we have not experienced any drug product supply issues impacting our GATHER2 and STAR clinical trials and we do not believe our overall timelines for Zimura have been materially impacted as a result of supply chain issues affecting our contract manufacturers. We continue to monitor our supply chain closely.</w:t>
      </w:r>
    </w:p>
    <w:p>
      <w:pPr>
        <w:spacing w:after="0" w:line="80" w:lineRule="exact"/>
        <w:rPr>
          <w:rFonts w:ascii="Arial" w:cs="Arial" w:eastAsia="Arial" w:hAnsi="Arial"/>
          <w:sz w:val="13"/>
          <w:szCs w:val="13"/>
          <w:color w:val="auto"/>
        </w:rPr>
      </w:pPr>
    </w:p>
    <w:p>
      <w:pPr>
        <w:ind w:left="520" w:right="100" w:firstLine="312"/>
        <w:spacing w:after="0" w:line="262" w:lineRule="auto"/>
        <w:tabs>
          <w:tab w:leader="none" w:pos="1026"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Remote Working</w:t>
      </w:r>
      <w:r>
        <w:rPr>
          <w:rFonts w:ascii="Arial" w:cs="Arial" w:eastAsia="Arial" w:hAnsi="Arial"/>
          <w:sz w:val="14"/>
          <w:szCs w:val="14"/>
          <w:color w:val="auto"/>
        </w:rPr>
        <w:t>. We instituted company-wide remote working starting in March 2020. In 2021, we began permitting employees to return to our offices on a voluntary basis in compliance with new health and safety policies we implemented, including a vaccination policy for employees working in our offices. We expect to operate under a hybrid (partially remote and partially in office) working model for the foreseeable near future. We are continuing to monitor and support the health and well-being of our employees and their productivity as remote working continues.</w:t>
      </w:r>
    </w:p>
    <w:p>
      <w:pPr>
        <w:spacing w:after="0" w:line="93"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color w:val="212529"/>
        </w:rPr>
        <w:t>progression of the COVID-19 pandemic remains fluid and its impact on our business and operations remains uncertain. Throughout the course of the pandemic thus far</w:t>
      </w:r>
      <w:r>
        <w:rPr>
          <w:rFonts w:ascii="Arial" w:cs="Arial" w:eastAsia="Arial" w:hAnsi="Arial"/>
          <w:sz w:val="13"/>
          <w:szCs w:val="13"/>
          <w:color w:val="auto"/>
        </w:rPr>
        <w:t xml:space="preserve">, many countries and regions, including many states in the United States, have experienced surges in the number of new cases, including as a result of new variants to the SARS-COV-2 virus, such as the Omicron variant and recently surging BA.5 subvariant, which have caused public health authorities to reimpose restrictive measures. In addition, although the FDA has fully approved three vaccines as well as vaccine booster shots for certain individuals (and authorized two other vaccines for emergency use), there continue to be challenges with increasing the percentage of vaccinated individuals among the general population, and the long-term safety and efficacy and ability of these vaccines to slow transmission, including against new variants and subvariants of the virus, are largely unknown. In the United States and some other countries, vaccine mandates remain controversial and the reluctance of many individuals to get COVID-19 vaccines may affect the work of our vendors and other third parties providing services for us. As a result, governments may continue to deploy measures to contain the pandemic for a prolonged period of time. </w:t>
      </w:r>
      <w:r>
        <w:rPr>
          <w:rFonts w:ascii="Arial" w:cs="Arial" w:eastAsia="Arial" w:hAnsi="Arial"/>
          <w:sz w:val="13"/>
          <w:szCs w:val="13"/>
          <w:color w:val="212529"/>
        </w:rPr>
        <w:t>The full extent to which the COVID-19 pandemic</w:t>
      </w:r>
      <w:r>
        <w:rPr>
          <w:rFonts w:ascii="Arial" w:cs="Arial" w:eastAsia="Arial" w:hAnsi="Arial"/>
          <w:sz w:val="13"/>
          <w:szCs w:val="13"/>
          <w:color w:val="auto"/>
        </w:rPr>
        <w:t xml:space="preserve"> </w:t>
      </w:r>
      <w:r>
        <w:rPr>
          <w:rFonts w:ascii="Arial" w:cs="Arial" w:eastAsia="Arial" w:hAnsi="Arial"/>
          <w:sz w:val="13"/>
          <w:szCs w:val="13"/>
          <w:color w:val="212529"/>
        </w:rPr>
        <w:t>will directly or indirectly impact our business, results of operations and financial condition will depend on developments that are highly uncertain and cannot be accurately predicted, including new information that may emerge concerning COVID-19 and new variants and subvariants of the virus, the actions taken to contain it or lessen its impact, including the availability, effectiveness and administration of vaccines,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91"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212529"/>
        </w:rPr>
        <w:t>In addition, many companies have been using force majeure clauses in their contracts to excuse or delay performing under their contracts. Our contract manufacturers, academic research collaborators, contract research organizations and other third parties on whom we rely for goods or services may make similar claims. If any such force majeure claims were successful, then not only would our timelines be delayed but also our right to recover for any economic damages due to the delay would be limited. Because we rely on many single-source suppliers, any such claims from them are likely to result in a delay to our timelines or otherwise adversely affect our operations or financial position.</w:t>
      </w:r>
    </w:p>
    <w:p>
      <w:pPr>
        <w:spacing w:after="0" w:line="82" w:lineRule="exact"/>
        <w:rPr>
          <w:sz w:val="20"/>
          <w:szCs w:val="20"/>
          <w:color w:val="auto"/>
        </w:rPr>
      </w:pPr>
    </w:p>
    <w:p>
      <w:pPr>
        <w:ind w:right="120" w:firstLine="318"/>
        <w:spacing w:after="0" w:line="284" w:lineRule="auto"/>
        <w:rPr>
          <w:sz w:val="20"/>
          <w:szCs w:val="20"/>
          <w:color w:val="auto"/>
        </w:rPr>
      </w:pPr>
      <w:r>
        <w:rPr>
          <w:rFonts w:ascii="Arial" w:cs="Arial" w:eastAsia="Arial" w:hAnsi="Arial"/>
          <w:sz w:val="13"/>
          <w:szCs w:val="13"/>
          <w:color w:val="212529"/>
        </w:rPr>
        <w:t>We cannot foresee if and when the COVID-19 pandemic will be effectively contained, nor can we predict the severity and durati</w:t>
      </w:r>
      <w:r>
        <w:rPr>
          <w:rFonts w:ascii="Arial" w:cs="Arial" w:eastAsia="Arial" w:hAnsi="Arial"/>
          <w:sz w:val="13"/>
          <w:szCs w:val="13"/>
          <w:color w:val="000000"/>
        </w:rPr>
        <w:t>on of the impact of the pandemic on our financial condition or</w:t>
      </w:r>
      <w:r>
        <w:rPr>
          <w:rFonts w:ascii="Arial" w:cs="Arial" w:eastAsia="Arial" w:hAnsi="Arial"/>
          <w:sz w:val="13"/>
          <w:szCs w:val="13"/>
          <w:color w:val="212529"/>
        </w:rPr>
        <w:t xml:space="preserve"> </w:t>
      </w:r>
      <w:r>
        <w:rPr>
          <w:rFonts w:ascii="Arial" w:cs="Arial" w:eastAsia="Arial" w:hAnsi="Arial"/>
          <w:sz w:val="13"/>
          <w:szCs w:val="13"/>
          <w:color w:val="000000"/>
        </w:rPr>
        <w:t>operations. We may experience additional disruptions to our clinical trials or supply chains, and closures of facilities, such as clinical trial sites, academic research centers and suppliers, including single source suppliers, and delays in interactions with regulatory agencies or obtaining approvals for our product candidates. In addition, the effects of COVID-19 on the financial markets could hamper our ability to raise additional finances. Additional public health crises and natural disasters, such as future epidemics or pandemics or those resulting from the effects of climate change, may arise in the future. Any of these events may materially and adversely affect our business operations and financial condition.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420"/>
        <w:spacing w:after="0" w:line="279" w:lineRule="auto"/>
        <w:rPr>
          <w:sz w:val="20"/>
          <w:szCs w:val="20"/>
          <w:color w:val="auto"/>
        </w:rPr>
      </w:pPr>
      <w:r>
        <w:rPr>
          <w:rFonts w:ascii="Arial" w:cs="Arial" w:eastAsia="Arial" w:hAnsi="Arial"/>
          <w:sz w:val="13"/>
          <w:szCs w:val="13"/>
          <w:b w:val="1"/>
          <w:bCs w:val="1"/>
          <w:i w:val="1"/>
          <w:iCs w:val="1"/>
          <w:color w:val="auto"/>
        </w:rPr>
        <w:t>Our strategy of obtaining additional rights to products, product candidates or technologies for the treatment of retinal diseases may not be successful. Although we entered into a license agreement with DelSiTech for its sustained release delivery technology, that technology may not be successful and/or we may not be successful in obtaining rights to and developing other sustained release delivery technologies for Zimura. We may not be successful in finding a collaborator for IC-100 and/or IC-200.</w:t>
      </w:r>
    </w:p>
    <w:p>
      <w:pPr>
        <w:spacing w:after="0" w:line="73"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212529"/>
        </w:rPr>
        <w:t>An element of our strategy over the past few years has been to expand our pipeline through in-licensing or acquiring the rights to products, product candidates or technologies that would complement our strategic goals as well as other compelling retina opportunities. Since early 2018, we have completed multiple acquisition, in-license, exclusive option and sponsored research arrangements for product candidates and other technologies intended to treat retinal diseases. For example, in June 2022, we entered into a license agreement, or the DelSiTech License Agreement, with DelSiTech Ltd., or DelSiTech, pursuant to which we obtained a worldwide, exclusive license under specified patent rights and know-how to develop and commercialize new formulations of Zimura using DelSiTech’s silica-based sustained release technology for treating diseases of the human eye. We plan to continue to evaluate additional opportunities to in-license or acquire products, product candidates and technologies on a selective and targeted basis, with a focus on potential additional sustained release delivery technologies for Zimura that are promising and meet our criteria. We may also continue to consider other alternatives, including mergers, acquisitions, asset purchases or sales and/or other transactions involving our company as a whole or other collaboration transactions, including potential collaboration or out-license opportunities for further development and potential commercialization of Zimura in one or more territories outside the United States and collaboration opportunities for further development and potential commercialization of IC-100 and/or IC-200. Our business development efforts may fail to result in our acquiring rights to additional products, product candidates or technologies, or may result in our consummating transactions with which you do not agree.</w:t>
      </w:r>
    </w:p>
    <w:p>
      <w:pPr>
        <w:spacing w:after="0" w:line="78"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212529"/>
        </w:rPr>
        <w:t>We may be unable to in-license or acquire the rights to any such products, product candidates or technologies from third parties for several reasons. The success of this strategy depends partly upon our ability to identify, select and acquire or in-license promis</w:t>
      </w:r>
      <w:r>
        <w:rPr>
          <w:rFonts w:ascii="Arial" w:cs="Arial" w:eastAsia="Arial" w:hAnsi="Arial"/>
          <w:sz w:val="13"/>
          <w:szCs w:val="13"/>
          <w:color w:val="000000"/>
        </w:rPr>
        <w:t>ing product candidates and technologies. For potential sustained release delivery technologies, that process typically involves</w:t>
      </w:r>
      <w:r>
        <w:rPr>
          <w:rFonts w:ascii="Arial" w:cs="Arial" w:eastAsia="Arial" w:hAnsi="Arial"/>
          <w:sz w:val="13"/>
          <w:szCs w:val="13"/>
          <w:color w:val="212529"/>
        </w:rPr>
        <w:t xml:space="preserve"> </w:t>
      </w:r>
      <w:r>
        <w:rPr>
          <w:rFonts w:ascii="Arial" w:cs="Arial" w:eastAsia="Arial" w:hAnsi="Arial"/>
          <w:sz w:val="13"/>
          <w:szCs w:val="13"/>
          <w:color w:val="000000"/>
        </w:rPr>
        <w:t>conducting a feasibility study of Zimura formulated with the sustained release delivery technology and analyzing the resulting formulation, which can be time-consuming, costly and uncertain in outcome. If a formulation is promising based on the analytical results, we could then proceed to negotiate a longer term collaboration. For example, we in-licensed DelSiTech’s silica-based sustained release technology after reviewing feasibility results that we believe are promising; however, further testing and studies may undermine our belief. The process of proposing, negotiating and implementing a license or acquisition of a product candidate or technology is lengthy and complex. With respect to potential product candidates or technologies for which we have entered into option agreements or sponsored research agreements for which we have option rights, our agreements generally do not have fixed economic or other key terms for definitive agreements, and we may not obtain favorable terms if and when we choose to exercise our option to acquire or in-license any product candidates or technologies.</w:t>
      </w:r>
    </w:p>
    <w:p>
      <w:pPr>
        <w:spacing w:after="0" w:line="84" w:lineRule="exact"/>
        <w:rPr>
          <w:sz w:val="20"/>
          <w:szCs w:val="20"/>
          <w:color w:val="auto"/>
        </w:rPr>
      </w:pPr>
    </w:p>
    <w:p>
      <w:pPr>
        <w:ind w:right="80" w:firstLine="318"/>
        <w:spacing w:after="0" w:line="257" w:lineRule="auto"/>
        <w:rPr>
          <w:sz w:val="20"/>
          <w:szCs w:val="20"/>
          <w:color w:val="auto"/>
        </w:rPr>
      </w:pPr>
      <w:r>
        <w:rPr>
          <w:rFonts w:ascii="Arial" w:cs="Arial" w:eastAsia="Arial" w:hAnsi="Arial"/>
          <w:sz w:val="14"/>
          <w:szCs w:val="14"/>
          <w:color w:val="212529"/>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More established companies may have a competitive advantage over us due to their size, cash resources and greater research, preclinical or clinical development, manufacturing or commercialization capabilities, while earlier stage companies may be more aggressive or have a higher risk tolerance. In addition, companies that perceive us to be a competitor may be unwilling to assign or license rights to us. Other sustained release delivery technology companies that we are working with may be less willing to enter into long-term license or collaborations with us in light of our DelSiTech license.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96"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212529"/>
        </w:rPr>
        <w:t>Further, any product candidate that we acquire or in-license would most likely require additional development efforts prior to commercial sale, including extensive clinical testing and approval by the FDA and applicable foreign regulatory authorities. For potential sustained release delivery technologies with Zimura, we expect any promising technologies, including our in-licensed DelSiTech’s silica-based sustained release delivery technology, would require extensive preclinical and clinical testing and investment in manufacturing before any potential approval by the FDA or other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83"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212529"/>
        </w:rPr>
        <w:t>If we are unable to successfully obtain rights to suitable product candidates or technologies, our business, financial condition and prospect</w:t>
      </w:r>
      <w:r>
        <w:rPr>
          <w:rFonts w:ascii="Arial" w:cs="Arial" w:eastAsia="Arial" w:hAnsi="Arial"/>
          <w:sz w:val="14"/>
          <w:szCs w:val="14"/>
          <w:color w:val="000000"/>
        </w:rPr>
        <w:t>s for growth could suffer. In addition, acquisitions and</w:t>
      </w:r>
      <w:r>
        <w:rPr>
          <w:rFonts w:ascii="Arial" w:cs="Arial" w:eastAsia="Arial" w:hAnsi="Arial"/>
          <w:sz w:val="14"/>
          <w:szCs w:val="14"/>
          <w:color w:val="212529"/>
        </w:rPr>
        <w:t xml:space="preserve"> </w:t>
      </w:r>
      <w:r>
        <w:rPr>
          <w:rFonts w:ascii="Arial" w:cs="Arial" w:eastAsia="Arial" w:hAnsi="Arial"/>
          <w:sz w:val="14"/>
          <w:szCs w:val="14"/>
          <w:color w:val="000000"/>
        </w:rPr>
        <w:t>in-licensing arrangements for product candidates</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right="260"/>
        <w:spacing w:after="0" w:line="262" w:lineRule="auto"/>
        <w:rPr>
          <w:sz w:val="20"/>
          <w:szCs w:val="20"/>
          <w:color w:val="auto"/>
        </w:rPr>
      </w:pPr>
      <w:r>
        <w:rPr>
          <w:rFonts w:ascii="Arial" w:cs="Arial" w:eastAsia="Arial" w:hAnsi="Arial"/>
          <w:sz w:val="14"/>
          <w:szCs w:val="14"/>
          <w:color w:val="auto"/>
        </w:rPr>
        <w:t>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addition, acquisitions and in-licenses may entail numerous operational, financial, regulatory and legal risks, including:</w:t>
      </w:r>
    </w:p>
    <w:p>
      <w:pPr>
        <w:spacing w:after="0" w:line="200" w:lineRule="exact"/>
        <w:rPr>
          <w:sz w:val="20"/>
          <w:szCs w:val="20"/>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exposure to known and unknown liabilities, including possible intellectual property infringement claims, violations of laws, tax liabilities and commercial disputes;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incurrence of substantial debt, dilutive issuances of securities or depletion of cash to pay for acquisitions or in-licensing transactions;</w:t>
      </w:r>
    </w:p>
    <w:p>
      <w:pPr>
        <w:spacing w:after="0" w:line="216"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4"/>
          <w:szCs w:val="14"/>
          <w:color w:val="auto"/>
        </w:rPr>
        <w:t>inability to receive regulatory clearance from government agencies, such as the Federal Trade Commission, to close transactions after announcement;</w:t>
      </w:r>
    </w:p>
    <w:p>
      <w:pPr>
        <w:spacing w:after="0" w:line="180" w:lineRule="exact"/>
        <w:rPr>
          <w:rFonts w:ascii="Arial" w:cs="Arial" w:eastAsia="Arial" w:hAnsi="Arial"/>
          <w:sz w:val="17"/>
          <w:szCs w:val="17"/>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higher than expected acquisition and integration costs;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difficulty in combining the operations and personnel of any acquired businesses with our operations and personnel;</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inability to maintain uniform standards, controls, procedures and policies;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restructuring charges related to eliminating redundancies or disposing of assets as part of any such combination;</w:t>
      </w:r>
    </w:p>
    <w:p>
      <w:pPr>
        <w:spacing w:after="0" w:line="199" w:lineRule="exact"/>
        <w:rPr>
          <w:rFonts w:ascii="Arial" w:cs="Arial" w:eastAsia="Arial" w:hAnsi="Arial"/>
          <w:sz w:val="14"/>
          <w:szCs w:val="14"/>
          <w:color w:val="auto"/>
        </w:rPr>
      </w:pPr>
    </w:p>
    <w:p>
      <w:pPr>
        <w:ind w:left="760" w:right="60" w:hanging="246"/>
        <w:spacing w:after="0" w:line="281"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increased amortization expenses or, in the event that we write-down the value of acquired assets, impairment losses;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impairment of relationships with key suppliers or customers of any acquired businesses due to changes in management and ownership;</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inability to retain personnel, key customers, distributors, vendors and other business collaborators integral to an in-licensed or acquired product candidate or technology;</w:t>
      </w:r>
    </w:p>
    <w:p>
      <w:pPr>
        <w:spacing w:after="0" w:line="199" w:lineRule="exact"/>
        <w:rPr>
          <w:rFonts w:ascii="Arial" w:cs="Arial" w:eastAsia="Arial" w:hAnsi="Arial"/>
          <w:sz w:val="14"/>
          <w:szCs w:val="14"/>
          <w:color w:val="auto"/>
        </w:rPr>
      </w:pPr>
    </w:p>
    <w:p>
      <w:pPr>
        <w:ind w:left="760" w:right="20" w:hanging="246"/>
        <w:spacing w:after="0" w:line="267"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data or product quality, revenue recognition or other accounting practices, partner disputes or issues and other legal and financial contingencies and known and unknown liabilities; and</w:t>
      </w:r>
    </w:p>
    <w:p>
      <w:pPr>
        <w:spacing w:after="0" w:line="162"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entry into therapeutic approaches, indications or markets in which we have no or limited direct prior development or commercial experience and where competitors in such markets have stronger market positions.</w:t>
      </w: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and certain of our current and former board members and executive officers were named as defendants in lawsuits that could result in substantial costs and divert management’s attention.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in the process of settling those lawsuits, but the settlements are not yet final.</w:t>
      </w:r>
    </w:p>
    <w:p>
      <w:pPr>
        <w:spacing w:after="0" w:line="115" w:lineRule="exact"/>
        <w:rPr>
          <w:sz w:val="20"/>
          <w:szCs w:val="20"/>
          <w:color w:val="auto"/>
        </w:rPr>
      </w:pPr>
    </w:p>
    <w:p>
      <w:pPr>
        <w:jc w:val="both"/>
        <w:ind w:right="180" w:firstLine="318"/>
        <w:spacing w:after="0" w:line="267" w:lineRule="auto"/>
        <w:rPr>
          <w:sz w:val="20"/>
          <w:szCs w:val="20"/>
          <w:color w:val="auto"/>
        </w:rPr>
      </w:pPr>
      <w:r>
        <w:rPr>
          <w:rFonts w:ascii="Arial" w:cs="Arial" w:eastAsia="Arial" w:hAnsi="Arial"/>
          <w:sz w:val="14"/>
          <w:szCs w:val="14"/>
          <w:color w:val="auto"/>
        </w:rPr>
        <w:t>We and certain of our current and former executive officers were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 3 trials for our prior product candidate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Fovista in combination with anti-VEGF agents for the treatment of wet AMD. Certain current and former members of our board of directors and current and former officers were also named as defendants in two shareholder derivative actions initiated in August 2018 and May 2021 respectively, which generally allege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On September 8, 2021, the parties in the class action executed a settlement agreement, which was submitted to the court for approval on that date and was preliminarily approved by the court on March 17, 2022. In April 2022, our directors’ and officers’ liability insurance paid the full amount of the settlement, including plaintiff counsel’s fees, directly to the plaintiffs’ escrow account. The shareholder derivative actions were stayed while a special litigation committee of our board of directors, or the SLC, investigated the allegations contained in the complaints. On October 18, 2021, the parties notified the court overseeing the Pacheco matter that they had reached an agreement in principle to settle the action. On January 27, 2022, the parties executed a settlement agreement, which has been submitted to the court for approval. We are unable, however, to predict the outcome of these matters at this time. Moreover, any conclusion of these matters in a manner adverse to us and for which we incur substantial costs or damages not covered by our directors’ and officers’ liability insurance could have a material adverse effect on our financial condition and business. In addition, the litigation, including in responding to discovery requests, caused our management and board of directors to divert time and attention to the litigation and could adversely impact our reputation, and if the litigation remains protracted, could further divert management and our board of directors’ attention and resources from other priorities, including the execution of our business plan and strategies that are important to our ability to grow our business, any of which could have a material adverse effect on our business. Regardless of whether these lawsuits are finally settled, additional lawsuits may be filed against us.</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Product Development and Commercialization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Companies in our industry face a wide range of challenging activities, each of which entails separate, and in many cases substantial, risk.</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long-term success of our company, and our ability to become profitable as a biopharmaceutical company, will require us to be successful in a range of challenging activities, including:</w:t>
      </w:r>
    </w:p>
    <w:p>
      <w:pPr>
        <w:spacing w:after="0" w:line="137" w:lineRule="exact"/>
        <w:rPr>
          <w:sz w:val="20"/>
          <w:szCs w:val="20"/>
          <w:color w:val="auto"/>
        </w:rPr>
      </w:pPr>
    </w:p>
    <w:p>
      <w:pPr>
        <w:ind w:left="760" w:hanging="246"/>
        <w:spacing w:after="0"/>
        <w:tabs>
          <w:tab w:leader="none" w:pos="7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designing, conducting and successfully completing preclinical research and development activities, including preclinical efficacy and IND-enabling studies, for our product candidates;</w:t>
      </w:r>
    </w:p>
    <w:p>
      <w:pPr>
        <w:spacing w:after="0" w:line="211" w:lineRule="exact"/>
        <w:rPr>
          <w:rFonts w:ascii="Arial" w:cs="Arial" w:eastAsia="Arial" w:hAnsi="Arial"/>
          <w:sz w:val="13"/>
          <w:szCs w:val="13"/>
          <w:color w:val="auto"/>
        </w:rPr>
      </w:pPr>
    </w:p>
    <w:p>
      <w:pPr>
        <w:ind w:left="760" w:right="80" w:hanging="246"/>
        <w:spacing w:after="0" w:line="267"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162" w:lineRule="exact"/>
        <w:rPr>
          <w:rFonts w:ascii="Arial" w:cs="Arial" w:eastAsia="Arial" w:hAnsi="Arial"/>
          <w:sz w:val="14"/>
          <w:szCs w:val="14"/>
          <w:color w:val="auto"/>
        </w:rPr>
      </w:pPr>
    </w:p>
    <w:p>
      <w:pPr>
        <w:ind w:left="760" w:hanging="246"/>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designing, conducting and completing clinical trials for our product candidates;</w:t>
      </w:r>
    </w:p>
    <w:p>
      <w:pPr>
        <w:spacing w:after="0" w:line="199" w:lineRule="exact"/>
        <w:rPr>
          <w:rFonts w:ascii="Arial" w:cs="Arial" w:eastAsia="Arial" w:hAnsi="Arial"/>
          <w:sz w:val="14"/>
          <w:szCs w:val="14"/>
          <w:color w:val="auto"/>
        </w:rPr>
      </w:pPr>
    </w:p>
    <w:p>
      <w:pPr>
        <w:ind w:left="760" w:right="20" w:hanging="246"/>
        <w:spacing w:after="0" w:line="281"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obtaining favorable results from required clinical trials, including for each ophthalmic product candidate, favorable results from two adequate and well-controlled pivotal clinical trials in the relevant indication;</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applying for and receiving marketing approvals from applicable regulatory authorities for the marketing and sale of our product candidates;</w:t>
      </w:r>
    </w:p>
    <w:p>
      <w:pPr>
        <w:spacing w:after="0" w:line="199" w:lineRule="exact"/>
        <w:rPr>
          <w:rFonts w:ascii="Arial" w:cs="Arial" w:eastAsia="Arial" w:hAnsi="Arial"/>
          <w:sz w:val="14"/>
          <w:szCs w:val="14"/>
          <w:color w:val="auto"/>
        </w:rPr>
      </w:pPr>
    </w:p>
    <w:p>
      <w:pPr>
        <w:ind w:left="760" w:right="160" w:hanging="246"/>
        <w:spacing w:after="0" w:line="267"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making arrangements with third-party manufacturers for scale-up and commercial manufacturing, validating and receiving regulatory approval of our manufacturing processes and our third-party manufacturers’ facilities and ensuring adequate supply of drug substance and drug product and starting materials used for the manufacture of drug substance and drug product;</w:t>
      </w:r>
    </w:p>
    <w:p>
      <w:pPr>
        <w:spacing w:after="0" w:line="162" w:lineRule="exact"/>
        <w:rPr>
          <w:rFonts w:ascii="Arial" w:cs="Arial" w:eastAsia="Arial" w:hAnsi="Arial"/>
          <w:sz w:val="14"/>
          <w:szCs w:val="14"/>
          <w:color w:val="auto"/>
        </w:rPr>
      </w:pPr>
    </w:p>
    <w:p>
      <w:pPr>
        <w:ind w:left="760" w:right="140" w:hanging="246"/>
        <w:spacing w:after="0" w:line="281"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establishing sales, marketing and distribution capabilities, either internally or through collaborations or other arrangements, to effectively market and sell our product candidates, if and when approved;</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achieving acceptance of the product candidate, if and when approved, by patients, the medical community and third-party payors;</w:t>
      </w:r>
    </w:p>
    <w:p>
      <w:pPr>
        <w:spacing w:after="0" w:line="199" w:lineRule="exact"/>
        <w:rPr>
          <w:rFonts w:ascii="Arial" w:cs="Arial" w:eastAsia="Arial" w:hAnsi="Arial"/>
          <w:sz w:val="14"/>
          <w:szCs w:val="14"/>
          <w:color w:val="auto"/>
        </w:rPr>
      </w:pPr>
    </w:p>
    <w:p>
      <w:pPr>
        <w:ind w:left="760" w:right="580" w:hanging="246"/>
        <w:spacing w:after="0" w:line="281"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hanging="246"/>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effectively competing with other therapies, including the existing standard of care, and other forms of drug delivery;</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maintaining a continued acceptable safety profile of the product candidate during development and following approval;</w:t>
      </w:r>
    </w:p>
    <w:p>
      <w:pPr>
        <w:spacing w:after="0" w:line="199" w:lineRule="exact"/>
        <w:rPr>
          <w:rFonts w:ascii="Arial" w:cs="Arial" w:eastAsia="Arial" w:hAnsi="Arial"/>
          <w:sz w:val="14"/>
          <w:szCs w:val="14"/>
          <w:color w:val="auto"/>
        </w:rPr>
      </w:pPr>
    </w:p>
    <w:p>
      <w:pPr>
        <w:ind w:left="760" w:right="60" w:hanging="246"/>
        <w:spacing w:after="0" w:line="281"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protecting and enforcing our rights in our intellectual property portfolio; and</w:t>
      </w:r>
    </w:p>
    <w:p>
      <w:pPr>
        <w:spacing w:after="0" w:line="199" w:lineRule="exact"/>
        <w:rPr>
          <w:rFonts w:ascii="Arial" w:cs="Arial" w:eastAsia="Arial" w:hAnsi="Arial"/>
          <w:sz w:val="14"/>
          <w:szCs w:val="14"/>
          <w:color w:val="auto"/>
        </w:rPr>
      </w:pPr>
    </w:p>
    <w:p>
      <w:pPr>
        <w:ind w:left="760" w:right="20" w:hanging="246"/>
        <w:spacing w:after="0" w:line="281" w:lineRule="auto"/>
        <w:tabs>
          <w:tab w:leader="none" w:pos="7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complying with all applicable regulatory requirements, including Good Laboratory Practices, or GLP, Good Clinical Practices, or GCP, current Good Manufacturing Practices, or cGMP, and standards, rules and regulations governing promotional and other marketing activities.</w:t>
      </w:r>
    </w:p>
    <w:p>
      <w:pPr>
        <w:spacing w:after="0" w:line="79"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82"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79"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Before obtaining approval from regulatory authorities for the sale of any product candidate, we must conduct extensive clinical trials to demonstrate the safety and efficacy of our product candidate in humans. Prior to initiating clinical trials, we must complete extensive preclinical testing of a product candidate, including, in most cases, preclinical efficacy experiments as well as IND-enabling toxicology studies. Drug research, including the gene therapy research we are pursuing, may never yield a product candidate for preclinical or clinical development. Early stage and later stage research experiments and preclinical studies, including the feasibility studies and analytical testing we are performing for potential sustained release delivery technologies for Zimura and the preclinical studies we are conducting and planning to conduct for IC-500, may fail at any point or produce unacceptable or inconclusive results for any number of reasons, and even if completed, may be time-consuming and expensive. As a result of these risks, a potentially promising product candidate may never be tested in humans. For example, we observed different findings across the two different species in which we tested IC-100 in preclinical toxicology studies, which caused us to evaluate our development options for this product candidate. At this time, we plan to seek a collaborator for the further development of this product candidate.</w:t>
      </w:r>
    </w:p>
    <w:p>
      <w:pPr>
        <w:spacing w:after="0" w:line="96" w:lineRule="exact"/>
        <w:rPr>
          <w:sz w:val="20"/>
          <w:szCs w:val="20"/>
          <w:color w:val="auto"/>
        </w:rPr>
      </w:pPr>
    </w:p>
    <w:p>
      <w:pPr>
        <w:ind w:right="80" w:firstLine="318"/>
        <w:spacing w:after="0" w:line="277" w:lineRule="auto"/>
        <w:rPr>
          <w:sz w:val="20"/>
          <w:szCs w:val="20"/>
          <w:color w:val="auto"/>
        </w:rPr>
      </w:pPr>
      <w:r>
        <w:rPr>
          <w:rFonts w:ascii="Arial" w:cs="Arial" w:eastAsia="Arial" w:hAnsi="Arial"/>
          <w:sz w:val="13"/>
          <w:szCs w:val="13"/>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a statistically significant efficacy signal. Additionally, although the 18-month results from our GATHER1 trial supported the 12-month results in this trial, at which time Zimura met the prespecified primary endpoint in reducing the mean rate of GA growth in patients with GA with statistical significance across both the Zimura 2 mg and Zimura 4 mg treatment groups when compared to the corresponding sham control groups while maintaining a favorable safety profile, these results may not be replicated in the GATHER2 trial or any future trials we may conduct for Zimura in GA or other indications. The results of our planned Phase 3 clinical trial studying Zimura in intermediate AMD may not replicate the results we observed after conducting post-hoc analyses of the GATHER1 data and the Phase 3 clinical trial may not be adequately powered to detect a difference in the primary endpoint with statistical significance.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0"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69" w:lineRule="exact"/>
        <w:rPr>
          <w:sz w:val="20"/>
          <w:szCs w:val="20"/>
          <w:color w:val="auto"/>
        </w:rPr>
      </w:pPr>
    </w:p>
    <w:p>
      <w:pPr>
        <w:ind w:left="760" w:right="160" w:hanging="246"/>
        <w:spacing w:after="0" w:line="28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we may not be able to generate sufficient preclinical, toxicology, or other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or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data to support the initiation of clinical trials for any preclinical product candidates that we are developing;</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or our contract manufacturers may be unable to develop a viable manufacturing process for any product candidates that we are developing;</w:t>
      </w:r>
    </w:p>
    <w:p>
      <w:pPr>
        <w:spacing w:after="0" w:line="189" w:lineRule="exact"/>
        <w:rPr>
          <w:rFonts w:ascii="Arial" w:cs="Arial" w:eastAsia="Arial" w:hAnsi="Arial"/>
          <w:sz w:val="14"/>
          <w:szCs w:val="14"/>
          <w:color w:val="auto"/>
        </w:rPr>
      </w:pPr>
    </w:p>
    <w:p>
      <w:pPr>
        <w:ind w:left="760" w:hanging="246"/>
        <w:spacing w:after="0" w:line="233"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supply or quality of our product candidates or other materials necessary to conduct preclinical development and clinical trials of our product candidates may be insufficient or we may face delays in the manufacture and supply of our product candidates for any number of reasons, including as a result of interruptions in our supply chain, including in relation to the procurement or quality of starting materials, such as the polyethylene glycol, or PEG, and dichloroacetic acid, or DCA, used for the manufacture of Zimura, and issues with the packaging, distribution, storage and import/export of materials and products;</w:t>
      </w:r>
    </w:p>
    <w:p>
      <w:pPr>
        <w:spacing w:after="0" w:line="170" w:lineRule="exact"/>
        <w:rPr>
          <w:rFonts w:ascii="Arial" w:cs="Arial" w:eastAsia="Arial" w:hAnsi="Arial"/>
          <w:sz w:val="14"/>
          <w:szCs w:val="14"/>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or our contract research organizations may be unable to complete necessary analytical method development for testing our product candidates;</w:t>
      </w:r>
    </w:p>
    <w:p>
      <w:pPr>
        <w:spacing w:after="0" w:line="199" w:lineRule="exact"/>
        <w:rPr>
          <w:rFonts w:ascii="Arial" w:cs="Arial" w:eastAsia="Arial" w:hAnsi="Arial"/>
          <w:sz w:val="14"/>
          <w:szCs w:val="14"/>
          <w:color w:val="auto"/>
        </w:rPr>
      </w:pPr>
    </w:p>
    <w:p>
      <w:pPr>
        <w:ind w:left="760" w:right="220" w:hanging="246"/>
        <w:spacing w:after="0" w:line="28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may not be able to successfully scale up or validate a manufacturing process for one or more of our product candidates, including the manufacturing process for Zimura, and may need to rely on second source suppliers for adequate supply of drug substance and/or drug product in line with our needs and expectations;</w:t>
      </w:r>
    </w:p>
    <w:p>
      <w:pPr>
        <w:spacing w:after="0" w:line="153" w:lineRule="exact"/>
        <w:rPr>
          <w:rFonts w:ascii="Arial" w:cs="Arial" w:eastAsia="Arial" w:hAnsi="Arial"/>
          <w:sz w:val="14"/>
          <w:szCs w:val="14"/>
          <w:color w:val="auto"/>
        </w:rPr>
      </w:pPr>
    </w:p>
    <w:p>
      <w:pPr>
        <w:ind w:left="760" w:right="160" w:hanging="246"/>
        <w:spacing w:after="0" w:line="28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153" w:lineRule="exact"/>
        <w:rPr>
          <w:rFonts w:ascii="Arial" w:cs="Arial" w:eastAsia="Arial" w:hAnsi="Arial"/>
          <w:sz w:val="14"/>
          <w:szCs w:val="14"/>
          <w:color w:val="auto"/>
        </w:rPr>
      </w:pPr>
    </w:p>
    <w:p>
      <w:pPr>
        <w:ind w:left="760" w:right="340" w:hanging="246"/>
        <w:spacing w:after="0" w:line="321" w:lineRule="auto"/>
        <w:tabs>
          <w:tab w:leader="none" w:pos="756" w:val="left"/>
        </w:tabs>
        <w:numPr>
          <w:ilvl w:val="0"/>
          <w:numId w:val="33"/>
        </w:numPr>
        <w:rPr>
          <w:rFonts w:ascii="Arial" w:cs="Arial" w:eastAsia="Arial" w:hAnsi="Arial"/>
          <w:sz w:val="13"/>
          <w:szCs w:val="13"/>
          <w:color w:val="auto"/>
        </w:rPr>
      </w:pPr>
      <w:r>
        <w:rPr>
          <w:rFonts w:ascii="Arial" w:cs="Arial" w:eastAsia="Arial" w:hAnsi="Arial"/>
          <w:sz w:val="13"/>
          <w:szCs w:val="13"/>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130" w:lineRule="exact"/>
        <w:rPr>
          <w:rFonts w:ascii="Arial" w:cs="Arial" w:eastAsia="Arial" w:hAnsi="Arial"/>
          <w:sz w:val="13"/>
          <w:szCs w:val="13"/>
          <w:color w:val="auto"/>
        </w:rPr>
      </w:pPr>
    </w:p>
    <w:p>
      <w:pPr>
        <w:ind w:left="760" w:right="120" w:hanging="246"/>
        <w:spacing w:after="0" w:line="28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153" w:lineRule="exact"/>
        <w:rPr>
          <w:rFonts w:ascii="Arial" w:cs="Arial" w:eastAsia="Arial" w:hAnsi="Arial"/>
          <w:sz w:val="14"/>
          <w:szCs w:val="14"/>
          <w:color w:val="auto"/>
        </w:rPr>
      </w:pPr>
    </w:p>
    <w:p>
      <w:pPr>
        <w:ind w:left="760" w:right="400" w:hanging="246"/>
        <w:spacing w:after="0" w:line="28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153" w:lineRule="exact"/>
        <w:rPr>
          <w:rFonts w:ascii="Arial" w:cs="Arial" w:eastAsia="Arial" w:hAnsi="Arial"/>
          <w:sz w:val="14"/>
          <w:szCs w:val="14"/>
          <w:color w:val="auto"/>
        </w:rPr>
      </w:pPr>
    </w:p>
    <w:p>
      <w:pPr>
        <w:ind w:left="760" w:right="80" w:hanging="246"/>
        <w:spacing w:after="0" w:line="267"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through our clinical trial sites, may not be able to maintain enrolled patients for scheduled visits and treatments, or to retain patients altogether, especially in light of the COVID-19 pandemic, which could result in missing data from our clinical trials, potentially leading to uninterpretable results or a clinical trial not being sufficiently powered to demonstrate an efficacy benefit;</w:t>
      </w:r>
    </w:p>
    <w:p>
      <w:pPr>
        <w:spacing w:after="0" w:line="162" w:lineRule="exact"/>
        <w:rPr>
          <w:rFonts w:ascii="Arial" w:cs="Arial" w:eastAsia="Arial" w:hAnsi="Arial"/>
          <w:sz w:val="14"/>
          <w:szCs w:val="14"/>
          <w:color w:val="auto"/>
        </w:rPr>
      </w:pPr>
    </w:p>
    <w:p>
      <w:pPr>
        <w:ind w:left="760" w:right="580" w:hanging="246"/>
        <w:spacing w:after="0" w:line="28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153" w:lineRule="exact"/>
        <w:rPr>
          <w:rFonts w:ascii="Arial" w:cs="Arial" w:eastAsia="Arial" w:hAnsi="Arial"/>
          <w:sz w:val="14"/>
          <w:szCs w:val="14"/>
          <w:color w:val="auto"/>
        </w:rPr>
      </w:pPr>
    </w:p>
    <w:p>
      <w:pPr>
        <w:ind w:left="760" w:right="100" w:hanging="246"/>
        <w:spacing w:after="0" w:line="28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there are no therapies approved for GA, intermediate AMD, or Stargardt disease, in either the United States or the European Union, the regulatory pathway for product candidates in those indications, including the selection of efficacy endpoints and their clinical meaningfulness, is highly uncertain;</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there may be changes in regulatory requirements and guidance or we may have changes in trial design that require amending or submitting new clinical trial protocols;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there may be changes in the standard of care on which a clinical development plan was based, which may require new or additional trials;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760" w:right="400" w:hanging="246"/>
        <w:spacing w:after="0" w:line="281" w:lineRule="auto"/>
        <w:tabs>
          <w:tab w:leader="none" w:pos="756"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may decide, or regulators may require us, to conduct additional clinical trials or nonclinical studies beyond those we currently contemplate or to abandon product development programs;</w:t>
      </w:r>
    </w:p>
    <w:p>
      <w:pPr>
        <w:spacing w:after="0" w:line="153" w:lineRule="exact"/>
        <w:rPr>
          <w:rFonts w:ascii="Arial" w:cs="Arial" w:eastAsia="Arial" w:hAnsi="Arial"/>
          <w:sz w:val="14"/>
          <w:szCs w:val="14"/>
          <w:color w:val="auto"/>
        </w:rPr>
      </w:pPr>
    </w:p>
    <w:p>
      <w:pPr>
        <w:ind w:left="760" w:right="80" w:hanging="246"/>
        <w:spacing w:after="0" w:line="267" w:lineRule="auto"/>
        <w:tabs>
          <w:tab w:leader="none" w:pos="75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number of patients required for clinical trials of our product candidates to demonstrate statistically significant results may be larger than we anticipate. This risk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pacing w:after="0" w:line="162" w:lineRule="exact"/>
        <w:rPr>
          <w:rFonts w:ascii="Arial" w:cs="Arial" w:eastAsia="Arial" w:hAnsi="Arial"/>
          <w:sz w:val="14"/>
          <w:szCs w:val="14"/>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cost of clinical trials of our product candidates, including the costs of manufacturing activities to support those clinical trials, may be greater than we anticipate.</w:t>
      </w:r>
    </w:p>
    <w:p>
      <w:pPr>
        <w:spacing w:after="0" w:line="200"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If we are required to conduct additional clinical trials or other testing of our product candidates beyond those that we contemplate, if we otherwise change our clinical development plans, if we are unable to successfully complete clinical trials of our product candidates or other testing, if the results of these trials or tests are not positive or are only modestly positive or if there are safety concerns, we may:</w:t>
      </w:r>
    </w:p>
    <w:p>
      <w:pPr>
        <w:spacing w:after="0" w:line="163" w:lineRule="exact"/>
        <w:rPr>
          <w:sz w:val="20"/>
          <w:szCs w:val="20"/>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be delayed in obtaining marketing approval for our product candidates;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not obtain marketing approval at all;</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obtain approval for indications or patient populations that are not as broad as intended or desired;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obtain approval with labeling that includes significant use limitations, distribution restrictions or safety warnings, including boxed warnings;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be subject to additional post-marketing testing requirements; or</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have the product removed from the market after obtaining marketing approval.</w:t>
      </w:r>
    </w:p>
    <w:p>
      <w:pPr>
        <w:spacing w:after="0" w:line="179" w:lineRule="exact"/>
        <w:rPr>
          <w:sz w:val="20"/>
          <w:szCs w:val="20"/>
          <w:color w:val="auto"/>
        </w:rPr>
      </w:pPr>
    </w:p>
    <w:p>
      <w:pPr>
        <w:ind w:right="40" w:firstLine="318"/>
        <w:spacing w:after="0" w:line="276" w:lineRule="auto"/>
        <w:rPr>
          <w:sz w:val="20"/>
          <w:szCs w:val="20"/>
          <w:color w:val="auto"/>
        </w:rPr>
      </w:pPr>
      <w:r>
        <w:rPr>
          <w:rFonts w:ascii="Arial" w:cs="Arial" w:eastAsia="Arial" w:hAnsi="Arial"/>
          <w:sz w:val="13"/>
          <w:szCs w:val="13"/>
          <w:color w:val="auto"/>
        </w:rPr>
        <w:t>Despite our ongoing efforts, we may not complete any of our ongoing or planned development activities for our product candidates. The timing of the completion of, and the availability of results from, development activities is difficult to predict. For clinical trials in particular, we do not know whether they will begin as planned, will need to be restructured or will be completed on schedule, or at all. The progress of our clinical trials may be dependent on macro-economic events beyond our control, such as the COVID-19 pandemic and the ongoing military conflict between Russia and Ukraine. For example, the pandemic and governmental measures instituted in response to the pandemic have caused a number of missed visits in the GATHER2 trial and may cause additional patients to miss visits or drop out of the trial, which could result in missing data from this trial. Furthermore, our development plans may change based on feedback we may receive from regulatory authorities throughout the development process or for other reasons. For example, our expectations regarding the remaining clinical requirements to demonstrate the safety and efficacy of Zimura for the treatment of GA in a manner sufficient to support an application for marketing approval to the FDA are based on the Special Protocol Assessment, or SPA, we received from the FDA for the GATHER2 trial and our review of the 12-month and 18-month data from the GATHER1 trial. Our expectations regarding the minimum clinical requirements to demonstrate the safety and efficacy of Zimura for GA may change as we continue to have interactions with the FDA and potentially with the EMA and other regulatory authorities, as we conduct our GATHER2 trial, and as new regulatory or third party information, including that of our competitors, third-party clinical data or information from prospective collaborators or licensees, becomes available. If we 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142"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Our development of Zimura is based on a novel mechanism of action that is unproven in GA, intermediate AMD and STGD1 and poses a number of scientific and other risks, and we may not be successful in developing Zimura in the indications we are pursuing or in any other indication we may choose to pursue.</w:t>
      </w:r>
    </w:p>
    <w:p>
      <w:pPr>
        <w:spacing w:after="0" w:line="132" w:lineRule="exact"/>
        <w:rPr>
          <w:sz w:val="20"/>
          <w:szCs w:val="20"/>
          <w:color w:val="auto"/>
        </w:rPr>
      </w:pPr>
    </w:p>
    <w:p>
      <w:pPr>
        <w:jc w:val="both"/>
        <w:ind w:right="40" w:firstLine="318"/>
        <w:spacing w:after="0" w:line="267" w:lineRule="auto"/>
        <w:rPr>
          <w:sz w:val="20"/>
          <w:szCs w:val="20"/>
          <w:color w:val="auto"/>
        </w:rPr>
      </w:pPr>
      <w:r>
        <w:rPr>
          <w:rFonts w:ascii="Arial" w:cs="Arial" w:eastAsia="Arial" w:hAnsi="Arial"/>
          <w:sz w:val="14"/>
          <w:szCs w:val="14"/>
          <w:color w:val="auto"/>
        </w:rPr>
        <w:t>We are currently targeting GA and intermediate AMD, which are an advanced form and an earlier form of AMD, respectively,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60"/>
        <w:spacing w:after="0" w:line="288" w:lineRule="auto"/>
        <w:rPr>
          <w:sz w:val="20"/>
          <w:szCs w:val="20"/>
          <w:color w:val="auto"/>
        </w:rPr>
      </w:pPr>
      <w:r>
        <w:rPr>
          <w:rFonts w:ascii="Arial" w:cs="Arial" w:eastAsia="Arial" w:hAnsi="Arial"/>
          <w:sz w:val="13"/>
          <w:szCs w:val="13"/>
          <w:color w:val="auto"/>
        </w:rPr>
        <w:t>for pursuing the development of inhibitors of the complement system as potential pharmaceutical treatments for GA, and that the results from our GATHER1 trial of Zimura in GA and from a competitor’s trials of its complement inhibitor in GA support our view, this approach may not prove successful for treating GA in a clinically meaningful way. Similarly, although there is nonclinical scientific literature supporting the potential use of complement system inhibitors for the treatment of STGD1, we have not yet completed a clinical trial assessing Zimura for the treatment of STGD1 and do not have any unmasked data regarding the efficacy of Zimura in this indication. As a result, this approach may not prove clinically successful.</w:t>
      </w:r>
    </w:p>
    <w:p>
      <w:pPr>
        <w:spacing w:after="0" w:line="131" w:lineRule="exact"/>
        <w:rPr>
          <w:sz w:val="20"/>
          <w:szCs w:val="20"/>
          <w:color w:val="auto"/>
        </w:rPr>
      </w:pPr>
    </w:p>
    <w:p>
      <w:pPr>
        <w:ind w:right="200" w:firstLine="318"/>
        <w:spacing w:after="0" w:line="288" w:lineRule="auto"/>
        <w:rPr>
          <w:sz w:val="20"/>
          <w:szCs w:val="20"/>
          <w:color w:val="auto"/>
        </w:rPr>
      </w:pPr>
      <w:r>
        <w:rPr>
          <w:rFonts w:ascii="Arial" w:cs="Arial" w:eastAsia="Arial" w:hAnsi="Arial"/>
          <w:sz w:val="13"/>
          <w:szCs w:val="13"/>
          <w:color w:val="auto"/>
        </w:rPr>
        <w:t>Zimura is designed to inhibit complement protein C5. There are no FDA or EMA approved products that utilize C5 inhibition as a mechanism of action to treat GA, intermediate AMD or STGD1. There have been other investigational products using complement inhibition as a mechanism of action for the treatment of GA, including inhibition of C5, that ultimately proved to be unsuccessful. Even though our GATHER1 trial of Zimura in GA met its prespecified primary endpoint at month 12 and continued to show positive treatment effect at month 18, this mechanism of action may not prove safe and effective for the treatment of GA, intermediate AMD, STGD1 or any other indication for which we may develop Zimura.</w:t>
      </w:r>
    </w:p>
    <w:p>
      <w:pPr>
        <w:spacing w:after="0" w:line="152"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We are planning to initiate clinical development of Zimura in intermediate AMD based on results from post-hoc analyses of data from our GATHER1 trial. Although there is nonclinical scientific literature supporting the potential use of complement system inhibitors for the treatment of intermediate AMD, we have not yet conducted a clinical trial assessing Zimura for the treatment of intermediate AMD. Intermediate AMD is a developing field of study whose patient population continues to be defined by, and any primary endpoints used to assess any treatments are new for, the medical community, and as such, the patient population and primary endpoint we choose for our planned Phase 3 clinical trial may not be accepted by regulators. We intend to seek regulatory feedback before initiating this trial, and regulatory authorities may disagree with our development and regulatory plans and strategy. We may also decide to pursue clinical development of Zimura for other indications, including those we previously studied such as wet AMD and IPCV. Similar to GA and STGD1, Zimura, and the use of C5 inhibition, are unproven in those indications and we may not be successful in our efforts to develop Zimura for those indications.</w:t>
      </w:r>
    </w:p>
    <w:p>
      <w:pPr>
        <w:spacing w:after="0" w:line="151"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b w:val="1"/>
          <w:bCs w:val="1"/>
          <w:i w:val="1"/>
          <w:iCs w:val="1"/>
          <w:color w:val="auto"/>
        </w:rPr>
        <w:t>The GATHER2 trial may yield results that are different from the results observed in the GATHER1 trial. An unfavorable result from the GATHER2 trial likely would materially and adversely affect our ability to obtain approval for Zimura in GA.</w:t>
      </w:r>
    </w:p>
    <w:p>
      <w:pPr>
        <w:spacing w:after="0" w:line="132"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Unlike the GATHER1 trial, the GATHER2 trial includes only one treatment arm, Zimura 2 mg, in addition to a control arm. Several Phase 3 clinical trials for ophthalmic product candidates that have been, or are currently being, conducted by other sponsors include multiple treatment arms, either different doses or treatment regimens, in addition to a control arm. The FDA has expressed that including multiple study doses or treatment regimens within a single trial helps mitigate the risk of bias in the trial and is therefore recommended, although not required. We believe that the anatomical measure used as the primary efficacy endpoint in our GATHER2 trial, the mean rate of growth (slope) estimated based on GA area, as evaluated by an independent, masked reading center, is not subject to bias. We have decided to proceed with only one treatment arm in the GATHER2 trial consisting of a single monthly administration of Zimura 2 mg, because the 12-month data from the GATHER1 trial suggested that monthly administration of Zimura 2 mg provides a similar benefit (approximately 27%) in reducing the mean rate of GA growth over 12 months as compared to the corresponding sham control group, as measured by our primary endpoint, as Zimura 4 mg, and these results are supported by the results of the 18-month data, and because we want to avoid the treatment burden associated with the Zimura 4 mg dose evaluated in our GATHER1 trial. If the results from GATHER2 are positive, we plan to seek approval for the 2 mg dose of Zimura in GA. Additionally, for our GATHER2 trial, because we want to begin to evaluate the efficacy of a less frequent dosing regimen, we are re-randomizing the patients in the monthly Zimura 2 mg treatment arm at 12 months and evaluating dosing Zimura 2 mg every other month, a dosing regimen which we have not previously studied, in half of those patients during the second 12 months of the trial. The GATHER2 trial, however, is not designed to reliably assess any differences we observe between these treatment groups at 24 months with statistical significance and the label we would seek for Zimura in GA, if the results from the GATHER2 trial are positive, would in all likelihood provide for monthly administration of Zimura.</w:t>
      </w:r>
    </w:p>
    <w:p>
      <w:pPr>
        <w:spacing w:after="0" w:line="144" w:lineRule="exact"/>
        <w:rPr>
          <w:sz w:val="20"/>
          <w:szCs w:val="20"/>
          <w:color w:val="auto"/>
        </w:rPr>
      </w:pPr>
    </w:p>
    <w:p>
      <w:pPr>
        <w:ind w:right="160" w:firstLine="318"/>
        <w:spacing w:after="0" w:line="297" w:lineRule="auto"/>
        <w:rPr>
          <w:sz w:val="20"/>
          <w:szCs w:val="20"/>
          <w:color w:val="auto"/>
        </w:rPr>
      </w:pPr>
      <w:r>
        <w:rPr>
          <w:rFonts w:ascii="Arial" w:cs="Arial" w:eastAsia="Arial" w:hAnsi="Arial"/>
          <w:sz w:val="13"/>
          <w:szCs w:val="13"/>
          <w:color w:val="auto"/>
        </w:rPr>
        <w:t>We are conducting the GATHER2 trial at many clinical trial sites and in many countries that were not included in the GATHER1 trial. The introduction of new sites, and the resulting involvement of new treating physicians, as well as potentially different patient demographics, can introduce additional variability into the conduct of the trial and may result in greater variability of patient outcomes, which could adversely affect our ability to detect statistically significant differences between patients treated with Zimura 2 mg and patients receiving sham control.</w:t>
      </w:r>
    </w:p>
    <w:p>
      <w:pPr>
        <w:spacing w:after="0" w:line="124"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In addition, the 12-month and 18-month data from the GATHER1 trial suggested there is an overall dose response relationship in which higher doses of Zimura (for example, the 4 mg and the 2 mg doses) corresponded to a greater reduction in the mean rate of GA growth as compared to the corresponding sham group as compared to lower doses of Zimura (for example, the 1 mg dose). For our GATHER2 trial, for the reasons stated above, we have decided to proceed with only a 2 mg dose treatment arm and not include a 4 mg dose treatment arm. The 2 mg dose may prove not to be efficacious in treating GA.</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Additionally, unlike the protocol for the GATHER1 trial, the protocol of the GATHER2 trial provides that patients who develop CNV in the study eye in the trial may remain in the trial and receive either Lucentis® or Eylea® in accordance with the label for that anti-VEGF agent, and that measurements of these patients' GA will be included in the primary efficacy analysis if their fundus autofluorescence, or FAF, images can be assessed by the masked reading center. The retention of these patients in the GATHER2 trial may introduce additional variability not present in the GATHER1 trial, as we do not have any data regarding the progression of GA in patients with CNV who receive treatment with an anti-VEGF agent. Moreover, if a significant number of patients develop CNV in the study eye and these patients' FAF images are not reliably assessable, or if more patients than we anticipate drop out or their data is otherwise missing, any such occurrence would reduce the number of patients from whom data is available for analyzing the primary endpoint for this trial and the GATHER2 trial could be underpowered to demonstrate a potential clinical benefit for Zimura in GA with statistical significance.</w:t>
      </w:r>
    </w:p>
    <w:p>
      <w:pPr>
        <w:spacing w:after="0" w:line="172" w:lineRule="exact"/>
        <w:rPr>
          <w:sz w:val="20"/>
          <w:szCs w:val="20"/>
          <w:color w:val="auto"/>
        </w:rPr>
      </w:pPr>
    </w:p>
    <w:p>
      <w:pPr>
        <w:ind w:right="60" w:firstLine="255"/>
        <w:spacing w:after="0" w:line="260" w:lineRule="auto"/>
        <w:rPr>
          <w:sz w:val="20"/>
          <w:szCs w:val="20"/>
          <w:color w:val="auto"/>
        </w:rPr>
      </w:pPr>
      <w:r>
        <w:rPr>
          <w:rFonts w:ascii="Arial" w:cs="Arial" w:eastAsia="Arial" w:hAnsi="Arial"/>
          <w:sz w:val="14"/>
          <w:szCs w:val="14"/>
          <w:color w:val="auto"/>
        </w:rPr>
        <w:t>In April 2022, we announced results from a retrospective analysis, based on review of OCT images, of the cases of CNV among the patients in the Zimura 2 mg arm in the GATHER1 trial. As part of this review, we made a number of hypotheses about classifying cases of CNV as exudative macular neovascularization or non-exudative macular neovascularization based on certain OCT criteria, and the clinical significance of the presence of a double-layer sign at baseline. This area is an evolving field of study among the medical community and our hypotheses may later prove to be incorrect. We also intend to perform a similar review of the cases of CNV among patients in the GATHER2 trial, and the results from that review may differ from the results we observed in this review from the GATHER1 trial.</w:t>
      </w:r>
    </w:p>
    <w:p>
      <w:pPr>
        <w:spacing w:after="0" w:line="146"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b w:val="1"/>
          <w:bCs w:val="1"/>
          <w:i w:val="1"/>
          <w:iCs w:val="1"/>
          <w:color w:val="auto"/>
        </w:rPr>
        <w:t>Our intended regulatory pathway for generating sufficient safety and efficacy data to apply for and potentially obtain marketing approval for Zimura for GA is subject to several assumptions, including that we may be able to rely on the results from our GATHER1 and GATHER2 trials. Although we received a written agreement from the FDA under a SPA for the overall design of GATHER2 and the FDA indicated that as part of a future NDA submission, it will consider the GATHER1 data using the original prespecified primary efficacy endpoint analysis, together with the new FDA preferred method that we are using for GATHER2, the FDA, the EMA or other regulatory authorities may not accept the design or results of the GATHER1 or GATHER2 trials. We may decide to or may be required to enroll additional patients, collect additional safety data or conduct additional clinical trials or nonclinical studies to seek or obtain approval for Zimura in GA.</w:t>
      </w:r>
    </w:p>
    <w:p>
      <w:pPr>
        <w:spacing w:after="0" w:line="150" w:lineRule="exact"/>
        <w:rPr>
          <w:sz w:val="20"/>
          <w:szCs w:val="20"/>
          <w:color w:val="auto"/>
        </w:rPr>
      </w:pPr>
    </w:p>
    <w:p>
      <w:pPr>
        <w:ind w:firstLine="255"/>
        <w:spacing w:after="0" w:line="301" w:lineRule="auto"/>
        <w:rPr>
          <w:sz w:val="20"/>
          <w:szCs w:val="20"/>
          <w:color w:val="auto"/>
        </w:rPr>
      </w:pPr>
      <w:r>
        <w:rPr>
          <w:rFonts w:ascii="Arial" w:cs="Arial" w:eastAsia="Arial" w:hAnsi="Arial"/>
          <w:sz w:val="12"/>
          <w:szCs w:val="12"/>
          <w:color w:val="auto"/>
        </w:rPr>
        <w:t>Based on the results of our GATHER1 trial, additional statistical analysis we have performed and discussions we have had with the FDA, we believe that the efficacy results from this trial would satisfy the FDA’s requirements as one of the two pivotal clinical trials typically required for marketing approval. This belief is based on many assumptions, including that a reduction in mean rate of GA growth over 12 months, measured by FAF based on readings at three time points: baseline, month 6 and month 12, calculated using the square root transformation of the GA area, is a primary endpoint of clinical relevance, in the absence of a demonstrated reduction in the loss of vision. The FDA, the EMA or other regulatory authorities may not agree with our view that the observed reduction in the rate of GA growth, calculated using the square root transformation, is clinically relevant or meaningful, or may require us to correlate this reduction in rate of GA growth with another outcome more directly associated with visual function. We understand that many regulatory authorities outside the United States, including those in Europe, may require a sponsor to show a functional benefit to vision for marketing approval in GA. If we are required to show a functional benefit to vision to obtain marketing approval, we may need to conduct additional clinical trials or sub-studies, which may not ultimately demonstrate a functional benefit to vision to the satisfaction of these regulatory authorities. Since receiving the 12-month results from the GATHER1 trial, we have not had any interactions with the EMA regarding the GATHER1 data or the design of GATHER2. The FDA, the EMA or other regulatory authorities may also disagree with our conclusion regarding the robustness of the data from the GATHER1 trial based on our sensitivity analyses or may conduct their own sensitivity analyses yielding different results. Even if we meet with the FDA, EMA or other regulatory authorities, we likely will not have an opportunity to obtain definitive confirmation from the FDA, EMA or other regulatory authorities regarding the sufficiency or robustness of the data from our clinical trials, including the GATHER1 trial, until such time as we submit an application for marketing approval and receive a response from the applicable authority. If the GATHER1 trial results are not considered robust, or if regulatory authorities do not accept the study designs of GATHER1 or GATHER2, then in order to seek marketing approval we may need to conduct, in addition to the GATHER2 trial, one or more additional, adequate and well-controlled clinical trials that meet the applicable regulatory requirements in order to obtain marketing approval.</w:t>
      </w:r>
    </w:p>
    <w:p>
      <w:pPr>
        <w:spacing w:after="0" w:line="297"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In parallel discussions with those for the GATHER2 SPA, the FDA indicated that, as part of a future NDA for Zimura, it would consider the results from GATHER1 using the original prespecified primary efficacy endpoint analysis, together with a post-hoc analysis we performed using the FDA-preferred method that will be used for the GATHER2 trial (mean rate of growth (slope) estimated based on GA area measured by FAF in the relevant timepoints). Although we believe that the post-hoc analyses from the GATHER1 trial are consistent with the positive results from the original prespecified analysis from the trial, any analyses, whether prespecified or post-hoc, that are intended to support an application for marketing approval are a matter of review for the FDA and other regulatory authorities, who may disagree with our methodologies and analyses for any number of reasons. The FDA, EMA or other regulatory authorities may take issue with the number of modifications we introduced to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the GATHER1 trial following its commencement, which they may view as introducing additional uncontrolled variables. The FDA, EMA or other regulatory authorities may also take issue with the degree of data that are missing from the clinical data set from our GATHER1 trial, or with the rate at which patients withdrew from the trial. To the extent patients miss critical visits or drop out of the GATHER2 trial, we face a similar risk with GATHER2.</w:t>
      </w:r>
    </w:p>
    <w:p>
      <w:pPr>
        <w:spacing w:after="0" w:line="142" w:lineRule="exact"/>
        <w:rPr>
          <w:sz w:val="20"/>
          <w:szCs w:val="20"/>
          <w:color w:val="auto"/>
        </w:rPr>
      </w:pPr>
    </w:p>
    <w:p>
      <w:pPr>
        <w:ind w:firstLine="318"/>
        <w:spacing w:after="0" w:line="275" w:lineRule="auto"/>
        <w:rPr>
          <w:sz w:val="20"/>
          <w:szCs w:val="20"/>
          <w:color w:val="auto"/>
        </w:rPr>
      </w:pPr>
      <w:r>
        <w:rPr>
          <w:rFonts w:ascii="Arial" w:cs="Arial" w:eastAsia="Arial" w:hAnsi="Arial"/>
          <w:sz w:val="13"/>
          <w:szCs w:val="13"/>
          <w:color w:val="auto"/>
        </w:rPr>
        <w:t>Based on discussions with the FDA, following the GATHER1 trial, we believe we need to conduct one additional clinical trial with enough patients such that we will have safety data for a minimum of 300 patients having received the dose of Zimura for which we are seeking approval, or a higher Zimura dose, independent of indication, for a minimum of 12 months, with 24-month safety data available for some portion, but not all, of these 300 patients. We believe that if we were to file an application for marketing approval for Zimura for GA, we would be able to rely on safety data from our GATHER1 and GATHER2 trials in GA secondary to AMD, as well as our STAR trial evaluating Zimura for STGD1. We also believe that, if the data from the GATHER2 trial are positive, we would be able to submit our application following the primary efficacy and safety analysis for the GATHER2 trial at the 12-month time point, without waiting for the full 24-month data package. We have designed our GATHER2 trial to meet these requirements, which, as we understand them, and if data from the GATHER2 trial are positive, will permit us to seek marketing approval for Zimura for GA in the United States and potentially the European Union. Since receiving the 12-month results from the GATHER1 trial, we have not had any scientific advice or other formal interactions with the EMA or competent national authorities in the European Union or United Kingdom regarding the sufficiency of the GATHER1 and GATHER2 trials, including our primary efficacy endpoint analyses, to support an application for marketing approval. As we continue to engage with regulatory authorities, including in Europe, we may receive feedback that is not consistent with our expectations, including potential disagreements by the EMA and other regulatory authorities with what we understand are the requirements of the FDA. Regulatory authorities may require us to enroll additional patients, collect additional safety data, conduct additional trials or take other actions, which would require us to revise our development plans for Zimura, including potentially changing the design of the GATHER2 trial, increase the costs of our Zimura clinical programs and delay our expected timelines. For example, based on our assessment of the data we have collected for Zimura to date and the requirements of regulatory authorities, we are conducting a pharmacokinetic substudy involving a portion of the patients enrolled in the GATHER2 trial and an additional nonclinical study of Zimura. Any delays or unfavorable results from those studies may impact our timelines for seeking and potentially obtaining approval for Zimura in GA. In addition, because of the COVID-19 pandemic or other reasons, we may experience a higher than anticipated rate of dropouts and missed visits and treatments in our GATHER2 and STAR trials, which could result in our not having adequate safety data for a sufficient number of patients to obtain marketing approval in GA, even if the primary efficacy endpoint is met and the results from the GATHER2 trial are otherwise positive.</w:t>
      </w:r>
    </w:p>
    <w:p>
      <w:pPr>
        <w:spacing w:after="0" w:line="144" w:lineRule="exact"/>
        <w:rPr>
          <w:sz w:val="20"/>
          <w:szCs w:val="20"/>
          <w:color w:val="auto"/>
        </w:rPr>
      </w:pPr>
    </w:p>
    <w:p>
      <w:pPr>
        <w:ind w:right="60" w:firstLine="318"/>
        <w:spacing w:after="0" w:line="280" w:lineRule="auto"/>
        <w:rPr>
          <w:sz w:val="20"/>
          <w:szCs w:val="20"/>
          <w:color w:val="auto"/>
        </w:rPr>
      </w:pPr>
      <w:r>
        <w:rPr>
          <w:rFonts w:ascii="Arial" w:cs="Arial" w:eastAsia="Arial" w:hAnsi="Arial"/>
          <w:sz w:val="13"/>
          <w:szCs w:val="13"/>
          <w:color w:val="auto"/>
        </w:rPr>
        <w:t>Furthermore, our previous and ongoing Zimura clinical trials have evaluated Zimura dosing levels and regimens that we have studied only in cohorts consisting of a small number of patients. This approach may increase the risk that patients in our ongoing trials experience adverse events and/or serious adverse events (either ocular, systemic or both) that we have not observed or at rates that we have not observed in prior trials. Although we have not observed any adverse events or serious adverse events attributable by the investigators to the drug product in our GATHER1 trial, they may manifest in our GATHER2 trial, in our STAR trial or in any other subsequent clinical trials we or a potential collaborator may undertake for Zimura. When we follow patients for a longer period of time or collect safety data from a greater number of patients, we may observe safety events that we have not previously observed. For a further discussion of the safety risks in our trials, see the risk factor herein entitled “</w:t>
      </w:r>
      <w:r>
        <w:rPr>
          <w:rFonts w:ascii="Arial" w:cs="Arial" w:eastAsia="Arial" w:hAnsi="Arial"/>
          <w:sz w:val="13"/>
          <w:szCs w:val="13"/>
          <w:i w:val="1"/>
          <w:iCs w:val="1"/>
          <w:color w:val="auto"/>
        </w:rPr>
        <w:t>If serious adverse or unacceptable side effects are identified during the development of our product candidates, we may need to abandon or limit our development of such</w:t>
      </w:r>
      <w:r>
        <w:rPr>
          <w:rFonts w:ascii="Arial" w:cs="Arial" w:eastAsia="Arial" w:hAnsi="Arial"/>
          <w:sz w:val="13"/>
          <w:szCs w:val="13"/>
          <w:color w:val="auto"/>
        </w:rPr>
        <w:t xml:space="preserve"> </w:t>
      </w:r>
      <w:r>
        <w:rPr>
          <w:rFonts w:ascii="Arial" w:cs="Arial" w:eastAsia="Arial" w:hAnsi="Arial"/>
          <w:sz w:val="13"/>
          <w:szCs w:val="13"/>
          <w:i w:val="1"/>
          <w:iCs w:val="1"/>
          <w:color w:val="auto"/>
        </w:rPr>
        <w:t>product candidates. There are a number of known safety risks associated with our product candidates and currently unknown safety issues may arise during development.</w:t>
      </w:r>
      <w:r>
        <w:rPr>
          <w:rFonts w:ascii="Arial" w:cs="Arial" w:eastAsia="Arial" w:hAnsi="Arial"/>
          <w:sz w:val="13"/>
          <w:szCs w:val="13"/>
          <w:color w:val="auto"/>
        </w:rPr>
        <w:t>"</w:t>
      </w:r>
    </w:p>
    <w:p>
      <w:pPr>
        <w:spacing w:after="0" w:line="137" w:lineRule="exact"/>
        <w:rPr>
          <w:sz w:val="20"/>
          <w:szCs w:val="20"/>
          <w:color w:val="auto"/>
        </w:rPr>
      </w:pPr>
    </w:p>
    <w:p>
      <w:pPr>
        <w:jc w:val="both"/>
        <w:ind w:right="60" w:firstLine="318"/>
        <w:spacing w:after="0" w:line="297" w:lineRule="auto"/>
        <w:rPr>
          <w:sz w:val="20"/>
          <w:szCs w:val="20"/>
          <w:color w:val="auto"/>
        </w:rPr>
      </w:pPr>
      <w:r>
        <w:rPr>
          <w:rFonts w:ascii="Arial" w:cs="Arial" w:eastAsia="Arial" w:hAnsi="Arial"/>
          <w:sz w:val="13"/>
          <w:szCs w:val="13"/>
          <w:color w:val="auto"/>
        </w:rPr>
        <w:t>Our ongoing clinical trials and any future clinical trials or other studies for Zimura that we or a potential collaborator may undertake may yield inconsistent safety or efficacy results with those we have observed to date or otherwise fail to demonstrate sufficient safety or efficacy to justify further development or to ultimately seek or obtain marketing approval. Any negative results from our ongoing or any future clinical trials or other studies for Zimura will likely adversely affect our business and the value of your investment in our company.</w:t>
      </w:r>
    </w:p>
    <w:p>
      <w:pPr>
        <w:spacing w:after="0" w:line="124" w:lineRule="exact"/>
        <w:rPr>
          <w:sz w:val="20"/>
          <w:szCs w:val="20"/>
          <w:color w:val="auto"/>
        </w:rPr>
      </w:pPr>
    </w:p>
    <w:p>
      <w:pPr>
        <w:ind w:right="300"/>
        <w:spacing w:after="0" w:line="321" w:lineRule="auto"/>
        <w:rPr>
          <w:sz w:val="20"/>
          <w:szCs w:val="20"/>
          <w:color w:val="auto"/>
        </w:rPr>
      </w:pPr>
      <w:r>
        <w:rPr>
          <w:rFonts w:ascii="Arial" w:cs="Arial" w:eastAsia="Arial" w:hAnsi="Arial"/>
          <w:sz w:val="13"/>
          <w:szCs w:val="13"/>
          <w:b w:val="1"/>
          <w:bCs w:val="1"/>
          <w:i w:val="1"/>
          <w:iCs w:val="1"/>
          <w:color w:val="auto"/>
        </w:rPr>
        <w:t>We have no unmasked clinical data regarding the safety and efficacy of Zimura as a treatment of STGD1. The dropout rate or patients with missing visits may reduce the number of patients from whom we can collect and analyze data from STAR. We may not be able to recruit additional patients for this trial in line with our expectations.</w:t>
      </w:r>
    </w:p>
    <w:p>
      <w:pPr>
        <w:spacing w:after="0" w:line="109"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We have no unmasked clinical data regarding the safety and efficacy of Zimura as a treatment for STGD1. As STGD1 is an orphan indication, to our knowledge there is only very limited natural history data currently available regarding the variability of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Zimura, and not necessarily to reverse prior degeneration or restore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visual function, patients participating in our STAR trial, who are generally younger and may experience vision loss that is more subtle than patients with GA or other forms of AMD, may not perceive a benefit from continuing to participate and therefore may drop out of this trial or miss scheduled visits and treatments. This risk is particularly magnified during the COVID-19 pandemic, which may cause our patients to voluntarily or involuntarily drop out of the trial or miss scheduled visits and treatments in greater numbers than before. Although we and the investigators and their staffs take efforts to encourage continued patient participation, the dropout rate may exceed our expectations. A higher than expected dropout rate would reduce the number of patients from whom data is available for analyzing the primary endpoint for this trial. Given the information above, our STAR trial could be underpowered to demonstrate a potential clinical benefit for Zimura in STGD1 with statistical significance.</w:t>
      </w:r>
    </w:p>
    <w:p>
      <w:pPr>
        <w:spacing w:after="0" w:line="150" w:lineRule="exact"/>
        <w:rPr>
          <w:sz w:val="20"/>
          <w:szCs w:val="20"/>
          <w:color w:val="auto"/>
        </w:rPr>
      </w:pPr>
    </w:p>
    <w:p>
      <w:pPr>
        <w:jc w:val="both"/>
        <w:ind w:right="400" w:firstLine="318"/>
        <w:spacing w:after="0" w:line="262" w:lineRule="auto"/>
        <w:rPr>
          <w:sz w:val="20"/>
          <w:szCs w:val="20"/>
          <w:color w:val="auto"/>
        </w:rPr>
      </w:pPr>
      <w:r>
        <w:rPr>
          <w:rFonts w:ascii="Arial" w:cs="Arial" w:eastAsia="Arial" w:hAnsi="Arial"/>
          <w:sz w:val="14"/>
          <w:szCs w:val="14"/>
          <w:color w:val="auto"/>
        </w:rPr>
        <w:t>We have decided to enroll approximately 25 additional patients in this trial, with the goal of enrolling a total of approximately 120 patients. This change to the trial has increased the costs associated with this trial and has delayed the timelines for receipt of data from this trial. We believe an expanded trial could allow us to collect additional data regarding the effect of Zimura on STGD1 patients and help us mitigate the risks from additional patient dropouts and missed visits; however, these expectations may prove to be incorrect. We are continuing to recruit and enroll patients in this trial. Patient recruitment may take longer or cost more than we would expect.</w:t>
      </w:r>
    </w:p>
    <w:p>
      <w:pPr>
        <w:spacing w:after="0" w:line="146" w:lineRule="exact"/>
        <w:rPr>
          <w:sz w:val="20"/>
          <w:szCs w:val="20"/>
          <w:color w:val="auto"/>
        </w:rPr>
      </w:pPr>
    </w:p>
    <w:p>
      <w:pPr>
        <w:jc w:val="both"/>
        <w:ind w:right="40"/>
        <w:spacing w:after="0" w:line="267" w:lineRule="auto"/>
        <w:rPr>
          <w:sz w:val="20"/>
          <w:szCs w:val="20"/>
          <w:color w:val="auto"/>
        </w:rPr>
      </w:pPr>
      <w:r>
        <w:rPr>
          <w:rFonts w:ascii="Arial" w:cs="Arial" w:eastAsia="Arial" w:hAnsi="Arial"/>
          <w:sz w:val="14"/>
          <w:szCs w:val="14"/>
          <w:b w:val="1"/>
          <w:bCs w:val="1"/>
          <w:i w:val="1"/>
          <w:iCs w:val="1"/>
          <w:color w:val="auto"/>
        </w:rPr>
        <w:t>The COVID-19 pandemic has affected and may continue to affect the initiation and conduct of our clinical trials, including the retention of patients for our GATHER2 clinical trial and patient recruitment and retention for our STAR clinical trial. It may have long-lasting effects on the conduct of clinical trials, which can make our ongoing and any future trials more difficult, costly or time consuming.</w:t>
      </w:r>
    </w:p>
    <w:p>
      <w:pPr>
        <w:spacing w:after="0" w:line="142" w:lineRule="exact"/>
        <w:rPr>
          <w:sz w:val="20"/>
          <w:szCs w:val="20"/>
          <w:color w:val="auto"/>
        </w:rPr>
      </w:pPr>
    </w:p>
    <w:p>
      <w:pPr>
        <w:ind w:right="220" w:firstLine="318"/>
        <w:spacing w:after="0" w:line="319" w:lineRule="auto"/>
        <w:rPr>
          <w:sz w:val="20"/>
          <w:szCs w:val="20"/>
          <w:color w:val="auto"/>
        </w:rPr>
      </w:pPr>
      <w:r>
        <w:rPr>
          <w:rFonts w:ascii="Arial" w:cs="Arial" w:eastAsia="Arial" w:hAnsi="Arial"/>
          <w:sz w:val="12"/>
          <w:szCs w:val="12"/>
          <w:color w:val="auto"/>
        </w:rPr>
        <w:t>Our GATHER1, GATHER2 and STAR trials involve sites located across the United States and in many countries outside the United States. At the start of the COVID-19 pandemic in early 2020, we were conducting startup activities for the GATHER2 trial, and we were in the process of completing patient visits for our GATHER1 trial and those of the initially enrolled patients in the STAR trial. We have made a number of operational changes to our clinical trials as a result of the COVID-19 pandemic, its effects on current and prospective participating patients, and various governmental and other measures in response to the pandemic. As the COVID-19 pandemic evolves, we may make further changes to how we conduct our ongoing and any future clinical trials.</w:t>
      </w:r>
    </w:p>
    <w:p>
      <w:pPr>
        <w:spacing w:after="0" w:line="136" w:lineRule="exact"/>
        <w:rPr>
          <w:sz w:val="20"/>
          <w:szCs w:val="20"/>
          <w:color w:val="auto"/>
        </w:rPr>
      </w:pPr>
    </w:p>
    <w:p>
      <w:pPr>
        <w:ind w:right="60" w:firstLine="318"/>
        <w:spacing w:after="0" w:line="258" w:lineRule="auto"/>
        <w:rPr>
          <w:sz w:val="20"/>
          <w:szCs w:val="20"/>
          <w:color w:val="auto"/>
        </w:rPr>
      </w:pPr>
      <w:r>
        <w:rPr>
          <w:rFonts w:ascii="Arial" w:cs="Arial" w:eastAsia="Arial" w:hAnsi="Arial"/>
          <w:sz w:val="14"/>
          <w:szCs w:val="14"/>
          <w:color w:val="auto"/>
        </w:rPr>
        <w:t>Patient enrollment, missed patient visits and patient retention remain key risks for our clinical trials. Due to the COVID-19 pandemic, we delayed the initiation of patient enrollment for the GATHER2 trial from March 2020 to June 2020. Even though we have completed patient enrollment for GATHER2, we are continuing to enroll patients in the STAR trial, where we may choose to or be required to slow down or stop patient enrollment in certain geographies due to the COVID-19 pandemic and any governmental measures taken in response. Patients, in turn, may be reluctant to enroll in clinical trials or to maintain their scheduled visits and treatments once enrolled due to their reluctance to visit clinical trial sites for fear of potential exposure to COVID-19 or ongoing restrictive measures requiring social distancing or limiting travel. These concerns may particularly apply to GA patients, many of whom are elderly and therefore at a higher risk for COVID-19 and other diseases than the general population.</w:t>
      </w:r>
    </w:p>
    <w:p>
      <w:pPr>
        <w:spacing w:after="0" w:line="171" w:lineRule="exact"/>
        <w:rPr>
          <w:sz w:val="20"/>
          <w:szCs w:val="20"/>
          <w:color w:val="auto"/>
        </w:rPr>
      </w:pPr>
    </w:p>
    <w:p>
      <w:pPr>
        <w:ind w:right="40" w:firstLine="318"/>
        <w:spacing w:after="0" w:line="305" w:lineRule="auto"/>
        <w:rPr>
          <w:sz w:val="20"/>
          <w:szCs w:val="20"/>
          <w:color w:val="auto"/>
        </w:rPr>
      </w:pPr>
      <w:r>
        <w:rPr>
          <w:rFonts w:ascii="Arial" w:cs="Arial" w:eastAsia="Arial" w:hAnsi="Arial"/>
          <w:sz w:val="12"/>
          <w:szCs w:val="12"/>
          <w:color w:val="auto"/>
        </w:rPr>
        <w:t>For patients who are enrolled in our trials, the COVID-19 pandemic may cause them to miss study visits or drop out in greater numbers than expected, which could affect our ability to complete our trials and obtain data in accordance with our expectations. Compared to the generally elderly patients in our GATHER2 trial, the patients in the STAR trial are generally younger and have work and family commitments, which may cause them to miss more visits or drop out in greater numbers. In addition to the risks posed by increased patient dropouts, if patients miss scheduled visits in greater numbers as a result of the pandemic, especially if a patient misses consecutive visits, it may affect our ability to draw meaningful conclusions from the clinical data. We are aware that a number of patients initially enrolled in the STAR trial missed consecutive visits during the early months of the COVID-19 pandemic and that a number of patients in our Latin America sites for GATHER2 missed visits because of the COVID-19 pandemic. We do not know yet whether the number of missed visits will increase or decrease in any of these trials, and whether and to what extent missed visits may impact patient retention in these trials or the results of the trials, especially since we are masked to the data until the conclusion of the trials. The duration of the GATHER2 and STAR trials, at 24 months and 18 months, respectively, plus time for recruiting patients, makes them more likely to be affected by any subsequent waves of the COVID-19 pandemic.</w:t>
      </w:r>
    </w:p>
    <w:p>
      <w:pPr>
        <w:spacing w:after="0" w:line="146"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The COVID-19 pandemic has caused many of our clinical trial sites and competent health authorities and ethics committees in certain countries to reduce their staff and operations. In 2020, this reduction in operations resulted in delays to the approval of and the site activation process for the GATHER2 trial in certain geographies. During late 2020 to early 2021, a number of our clinical trial sites scaled back their operations because of surges in COVID-19 cases or new lockdown measures being imposed. We expect to initiate our planned clinical trial studying Zimura in intermediate AMD during the fourth quarter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of 2022 and we plan to use many of the same sites that are in the GATHER2 trial. The sites may be assisting with database lock and related activities for GATHER2 around the same time that they may be preparing for and starting up the intermediate AMD trial. If any reductions in staff and operations continue to persist at our clinical trial sites, it may affect our conduct of the ongoing GATHER2 and STAR trials and the planned intermediate AMD trial. Shortages of vaccines, personal protective equipment and other supplies for the prevention of COVID-19 and the proliferation of new variants of COVID-19 may cause our clinical trial sites to further scale back the number of staff on site and other operations, and may also cause prospective or enrolled patients to avoid clinical trial visits.</w:t>
      </w:r>
    </w:p>
    <w:p>
      <w:pPr>
        <w:spacing w:after="0" w:line="146"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In addition to the disruptions to the operations of many clinical trial sites, the COVID-19 pandemic affected our monitoring and audit operations, for example, by requiring remote monitoring, remote source document verification and remote auditing in many instances. Some countries prohibit or limit remote source document verification due to privacy and other concerns. During 2020 and early 2021, we experienced difficulties and delays in performing audits on most of our clinical trial sites because of privacy and other concerns with remote auditing. Although we do not believe the COVID-19 pandemic has materially affected the robustness of our data verification process for the GATHER1 trial, we or regulatory authorities may find data verification discrepancies upon reviewing the data from the trial. This risk may also affect our data verification processes for the GATHER2 and STAR trials.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development of IC-500 is also based on a novel mechanism of action that is unproven and poses a number of scientific and other risks.</w:t>
      </w:r>
    </w:p>
    <w:p>
      <w:pPr>
        <w:spacing w:after="0" w:line="179" w:lineRule="exact"/>
        <w:rPr>
          <w:sz w:val="20"/>
          <w:szCs w:val="20"/>
          <w:color w:val="auto"/>
        </w:rPr>
      </w:pPr>
    </w:p>
    <w:p>
      <w:pPr>
        <w:ind w:firstLine="318"/>
        <w:spacing w:after="0" w:line="256" w:lineRule="auto"/>
        <w:rPr>
          <w:sz w:val="20"/>
          <w:szCs w:val="20"/>
          <w:color w:val="auto"/>
        </w:rPr>
      </w:pPr>
      <w:r>
        <w:rPr>
          <w:rFonts w:ascii="Arial" w:cs="Arial" w:eastAsia="Arial" w:hAnsi="Arial"/>
          <w:sz w:val="14"/>
          <w:szCs w:val="14"/>
          <w:color w:val="auto"/>
        </w:rPr>
        <w:t>IC-500, our selected product candidate from our HtrA1 inhibitor program, is in preclinical development. There are no FDA or EMA approved products that utilize HtrA1 inhibition as a mechanism of action for treating ophthalmic diseases, including GA and other age-related retinal diseases for which we may develop IC-500, and this mechanism of action may not prove safe and effective for these diseases. Although other companies are pursuing HtrA1 inhibition as a strategy for treating retinal diseases, including Genentech in an ongoing Phase 2 clinical trial in GA, to date, there is limited published clinical data regarding the safety and efficacy of HtrA1 inhibition in the target patient population. We are also aware that Genentech is conducting a clinical trial to assess the long-term safety and tolerability of its monoclonal antibody HtrA1 inhibitor. We made the decision to acquire our HtrA1 inhibitors program in 2018 based on our interpretation of the scientific literature and rationale for this potential target that suggest an association between HtrA1 and the risk for AMD, as well as a limited set of preclinical data generated by Inception 4 prior to the acquisition. Even though genetic and histologic findings correlate HtrA1 with AMD, the development and progression of AMD may not be affected by HtrA1 or may be more strongly affected by other genes. Our hypothesis that targeting inhibition of HtrA1 may be a safe and effective method of treating AMD may ultimately be incorrect, which would likely adversely affect the value of IC-500 and its continued development.</w:t>
      </w:r>
    </w:p>
    <w:p>
      <w:pPr>
        <w:spacing w:after="0" w:line="173" w:lineRule="exact"/>
        <w:rPr>
          <w:sz w:val="20"/>
          <w:szCs w:val="20"/>
          <w:color w:val="auto"/>
        </w:rPr>
      </w:pPr>
    </w:p>
    <w:p>
      <w:pPr>
        <w:ind w:right="80" w:firstLine="318"/>
        <w:spacing w:after="0" w:line="313" w:lineRule="auto"/>
        <w:rPr>
          <w:sz w:val="20"/>
          <w:szCs w:val="20"/>
          <w:color w:val="auto"/>
        </w:rPr>
      </w:pPr>
      <w:r>
        <w:rPr>
          <w:rFonts w:ascii="Arial" w:cs="Arial" w:eastAsia="Arial" w:hAnsi="Arial"/>
          <w:sz w:val="12"/>
          <w:szCs w:val="12"/>
          <w:color w:val="auto"/>
        </w:rPr>
        <w:t>To our knowledge, there are no suitable animal models for GA or dry AMD. This absence of a suitable animal model makes designing a proof of concept study to assess the preclinical efficacy of IC-500 difficult. To date, we have only generated limited preclinical data of IC-500 in animal studies and we are conducting and planning additional studies to assess the pharmacokinetics and toxicology of IC-500 in animals, which ultimately may fail to produce favorable results. In addition, we have not had any formal or informal interactions with the FDA or other regulatory authorities regarding our development plans for IC-500. We do not know whether the FDA or other regulatory authorities will accept any preclinical proof of concept study we may propose, or other aspects of our development plans for IC-500. The FDA may require us to change our plans or conduct additional studies, which would increase our costs and delay our timelines.</w:t>
      </w:r>
    </w:p>
    <w:p>
      <w:pPr>
        <w:spacing w:after="0" w:line="140"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b w:val="1"/>
          <w:bCs w:val="1"/>
          <w:i w:val="1"/>
          <w:iCs w:val="1"/>
          <w:color w:val="auto"/>
        </w:rPr>
        <w:t>Gene therapy is an emerging field of drug development that poses many scientific and other risks. We are refocusing our gene therapy development efforts from IC-100 and IC-200 to earlier stage research programs, and need to continue building our gene therapy capabilities. Our limited experience with gene therapy and the limited patient populations for our gene therapy programs may limit our ability to be successful or may delay our development efforts.</w:t>
      </w:r>
    </w:p>
    <w:p>
      <w:pPr>
        <w:spacing w:after="0" w:line="163"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Gene therapy is an emerging field of drug development with only a small number of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processes and materials, safety concerns, regulatory pathway and clinical trial design and execution, which pose particular uncertainty for our programs given the relatively limited development history of, and our limited prior experience with, gene therapies. For example, we observed inconclusive data across the two preclinical toxicology studies we conducted for IC-100, which caused us to evaluate our development options for this product candidate.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For our miniCEP290 program and other minigene programs, we are pursuing research using a novel approach that is largely untested and presents various scientific and regulatory risks. To date, all the data generated for our miniCEP290 and miniABCA4 programs are in mice models for LCA10 and STGD1, respectively,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research efforts may not fully elucidate all of the physiological risks associated with a particular minigene and the associated expressed protein. For these and other reasons, promising minigene candidates that emerge from our gene therapy research programs may not succeed in later stage preclinical and clinical development.</w:t>
      </w:r>
    </w:p>
    <w:p>
      <w:pPr>
        <w:spacing w:after="0" w:line="134"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146" w:lineRule="exact"/>
        <w:rPr>
          <w:sz w:val="20"/>
          <w:szCs w:val="20"/>
          <w:color w:val="auto"/>
        </w:rPr>
      </w:pPr>
    </w:p>
    <w:p>
      <w:pPr>
        <w:jc w:val="both"/>
        <w:ind w:right="100" w:firstLine="318"/>
        <w:spacing w:after="0" w:line="262" w:lineRule="auto"/>
        <w:rPr>
          <w:sz w:val="20"/>
          <w:szCs w:val="20"/>
          <w:color w:val="auto"/>
        </w:rPr>
      </w:pPr>
      <w:r>
        <w:rPr>
          <w:rFonts w:ascii="Arial" w:cs="Arial" w:eastAsia="Arial" w:hAnsi="Arial"/>
          <w:sz w:val="14"/>
          <w:szCs w:val="14"/>
          <w:color w:val="auto"/>
        </w:rPr>
        <w:t>As we pursue our gene therapy research programs, we expect we will need to continue to grow our own gene therapy scientific and technical capabilities through hiring internally and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any promising product candidates that emerge from our gene therapy research programs.</w:t>
      </w:r>
    </w:p>
    <w:p>
      <w:pPr>
        <w:spacing w:after="0" w:line="146"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We have not previously conducted any clinical development involving gene therapies and, if and when we are ready to conduct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Many of the indications for which we are pursuing our gene therapy programs have limited natural history data and limited number of therapies in clinical development, which may make selecting an appropriate endpoint difficult. Furthermore, our gene therapy programs are targeting orphan diseases with relatively small populations, which limits the pool of potential patients for our gene therapy clinical trials. Because gene therapy trials generally require patients who have not previously received any other therapy for the same indication, we will also need to compete for the same group of potential clinical trial patients with our competitors who are also developing therapies for these same indications. If we are unable to initiate and conduct our gene therapy clinical trials in a manner that satisfies our expectations or regulatory requirements, the value of our gene therapy programs may be diminished.</w:t>
      </w:r>
    </w:p>
    <w:p>
      <w:pPr>
        <w:spacing w:after="0" w:line="149" w:lineRule="exact"/>
        <w:rPr>
          <w:sz w:val="20"/>
          <w:szCs w:val="20"/>
          <w:color w:val="auto"/>
        </w:rPr>
      </w:pPr>
    </w:p>
    <w:p>
      <w:pPr>
        <w:ind w:right="100" w:firstLine="318"/>
        <w:spacing w:after="0" w:line="321" w:lineRule="auto"/>
        <w:rPr>
          <w:sz w:val="20"/>
          <w:szCs w:val="20"/>
          <w:color w:val="auto"/>
        </w:rPr>
      </w:pPr>
      <w:r>
        <w:rPr>
          <w:rFonts w:ascii="Arial" w:cs="Arial" w:eastAsia="Arial" w:hAnsi="Arial"/>
          <w:sz w:val="13"/>
          <w:szCs w:val="13"/>
          <w:color w:val="auto"/>
        </w:rPr>
        <w:t>For a further discussion of the risks associated with the manufacturing of gene therapy products, see the risk factor herein entitled “</w:t>
      </w:r>
      <w:r>
        <w:rPr>
          <w:rFonts w:ascii="Arial" w:cs="Arial" w:eastAsia="Arial" w:hAnsi="Arial"/>
          <w:sz w:val="13"/>
          <w:szCs w:val="13"/>
          <w:i w:val="1"/>
          <w:iCs w:val="1"/>
          <w:color w:val="auto"/>
        </w:rPr>
        <w:t>The manufacture of gene therapy products is complex with a</w:t>
      </w:r>
      <w:r>
        <w:rPr>
          <w:rFonts w:ascii="Arial" w:cs="Arial" w:eastAsia="Arial" w:hAnsi="Arial"/>
          <w:sz w:val="13"/>
          <w:szCs w:val="13"/>
          <w:color w:val="auto"/>
        </w:rPr>
        <w:t xml:space="preserve"> </w:t>
      </w:r>
      <w:r>
        <w:rPr>
          <w:rFonts w:ascii="Arial" w:cs="Arial" w:eastAsia="Arial" w:hAnsi="Arial"/>
          <w:sz w:val="13"/>
          <w:szCs w:val="13"/>
          <w:i w:val="1"/>
          <w:iCs w:val="1"/>
          <w:color w:val="auto"/>
        </w:rPr>
        <w:t>number of scientific and technical risks, some of which are common to the manufacture of drugs and biologics and others are unique to the manufacture of gene therapies.”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serious adverse or unacceptable side effects are identified during the development of our product candidates, we may need to abandon or limit our development of such product candidates.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a number of known safety risks associated with our product candidates and currently unknown safety issues may arise during development.</w:t>
      </w:r>
    </w:p>
    <w:p>
      <w:pPr>
        <w:spacing w:after="0" w:line="94" w:lineRule="exact"/>
        <w:rPr>
          <w:sz w:val="20"/>
          <w:szCs w:val="20"/>
          <w:color w:val="auto"/>
        </w:rPr>
      </w:pPr>
    </w:p>
    <w:p>
      <w:pPr>
        <w:ind w:right="100" w:firstLine="318"/>
        <w:spacing w:after="0" w:line="288" w:lineRule="auto"/>
        <w:rPr>
          <w:sz w:val="20"/>
          <w:szCs w:val="20"/>
          <w:color w:val="auto"/>
        </w:rPr>
      </w:pPr>
      <w:r>
        <w:rPr>
          <w:rFonts w:ascii="Arial" w:cs="Arial" w:eastAsia="Arial" w:hAnsi="Arial"/>
          <w:sz w:val="13"/>
          <w:szCs w:val="13"/>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drugs that initially showed promise in clinical or earlier stage testing have later been found to cause side effects that prevented further development. Safety issues may arise due to reasons unrelated to the study drug, such as issues with the injection procedure or the syringes or needles being used.</w:t>
      </w:r>
    </w:p>
    <w:p>
      <w:pPr>
        <w:spacing w:after="0" w:line="131"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In our completed clinical trials for Zimura, we have observed only a single adverse event, mild subcapsular cataract, from our OPH2000 trial, assessed to be drug-related by participating investigators. Although not reported as related to Zimura by investigators, we observed an increase in the number of investigator-reported cases of CNV in the Zimura treatment groups in the GATHER1 trial as compared to the sham control groups. Additionally, we learned from our independent masked reading center that the retinal images of one of the patients in the Zimura 4 mg group showed evidence of CNV in the study eye that was not reported by the investigator. For the GATHER2 trial, because we are asking investigators to perform monthly OCT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imaging and to submit cases where patients experience a decrease in visual acuity of five or more ETDRS letters between successive visits to the independent reading center for confirmation by multi-modal imaging, in addition to the cases the investigator suspects to be CNV, we may observe a higher rate of CNV cases in the GATHER2 trial, including, potentially in the Zimura 2 mg treatment group as compared to the sham group. We have no unmasked data regarding the safety, tolerability or efficacy of Zimura administered for the treatment of STGD1 or intermediate AMD. We have no human data regarding IC-500.</w:t>
      </w:r>
    </w:p>
    <w:p>
      <w:pPr>
        <w:spacing w:after="0" w:line="72" w:lineRule="exact"/>
        <w:rPr>
          <w:sz w:val="20"/>
          <w:szCs w:val="20"/>
          <w:color w:val="auto"/>
        </w:rPr>
      </w:pPr>
    </w:p>
    <w:p>
      <w:pPr>
        <w:ind w:right="40" w:firstLine="318"/>
        <w:spacing w:after="0" w:line="256" w:lineRule="auto"/>
        <w:rPr>
          <w:sz w:val="20"/>
          <w:szCs w:val="20"/>
          <w:color w:val="auto"/>
        </w:rPr>
      </w:pPr>
      <w:r>
        <w:rPr>
          <w:rFonts w:ascii="Arial" w:cs="Arial" w:eastAsia="Arial" w:hAnsi="Arial"/>
          <w:sz w:val="14"/>
          <w:szCs w:val="14"/>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For example, although we view the rate of CNV incidence in the Zimura treatment groups, as compared to the corresponding sham control groups, as acceptable and within the range observed in other clinical trials of complement inhibitors in development for GA, the FDA, EMA, other regulatory authorities, treating physicians or patients may not agree, concluding that Zimura may increase the risk of patients developing CNV to an unacceptable degree. Moreover, our clinical trials for Zimura involve multiple intravitreal injections over an extended period of time and, as such, may involve risks involved with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An unforeseen or unexpected safety event, or any safety finding that is inconsistent with our prior experience with Zimura, from any of our clinical trials for Zimura, including from the GATHER2 trial during which we will follow patients and collect safety data over 24 months, may impact our ability to continue to develop Zimura or the long-term viability of Zimura as a potential treatment for GA, intermediate AMD, STGD1 or any other indication for which we may seek to develop Zimura.</w:t>
      </w:r>
    </w:p>
    <w:p>
      <w:pPr>
        <w:spacing w:after="0" w:line="150" w:lineRule="exact"/>
        <w:rPr>
          <w:sz w:val="20"/>
          <w:szCs w:val="20"/>
          <w:color w:val="auto"/>
        </w:rPr>
      </w:pPr>
    </w:p>
    <w:p>
      <w:pPr>
        <w:ind w:right="180" w:firstLine="318"/>
        <w:spacing w:after="0" w:line="267" w:lineRule="auto"/>
        <w:rPr>
          <w:sz w:val="20"/>
          <w:szCs w:val="20"/>
          <w:color w:val="auto"/>
        </w:rPr>
      </w:pPr>
      <w:r>
        <w:rPr>
          <w:rFonts w:ascii="Arial" w:cs="Arial" w:eastAsia="Arial" w:hAnsi="Arial"/>
          <w:sz w:val="14"/>
          <w:szCs w:val="14"/>
          <w:color w:val="auto"/>
        </w:rPr>
        <w:t>As HtrA1 inhibition is a novel treatment approach for treating ocular disease, this treatment approach may present potentially unknown safety risks when tested in clinical trials that could not have been anticipated based on preclinical studies, including the tolerability studies we are conducting. In addition, we intend to administer IC-500 by intravitreal injection, which poses the same safety risks outlined above with respect to intravitreal injections of Zimura.</w:t>
      </w:r>
    </w:p>
    <w:p>
      <w:pPr>
        <w:spacing w:after="0" w:line="142" w:lineRule="exact"/>
        <w:rPr>
          <w:sz w:val="20"/>
          <w:szCs w:val="20"/>
          <w:color w:val="auto"/>
        </w:rPr>
      </w:pPr>
    </w:p>
    <w:p>
      <w:pPr>
        <w:ind w:firstLine="318"/>
        <w:spacing w:after="0" w:line="256" w:lineRule="auto"/>
        <w:rPr>
          <w:sz w:val="20"/>
          <w:szCs w:val="20"/>
          <w:color w:val="auto"/>
        </w:rPr>
      </w:pPr>
      <w:r>
        <w:rPr>
          <w:rFonts w:ascii="Arial" w:cs="Arial" w:eastAsia="Arial" w:hAnsi="Arial"/>
          <w:sz w:val="14"/>
          <w:szCs w:val="14"/>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surgeons must repeat the same subretinal injection procedure in multiple patients with consistency across patients and surgeons. In the event that we progress into clinical development with a gene therapy product candidate, we may experience delays or other challenges for our gene therapy development programs as a result of safety issues.</w:t>
      </w:r>
    </w:p>
    <w:p>
      <w:pPr>
        <w:spacing w:after="0" w:line="152"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i w:val="1"/>
          <w:iCs w:val="1"/>
          <w:color w:val="auto"/>
        </w:rPr>
        <w:t>We do not have any internal manufacturing capabilities and use third parties to manufacture our product candidates on a contract or purchase order basis. We may encounter manufacturing issues that could cause delays in our development programs or increase costs. We may experience delays in regulatory approval of our product candidates if we or our contract manufacturers do not satisfy applicable regulatory requirements. If any of our product candidates is approved, a manufacturing issue could result in product shortages, which could impair our ability to commercialize our products and generate revenue.</w:t>
      </w:r>
    </w:p>
    <w:p>
      <w:pPr>
        <w:spacing w:after="0" w:line="146"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We do not have internal manufacturing facilities and use or plan to use outside contract manufacturers to manufacture Zimura, IC-500 and any other product candidates that we may acquire or in-license. The manufacturing processes for our product candidates are technically complex. Problems with developing, executing or scaling up the manufacturing process, even minor deviations from the established process, could result in product defects or manufacturing failures that result in lot failures, product recalls, product liability claims, insufficient inventory or delays to our programs. We may encounter problems achieving adequate quantities and quality of clinical-grade or commercial-grade materials that meet FDA, EMA or other applicable standards or specifications with consistent and acceptable production yields and costs.</w:t>
      </w:r>
    </w:p>
    <w:p>
      <w:pPr>
        <w:spacing w:after="0" w:line="146" w:lineRule="exact"/>
        <w:rPr>
          <w:sz w:val="20"/>
          <w:szCs w:val="20"/>
          <w:color w:val="auto"/>
        </w:rPr>
      </w:pPr>
    </w:p>
    <w:p>
      <w:pPr>
        <w:ind w:right="100" w:firstLine="318"/>
        <w:spacing w:after="0" w:line="256" w:lineRule="auto"/>
        <w:rPr>
          <w:sz w:val="20"/>
          <w:szCs w:val="20"/>
          <w:color w:val="auto"/>
        </w:rPr>
      </w:pPr>
      <w:r>
        <w:rPr>
          <w:rFonts w:ascii="Arial" w:cs="Arial" w:eastAsia="Arial" w:hAnsi="Arial"/>
          <w:sz w:val="14"/>
          <w:szCs w:val="14"/>
          <w:color w:val="auto"/>
        </w:rPr>
        <w:t>In addition, we have a limited number of personnel hired to supervise our outside contract manufacturers and, as we prepare for potential commercialization of Zimura, we expect we will need to increase our manufacturing personnel and bolster our quality control and quality assurance capabilities. We may encounter problems hiring and retaining scientific, manufacturing and quality assurance and control personnel needed to oversee our contract manufacturers, which could result in delays in our production or difficulties in maintaining compliance with applicable regulatory requirements. As our contract manufacturer scales up manufacturing of any product candidate, we may encounter unexpected issues relating to the manufacturing processes or the quality, purity or stability of the product, and we may be required to refine or alter our manufacturing processes to address these issues, or may need to use an alternative manufacturer. Resolving these issues could result in significant delays and may result in significantly increased costs. If we underestimate the demand for an approved product or the timing for the need for that product, given the long lead times required to manufacture or obtain regulatory approvals for our products and/or manufacturing facilities,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52" w:lineRule="exact"/>
        <w:rPr>
          <w:sz w:val="20"/>
          <w:szCs w:val="20"/>
          <w:color w:val="auto"/>
        </w:rPr>
      </w:pPr>
    </w:p>
    <w:p>
      <w:pPr>
        <w:ind w:right="120" w:firstLine="318"/>
        <w:spacing w:after="0" w:line="280" w:lineRule="auto"/>
        <w:rPr>
          <w:sz w:val="20"/>
          <w:szCs w:val="20"/>
          <w:color w:val="auto"/>
        </w:rPr>
      </w:pPr>
      <w:r>
        <w:rPr>
          <w:rFonts w:ascii="Arial" w:cs="Arial" w:eastAsia="Arial" w:hAnsi="Arial"/>
          <w:sz w:val="13"/>
          <w:szCs w:val="13"/>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None of our third-party manufacturers have undergone a pre-approval inspection by the FDA for Zimura or any of our other product candidates. Failure by us or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27" w:lineRule="exact"/>
        <w:rPr>
          <w:sz w:val="20"/>
          <w:szCs w:val="20"/>
          <w:color w:val="auto"/>
        </w:rPr>
      </w:pPr>
    </w:p>
    <w:p>
      <w:pPr>
        <w:ind w:right="220" w:firstLine="318"/>
        <w:spacing w:after="0" w:line="249" w:lineRule="auto"/>
        <w:rPr>
          <w:sz w:val="20"/>
          <w:szCs w:val="20"/>
          <w:color w:val="auto"/>
        </w:rPr>
      </w:pPr>
      <w:r>
        <w:rPr>
          <w:rFonts w:ascii="Arial" w:cs="Arial" w:eastAsia="Arial" w:hAnsi="Arial"/>
          <w:sz w:val="14"/>
          <w:szCs w:val="14"/>
          <w:color w:val="auto"/>
        </w:rPr>
        <w:t>Any problems in our manufacturing process or our third-party contract manufacturers’ facilities could make us a less attractive collaborator for potential collaborations, including with larger pharmaceutical companies. Problems in our manufacturing process or facilities also could restrict our ability to meet market demand for our products.</w:t>
      </w:r>
    </w:p>
    <w:p>
      <w:pPr>
        <w:spacing w:after="0" w:line="143"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For a further discussion of the risks associated with our reliance on third-party manufacturers, including the effects of the COVID-19 pandemic on our third-party manufacturers, see the risk factor herein entitled, “</w:t>
      </w:r>
      <w:r>
        <w:rPr>
          <w:rFonts w:ascii="Arial" w:cs="Arial" w:eastAsia="Arial" w:hAnsi="Arial"/>
          <w:sz w:val="14"/>
          <w:szCs w:val="14"/>
          <w:i w:val="1"/>
          <w:iCs w:val="1"/>
          <w:color w:val="auto"/>
        </w:rPr>
        <w:t>We contract with third parties for the manufacture of and for providing starting materials for our product candidates for preclinical development activities and clinical trials</w:t>
      </w:r>
      <w:r>
        <w:rPr>
          <w:rFonts w:ascii="Arial" w:cs="Arial" w:eastAsia="Arial" w:hAnsi="Arial"/>
          <w:sz w:val="14"/>
          <w:szCs w:val="14"/>
          <w:color w:val="auto"/>
        </w:rPr>
        <w:t xml:space="preserve"> </w:t>
      </w:r>
      <w:r>
        <w:rPr>
          <w:rFonts w:ascii="Arial" w:cs="Arial" w:eastAsia="Arial" w:hAnsi="Arial"/>
          <w:sz w:val="14"/>
          <w:szCs w:val="14"/>
          <w:i w:val="1"/>
          <w:iCs w:val="1"/>
          <w:color w:val="auto"/>
        </w:rPr>
        <w:t>and expect to continue to do so in the future, including to support potential commercialization.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160"/>
        <w:spacing w:after="0" w:line="331" w:lineRule="auto"/>
        <w:rPr>
          <w:sz w:val="20"/>
          <w:szCs w:val="20"/>
          <w:color w:val="auto"/>
        </w:rPr>
      </w:pPr>
      <w:r>
        <w:rPr>
          <w:rFonts w:ascii="Arial" w:cs="Arial" w:eastAsia="Arial" w:hAnsi="Arial"/>
          <w:sz w:val="12"/>
          <w:szCs w:val="12"/>
          <w:b w:val="1"/>
          <w:bCs w:val="1"/>
          <w:i w:val="1"/>
          <w:iCs w:val="1"/>
          <w:color w:val="auto"/>
        </w:rPr>
        <w:t>Our experience manufacturing Zimura is limited. As we plan for the potential commercialization of Zimura, we and our third-party manufacturers will need to complete several activities to ensure the continued supply of drug product for ongoing and future clinical trials we conduct for Zimura and to support potential future commercial supply of Zimura. Any delay or failure in completing these activities could cause delays in the development of Zimura or its potential approval or could result in inadequate clinical or commercial product supply.</w:t>
      </w:r>
    </w:p>
    <w:p>
      <w:pPr>
        <w:spacing w:after="0" w:line="108" w:lineRule="exact"/>
        <w:rPr>
          <w:sz w:val="20"/>
          <w:szCs w:val="20"/>
          <w:color w:val="auto"/>
        </w:rPr>
      </w:pPr>
    </w:p>
    <w:p>
      <w:pPr>
        <w:ind w:right="40" w:firstLine="318"/>
        <w:spacing w:after="0" w:line="297" w:lineRule="auto"/>
        <w:rPr>
          <w:sz w:val="20"/>
          <w:szCs w:val="20"/>
          <w:color w:val="auto"/>
        </w:rPr>
      </w:pPr>
      <w:r>
        <w:rPr>
          <w:rFonts w:ascii="Arial" w:cs="Arial" w:eastAsia="Arial" w:hAnsi="Arial"/>
          <w:sz w:val="13"/>
          <w:szCs w:val="13"/>
          <w:color w:val="auto"/>
        </w:rPr>
        <w:t>In order to obtain and maintain regulatory approval for Zimura, our third-party manufacturers will be required to produce Zimura drug substance with consistent quality and to execute fill/finish services on a repeated basis and document their ability to do so. In order for us to successfully commercialize Zimura, if approved, our manufacturers also need to be able to produce quantities at a commercial scale. If our third-party manufacturers are unable to satisfy these requirements, our business would be materially and adversely affected.</w:t>
      </w:r>
    </w:p>
    <w:p>
      <w:pPr>
        <w:spacing w:after="0" w:line="124"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In early 2017, we completed the small scale manufacture of multiple batches of Zimura drug substance that we are using to support clinical drug supply for the GATHER2 trial and the expanded STAR trial. Although we believe we have adequate Zimura drug substance for the GATHER2 trial and the expanded STAR trial, this supply may not be sufficient for our needs over the duration of the trials or for any additional trials we may conduct, including our planned clinical trial for Zimura in intermediate AMD. We are working with our historical contract manufacturer for Zimura drug substance, Agilent Technologies, Inc., or Agilent, to scale up and potentially validate the manufacturing process for Zimura drug substance. Recently, Agilent completed the manufacture of multiple batches of Zimura drug substance at a larger scale, which scale we believe can support our commercial needs. Agilent may not be successful in validating the manufacturing process for producing Zimura drug substance at this larger scale.</w:t>
      </w:r>
    </w:p>
    <w:p>
      <w:pPr>
        <w:spacing w:after="0" w:line="171"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In parallel, we are working with a new contract manufacturer with the goal of assessing whether this manufacturer can produce Zimura drug substance at an adequate scale for potential commercial use. We experienced issues during technology transfer of the existing manufacturing process to this manufacturer, which resulted in delays to our timelines with this manufacturer. Subject to successful completion of scale up and validation activities, we currently plan to use Agilent as the primary source of supply of Zimura drug substance upon launch, if approved, and the new manufacturer as a second source of supply of Zimura drug substance. Validation requires that we demonstrate that the drug substance produced through the scaled up process can be produced consistently, delivering quality product within a range of acceptable specifications.</w:t>
      </w:r>
    </w:p>
    <w:p>
      <w:pPr>
        <w:spacing w:after="0" w:line="168"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Starting in 2020, we have worked with a contract manufacturer to provide us with additional supply of finished Zimura drug product to support our needs for the GATHER2 trial and the expanded STAR trial. We believe we have sufficient finished Zimura drug product for these two clinical trials. In addition, we are working with our historical fill/finish manufacturer, Ajinomoto Bio-Pharma Services, or Ajinomoto, on fill/finish of Zimura drug product with a new vial, which we believe will allow us to support a more efficient and robust fill/finish operation at a commercial scale. Ajinomoto has produced Zimura drug product using the new vial, which we are using for a portion of the second-year study visits for patients in the GATHER2 trial. We believe Ajinomoto has the capacity to supply us with Zimura drug product with the new vial for our expected commercial supply needs upon launch, if approved. If Ajinomoto is unable to provide us and/or a potential collaborator with Zimura drug product for potential commercial use, we will need to use alternative suppliers, which may increase our costs and delay our timelines.</w:t>
      </w:r>
    </w:p>
    <w:p>
      <w:pPr>
        <w:spacing w:after="0" w:line="156" w:lineRule="exact"/>
        <w:rPr>
          <w:sz w:val="20"/>
          <w:szCs w:val="20"/>
          <w:color w:val="auto"/>
        </w:rPr>
      </w:pPr>
    </w:p>
    <w:p>
      <w:pPr>
        <w:ind w:right="20" w:firstLine="318"/>
        <w:spacing w:after="0" w:line="282" w:lineRule="auto"/>
        <w:rPr>
          <w:sz w:val="20"/>
          <w:szCs w:val="20"/>
          <w:color w:val="auto"/>
        </w:rPr>
      </w:pPr>
      <w:r>
        <w:rPr>
          <w:rFonts w:ascii="Arial" w:cs="Arial" w:eastAsia="Arial" w:hAnsi="Arial"/>
          <w:sz w:val="13"/>
          <w:szCs w:val="13"/>
          <w:color w:val="auto"/>
        </w:rPr>
        <w:t>In order to obtain regulatory approval for Zimura, we expect we will need to demonstrate that the drug substance produced through the scaled up process, together with the finished drug product in the container closure system to be used commercially, are comparable to the drug substance and drug product we are currently using in our clinical trials. Under applicable regulatory guidance, comparability can be established through a combination of analytical, nonclinical or clinical data. Our plan to demonstrate comparability is subject to review by the FDA and other health authorities. Based on feedback from the FDA, we are planning to use finished Zimura drug product in the new vial for a portion of the second-year study visits for patients in the GATHER2 trial, which adds potential variability to the trial. If we are unable to sufficiently demonstrate comparability to the FDA or other health authorities, or if the FDA or other health authorities require analytical, nonclinical or clinical comparability data beyond what our plans currently provide for, our timelines to complete the development of and seek regulatory approval for Zimura could be impacted.</w:t>
      </w:r>
    </w:p>
    <w:p>
      <w:pPr>
        <w:spacing w:after="0" w:line="156" w:lineRule="exact"/>
        <w:rPr>
          <w:sz w:val="20"/>
          <w:szCs w:val="20"/>
          <w:color w:val="auto"/>
        </w:rPr>
      </w:pPr>
    </w:p>
    <w:p>
      <w:pPr>
        <w:ind w:right="140" w:firstLine="318"/>
        <w:spacing w:after="0" w:line="260" w:lineRule="auto"/>
        <w:rPr>
          <w:sz w:val="20"/>
          <w:szCs w:val="20"/>
          <w:color w:val="auto"/>
        </w:rPr>
      </w:pPr>
      <w:r>
        <w:rPr>
          <w:rFonts w:ascii="Arial" w:cs="Arial" w:eastAsia="Arial" w:hAnsi="Arial"/>
          <w:sz w:val="14"/>
          <w:szCs w:val="14"/>
          <w:color w:val="auto"/>
        </w:rPr>
        <w:t>We order the PEG starting material used to make Zimura drug substance from a sole source third-party manufacturer outside the United States. We currently procure the supply on a purchase order basis and are continuing discussions regarding a long-term supply agreement with this manufacturer for the PEG starting material. However, we may not be able to agree to terms or may need to agree to unfavorable terms in order to secure adequate supply. We believe this supplier has the capacity to supply the PEG at the scale that we will need for commercial manufacturing. If this supplier is unable to supply us the PEG in line with our expectations, we believe there are a limited number of alternative suppliers for this important starting material, and if we need to use those suppliers, it could increase our costs and delay our manufacturing plans for Zimura.</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318"/>
        <w:spacing w:after="0" w:line="278" w:lineRule="auto"/>
        <w:rPr>
          <w:sz w:val="20"/>
          <w:szCs w:val="20"/>
          <w:color w:val="auto"/>
        </w:rPr>
      </w:pPr>
      <w:r>
        <w:rPr>
          <w:rFonts w:ascii="Arial" w:cs="Arial" w:eastAsia="Arial" w:hAnsi="Arial"/>
          <w:sz w:val="13"/>
          <w:szCs w:val="13"/>
          <w:color w:val="auto"/>
        </w:rPr>
        <w:t>Each of these activities is costly, time-consuming and uncertain in outcome. We may not be able to successfully validate the scaled up process for manufacturing Zimura drug substance, or we may need to manufacture at a larger scale for our future commercial needs, demonstrate comparability of Zimura drug substance manufactured through the scaled up process or comparability of the finished drug product in the container closure system to be used commercially, in each case, with the Zimura previously used in our clinical trials, or establish the long-term stability of the Zimura drug product stored in the new vial container. The new manufacturers we have engaged or may engage in the future have not had previous experience with Zimura and there may be additional issues with technology transfer. We may need to perform additional work beyond what we currently plan to establish manufacturing and analytical capabilities sufficient to obtain regulatory approval of our manufacturing process for Zimura and to support potential commercial operations. In addition, we may not be able to secure adequate supply of Zimura drug substance, including the PEG starting material used to make Zimura drug substance, and Zimura drug product for our future needs, including to support potential commercial launch, and we may need to secure alternative contract manufacturers or suppliers sooner than we currently expect. If any of the foregoing events occur, it could result in delays or increased costs to support our future development and commercialization of Zimura, even if we successfully complete any required clinical trials for Zimura and obtain sufficient and favorable safety and efficacy data.</w:t>
      </w:r>
    </w:p>
    <w:p>
      <w:pPr>
        <w:spacing w:after="0" w:line="139"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oligonucleotides such as Zimura. The lack of uniform manufacturing and quality standards among regulatory agencies may delay regulatory approval of Zimura. Furthermore, there are a limited number of contract manufacturers with experience manufacturing oligonucleotides, which may limit our ability to find and use alternative manufacturers.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continuing to establish manufacturing capabilities for IC-500. We may need to conduct additional process development and formulation development activities.</w:t>
      </w:r>
    </w:p>
    <w:p>
      <w:pPr>
        <w:spacing w:after="0" w:line="200"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We are working with a number of CDMOs to conduct scale up and cGMP manufacturing of the drug substance for IC-500 for early-stage clinical trials. We are working with a CDMO to conduct cGMP manufacturing and fill/finish of the drug product for IC-500 for our planned GLP toxicology studies and early-stage clinical trials. Our contract manufacturers have developed a manufacturing process for IC-500 drug substance and a formulation of this produced drug substance. However, we have only limited data showing the effect of this formulation in animals; the results of additional preclinical studies for IC-500, including the GLP toxicology studies we are planning, may require us to refine or change our manufacturing process or conduct additional formulation development activities. Manufacturing, including process development, formulation development, drug substance and drug product manufacturing, can be costly and time-consuming and our anticipated timelines for the development of IC-500 may be delayed. If we are unable to successfully manufacture and formulate IC-500 in line with our expectations, we may switch to a backup HtrA1 inhibitor or cease developing our HtrA1 inhibitor program altogether.</w:t>
      </w:r>
    </w:p>
    <w:p>
      <w:pPr>
        <w:spacing w:after="0" w:line="151"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w:t>
      </w:r>
    </w:p>
    <w:p>
      <w:pPr>
        <w:spacing w:after="0" w:line="132"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and cGMP manufacturing, may result in unanticipated delays to our timelines, including delays attributable to securing additional manufacturing time slots. In 2020, we experienced several delays to our cGMP manufacturing activities for IC-100 and IC-200 because of a number of manufacturing issues at our CDMO. There may also be long lead times to manufacture or procure starting materials such as cell banks or plasmids. In particular, plasmids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As previously disclosed, due to an issue with one of the starting materials used for our manufacturing process for IC-100, we had to delay our cGMP manufacturing run at our CDMO and reschedule the run for a later date based on the CDMO’s availability. A failure to procure or a shortage of necessary starting materials likely would delay our manufacturing and development timelines.</w:t>
      </w:r>
    </w:p>
    <w:p>
      <w:pPr>
        <w:spacing w:after="0" w:line="139" w:lineRule="exact"/>
        <w:rPr>
          <w:sz w:val="20"/>
          <w:szCs w:val="20"/>
          <w:color w:val="auto"/>
        </w:rPr>
      </w:pPr>
    </w:p>
    <w:p>
      <w:pPr>
        <w:jc w:val="both"/>
        <w:ind w:right="60" w:firstLine="318"/>
        <w:spacing w:after="0" w:line="267" w:lineRule="auto"/>
        <w:rPr>
          <w:sz w:val="20"/>
          <w:szCs w:val="20"/>
          <w:color w:val="auto"/>
        </w:rPr>
      </w:pPr>
      <w:r>
        <w:rPr>
          <w:rFonts w:ascii="Arial" w:cs="Arial" w:eastAsia="Arial" w:hAnsi="Arial"/>
          <w:sz w:val="14"/>
          <w:szCs w:val="14"/>
          <w:color w:val="auto"/>
        </w:rPr>
        <w:t>A number of factors common to the manufacturing of biologics and drugs could also cause production or quality issues for gene therapies, including raw material or starting material variability in terms of quality, consistency in cell growth, productivity or cell line stability issues, product and process impurities, material shortages of any kind, shipping, distribution, storage and supply chain failures, cell culture contamination, equipment malfunctions, operator errors, facility contamination,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0"/>
        <w:spacing w:after="0" w:line="284" w:lineRule="auto"/>
        <w:rPr>
          <w:sz w:val="20"/>
          <w:szCs w:val="20"/>
          <w:color w:val="auto"/>
        </w:rPr>
      </w:pPr>
      <w:r>
        <w:rPr>
          <w:rFonts w:ascii="Arial" w:cs="Arial" w:eastAsia="Arial" w:hAnsi="Arial"/>
          <w:sz w:val="13"/>
          <w:szCs w:val="13"/>
          <w:color w:val="auto"/>
        </w:rPr>
        <w:t>labor problems, natural disasters, disruption in utility services, terrorist activities, epidemics and pandemics,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Although we were successful in releasing cGMP batches of IC-100 and IC-200 produced by our CDMO, we have not yet conducted any manufacturing activities, including process development, for any of our minigene research programs.</w:t>
      </w:r>
    </w:p>
    <w:p>
      <w:pPr>
        <w:spacing w:after="0" w:line="134"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An important part of manufacturing drug products is performing analytical testing. Analytical testing of gene therapies involves tests that are more complex in scope and take a longer time to develop and to conduct as compared to those used for traditional drugs. We, our contract manufacturers and our contract research organizations need to spend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 development activities without having first fully characterized or released our manufactured materials. If the results of the testing fail to meet our expectations or applicable requirements, we may need to delay or repeat certain manufacturing and development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developing or commercializing products before or more successfully than we do.</w:t>
      </w:r>
    </w:p>
    <w:p>
      <w:pPr>
        <w:spacing w:after="0" w:line="179" w:lineRule="exact"/>
        <w:rPr>
          <w:sz w:val="20"/>
          <w:szCs w:val="20"/>
          <w:color w:val="auto"/>
        </w:rPr>
      </w:pPr>
    </w:p>
    <w:p>
      <w:pPr>
        <w:ind w:firstLine="318"/>
        <w:spacing w:after="0" w:line="313" w:lineRule="auto"/>
        <w:rPr>
          <w:sz w:val="20"/>
          <w:szCs w:val="20"/>
          <w:color w:val="auto"/>
        </w:rPr>
      </w:pPr>
      <w:r>
        <w:rPr>
          <w:rFonts w:ascii="Arial" w:cs="Arial" w:eastAsia="Arial" w:hAnsi="Arial"/>
          <w:sz w:val="12"/>
          <w:szCs w:val="12"/>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119"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Our business strategy is focused on developing transformative therapies for retinal diseases, including GA, intermediate AMD and a number of orphan inherited retinal diseases. There are multiple companies pursuing the development of therapeutics targeting the complement pathway for age-related retinal diseases. Some of them have better name recognition, more resources and a longer history of developing therapies than we do. Competition in this field is intense and especially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significantly limit the commercial opportunity for our product candidates.</w:t>
      </w:r>
    </w:p>
    <w:p>
      <w:pPr>
        <w:spacing w:after="0" w:line="134"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 however, might have a competitive advantage over one administered by monthly intravitreal injections, depending on the relative safety of the other method of administration. Our competitors may also be pursuing similar lifecycle management programs, such as sustained release delivery technologies. Furthermore, our ability to compete may be affected in many cases by insurers or other third-party payors, particularly Medicare, seeking to encourage the use of less expensive or more convenient products.</w:t>
      </w:r>
    </w:p>
    <w:p>
      <w:pPr>
        <w:spacing w:after="0" w:line="134"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enrolling patients for clinical trials, as well as in acquiring technologies complementary to, or necessary for, our development programs. Our</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timelines may be delayed to the extent clinical trials conducted by our competitors are enrolling patients that would otherwise be eligible to participate in our trials at the same time we are seeking to enroll these patients.</w:t>
      </w:r>
    </w:p>
    <w:p>
      <w:pPr>
        <w:spacing w:after="0" w:line="132" w:lineRule="exact"/>
        <w:rPr>
          <w:sz w:val="20"/>
          <w:szCs w:val="20"/>
          <w:color w:val="auto"/>
        </w:rPr>
      </w:pPr>
    </w:p>
    <w:p>
      <w:pPr>
        <w:ind w:right="540" w:firstLine="318"/>
        <w:spacing w:after="0" w:line="281" w:lineRule="auto"/>
        <w:rPr>
          <w:sz w:val="20"/>
          <w:szCs w:val="20"/>
          <w:color w:val="auto"/>
        </w:rPr>
      </w:pPr>
      <w:r>
        <w:rPr>
          <w:rFonts w:ascii="Arial" w:cs="Arial" w:eastAsia="Arial" w:hAnsi="Arial"/>
          <w:sz w:val="14"/>
          <w:szCs w:val="14"/>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GA or dry AMD:</w:t>
      </w:r>
    </w:p>
    <w:p>
      <w:pPr>
        <w:spacing w:after="0" w:line="200" w:lineRule="exact"/>
        <w:rPr>
          <w:sz w:val="20"/>
          <w:szCs w:val="20"/>
          <w:color w:val="auto"/>
        </w:rPr>
      </w:pPr>
    </w:p>
    <w:p>
      <w:pPr>
        <w:ind w:left="520" w:hanging="260"/>
        <w:spacing w:after="0" w:line="275" w:lineRule="auto"/>
        <w:tabs>
          <w:tab w:leader="none" w:pos="516"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are aware that LumiThera, Inc. has a medical device using its LT-300 light delivery system, which is approved in the European Union for the treatment of dry AMD. In addition, 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AstraZeneca PLC (which acquired Alexion Pharmaceuticals, Inc. in 2021), Annexon Inc., Apellis Pharmaceuticals, Inc., or Apellis, Applied Genetic Technologies Corporation, or AGTC, Biogen Inc., Gemini Therapeutics, Inc., Gyroscope Therapeutics (which was recently acquired by Novartis AG), IONIS Pharmaceuticals, Inc. (in collaboration with Roche AG), Janssen Pharmaceuticals Inc. (which acquired its program through the acquisition of Hemera Biosciences, LLC), MorphoSys AG, NGM Biopharmaceuticals Inc. and Novartis AG each have complement inhibitors in development for GA or dry AMD, including, in the cases of Gemini Therapeutics, Gyroscope Therapeutics and Janssen Pharmaceuticals, complement inhibitor gene therapies and AGTC and Gemini Therapeutics each has a research program on complement factor H gene therapy. We believe that the most advanced of these programs is Apellis's pegylated, synthetic peptide targeting complement protein C3, for which Apellis announced topline 12-month data from two Phase 3 clinical trials in September 2021 and 18-month data in March 2022, and Apellis submitted an application for marketing approval with the FDA in June 2022 with an announced Prescription Drug User Fee Act, or PDUFA, date in November 2022. Apellis could obtain marketing approval for its product candidate in advance of when we might reasonably expect to obtain marketing approval for Zimura in GA or IC-500 in GA, if at all. Moreover, we are aware that several other companies, including Abbvie Pharmaceuticals, Inc., Allegro Ophthalmics, LLC, Alkeus Pharmaceuticals Inc., Astellas Pharma Inc., Boehringer Ingelheim, Lineage Cell Therapeutics, Inc., Ocugen, Inc., ONL Therapeutics, Inc., Regenerative Patch Technologies, Roche AG and Stealth BioTherapeutics Corp.,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is Genentech's monoclonal antibody HtrA1 inhibitor, which is currently being studied in a Phase 2 clinical trial and whose results are expected to become available in 2022 or 2023.</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Stargardt disease:</w:t>
      </w:r>
    </w:p>
    <w:p>
      <w:pPr>
        <w:spacing w:after="0" w:line="200" w:lineRule="exact"/>
        <w:rPr>
          <w:sz w:val="20"/>
          <w:szCs w:val="20"/>
          <w:color w:val="auto"/>
        </w:rPr>
      </w:pPr>
    </w:p>
    <w:p>
      <w:pPr>
        <w:ind w:left="520" w:right="40" w:hanging="260"/>
        <w:spacing w:after="0" w:line="282" w:lineRule="auto"/>
        <w:tabs>
          <w:tab w:leader="none" w:pos="516"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There are a number of products in preclinical research and clinical development by third parties to treat Stargardt disease. We are aware that AGTC, Alkeus Pharmaceuticals, Inc., Beam Therapeutics Inc., Biogen, Generation Bio Co., Kubota Vision Inc. (formerly Acucela), Lin BioScience, Inc., ProQR Therapeutics N.V., or ProQR, and Spark Therapeutics (a subsidiary of Roche AG)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RNA-based 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RHO-adRP:</w:t>
      </w:r>
    </w:p>
    <w:p>
      <w:pPr>
        <w:spacing w:after="0" w:line="200" w:lineRule="exact"/>
        <w:rPr>
          <w:sz w:val="20"/>
          <w:szCs w:val="20"/>
          <w:color w:val="auto"/>
        </w:rPr>
      </w:pPr>
    </w:p>
    <w:p>
      <w:pPr>
        <w:ind w:left="520" w:right="20" w:hanging="260"/>
        <w:spacing w:after="0" w:line="246"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are aware that ProQR is developing an RNA-based therapeutic for RHO-adRP, for which it is currently conducting a Phase 1/2 clinical trial. Ocugen, Inc. is developing a preclinical gene therapy for RHO-adRP, for which the FDA granted orphan drug designation in July 2020. In addition, Biogen has a preclinical AAV gene therapy program in RHO-adRP. Editas Medicine, Inc. is also developing a preclinical gene editing product candidate for this disease. We are also aware that multiple academic institutions have early stage gene therapy development programs in RHO-adRP.</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BEST1-related IRDs:</w:t>
      </w:r>
    </w:p>
    <w:p>
      <w:pPr>
        <w:spacing w:after="0" w:line="200" w:lineRule="exact"/>
        <w:rPr>
          <w:sz w:val="20"/>
          <w:szCs w:val="20"/>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are aware that Biogen has a preclinical AAV gene therapy program for one or more BEST1-related IRDs.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LCA10:</w:t>
      </w:r>
    </w:p>
    <w:p>
      <w:pPr>
        <w:spacing w:after="0" w:line="200" w:lineRule="exact"/>
        <w:rPr>
          <w:sz w:val="20"/>
          <w:szCs w:val="20"/>
          <w:color w:val="auto"/>
        </w:rPr>
      </w:pPr>
    </w:p>
    <w:p>
      <w:pPr>
        <w:ind w:left="520" w:right="180" w:hanging="260"/>
        <w:spacing w:after="0" w:line="297" w:lineRule="auto"/>
        <w:tabs>
          <w:tab w:leader="none" w:pos="516" w:val="left"/>
        </w:tabs>
        <w:numPr>
          <w:ilvl w:val="0"/>
          <w:numId w:val="40"/>
        </w:numPr>
        <w:rPr>
          <w:rFonts w:ascii="Arial" w:cs="Arial" w:eastAsia="Arial" w:hAnsi="Arial"/>
          <w:sz w:val="13"/>
          <w:szCs w:val="13"/>
          <w:color w:val="auto"/>
        </w:rPr>
      </w:pPr>
      <w:r>
        <w:rPr>
          <w:rFonts w:ascii="Arial" w:cs="Arial" w:eastAsia="Arial" w:hAnsi="Arial"/>
          <w:sz w:val="13"/>
          <w:szCs w:val="13"/>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Competitive considerations for USH2A-related IRDs:</w:t>
      </w:r>
    </w:p>
    <w:p>
      <w:pPr>
        <w:spacing w:after="0" w:line="200" w:lineRule="exact"/>
        <w:rPr>
          <w:sz w:val="20"/>
          <w:szCs w:val="20"/>
          <w:color w:val="auto"/>
        </w:rPr>
      </w:pPr>
    </w:p>
    <w:p>
      <w:pPr>
        <w:ind w:left="520" w:hanging="260"/>
        <w:spacing w:after="0" w:line="267" w:lineRule="auto"/>
        <w:tabs>
          <w:tab w:leader="none" w:pos="516"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There are a number of products in preclinical research and clinical development by third parties to treat </w:t>
      </w:r>
      <w:r>
        <w:rPr>
          <w:rFonts w:ascii="Arial" w:cs="Arial" w:eastAsia="Arial" w:hAnsi="Arial"/>
          <w:sz w:val="14"/>
          <w:szCs w:val="14"/>
          <w:i w:val="1"/>
          <w:iCs w:val="1"/>
          <w:color w:val="auto"/>
        </w:rPr>
        <w:t>USH2A</w:t>
      </w:r>
      <w:r>
        <w:rPr>
          <w:rFonts w:ascii="Arial" w:cs="Arial" w:eastAsia="Arial" w:hAnsi="Arial"/>
          <w:sz w:val="14"/>
          <w:szCs w:val="14"/>
          <w:color w:val="auto"/>
        </w:rPr>
        <w:t xml:space="preserve">-related IRDs. We are aware that ProQR is pursuing two RNA based approaches for different mutations causing Usher 2A, one of which is currently in Phase 1/2 clinical development and the other of which is in preclinical development. We are also aware that Editas Medicine, Inc., Odylia Therapeutics and Wave Life Sciences, Inc. are exploring potential programs in </w:t>
      </w:r>
      <w:r>
        <w:rPr>
          <w:rFonts w:ascii="Arial" w:cs="Arial" w:eastAsia="Arial" w:hAnsi="Arial"/>
          <w:sz w:val="14"/>
          <w:szCs w:val="14"/>
          <w:i w:val="1"/>
          <w:iCs w:val="1"/>
          <w:color w:val="auto"/>
        </w:rPr>
        <w:t>USH2A</w:t>
      </w:r>
      <w:r>
        <w:rPr>
          <w:rFonts w:ascii="Arial" w:cs="Arial" w:eastAsia="Arial" w:hAnsi="Arial"/>
          <w:sz w:val="14"/>
          <w:szCs w:val="14"/>
          <w:color w:val="auto"/>
        </w:rPr>
        <w:t>-related IRDs.</w:t>
      </w:r>
    </w:p>
    <w:p>
      <w:pPr>
        <w:spacing w:after="0" w:line="142" w:lineRule="exact"/>
        <w:rPr>
          <w:sz w:val="20"/>
          <w:szCs w:val="20"/>
          <w:color w:val="auto"/>
        </w:rPr>
      </w:pPr>
    </w:p>
    <w:p>
      <w:pPr>
        <w:ind w:right="820"/>
        <w:spacing w:after="0" w:line="281" w:lineRule="auto"/>
        <w:rPr>
          <w:sz w:val="20"/>
          <w:szCs w:val="20"/>
          <w:color w:val="auto"/>
        </w:rPr>
      </w:pPr>
      <w:r>
        <w:rPr>
          <w:rFonts w:ascii="Arial" w:cs="Arial" w:eastAsia="Arial" w:hAnsi="Arial"/>
          <w:sz w:val="14"/>
          <w:szCs w:val="14"/>
          <w:b w:val="1"/>
          <w:bCs w:val="1"/>
          <w:i w:val="1"/>
          <w:iCs w:val="1"/>
          <w:color w:val="auto"/>
        </w:rPr>
        <w:t>If we are unable to establish sales, marketing and distribution capabilities or enter into sales, marketing and distribution agreements with third parties, we may not be successful in commercializing Zimura or any of our other product candidates, if and when any such product candidate is approved.</w:t>
      </w:r>
    </w:p>
    <w:p>
      <w:pPr>
        <w:spacing w:after="0" w:line="58" w:lineRule="exact"/>
        <w:rPr>
          <w:sz w:val="20"/>
          <w:szCs w:val="20"/>
          <w:color w:val="auto"/>
        </w:rPr>
      </w:pPr>
    </w:p>
    <w:p>
      <w:pPr>
        <w:ind w:right="120" w:firstLine="318"/>
        <w:spacing w:after="0" w:line="279" w:lineRule="auto"/>
        <w:rPr>
          <w:sz w:val="20"/>
          <w:szCs w:val="20"/>
          <w:color w:val="auto"/>
        </w:rPr>
      </w:pPr>
      <w:r>
        <w:rPr>
          <w:rFonts w:ascii="Arial" w:cs="Arial" w:eastAsia="Arial" w:hAnsi="Arial"/>
          <w:sz w:val="13"/>
          <w:szCs w:val="13"/>
          <w:color w:val="auto"/>
        </w:rPr>
        <w:t>As a company, we have no experience in the sale, marketing or distribution of pharmaceutical products. In 2021, we hired a chief commercial officer and are in the process of hiring additional commercialization personnel and developing our commercialization strategy for Zimura, including market access and reimbursement strategies and potentially setting up a sales, marketing and distribution infrastructure.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is approved, the territories in which the product may be marketed and the commercial potential for such product candidate. In addition, our commercial strategy would vary depending on whether the disease is typically treated by general ophthalmology practitioners or specialists, such as retinal specialists, and the likely degree of acceptance of our product candidate by the relevant physicians in various markets.</w:t>
      </w:r>
    </w:p>
    <w:p>
      <w:pPr>
        <w:spacing w:after="0" w:line="138" w:lineRule="exact"/>
        <w:rPr>
          <w:sz w:val="20"/>
          <w:szCs w:val="20"/>
          <w:color w:val="auto"/>
        </w:rPr>
      </w:pPr>
    </w:p>
    <w:p>
      <w:pPr>
        <w:jc w:val="both"/>
        <w:ind w:right="80" w:firstLine="318"/>
        <w:spacing w:after="0" w:line="262" w:lineRule="auto"/>
        <w:rPr>
          <w:sz w:val="20"/>
          <w:szCs w:val="20"/>
          <w:color w:val="auto"/>
        </w:rPr>
      </w:pPr>
      <w:r>
        <w:rPr>
          <w:rFonts w:ascii="Arial" w:cs="Arial" w:eastAsia="Arial" w:hAnsi="Arial"/>
          <w:sz w:val="14"/>
          <w:szCs w:val="14"/>
          <w:color w:val="auto"/>
        </w:rPr>
        <w:t>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Factors that may inhibit our efforts to commercialize our products on our own include:</w:t>
      </w:r>
    </w:p>
    <w:p>
      <w:pPr>
        <w:spacing w:after="0" w:line="200" w:lineRule="exact"/>
        <w:rPr>
          <w:sz w:val="20"/>
          <w:szCs w:val="20"/>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inability to recruit and retain adequate numbers of effective sales and marketing personnel;</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inability of sales personnel to obtain access to adequate numbers of physicians who may prescribe our products;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unforeseen costs and expenses associated with creating an independent sales and marketing organization.</w:t>
      </w:r>
    </w:p>
    <w:p>
      <w:pPr>
        <w:spacing w:after="0" w:line="200"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There are also risks involved with having third parties perform sales, marketing and distribution services on our behalf. 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we do not or are unable to establish sales, marketing and distribution capabilities successfully, either on our own or in collaboration with third parties, we would not be successful in commercializing our product candidates, if approved.</w:t>
      </w:r>
    </w:p>
    <w:p>
      <w:pPr>
        <w:spacing w:after="0" w:line="132" w:lineRule="exact"/>
        <w:rPr>
          <w:sz w:val="20"/>
          <w:szCs w:val="20"/>
          <w:color w:val="auto"/>
        </w:rPr>
      </w:pPr>
    </w:p>
    <w:p>
      <w:pPr>
        <w:ind w:right="180"/>
        <w:spacing w:after="0" w:line="368" w:lineRule="auto"/>
        <w:rPr>
          <w:sz w:val="20"/>
          <w:szCs w:val="20"/>
          <w:color w:val="auto"/>
        </w:rPr>
      </w:pPr>
      <w:r>
        <w:rPr>
          <w:rFonts w:ascii="Arial" w:cs="Arial" w:eastAsia="Arial" w:hAnsi="Arial"/>
          <w:sz w:val="12"/>
          <w:szCs w:val="12"/>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 candidates may be smaller than we estimate.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degree of market acceptance of any product candidate that we are developing or we may develop, if approved for commercial sale, will depend on a number of factors, including:</w:t>
      </w:r>
    </w:p>
    <w:p>
      <w:pPr>
        <w:spacing w:after="0" w:line="211" w:lineRule="exact"/>
        <w:rPr>
          <w:sz w:val="20"/>
          <w:szCs w:val="20"/>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efficacy and potential advantages compared to alternative treatments, including the existing standard of care;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any restrictions in the label on the use of our products in combination with other medications or with certain devices;</w:t>
      </w:r>
    </w:p>
    <w:p>
      <w:pPr>
        <w:spacing w:after="0" w:line="199" w:lineRule="exact"/>
        <w:rPr>
          <w:rFonts w:ascii="Arial" w:cs="Arial" w:eastAsia="Arial" w:hAnsi="Arial"/>
          <w:sz w:val="14"/>
          <w:szCs w:val="14"/>
          <w:color w:val="auto"/>
        </w:rPr>
      </w:pPr>
    </w:p>
    <w:p>
      <w:pPr>
        <w:ind w:left="760" w:right="80" w:hanging="246"/>
        <w:spacing w:after="0" w:line="331" w:lineRule="auto"/>
        <w:tabs>
          <w:tab w:leader="none" w:pos="756" w:val="left"/>
        </w:tabs>
        <w:numPr>
          <w:ilvl w:val="0"/>
          <w:numId w:val="43"/>
        </w:numPr>
        <w:rPr>
          <w:rFonts w:ascii="Arial" w:cs="Arial" w:eastAsia="Arial" w:hAnsi="Arial"/>
          <w:sz w:val="12"/>
          <w:szCs w:val="12"/>
          <w:color w:val="auto"/>
        </w:rPr>
      </w:pPr>
      <w:r>
        <w:rPr>
          <w:rFonts w:ascii="Arial" w:cs="Arial" w:eastAsia="Arial" w:hAnsi="Arial"/>
          <w:sz w:val="12"/>
          <w:szCs w:val="12"/>
          <w:color w:val="auto"/>
        </w:rPr>
        <w:t>any restrictions in the label on the use of our products to or by a subgroup of patients, including, for example, for Zimura, if approved, restrictions on use of our product to patients with GA secondary to dry or non-neovascular AMD (as opposed to all forms of GA) or to patients with specific GA lesion characteristics, such as non-foveal GA. The inclusion criteria for our GATHER1 and GATHER2 trials require patients to have non-foveal GA and as a result, our label for Zimura, if approved, may have a restriction limiting its use to those patients;</w:t>
      </w:r>
    </w:p>
    <w:p>
      <w:pPr>
        <w:spacing w:after="0" w:line="129" w:lineRule="exact"/>
        <w:rPr>
          <w:rFonts w:ascii="Arial" w:cs="Arial" w:eastAsia="Arial" w:hAnsi="Arial"/>
          <w:sz w:val="12"/>
          <w:szCs w:val="12"/>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treatment regimens calling for multiple intravitreal injections on the same day, restrictions in the label imposing a waiting period in between intravitreal injections;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and any commercialization partner’s ability to offer our products at competitive prices;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availability and timeliness of governmental and third-party payor coverage and adequate reimbursement;</w:t>
      </w:r>
    </w:p>
    <w:p>
      <w:pPr>
        <w:spacing w:after="0" w:line="199"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53" w:lineRule="exact"/>
        <w:rPr>
          <w:rFonts w:ascii="Arial" w:cs="Arial" w:eastAsia="Arial" w:hAnsi="Arial"/>
          <w:sz w:val="14"/>
          <w:szCs w:val="14"/>
          <w:color w:val="auto"/>
        </w:rPr>
      </w:pPr>
    </w:p>
    <w:p>
      <w:pPr>
        <w:ind w:left="760" w:right="320" w:hanging="246"/>
        <w:spacing w:after="0" w:line="281"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prevalence and severity of any side effects or perceived safety concerns, such as CNV; and</w:t>
      </w:r>
    </w:p>
    <w:p>
      <w:pPr>
        <w:spacing w:after="0" w:line="199" w:lineRule="exact"/>
        <w:rPr>
          <w:rFonts w:ascii="Arial" w:cs="Arial" w:eastAsia="Arial" w:hAnsi="Arial"/>
          <w:sz w:val="14"/>
          <w:szCs w:val="14"/>
          <w:color w:val="auto"/>
        </w:rPr>
      </w:pPr>
    </w:p>
    <w:p>
      <w:pPr>
        <w:ind w:left="760" w:right="180" w:hanging="246"/>
        <w:spacing w:after="0" w:line="281"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auto"/>
        </w:rPr>
        <w:t>whether competing products or other alternatives are more convenient or easier to administer, including alternatives that offer a less frequent dosing regimen than monthly intravitreal injections, in the case of Zimura, come to market.</w:t>
      </w:r>
    </w:p>
    <w:p>
      <w:pPr>
        <w:spacing w:after="0" w:line="132"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Our development program for Zimura in GA uses anatomical primary endpoints, the mean rate of change in GA growth over 12 months, in the case of GATHER1, and the mean rate of growth (slope) estimated based on GA area over 12 months, in the case of GATHER2. We believe that this efficacy assessment is most likely to demonstrate clinical relevance for an investigational product across a heterogeneous GA patient population and other potential assessments, such as comparisons of visual acuity, are not as clinically meaningful for patients with GA. However, to date there is no direct functional corollary to the anatomical measures that we are using as our primary endpoints for GATHER1 and GATHER2. Although we evaluated visual acuity as a secondary endpoint in the GATHER1 trial, the trial was not designed to reliably assess differences in mean changes in visual acuity with statistical significance. Patients, physicians and payors may not recognize the value of, and we may not be able to obtain marketing or reimbursement approval for, Zimura without demonstrating a functional benefit to vision. To do so, we may need to conduct additional clinical trials or sub-studies, which may not ultimately demonstrate a functional benefit to vision.</w:t>
      </w:r>
    </w:p>
    <w:p>
      <w:pPr>
        <w:spacing w:after="0" w:line="137" w:lineRule="exact"/>
        <w:rPr>
          <w:sz w:val="20"/>
          <w:szCs w:val="20"/>
          <w:color w:val="auto"/>
        </w:rPr>
      </w:pPr>
    </w:p>
    <w:p>
      <w:pPr>
        <w:ind w:right="180" w:firstLine="318"/>
        <w:spacing w:after="0" w:line="262" w:lineRule="auto"/>
        <w:rPr>
          <w:sz w:val="20"/>
          <w:szCs w:val="20"/>
          <w:color w:val="auto"/>
        </w:rPr>
      </w:pPr>
      <w:r>
        <w:rPr>
          <w:rFonts w:ascii="Arial" w:cs="Arial" w:eastAsia="Arial" w:hAnsi="Arial"/>
          <w:sz w:val="14"/>
          <w:szCs w:val="14"/>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market response to anti-VEGF agents currently approved for treatment of wet AMD, third-party research reports and other surveys.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The potential market opportunity for our product candidates may also differ across geographies. While we believe that our internal assumptions are reasonable, any of these assumptions could prove to be inaccurate, and the actual market for such product candidates could be smaller than our estimates of our potential market opportunity.</w:t>
      </w:r>
    </w:p>
    <w:p>
      <w:pPr>
        <w:spacing w:after="0" w:line="132"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There is a variety of factors that could contribute to the actual number of patients who receive an approved therapy being less than our estimates of the potential addressable market.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GA, likely will diminish the therapeutic benefit conferred by a new drug product due to irreversible cell death. For example, certain GA patients may have experienced the loss of certain portions of retinal tissue that disproportionately affected their functional vision, and these patients may not value a treatment that can only slow the growth of additional GA lesions without providing a treatment to their loss of functional vision. On the other hand, patients with intermediate AMD are often asymptomatic as to loss of vision; therefore they may not seek or value having a treatment for their condition, especially a treatment involving monthly injections, which is the current dosing regimen for Zimura. In addition, physicians, including retina specialists, GOs and ODs, and their patients may not be aware of the risks of disease progression or of the availability of treatments, once approved. If the number of patients that may benefit from the treatments we are seeking to develop is lower than we expect, our business, financial condition, results of operations and prospects may be adversely affected.</w:t>
      </w:r>
    </w:p>
    <w:p>
      <w:pPr>
        <w:spacing w:after="0" w:line="142" w:lineRule="exact"/>
        <w:rPr>
          <w:sz w:val="20"/>
          <w:szCs w:val="20"/>
          <w:color w:val="auto"/>
        </w:rPr>
      </w:pPr>
    </w:p>
    <w:p>
      <w:pPr>
        <w:ind w:right="420"/>
        <w:spacing w:after="0" w:line="281" w:lineRule="auto"/>
        <w:rPr>
          <w:sz w:val="20"/>
          <w:szCs w:val="20"/>
          <w:color w:val="auto"/>
        </w:rPr>
      </w:pPr>
      <w:r>
        <w:rPr>
          <w:rFonts w:ascii="Arial" w:cs="Arial" w:eastAsia="Arial" w:hAnsi="Arial"/>
          <w:sz w:val="14"/>
          <w:szCs w:val="14"/>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53"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Zimura in GA and for many countries in Europe, we may need to demonstrate a relative benefit in functional vision in order to obtain reimbursement approval, although our clinical trials, which use an 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60"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The perceived high cost for pharmaceutical products to treat orphan diseases, where manufacturers seek to recoup development costs and earn a profit for a therapy intended to treat a relatively small patient population, may attract increased political and public scrutiny, as seen recently with a number of gene therapies that entered the market. Moreover, if we obtain marketing approval for a product candidate, such as Zimura, in more than one indication, including, for example in an orphan indication such as STGD1 and a non-orphan indication such as GA,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156"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00"/>
        <w:spacing w:after="0" w:line="319" w:lineRule="auto"/>
        <w:rPr>
          <w:sz w:val="20"/>
          <w:szCs w:val="20"/>
          <w:color w:val="auto"/>
        </w:rPr>
      </w:pPr>
      <w:r>
        <w:rPr>
          <w:rFonts w:ascii="Arial" w:cs="Arial" w:eastAsia="Arial" w:hAnsi="Arial"/>
          <w:sz w:val="12"/>
          <w:szCs w:val="12"/>
          <w:color w:val="auto"/>
        </w:rPr>
        <w:t>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experienced by the pharmaceutical industry may be further exacerbated by legislative and policy changes under consideration by the Biden Administration, the U.S. Congress and many states. We expect that Zimura, if approved for GA, would be reimbursed in large part by Medicare Part B and therefore, these cost containment measures will likely affect our pricing and reimbursement strategies.</w:t>
      </w:r>
    </w:p>
    <w:p>
      <w:pPr>
        <w:spacing w:after="0" w:line="136"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which are generally covered by the "buy and bill" reimbursement model under Medicare Part B. We may choose to, or be required by market dynamics to, implement access and reimbursement policies that may not be successful in driving use of and reimbursement for our products, if approved. We or any commercialization partner may also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156" w:lineRule="exact"/>
        <w:rPr>
          <w:sz w:val="20"/>
          <w:szCs w:val="20"/>
          <w:color w:val="auto"/>
        </w:rPr>
      </w:pPr>
    </w:p>
    <w:p>
      <w:pPr>
        <w:ind w:right="120" w:firstLine="318"/>
        <w:spacing w:after="0" w:line="256" w:lineRule="auto"/>
        <w:rPr>
          <w:sz w:val="20"/>
          <w:szCs w:val="20"/>
          <w:color w:val="auto"/>
        </w:rPr>
      </w:pPr>
      <w:r>
        <w:rPr>
          <w:rFonts w:ascii="Arial" w:cs="Arial" w:eastAsia="Arial" w:hAnsi="Arial"/>
          <w:sz w:val="14"/>
          <w:szCs w:val="14"/>
          <w:color w:val="auto"/>
        </w:rPr>
        <w:t>There may be significant delays in obtaining reimbursement for newly approved drugs, and coverage may be more limited than the purposes for which the drug is approved by the FDA or similar regulatory authorities outside the United States. Eligibility for reimbursement does not imply that any drug will be paid for in all cases or at a rate that covers our costs, including research, development, manufacture, sale and distribution costs.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which many members of the U.S. Congress expressed an interest in pursuing. In September 2020, HHS issued a rule permitting limited importation of drugs from Canada.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financial condition, or our ability to raise capital needed to commercialize products.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Ethical, legal and social issues related to genetic testing may reduce demand for any gene therapy product candidates we develop and for which we seek marketing approval.</w:t>
      </w:r>
    </w:p>
    <w:p>
      <w:pPr>
        <w:spacing w:after="0" w:line="190"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We anticipate that prior to receiving certain gene therapies, including as part of a clinical trial, patients would be required to undergo genetic testing. Genetic testing has raised concerns regarding the appropriate utilization and the confidentiality of information provided by genetic testing. The ownership of and the lawfulness of using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for a gene therapy and the demand for a gene therapy once it is approved.</w:t>
      </w:r>
    </w:p>
    <w:p>
      <w:pPr>
        <w:spacing w:after="0" w:line="151"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32" w:lineRule="exact"/>
        <w:rPr>
          <w:sz w:val="20"/>
          <w:szCs w:val="20"/>
          <w:color w:val="auto"/>
        </w:rPr>
      </w:pPr>
    </w:p>
    <w:p>
      <w:pPr>
        <w:jc w:val="both"/>
        <w:ind w:right="200" w:firstLine="318"/>
        <w:spacing w:after="0" w:line="297" w:lineRule="auto"/>
        <w:rPr>
          <w:sz w:val="20"/>
          <w:szCs w:val="20"/>
          <w:color w:val="auto"/>
        </w:rPr>
      </w:pPr>
      <w:r>
        <w:rPr>
          <w:rFonts w:ascii="Arial" w:cs="Arial" w:eastAsia="Arial" w:hAnsi="Arial"/>
          <w:sz w:val="13"/>
          <w:szCs w:val="13"/>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145" w:lineRule="exact"/>
        <w:rPr>
          <w:sz w:val="20"/>
          <w:szCs w:val="20"/>
          <w:color w:val="auto"/>
        </w:rPr>
      </w:pPr>
    </w:p>
    <w:p>
      <w:pPr>
        <w:ind w:left="5580" w:right="5280" w:hanging="5066"/>
        <w:spacing w:after="0" w:line="682" w:lineRule="auto"/>
        <w:tabs>
          <w:tab w:leader="none" w:pos="772" w:val="left"/>
        </w:tabs>
        <w:numPr>
          <w:ilvl w:val="0"/>
          <w:numId w:val="44"/>
        </w:numPr>
        <w:rPr>
          <w:rFonts w:ascii="Arial" w:cs="Arial" w:eastAsia="Arial" w:hAnsi="Arial"/>
          <w:sz w:val="12"/>
          <w:szCs w:val="12"/>
          <w:color w:val="auto"/>
        </w:rPr>
      </w:pPr>
      <w:r>
        <w:rPr>
          <w:rFonts w:ascii="Arial" w:cs="Arial" w:eastAsia="Arial" w:hAnsi="Arial"/>
          <w:sz w:val="12"/>
          <w:szCs w:val="12"/>
          <w:color w:val="auto"/>
        </w:rPr>
        <w:t>decreased demand for any product candidates or products that we may develop or in-license;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290830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significant costs to defend the related litigation;</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loss of revenue;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reduced time and attention of our management to pursue our business strategy;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inability to commercialize any products that we may develop or in-license.</w:t>
      </w:r>
    </w:p>
    <w:p>
      <w:pPr>
        <w:spacing w:after="0" w:line="179"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183" w:lineRule="exact"/>
        <w:rPr>
          <w:sz w:val="20"/>
          <w:szCs w:val="20"/>
          <w:color w:val="auto"/>
        </w:rPr>
      </w:pPr>
    </w:p>
    <w:p>
      <w:pPr>
        <w:ind w:right="260"/>
        <w:spacing w:after="0" w:line="262" w:lineRule="auto"/>
        <w:rPr>
          <w:sz w:val="20"/>
          <w:szCs w:val="20"/>
          <w:color w:val="auto"/>
        </w:rPr>
      </w:pPr>
      <w:r>
        <w:rPr>
          <w:rFonts w:ascii="Arial" w:cs="Arial" w:eastAsia="Arial" w:hAnsi="Arial"/>
          <w:sz w:val="14"/>
          <w:szCs w:val="14"/>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including to support potential commercialization of Zimura.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46"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starting materials and other specialized components of production used in the manufacture and fill/finish of our product candidates.</w:t>
      </w:r>
    </w:p>
    <w:p>
      <w:pPr>
        <w:spacing w:after="0" w:line="146"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We have historically relied on, and purchased on a purchase order basis from, a single third-party manufacturer, Agilent, to provide Zimura drug substance. We are working with Agilent and a new manufacturer to conduct scale up and validation activities for Zimura drug substance. However, we do not currently have any contractual commitments with Agilent or the new manufacturer for the long-term clinical or commercial supply of Zimura drug substance. We have also historically relied on a single third-party manufacturer, Ajinomoto, for Zimura drug product. We are working with a second fill/finish manufacturer for additional supply of Zimura drug product for our expected needs for the GATHER2 and STAR trials. We plan to rely on Ajinomoto for supply of Zimura drug product using the new vial for commercial supply upon launch, if approved. However, we may ultimately need to rely on other manufacturers for long-term supply of Zimura drug product. We purchase the PEG starting material on a purchase order basis from a single third-party supplier. We are continuing discussions with this supplier for a long-term supply agreement for the PEG starting material. For these and any other manufacturers with which we do not have any contractual commitments for supply, the pricing and other terms for supply may vary, even substantially, over time and could adversely affect our financial results and operations.</w:t>
      </w:r>
    </w:p>
    <w:p>
      <w:pPr>
        <w:spacing w:after="0" w:line="149"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For IC-500, we work with a number of CDMOs to conduct process development, scale-up and cGMP manufacture of the drug substance and drug product for preclinical toxicology studies and early-stage clinical trials.</w:t>
      </w:r>
    </w:p>
    <w:p>
      <w:pPr>
        <w:spacing w:after="0" w:line="132"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Our current and anticipated future dependence upon others for the manufacture of the product candidates that we are developing or may develop may adversely affect our business plan and future growth. For example, any production constraints,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color w:val="auto"/>
        </w:rPr>
        <w:t>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 We may not have adequate or timely visibility over issues at our third-party manufacturers, and may not become aware of any such issues until the effect on our programs, if any, has already materialized.</w:t>
      </w:r>
    </w:p>
    <w:p>
      <w:pPr>
        <w:spacing w:after="0" w:line="124" w:lineRule="exact"/>
        <w:rPr>
          <w:sz w:val="20"/>
          <w:szCs w:val="20"/>
          <w:color w:val="auto"/>
        </w:rPr>
      </w:pPr>
    </w:p>
    <w:p>
      <w:pPr>
        <w:ind w:right="120" w:firstLine="318"/>
        <w:spacing w:after="0" w:line="280" w:lineRule="auto"/>
        <w:rPr>
          <w:sz w:val="20"/>
          <w:szCs w:val="20"/>
          <w:color w:val="auto"/>
        </w:rPr>
      </w:pPr>
      <w:r>
        <w:rPr>
          <w:rFonts w:ascii="Arial" w:cs="Arial" w:eastAsia="Arial" w:hAnsi="Arial"/>
          <w:sz w:val="13"/>
          <w:szCs w:val="13"/>
          <w:color w:val="auto"/>
        </w:rPr>
        <w:t>Over the past few years, Agilent has been undergoing rapid expansion, including ramping up for production for existing clients, bringing on additional clients, opening new facilities, installing and validating new equipment, and hiring and training new personnel. As a result, we engaged a new contract manufacturer for supply of Zimura drug substance, which we had planned to be our primary manufacturer for Zimura drug substance. We encountered issues during technology transfer of the Zimura manufacturing process to this manufacturer, which delayed our timelines with this manufacturer. Subject to successful completion of scale up and validation activities, we currently plan to use Agilent as the primary source of supply of Zimura drug substance upon launch, if approved, and the new manufacturer as a second source of supply of Zimura drug substance. We are continuing discussions with Agilent for long-term commercial supply of Zimura drug substance. In addition, expansion experienced by other manufacturers and suppliers that we use, including any issues that they may experience while expanding, could negatively impact the timing, costs, progress, quality and outcome of our planned manufacturing activities with those manufacturers and delay or hinder our development plans.</w:t>
      </w:r>
    </w:p>
    <w:p>
      <w:pPr>
        <w:spacing w:after="0" w:line="137" w:lineRule="exact"/>
        <w:rPr>
          <w:sz w:val="20"/>
          <w:szCs w:val="20"/>
          <w:color w:val="auto"/>
        </w:rPr>
      </w:pPr>
    </w:p>
    <w:p>
      <w:pPr>
        <w:ind w:right="140" w:firstLine="318"/>
        <w:spacing w:after="0" w:line="262" w:lineRule="auto"/>
        <w:rPr>
          <w:sz w:val="20"/>
          <w:szCs w:val="20"/>
          <w:color w:val="auto"/>
        </w:rPr>
      </w:pPr>
      <w:r>
        <w:rPr>
          <w:rFonts w:ascii="Arial" w:cs="Arial" w:eastAsia="Arial" w:hAnsi="Arial"/>
          <w:sz w:val="14"/>
          <w:szCs w:val="14"/>
          <w:color w:val="auto"/>
        </w:rPr>
        <w:t>If any of our third-party manufacturers, fill/finish providers or sole-source suppliers fail to fulfill our contracts or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167"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As a result of the COVID-19 pandemic, our third-party contract manufacturers and many sole-source suppliers have limited their operations by reducing the number of staff on site and instituting restrictions on visitors. These changes have affected how we work with our manufacturers and have resulted in minor delays to the progress of our manufacturing activities. Additionally, shortages and governmental restrictions arising from the COVID-19 pandemic have disrupted and may continue to disrupt the ability of our contract manufacturers to procure items, such raw materials, that are essential for the manufacture of our product candidates. For example, in 2020, the COVID-19 pandemic and governmental measures in response caused a delay to the process development activities at our drug substance manufacturer for IC-500 as a result of difficulty in procuring one of the raw materials used in the manufacture of IC-500 from China. Over the past two years, there have been increasing disruptions in the global supply chain for various materials, due to the effects of the COVID-19 pandemic and other reasons, and these disruptions may ultimately affect our operations. In October 2021, we learned that the new manufacturer we are working with as a second source of supply for Zimura drug substance was experiencing issues with procuring an important raw material common to many manufacturing processes, which occurred due to supply chain interruptions and caused a slight delay to our manufacturing timelines with this manufacturer. We learned that several of our contract manufacturing organizations and suppliers were experiencing difficulty with procuring certain materials as a result of the ongoing COVID-19 pandemic and the Omicron variant, which has caused a slight delay to our planned manufacturing timelines for Zimura. To date, we have not experienced any drug product supply issues impacting our GATHER2 and STAR clinical trials and we do not believe our overall timelines for Zimura have been materially impacted as a result of supply chain issues affecting our contract manufacturers.</w:t>
      </w:r>
    </w:p>
    <w:p>
      <w:pPr>
        <w:spacing w:after="0" w:line="150" w:lineRule="exact"/>
        <w:rPr>
          <w:sz w:val="20"/>
          <w:szCs w:val="20"/>
          <w:color w:val="auto"/>
        </w:rPr>
      </w:pPr>
    </w:p>
    <w:p>
      <w:pPr>
        <w:ind w:right="40" w:firstLine="318"/>
        <w:spacing w:after="0" w:line="250" w:lineRule="auto"/>
        <w:rPr>
          <w:sz w:val="20"/>
          <w:szCs w:val="20"/>
          <w:color w:val="auto"/>
        </w:rPr>
      </w:pPr>
      <w:r>
        <w:rPr>
          <w:rFonts w:ascii="Arial" w:cs="Arial" w:eastAsia="Arial" w:hAnsi="Arial"/>
          <w:sz w:val="13"/>
          <w:szCs w:val="13"/>
          <w:color w:val="auto"/>
        </w:rPr>
        <w:t>In addition, we and our third party manufacturers source some of the raw and starting materials used in the manufacture of our product candidates from outside the United States. We source the PEG starting material from a supplier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and other geopolitical events such as the military conflict between Russia and Ukraine and the resulting sanctions imposed by the United States and other governments and any additional future sanctions or actions in response to the military conflict or other geopolitical events, could cause delays or disruptions in our supply of starting materials for our product candidates.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Reliance on third-party manufacturers entails additional risks, including:</w:t>
      </w:r>
    </w:p>
    <w:p>
      <w:pPr>
        <w:spacing w:after="0" w:line="200" w:lineRule="exact"/>
        <w:rPr>
          <w:sz w:val="20"/>
          <w:szCs w:val="20"/>
          <w:color w:val="auto"/>
        </w:rPr>
      </w:pPr>
    </w:p>
    <w:p>
      <w:pPr>
        <w:ind w:left="760" w:hanging="246"/>
        <w:spacing w:after="0"/>
        <w:tabs>
          <w:tab w:leader="none" w:pos="7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our product candidates may compete with other product candidates and products for access to a limited number of suitable manufacturing facilities that operate under cGMP conditions;</w:t>
      </w:r>
    </w:p>
    <w:p>
      <w:pPr>
        <w:spacing w:after="0" w:line="222" w:lineRule="exact"/>
        <w:rPr>
          <w:rFonts w:ascii="Arial" w:cs="Arial" w:eastAsia="Arial" w:hAnsi="Arial"/>
          <w:sz w:val="12"/>
          <w:szCs w:val="12"/>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reliance on the third party for regulatory compliance, quality control and quality assurance;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possible breach of the manufacturing agreement by the third party;</w:t>
      </w:r>
    </w:p>
    <w:p>
      <w:pPr>
        <w:spacing w:after="0" w:line="199" w:lineRule="exact"/>
        <w:rPr>
          <w:rFonts w:ascii="Arial" w:cs="Arial" w:eastAsia="Arial" w:hAnsi="Arial"/>
          <w:sz w:val="14"/>
          <w:szCs w:val="14"/>
          <w:color w:val="auto"/>
        </w:rPr>
      </w:pPr>
    </w:p>
    <w:p>
      <w:pPr>
        <w:ind w:left="760" w:right="460" w:hanging="246"/>
        <w:spacing w:after="0" w:line="281" w:lineRule="auto"/>
        <w:tabs>
          <w:tab w:leader="none" w:pos="756"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possible misappropriation of our proprietary information, including our trade secrets and know-how, or the proprietary information of third parties that we are responsible for protecting; and</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possible termination or non-renewal of the agreement by the third party at a time that is costly or inconvenient for us.</w:t>
      </w:r>
    </w:p>
    <w:p>
      <w:pPr>
        <w:spacing w:after="0" w:line="179"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46"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b w:val="1"/>
          <w:bCs w:val="1"/>
          <w:i w:val="1"/>
          <w:iCs w:val="1"/>
          <w:color w:val="auto"/>
        </w:rPr>
        <w:t>We rely upon third parties in conducting our preclinical development activities and clinical trials, and those third parties may not perform satisfactorily, including failing to follow regulatory requirements or to meet deadlines for the completion of such activities. The COVID-19 pandemic has also affected their operations.</w:t>
      </w:r>
    </w:p>
    <w:p>
      <w:pPr>
        <w:spacing w:after="0" w:line="132" w:lineRule="exact"/>
        <w:rPr>
          <w:sz w:val="20"/>
          <w:szCs w:val="20"/>
          <w:color w:val="auto"/>
        </w:rPr>
      </w:pPr>
    </w:p>
    <w:p>
      <w:pPr>
        <w:ind w:right="20" w:firstLine="318"/>
        <w:spacing w:after="0" w:line="313" w:lineRule="auto"/>
        <w:rPr>
          <w:sz w:val="20"/>
          <w:szCs w:val="20"/>
          <w:color w:val="auto"/>
        </w:rPr>
      </w:pPr>
      <w:r>
        <w:rPr>
          <w:rFonts w:ascii="Arial" w:cs="Arial" w:eastAsia="Arial" w:hAnsi="Arial"/>
          <w:sz w:val="12"/>
          <w:szCs w:val="12"/>
          <w:color w:val="auto"/>
        </w:rPr>
        <w:t>We are relying upon and expect in the future to rely upon third parties, such as contract research organizations, or CROs, clinical data management organizations, medical institutions (including reading centers) and clinical investigators, in conducting our preclinical testing, analytical testing and clinical trials for our product candidates. We also expect to rely upon certain facilities at UMMS for various services supporting our research and development programs, including maintenance and care of research animals and production of viral vectors. These third parties may also have relationships with other entities, some of which may be our competitors.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19"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The COVID-19 pandemic has caused our university collaborators to limit the number of staff on site and the types of activities that may be conducted in their laboratories. During 2020, Penn restricted their researchers from being on site in their laboratories and closed a number of research centers that our researchers use for data analysis, which limited their ability to analyze some of the data generated during our preclinical studies. As a result, our receipt of data and reports from some of those studies was delayed. The University of Florida, or UF, also limited staff on site in their laboratories and vector production facilities, which delayed our obtaining certain reagents and other materials used for our gene therapy programs. In addition, UMMS suspended researcher access to their laboratories and the conduct of certain animal studies and reduced the number of staff in its animal medicine department, which delayed our timelines for our miniCEP290 and miniUSH2A sponsored research programs. Shortages and governmental restrictions arising from the COVID-19 pandemic may also disrupt the ability of our academic collaborators, clinical trial sites and other contract research organizations to procure items that are essential for our research and development activities, including, for example, medical and laboratory supplies used in our clinical trials, including personal protective equipment for site staff, or animals that are used for preclinical studies. For example, there have been shortages of various animals used in research studies, such as several types of monkeys, which are typically sourced from China, due to the COVID-19 pandemic and disruptions to the global supply chain. Over the past year, several of our vendors have been facing backlogs due to work and demands from other clients, including those who are developing vaccines or medicines for the COVID-19 pandemic, which has limited their availability to perform work for us. Many CROs have limited slots available for preclinical studies and experienced increased absenteeism of staff in wake of the Omicron variant; these factors resulted in us securing a start date for our IND-enabling toxicology studies for IC-500 that is later than what we had originally planned. There is no guarantee that the COVID-19 pandemic will not further impact our third-party vendors, which could have a material impact on our research and development programs.</w:t>
      </w:r>
    </w:p>
    <w:p>
      <w:pPr>
        <w:spacing w:after="0" w:line="142" w:lineRule="exact"/>
        <w:rPr>
          <w:sz w:val="20"/>
          <w:szCs w:val="20"/>
          <w:color w:val="auto"/>
        </w:rPr>
      </w:pPr>
    </w:p>
    <w:p>
      <w:pPr>
        <w:ind w:right="60" w:firstLine="318"/>
        <w:spacing w:after="0" w:line="284" w:lineRule="auto"/>
        <w:rPr>
          <w:sz w:val="20"/>
          <w:szCs w:val="20"/>
          <w:color w:val="auto"/>
        </w:rPr>
      </w:pPr>
      <w:r>
        <w:rPr>
          <w:rFonts w:ascii="Arial" w:cs="Arial" w:eastAsia="Arial" w:hAnsi="Arial"/>
          <w:sz w:val="13"/>
          <w:szCs w:val="13"/>
          <w:color w:val="auto"/>
        </w:rPr>
        <w:t>Our reliance on these third parties for preclinical testing, analytical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and other regulatory authorities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various government-sponsored databases within specified timeframes. Failure to do so can result in fines, adverse publicity and civil and criminal sanctions.</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80" w:firstLine="318"/>
        <w:spacing w:after="0" w:line="304" w:lineRule="auto"/>
        <w:rPr>
          <w:sz w:val="20"/>
          <w:szCs w:val="20"/>
          <w:color w:val="auto"/>
        </w:rPr>
      </w:pPr>
      <w:r>
        <w:rPr>
          <w:rFonts w:ascii="Arial" w:cs="Arial" w:eastAsia="Arial" w:hAnsi="Arial"/>
          <w:sz w:val="12"/>
          <w:szCs w:val="12"/>
          <w:color w:val="auto"/>
        </w:rPr>
        <w:t>Over the past decade,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In 2020 and early 2021, the COVID-19 pandemic prevented us from performing audits on our vendors and clinical trial sites that we otherwise would have performed, which decreases the level of oversight we have over those vendors and clinical trial sites and increases the risk of non-compliance. Any failure of such practices or systems to comply with our stated protocols or regulatory requirements could adversely affect the quality of the data generated by these studies. For a number of our analytical development and testing providers, our CDMOs subcontract and manage that work on our behalf and we have less visibility into or control over their activities. If these third parties do not successfully carry out their contractual duties, meet expected deadlines or conduct our preclinical studies, analytical testing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w:t>
      </w:r>
    </w:p>
    <w:p>
      <w:pPr>
        <w:spacing w:after="0" w:line="114" w:lineRule="exact"/>
        <w:rPr>
          <w:sz w:val="20"/>
          <w:szCs w:val="20"/>
          <w:color w:val="auto"/>
        </w:rPr>
      </w:pPr>
    </w:p>
    <w:p>
      <w:pPr>
        <w:ind w:right="120" w:firstLine="318"/>
        <w:spacing w:after="0" w:line="250" w:lineRule="auto"/>
        <w:rPr>
          <w:sz w:val="20"/>
          <w:szCs w:val="20"/>
          <w:color w:val="auto"/>
        </w:rPr>
      </w:pPr>
      <w:r>
        <w:rPr>
          <w:rFonts w:ascii="Arial" w:cs="Arial" w:eastAsia="Arial" w:hAnsi="Arial"/>
          <w:sz w:val="13"/>
          <w:szCs w:val="13"/>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Our product candidates are required to be stored and shipped at certain temperatures and a deviation from those requirements may result in delays or additional costs. In addition, a number of these vendors are also servicing other clients who are developing vaccines or medicines for the COVID-19 pandemic and those vendors may prioritize those other clients over us.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144"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b w:val="1"/>
          <w:bCs w:val="1"/>
          <w:i w:val="1"/>
          <w:iCs w:val="1"/>
          <w:color w:val="auto"/>
        </w:rPr>
        <w:t>We have historically relied upon third-party researchers to advance our sponsored research programs. We may not be able to fully realize the benefits of any intellectual property generated by these arrangements.</w:t>
      </w:r>
    </w:p>
    <w:p>
      <w:pPr>
        <w:spacing w:after="0" w:line="132"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Part of our strategy to date involves collaborative sponsored research performed by third-party research institutions. Although we have sought to direct this research and advise on the design of these projects as well as critical development decisions, this research has been performed by individuals who are not our employees and the timeline and quality of the research efforts are outside of our direct control. Academic investigators and other researchers may have different priorities than we do as a biopharmaceutical drug development company. The sponsored research agreements we have entered into for these programs generally provide that any inventions resulting from the research will be owned by the research institution performing the research, and that we have an option to negotiate for a license to develop and exploit any such inventions. If we exercise our option rights for a program that is attractive to us, we may not be successful at in-licensing rights to the inventions or may need to agree to unfavorable terms.</w:t>
      </w:r>
    </w:p>
    <w:p>
      <w:pPr>
        <w:spacing w:after="0" w:line="171"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Confidential information and new inventions derived from these research efforts may be disclosed through publications or other means prior to us or our third-party research collaborators being able to protect such intellectual property through the filing of patent applications. Our third-party research collaborators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168" w:lineRule="exact"/>
        <w:rPr>
          <w:sz w:val="20"/>
          <w:szCs w:val="20"/>
          <w:color w:val="auto"/>
        </w:rPr>
      </w:pPr>
    </w:p>
    <w:p>
      <w:pPr>
        <w:ind w:right="160" w:firstLine="318"/>
        <w:spacing w:after="0" w:line="297" w:lineRule="auto"/>
        <w:rPr>
          <w:sz w:val="20"/>
          <w:szCs w:val="20"/>
          <w:color w:val="auto"/>
        </w:rPr>
      </w:pPr>
      <w:r>
        <w:rPr>
          <w:rFonts w:ascii="Arial" w:cs="Arial" w:eastAsia="Arial" w:hAnsi="Arial"/>
          <w:sz w:val="13"/>
          <w:szCs w:val="13"/>
          <w:color w:val="auto"/>
        </w:rPr>
        <w:t>We have transitioned the miniCEP290, miniABCA4 and miniUSH2A research programs from UMMS to us. Those programs were previously collaborative sponsored research programs overseen by researchers at UMMS, and we now plan to continue those research programs internally. As part of this transition, we need to obtain or breed new animals for the miniABCA4 program and the miniUSH2A program, which has led to delays in our timelines for receipt of data from both programs. We may not be successful in pursuing these research programs internally.</w:t>
      </w:r>
    </w:p>
    <w:p>
      <w:pPr>
        <w:spacing w:after="0" w:line="145" w:lineRule="exact"/>
        <w:rPr>
          <w:sz w:val="20"/>
          <w:szCs w:val="20"/>
          <w:color w:val="auto"/>
        </w:rPr>
      </w:pPr>
    </w:p>
    <w:p>
      <w:pPr>
        <w:spacing w:after="0" w:line="267" w:lineRule="auto"/>
        <w:rPr>
          <w:sz w:val="20"/>
          <w:szCs w:val="20"/>
          <w:color w:val="auto"/>
        </w:rPr>
      </w:pPr>
      <w:r>
        <w:rPr>
          <w:rFonts w:ascii="Arial" w:cs="Arial" w:eastAsia="Arial" w:hAnsi="Arial"/>
          <w:sz w:val="14"/>
          <w:szCs w:val="14"/>
          <w:b w:val="1"/>
          <w:bCs w:val="1"/>
          <w:i w:val="1"/>
          <w:iCs w:val="1"/>
          <w:color w:val="auto"/>
        </w:rPr>
        <w:t>We may seek a collaborator for the further development and potential commercialization of Zimura in one or more territories outside the United States. We are currently planning to seek a collaborator for the further development of IC-100 and/or IC-200. If we are not able to establish collaborations to advance these or any of our other development programs, we may have to alter our development and commercialization plans.</w:t>
      </w:r>
    </w:p>
    <w:p>
      <w:pPr>
        <w:spacing w:after="0" w:line="142" w:lineRule="exact"/>
        <w:rPr>
          <w:sz w:val="20"/>
          <w:szCs w:val="20"/>
          <w:color w:val="auto"/>
        </w:rPr>
      </w:pPr>
    </w:p>
    <w:p>
      <w:pPr>
        <w:ind w:right="120" w:firstLine="318"/>
        <w:spacing w:after="0" w:line="321" w:lineRule="auto"/>
        <w:rPr>
          <w:sz w:val="20"/>
          <w:szCs w:val="20"/>
          <w:color w:val="auto"/>
        </w:rPr>
      </w:pPr>
      <w:r>
        <w:rPr>
          <w:rFonts w:ascii="Arial" w:cs="Arial" w:eastAsia="Arial" w:hAnsi="Arial"/>
          <w:sz w:val="13"/>
          <w:szCs w:val="13"/>
          <w:color w:val="auto"/>
        </w:rPr>
        <w:t>The development and potential commercialization of our product candidates is likely to require substantial additional cash to fund expenses and the hiring of additional qualified personnel. In addition, the development or commercialization of a product candidate in markets outside of the United States requires regulatory expertise and commercial capabilities that are</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specific to the local market. A number of countries require sponsors to perform a clinical trial in the local jurisdiction or with patients similar to the demographics of the local population as a condition to approving the drug. For some of our product candidates, we may seek to collaborate with pharmaceutical and biotechnology companies for the development and potential commercialization of those product candidates. In particular, we may seek a collaborator for the further development and potential commercialization of Zimura in one or more territories outside the United States. We are currently planning to seek a collaborator for the further development and potential commercialization of IC-100 and IC-200.</w:t>
      </w:r>
    </w:p>
    <w:p>
      <w:pPr>
        <w:spacing w:after="0" w:line="121" w:lineRule="exact"/>
        <w:rPr>
          <w:sz w:val="20"/>
          <w:szCs w:val="20"/>
          <w:color w:val="auto"/>
        </w:rPr>
      </w:pPr>
    </w:p>
    <w:p>
      <w:pPr>
        <w:ind w:firstLine="318"/>
        <w:spacing w:after="0" w:line="242" w:lineRule="auto"/>
        <w:rPr>
          <w:sz w:val="20"/>
          <w:szCs w:val="20"/>
          <w:color w:val="auto"/>
        </w:rPr>
      </w:pPr>
      <w:r>
        <w:rPr>
          <w:rFonts w:ascii="Arial" w:cs="Arial" w:eastAsia="Arial" w:hAnsi="Arial"/>
          <w:sz w:val="13"/>
          <w:szCs w:val="13"/>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and other data we have generated for the product candidate, the likelihood of approval by the FDA or similar regulatory authorities outside the United States, the potential market for the subject product candidate, the costs and complexities of manufacturing and delivering such product candidate to patients, any patent or other forms of exclusivity for such product candidate and the potential of competing products, the existence of uncertainty with respect to our ownership of technology, which can exist if there is a challenge to such ownership without regard to the merits of the challenge, the ability to obtain governmental approval for the collaboration, if necessary, and industry and market conditions generally. For a potential collaborator for a sustained release delivery technology for Zimura, those factors may include an assessment of the technical feasibility of the technology using the data we and the potential collaborator have generated, which may be preliminary and limited. The collaborator may also consider alternative product candidates or technologies for similar indications that may be available to collaborate on and whether such collaboration could be more attractive than the one with us for our product candidate. For our gene therapy programs including IC-100 and IC-200, we are party to in-license agreements that limit who we can collaborate with or may require the approval of our licensor for us to enter into a collaboration, and any future license agreements that we may enter into may have similar restrictions. Collaborations are complex and time-consuming to negotiate and document. In addition, there have been a significant number of business combinations among pharmaceutical and biotechnology companies over the past decade that have resulted in a reduced number of potential future collaborators and this trend is likely to continue.</w:t>
      </w:r>
    </w:p>
    <w:p>
      <w:pPr>
        <w:spacing w:after="0" w:line="154"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 in line with our expectations. For Zimura, if we choose to and are unable to find a collaborator for potential commercialization outside the United States, we likely will need to raise additional capital, hire additional personnel and undertake the effort ourselves, any of which may be unsuccessful. In addition, although we currently intend to commercialize Zimura in the United States ourselves, if approved, as part of the process for finding a collaborator for potential commercialization in one or more territories outside the United States, we may choose to grant a potential collaborator co-commercialization or co-promotion rights in the United States.</w:t>
      </w:r>
    </w:p>
    <w:p>
      <w:pPr>
        <w:spacing w:after="0" w:line="139" w:lineRule="exact"/>
        <w:rPr>
          <w:sz w:val="20"/>
          <w:szCs w:val="20"/>
          <w:color w:val="auto"/>
        </w:rPr>
      </w:pPr>
    </w:p>
    <w:p>
      <w:pPr>
        <w:ind w:right="660"/>
        <w:spacing w:after="0" w:line="281" w:lineRule="auto"/>
        <w:rPr>
          <w:sz w:val="20"/>
          <w:szCs w:val="20"/>
          <w:color w:val="auto"/>
        </w:rPr>
      </w:pPr>
      <w:r>
        <w:rPr>
          <w:rFonts w:ascii="Arial" w:cs="Arial" w:eastAsia="Arial" w:hAnsi="Arial"/>
          <w:sz w:val="14"/>
          <w:szCs w:val="14"/>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32" w:lineRule="exact"/>
        <w:rPr>
          <w:sz w:val="20"/>
          <w:szCs w:val="20"/>
          <w:color w:val="auto"/>
        </w:rPr>
      </w:pPr>
    </w:p>
    <w:p>
      <w:pPr>
        <w:ind w:right="100" w:firstLine="318"/>
        <w:spacing w:after="0" w:line="258" w:lineRule="auto"/>
        <w:rPr>
          <w:sz w:val="20"/>
          <w:szCs w:val="20"/>
          <w:color w:val="auto"/>
        </w:rPr>
      </w:pPr>
      <w:r>
        <w:rPr>
          <w:rFonts w:ascii="Arial" w:cs="Arial" w:eastAsia="Arial" w:hAnsi="Arial"/>
          <w:sz w:val="14"/>
          <w:szCs w:val="14"/>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enter into any arrangements with third parties,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Collaborations involving our product candidates could pose numerous risks to us, including the following: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760" w:right="40" w:hanging="246"/>
        <w:spacing w:after="0" w:line="281"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153" w:lineRule="exact"/>
        <w:rPr>
          <w:rFonts w:ascii="Arial" w:cs="Arial" w:eastAsia="Arial" w:hAnsi="Arial"/>
          <w:sz w:val="14"/>
          <w:szCs w:val="14"/>
          <w:color w:val="auto"/>
        </w:rPr>
      </w:pPr>
    </w:p>
    <w:p>
      <w:pPr>
        <w:jc w:val="both"/>
        <w:ind w:left="760" w:right="120" w:hanging="246"/>
        <w:spacing w:after="0" w:line="267"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162"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3" w:lineRule="exact"/>
        <w:rPr>
          <w:rFonts w:ascii="Arial" w:cs="Arial" w:eastAsia="Arial" w:hAnsi="Arial"/>
          <w:sz w:val="14"/>
          <w:szCs w:val="14"/>
          <w:color w:val="auto"/>
        </w:rPr>
      </w:pPr>
    </w:p>
    <w:p>
      <w:pPr>
        <w:ind w:left="760" w:right="60" w:hanging="246"/>
        <w:spacing w:after="0" w:line="321" w:lineRule="auto"/>
        <w:tabs>
          <w:tab w:leader="none" w:pos="756"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62" w:lineRule="exact"/>
        <w:rPr>
          <w:rFonts w:ascii="Arial" w:cs="Arial" w:eastAsia="Arial" w:hAnsi="Arial"/>
          <w:sz w:val="13"/>
          <w:szCs w:val="13"/>
          <w:color w:val="auto"/>
        </w:rPr>
      </w:pPr>
    </w:p>
    <w:p>
      <w:pPr>
        <w:ind w:left="760" w:right="40" w:hanging="246"/>
        <w:spacing w:after="0" w:line="235" w:lineRule="auto"/>
        <w:tabs>
          <w:tab w:leader="none" w:pos="756" w:val="left"/>
        </w:tabs>
        <w:numPr>
          <w:ilvl w:val="0"/>
          <w:numId w:val="48"/>
        </w:numPr>
        <w:rPr>
          <w:rFonts w:ascii="Arial" w:cs="Arial" w:eastAsia="Arial" w:hAnsi="Arial"/>
          <w:sz w:val="17"/>
          <w:szCs w:val="17"/>
          <w:color w:val="auto"/>
        </w:rPr>
      </w:pPr>
      <w:r>
        <w:rPr>
          <w:rFonts w:ascii="Arial" w:cs="Arial" w:eastAsia="Arial" w:hAnsi="Arial"/>
          <w:sz w:val="14"/>
          <w:szCs w:val="14"/>
          <w:color w:val="auto"/>
        </w:rPr>
        <w:t>collaborators may make pricing, reimbursement and commercial decisions that adversely impact or reduce our flexibility to employ pricing, reimbursement and commercial strategies in other geographies, including the United States;</w:t>
      </w:r>
    </w:p>
    <w:p>
      <w:pPr>
        <w:spacing w:after="0" w:line="181" w:lineRule="exact"/>
        <w:rPr>
          <w:rFonts w:ascii="Arial" w:cs="Arial" w:eastAsia="Arial" w:hAnsi="Arial"/>
          <w:sz w:val="17"/>
          <w:szCs w:val="17"/>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could grant exclusive rights to our collaborators, which would prevent us from collaborating with others;</w:t>
      </w:r>
    </w:p>
    <w:p>
      <w:pPr>
        <w:spacing w:after="0" w:line="199" w:lineRule="exact"/>
        <w:rPr>
          <w:rFonts w:ascii="Arial" w:cs="Arial" w:eastAsia="Arial" w:hAnsi="Arial"/>
          <w:sz w:val="14"/>
          <w:szCs w:val="14"/>
          <w:color w:val="auto"/>
        </w:rPr>
      </w:pPr>
    </w:p>
    <w:p>
      <w:pPr>
        <w:ind w:left="760" w:right="360" w:hanging="246"/>
        <w:spacing w:after="0" w:line="281"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may be obligated to supply the collaborator with drug substance or drug product in an amount sufficient for its needs, or may be dependent on the supply of certain materials or products by the collaborator;</w:t>
      </w:r>
    </w:p>
    <w:p>
      <w:pPr>
        <w:spacing w:after="0" w:line="153" w:lineRule="exact"/>
        <w:rPr>
          <w:rFonts w:ascii="Arial" w:cs="Arial" w:eastAsia="Arial" w:hAnsi="Arial"/>
          <w:sz w:val="14"/>
          <w:szCs w:val="14"/>
          <w:color w:val="auto"/>
        </w:rPr>
      </w:pPr>
    </w:p>
    <w:p>
      <w:pPr>
        <w:ind w:left="760" w:right="100" w:hanging="246"/>
        <w:spacing w:after="0" w:line="262"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disagreements or disputes with collaborators, including disagreements or disputes over proprietary rights, contract interpretation or the preferred course of development or commercialization,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expensive, and be uncertain in outcome;</w:t>
      </w:r>
    </w:p>
    <w:p>
      <w:pPr>
        <w:spacing w:after="0" w:line="166" w:lineRule="exact"/>
        <w:rPr>
          <w:rFonts w:ascii="Arial" w:cs="Arial" w:eastAsia="Arial" w:hAnsi="Arial"/>
          <w:sz w:val="14"/>
          <w:szCs w:val="14"/>
          <w:color w:val="auto"/>
        </w:rPr>
      </w:pPr>
    </w:p>
    <w:p>
      <w:pPr>
        <w:ind w:left="760" w:right="100" w:hanging="246"/>
        <w:spacing w:after="0" w:line="267"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162" w:lineRule="exact"/>
        <w:rPr>
          <w:rFonts w:ascii="Arial" w:cs="Arial" w:eastAsia="Arial" w:hAnsi="Arial"/>
          <w:sz w:val="14"/>
          <w:szCs w:val="14"/>
          <w:color w:val="auto"/>
        </w:rPr>
      </w:pPr>
    </w:p>
    <w:p>
      <w:pPr>
        <w:ind w:left="760" w:hanging="246"/>
        <w:spacing w:after="0" w:line="321" w:lineRule="auto"/>
        <w:tabs>
          <w:tab w:leader="none" w:pos="756" w:val="left"/>
        </w:tabs>
        <w:numPr>
          <w:ilvl w:val="0"/>
          <w:numId w:val="48"/>
        </w:numPr>
        <w:rPr>
          <w:rFonts w:ascii="Arial" w:cs="Arial" w:eastAsia="Arial" w:hAnsi="Arial"/>
          <w:sz w:val="13"/>
          <w:szCs w:val="13"/>
          <w:color w:val="auto"/>
        </w:rPr>
      </w:pPr>
      <w:r>
        <w:rPr>
          <w:rFonts w:ascii="Arial" w:cs="Arial" w:eastAsia="Arial" w:hAnsi="Arial"/>
          <w:sz w:val="13"/>
          <w:szCs w:val="13"/>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agree to other conditions that are not attractive to us; and</w:t>
      </w:r>
    </w:p>
    <w:p>
      <w:pPr>
        <w:spacing w:after="0" w:line="130" w:lineRule="exact"/>
        <w:rPr>
          <w:rFonts w:ascii="Arial" w:cs="Arial" w:eastAsia="Arial" w:hAnsi="Arial"/>
          <w:sz w:val="13"/>
          <w:szCs w:val="13"/>
          <w:color w:val="auto"/>
        </w:rPr>
      </w:pPr>
    </w:p>
    <w:p>
      <w:pPr>
        <w:ind w:left="760" w:right="80" w:hanging="246"/>
        <w:spacing w:after="0" w:line="281" w:lineRule="auto"/>
        <w:tabs>
          <w:tab w:leader="none" w:pos="756"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collaborations may be terminated at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32" w:lineRule="exact"/>
        <w:rPr>
          <w:sz w:val="20"/>
          <w:szCs w:val="20"/>
          <w:color w:val="auto"/>
        </w:rPr>
      </w:pPr>
    </w:p>
    <w:p>
      <w:pPr>
        <w:ind w:right="260" w:firstLine="318"/>
        <w:spacing w:after="0" w:line="297" w:lineRule="auto"/>
        <w:rPr>
          <w:sz w:val="20"/>
          <w:szCs w:val="20"/>
          <w:color w:val="auto"/>
        </w:rPr>
      </w:pPr>
      <w:r>
        <w:rPr>
          <w:rFonts w:ascii="Arial" w:cs="Arial" w:eastAsia="Arial" w:hAnsi="Arial"/>
          <w:sz w:val="13"/>
          <w:szCs w:val="13"/>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Collaboration agreements may not lead to development or commercialization of product candidates in the most efficient manner or at all.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320"/>
        <w:spacing w:after="0" w:line="260" w:lineRule="auto"/>
        <w:rPr>
          <w:sz w:val="20"/>
          <w:szCs w:val="20"/>
          <w:color w:val="auto"/>
        </w:rPr>
      </w:pPr>
      <w:r>
        <w:rPr>
          <w:rFonts w:ascii="Arial" w:cs="Arial" w:eastAsia="Arial" w:hAnsi="Arial"/>
          <w:sz w:val="14"/>
          <w:szCs w:val="14"/>
          <w:b w:val="1"/>
          <w:bCs w:val="1"/>
          <w:i w:val="1"/>
          <w:iCs w:val="1"/>
          <w:color w:val="auto"/>
        </w:rPr>
        <w:t>We depend on licenses and sublicenses for development and commercialization rights to Zimura, IC-100, IC-200 and our miniCEP290 program. These license arrangements, as well as the Inception 4 Merger Agreement, impose diligence obligations on us. We depend on research licenses from UMMS for our miniABCA4 and miniUSH2A programs. We may enter into similar arrangements for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46" w:lineRule="exact"/>
        <w:rPr>
          <w:sz w:val="20"/>
          <w:szCs w:val="20"/>
          <w:color w:val="auto"/>
        </w:rPr>
      </w:pPr>
    </w:p>
    <w:p>
      <w:pPr>
        <w:ind w:right="40" w:firstLine="318"/>
        <w:spacing w:after="0" w:line="276" w:lineRule="auto"/>
        <w:rPr>
          <w:sz w:val="20"/>
          <w:szCs w:val="20"/>
          <w:color w:val="auto"/>
        </w:rPr>
      </w:pPr>
      <w:r>
        <w:rPr>
          <w:rFonts w:ascii="Arial" w:cs="Arial" w:eastAsia="Arial" w:hAnsi="Arial"/>
          <w:sz w:val="13"/>
          <w:szCs w:val="13"/>
          <w:color w:val="auto"/>
        </w:rPr>
        <w:t>We are party to a license agreement with Archemix on which we depend for rights to Zimura. We are party to the DelSiTech License Agreement with DelSiTech for rights to develop and commercialize new formulations of Zimura using DelSiTech’s silica-based sustained release delivery technology. We are party to two different license agreements, each with UFRF and Penn, on which we depend for rights to IC-100 and IC-200. We are also party to a license agreement with UMMS for our miniCEP290 program.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For IC-100, IC-200 and our miniCEP290 program, we are party to agreements with academic institutions, and under those agreements, we must meet certain milestones by certain timelines and if we fail to do so, we may need to expend significant amounts of money to extend those timelines or otherwise be in breach of those agreements. For example, for IC-100 and IC-200, those milestones include two separate development milestones, which we did not meet at their original respective deadlines. We were able to successfully obtain extensions to those milestones and all subsequent milestones in the RHO-adRP License Agreement and BEST1 License Agreement. If we are unable to meet the extended deadlines for IC-100 or IC-200, or any other diligence milestone timelines in our agreements with our academic licensors, the applicable licensor would have the right to terminate the license agreement on which we depend for rights to IC-100, IC-200 or our miniCEP290 program and we could lose our rights to develop and market IC-100, IC-200 or any product candidates from our miniCEP290 program, or to have a potential collaborator or licensee do so.</w:t>
      </w:r>
    </w:p>
    <w:p>
      <w:pPr>
        <w:spacing w:after="0" w:line="165"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IC-500, also imposes specified diligence and milestone payment obligations on us. We may enter into acquisition or licensing agreements in the future that could impose similar obligations on us.</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are also party to research licenses with UMMS for rights to continue with the research and development of our miniABCA4 and miniUSH2A programs. The term of these research licenses is the same as the term for us to exercise our rights under option agreements pursuant to which UMMS granted us option rights to in-license certain patent applications covering these programs. If we fail to exercise our option rights or fail to agree to terms with UMMS for a license for further development and commercialization of the applicable program, we may lose our rights to continue with conducting research of that program.</w:t>
      </w:r>
    </w:p>
    <w:p>
      <w:pPr>
        <w:spacing w:after="0" w:line="146" w:lineRule="exact"/>
        <w:rPr>
          <w:sz w:val="20"/>
          <w:szCs w:val="20"/>
          <w:color w:val="auto"/>
        </w:rPr>
      </w:pPr>
    </w:p>
    <w:p>
      <w:pPr>
        <w:ind w:right="40" w:firstLine="318"/>
        <w:spacing w:after="0" w:line="304" w:lineRule="auto"/>
        <w:rPr>
          <w:sz w:val="20"/>
          <w:szCs w:val="20"/>
          <w:color w:val="auto"/>
        </w:rPr>
      </w:pPr>
      <w:r>
        <w:rPr>
          <w:rFonts w:ascii="Arial" w:cs="Arial" w:eastAsia="Arial" w:hAnsi="Arial"/>
          <w:sz w:val="12"/>
          <w:szCs w:val="12"/>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DelSiTech’s sustained release delivery technology, IC-100, IC-200,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 holders of Inception 4 and result in potential liability to us of up to $5.0 million.</w:t>
      </w:r>
    </w:p>
    <w:p>
      <w:pPr>
        <w:spacing w:after="0" w:line="124"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In addition to the above risks, certain of our intellectual property rights are sublicenses under intellectual property owned by third parties, in some cases through multiple tiers. The actions of our licensors may therefore affect our rights to use our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80"/>
        <w:spacing w:after="0" w:line="309" w:lineRule="auto"/>
        <w:rPr>
          <w:sz w:val="20"/>
          <w:szCs w:val="20"/>
          <w:color w:val="auto"/>
        </w:rPr>
      </w:pPr>
      <w:r>
        <w:rPr>
          <w:rFonts w:ascii="Arial" w:cs="Arial" w:eastAsia="Arial" w:hAnsi="Arial"/>
          <w:sz w:val="12"/>
          <w:szCs w:val="12"/>
          <w:color w:val="auto"/>
        </w:rPr>
        <w:t>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22"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Moreover, the license agreements for IC-100, IC-200 and our miniCEP290 program and the research licenses for our miniABCA4 and miniUSH2A programs reserve for the licensing academic institutions the right to continue to practice for research and educational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19" w:lineRule="exact"/>
        <w:rPr>
          <w:sz w:val="20"/>
          <w:szCs w:val="20"/>
          <w:color w:val="auto"/>
        </w:rPr>
      </w:pPr>
    </w:p>
    <w:p>
      <w:pPr>
        <w:ind w:right="200"/>
        <w:spacing w:after="0" w:line="368" w:lineRule="auto"/>
        <w:rPr>
          <w:sz w:val="20"/>
          <w:szCs w:val="20"/>
          <w:color w:val="auto"/>
        </w:rPr>
      </w:pPr>
      <w:r>
        <w:rPr>
          <w:rFonts w:ascii="Arial" w:cs="Arial" w:eastAsia="Arial" w:hAnsi="Arial"/>
          <w:sz w:val="12"/>
          <w:szCs w:val="12"/>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86" w:lineRule="exact"/>
        <w:rPr>
          <w:sz w:val="20"/>
          <w:szCs w:val="20"/>
          <w:color w:val="auto"/>
        </w:rPr>
      </w:pPr>
    </w:p>
    <w:p>
      <w:pPr>
        <w:ind w:right="40" w:firstLine="318"/>
        <w:spacing w:after="0" w:line="277" w:lineRule="auto"/>
        <w:rPr>
          <w:sz w:val="20"/>
          <w:szCs w:val="20"/>
          <w:color w:val="auto"/>
        </w:rPr>
      </w:pPr>
      <w:r>
        <w:rPr>
          <w:rFonts w:ascii="Arial" w:cs="Arial" w:eastAsia="Arial" w:hAnsi="Arial"/>
          <w:sz w:val="13"/>
          <w:szCs w:val="13"/>
          <w:color w:val="auto"/>
        </w:rPr>
        <w:t>We currently rely on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recently issued U.S. patent rights covering methods of using Zimura to treat GA are expected to expire in 2034. The European patent rights covering the composition of matter of Zimura and methods of treating certain complement protein mediated disorders with Zimura are expected to expire in 2025. We expect the clinical development of, and if clinical development is successful, the process for filing and obtaining marketing approval for, Zimura to continue for at least an additional year, if not more.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If we are successful in developing a sustained release delivery technology for Zimura, we may be able to obtain patent protection for Zimura with the sustained release delivery technology beyond the current patent life for Zimura; however, obtaining the additional patent protection from these efforts or other efforts to extend the patent life of Zimura is not guaranteed. Although the patent rights under existing patent applications for IC-500, IC-100, IC-200 and our miniCEP290 program are not expected to expire until 2037 or after, we face the same risk with those product candidates and programs and any future product candidates that we may develop.</w:t>
      </w:r>
    </w:p>
    <w:p>
      <w:pPr>
        <w:spacing w:after="0" w:line="139"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In March 2022, the USPTO issued a patent with claims covering methods of using Zimura to treat GA, which is a method-of-treatment patent. Certain of our licensed patent rights for Zimura and IC-100 are method-of-treatment patents and patent applications. Our licensed patent rights for IC-200 are method-of-treatment patent applications.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off-label use of a product may infringe our method-of-treatment patents, the practice is common across medical specialties, particularly in the United States, and such infringement is difficult to detect, prevent or prosecute. Off-label sales of other products having the same drug substance as our product candidates would limit our ability to generate revenue from the sale of such product candidates, if approved for commercial sale. In addition, patent laws in Europe and some other jurisdictions generally make the issuance and enforcement of patents that cover methods of treatment of the human body difficult in those jurisdictions. Further, once the composition-of-matter patents relating to Zimura or IC-100 in a particular jurisdiction, if any, expire, competitors will be able to make, offer and sell products containing the same drug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substance as Zimura or IC-100 in that jurisdiction so long as these competitors do not infringe any of our other patents covering Zimura’s or IC-100's composition of matter or method of use or manufacture, do not violate the terms of any marketing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or IC-100, even if such use infringes any of our method-of-treatment patents.</w:t>
      </w:r>
    </w:p>
    <w:p>
      <w:pPr>
        <w:spacing w:after="0" w:line="146"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Additionally, we do not currently have any composition-of-matter patent applications or patents covering IC-200. The method-of-treatment patent applications that Penn filed and which we in-licensed may not issue as patents. Even if they are issued as patents, any of the claims covering IC-200 may be declared unpatentable or invalid, or the patents may be declared unenforceable. An inability to secure patent coverage for IC-200 may diminish the value of IC-200 and our competitive position.</w:t>
      </w:r>
    </w:p>
    <w:p>
      <w:pPr>
        <w:spacing w:after="0" w:line="142" w:lineRule="exact"/>
        <w:rPr>
          <w:sz w:val="20"/>
          <w:szCs w:val="20"/>
          <w:color w:val="auto"/>
        </w:rPr>
      </w:pPr>
    </w:p>
    <w:p>
      <w:pPr>
        <w:ind w:right="60" w:firstLine="318"/>
        <w:spacing w:after="0" w:line="278" w:lineRule="auto"/>
        <w:rPr>
          <w:sz w:val="20"/>
          <w:szCs w:val="20"/>
          <w:color w:val="auto"/>
        </w:rPr>
      </w:pPr>
      <w:r>
        <w:rPr>
          <w:rFonts w:ascii="Arial" w:cs="Arial" w:eastAsia="Arial" w:hAnsi="Arial"/>
          <w:sz w:val="13"/>
          <w:szCs w:val="13"/>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the portion of the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139" w:lineRule="exact"/>
        <w:rPr>
          <w:sz w:val="20"/>
          <w:szCs w:val="20"/>
          <w:color w:val="auto"/>
        </w:rPr>
      </w:pPr>
    </w:p>
    <w:p>
      <w:pPr>
        <w:ind w:right="140" w:firstLine="318"/>
        <w:spacing w:after="0" w:line="262" w:lineRule="auto"/>
        <w:rPr>
          <w:sz w:val="20"/>
          <w:szCs w:val="20"/>
          <w:color w:val="auto"/>
        </w:rPr>
      </w:pPr>
      <w:r>
        <w:rPr>
          <w:rFonts w:ascii="Arial" w:cs="Arial" w:eastAsia="Arial" w:hAnsi="Arial"/>
          <w:sz w:val="14"/>
          <w:szCs w:val="14"/>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in-licensed without infringing such patents. This might enable our competitors to develop during the lifetime of these patents drugs that compete with our product candidates.</w:t>
      </w:r>
    </w:p>
    <w:p>
      <w:pPr>
        <w:spacing w:after="0" w:line="146"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142"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32"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42" w:lineRule="exact"/>
        <w:rPr>
          <w:sz w:val="20"/>
          <w:szCs w:val="20"/>
          <w:color w:val="auto"/>
        </w:rPr>
      </w:pPr>
    </w:p>
    <w:p>
      <w:pPr>
        <w:ind w:right="60" w:firstLine="318"/>
        <w:spacing w:after="0" w:line="279" w:lineRule="auto"/>
        <w:rPr>
          <w:sz w:val="20"/>
          <w:szCs w:val="20"/>
          <w:color w:val="auto"/>
        </w:rPr>
      </w:pPr>
      <w:r>
        <w:rPr>
          <w:rFonts w:ascii="Arial" w:cs="Arial" w:eastAsia="Arial" w:hAnsi="Arial"/>
          <w:sz w:val="13"/>
          <w:szCs w:val="13"/>
          <w:color w:val="auto"/>
        </w:rPr>
        <w:t>The patent prosecution process is expensive and time-consuming, and we may not be able to file and prosecute all necessary or desirable patent applications at a reasonable cost or in a timely manner. It is also possible that we will fail to identify or protect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38" w:lineRule="exact"/>
        <w:rPr>
          <w:sz w:val="20"/>
          <w:szCs w:val="20"/>
          <w:color w:val="auto"/>
        </w:rPr>
      </w:pPr>
    </w:p>
    <w:p>
      <w:pPr>
        <w:ind w:right="40" w:firstLine="318"/>
        <w:spacing w:after="0" w:line="307" w:lineRule="auto"/>
        <w:rPr>
          <w:sz w:val="20"/>
          <w:szCs w:val="20"/>
          <w:color w:val="auto"/>
        </w:rPr>
      </w:pPr>
      <w:r>
        <w:rPr>
          <w:rFonts w:ascii="Arial" w:cs="Arial" w:eastAsia="Arial" w:hAnsi="Arial"/>
          <w:sz w:val="12"/>
          <w:szCs w:val="12"/>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patent laws in Europe and some other jurisdictions restrict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term, validity, enforceability and commercial value of our patent rights are highly uncertain.</w:t>
      </w:r>
    </w:p>
    <w:p>
      <w:pPr>
        <w:spacing w:after="0" w:line="122"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In addition, the issuance of any patents will depend on the existence of any prior art that comes to the patent examiner's attention during prosecution, sometimes through the actions of third parties, and whether our claimed invention meets the statutory criteria for being granted a patent in light of the prior art.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37"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Patent reform legislation could increase the uncertainties and costs surrounding the prosecution of our patent applications and the enforcement or defense of our issued patents. The Leahy-Smith America Invents Act, or the Leahy-Smith Act, revised United States patent law in part by changing the standard for patent approval from a “first to invent” standard, which had existed before March 2013, to a “first to file” standard and developing a post-grant review system. For example, if we are the first to invent a new product or its use, but another party is the first to file a patent application on this invention, under the new law the other party may be entitled to the patent rights on the invention.</w:t>
      </w:r>
    </w:p>
    <w:p>
      <w:pPr>
        <w:spacing w:after="0" w:line="146"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 xml:space="preserve">Moreover, we may be subject to a third-party preissuance submission of prior art to the USPTO, or become involved in opposition, derivation, reexamination, inter partes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4"/>
          <w:szCs w:val="14"/>
          <w:i w:val="1"/>
          <w:iCs w:val="1"/>
          <w:color w:val="auto"/>
        </w:rPr>
        <w:t>inter partes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140"/>
        <w:spacing w:after="0" w:line="288" w:lineRule="auto"/>
        <w:rPr>
          <w:sz w:val="20"/>
          <w:szCs w:val="20"/>
          <w:color w:val="auto"/>
        </w:rPr>
      </w:pPr>
      <w:r>
        <w:rPr>
          <w:rFonts w:ascii="Arial" w:cs="Arial" w:eastAsia="Arial" w:hAnsi="Arial"/>
          <w:sz w:val="13"/>
          <w:szCs w:val="13"/>
          <w:color w:val="auto"/>
        </w:rPr>
        <w:t>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become involved in lawsuits to protect or enforce our patents or other intellectual property, which could be expensive, time consuming and unsuccessful.</w:t>
      </w:r>
    </w:p>
    <w:p>
      <w:pPr>
        <w:spacing w:after="0" w:line="179"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and we may not be able to obtain injunctive relief.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39"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32"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Our commercial success depends upon our ability and the ability of our collaborators, including our contract manufacturers and any commercial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are being filed at a rapid pace.</w:t>
      </w:r>
    </w:p>
    <w:p>
      <w:pPr>
        <w:spacing w:after="0" w:line="142"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There is considerable intellectual property litigation in the biotechnology and pharmaceutical industries. We or any collaborators may become party to, or threatened with, future adversarial proceedings or litigation regarding intellectual property rights with respect to our products and technology, including interference, derivation, re-examination, post-grant review, inter partes review, opposition, cancellation or similar proceedings before the USPTO or its foreign counterparts. The risks of being involved in such litigation and proceedings may increase as our product candidates near commercialization.</w:t>
      </w:r>
    </w:p>
    <w:p>
      <w:pPr>
        <w:spacing w:after="0" w:line="146" w:lineRule="exact"/>
        <w:rPr>
          <w:sz w:val="20"/>
          <w:szCs w:val="20"/>
          <w:color w:val="auto"/>
        </w:rPr>
      </w:pPr>
    </w:p>
    <w:p>
      <w:pPr>
        <w:ind w:right="40" w:firstLine="318"/>
        <w:spacing w:after="0" w:line="304" w:lineRule="auto"/>
        <w:rPr>
          <w:sz w:val="20"/>
          <w:szCs w:val="20"/>
          <w:color w:val="auto"/>
        </w:rPr>
      </w:pPr>
      <w:r>
        <w:rPr>
          <w:rFonts w:ascii="Arial" w:cs="Arial" w:eastAsia="Arial" w:hAnsi="Arial"/>
          <w:sz w:val="12"/>
          <w:szCs w:val="12"/>
          <w:color w:val="auto"/>
        </w:rPr>
        <w:t>Third parties may assert infringement or other claims against us or our collaborators based on existing or future intellectual property rights. We or they may not be aware of all such intellectual property rights potentially relating to our product candidates and their manufacture, use or sale.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manufacture or commercialization thereof, does not and will not infringe or otherwise violate any third party’s intellectual property.</w:t>
      </w:r>
    </w:p>
    <w:p>
      <w:pPr>
        <w:spacing w:after="0" w:line="124" w:lineRule="exact"/>
        <w:rPr>
          <w:sz w:val="20"/>
          <w:szCs w:val="20"/>
          <w:color w:val="auto"/>
        </w:rPr>
      </w:pPr>
    </w:p>
    <w:p>
      <w:pPr>
        <w:ind w:right="120" w:firstLine="318"/>
        <w:spacing w:after="0" w:line="321" w:lineRule="auto"/>
        <w:rPr>
          <w:sz w:val="20"/>
          <w:szCs w:val="20"/>
          <w:color w:val="auto"/>
        </w:rPr>
      </w:pPr>
      <w:r>
        <w:rPr>
          <w:rFonts w:ascii="Arial" w:cs="Arial" w:eastAsia="Arial" w:hAnsi="Arial"/>
          <w:sz w:val="13"/>
          <w:szCs w:val="13"/>
          <w:color w:val="auto"/>
        </w:rPr>
        <w:t>If we are or any of our collaborators is found to infringe or otherwise violate a third party’s intellectual property rights, we or they could be required to obtain a license from such third party to continue developing, manufacturing and marketing our product candidates or products or to continue using a trademark. However, we or our collaborators may not be able to obtain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60"/>
        <w:spacing w:after="0" w:line="282" w:lineRule="auto"/>
        <w:rPr>
          <w:sz w:val="20"/>
          <w:szCs w:val="20"/>
          <w:color w:val="auto"/>
        </w:rPr>
      </w:pPr>
      <w:r>
        <w:rPr>
          <w:rFonts w:ascii="Arial" w:cs="Arial" w:eastAsia="Arial" w:hAnsi="Arial"/>
          <w:sz w:val="13"/>
          <w:szCs w:val="13"/>
          <w:color w:val="auto"/>
        </w:rPr>
        <w:t>any required license on commercially reasonable terms or at all. Even if we or they were able to obtain a license, it could be non-exclusive, thereby giving our competitors access to the same technologies licensed to us or our collaborators and could require us or them to make substantial licensing and royalty payments. We or our collaborators could be forced, including by court order, to cease using or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collaborators from making or commercializing our product candidates or force us or them to cease some of our business operations, which could materially harm our business. Claims that we or our collaborators have misappropriated the confidential information or trade secrets of third parties could expose us or them to similar liabilities and have a similar negative impact on our business.</w:t>
      </w:r>
    </w:p>
    <w:p>
      <w:pPr>
        <w:spacing w:after="0" w:line="134"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132"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such employee’s or contractor’s former employer. Litigation may be necessary to defend against these claims.</w:t>
      </w:r>
    </w:p>
    <w:p>
      <w:pPr>
        <w:spacing w:after="0" w:line="146"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some of the rights to our product candidates from third parties, we must rely upon these third parties' practices, and those of their predecessors, with regard to the assignment of intellectual property therein, including the intellectual property rights protecting IC-500 and the other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If we fail in prosecuting or defending any such claims, in addition to paying monetary damages, we may lose valuable intellectual property rights or personnel.</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litigation could cause us to spend substantial resources and could distract our personnel from their normal responsibilities.</w:t>
      </w:r>
    </w:p>
    <w:p>
      <w:pPr>
        <w:spacing w:after="0" w:line="179"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51"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32" w:lineRule="exact"/>
        <w:rPr>
          <w:sz w:val="20"/>
          <w:szCs w:val="20"/>
          <w:color w:val="auto"/>
        </w:rPr>
      </w:pPr>
    </w:p>
    <w:p>
      <w:pPr>
        <w:ind w:firstLine="318"/>
        <w:spacing w:after="0" w:line="313" w:lineRule="auto"/>
        <w:rPr>
          <w:sz w:val="20"/>
          <w:szCs w:val="20"/>
          <w:color w:val="auto"/>
        </w:rPr>
      </w:pPr>
      <w:r>
        <w:rPr>
          <w:rFonts w:ascii="Arial" w:cs="Arial" w:eastAsia="Arial" w:hAnsi="Arial"/>
          <w:sz w:val="12"/>
          <w:szCs w:val="12"/>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such an event, our competitors might be able to enter the market sooner than we expect, which would have a material adverse effect on our business.</w:t>
      </w:r>
    </w:p>
    <w:p>
      <w:pPr>
        <w:spacing w:after="0" w:line="179" w:lineRule="exact"/>
        <w:rPr>
          <w:sz w:val="20"/>
          <w:szCs w:val="20"/>
          <w:color w:val="auto"/>
        </w:rPr>
      </w:pPr>
    </w:p>
    <w:p>
      <w:pPr>
        <w:jc w:val="both"/>
        <w:ind w:right="260" w:firstLine="318"/>
        <w:spacing w:after="0" w:line="331" w:lineRule="auto"/>
        <w:rPr>
          <w:sz w:val="20"/>
          <w:szCs w:val="20"/>
          <w:color w:val="auto"/>
        </w:rPr>
      </w:pPr>
      <w:r>
        <w:rPr>
          <w:rFonts w:ascii="Arial" w:cs="Arial" w:eastAsia="Arial" w:hAnsi="Arial"/>
          <w:sz w:val="12"/>
          <w:szCs w:val="12"/>
          <w:color w:val="auto"/>
        </w:rPr>
        <w:t>In addition, we may decide not to pursue patent prosecution in certain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the confidentiality of our trade secrets, our business and competitive position would be harmed.</w:t>
      </w:r>
    </w:p>
    <w:p>
      <w:pPr>
        <w:spacing w:after="0" w:line="179"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IC-500 and our other HtrA1 inhibitors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become aware of such breach or may not be able to obtain adequate remedies. As we work on transitioning from a development-stage company to a company capable of commercializing a pharmaceutical product, we are hiring many new employees and engaging additional consultants and service providers, which increases the risk of disclosure or misuse of our proprietary information. Our proprietary information may also be obtained by third parties by other means, such as breaches of our physical or computer security systems.</w:t>
      </w:r>
    </w:p>
    <w:p>
      <w:pPr>
        <w:spacing w:after="0" w:line="142"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Information Technology and Data Protection</w:t>
      </w:r>
    </w:p>
    <w:p>
      <w:pPr>
        <w:spacing w:after="0" w:line="183" w:lineRule="exact"/>
        <w:rPr>
          <w:sz w:val="20"/>
          <w:szCs w:val="20"/>
          <w:color w:val="auto"/>
        </w:rPr>
      </w:pPr>
    </w:p>
    <w:p>
      <w:pPr>
        <w:ind w:right="500"/>
        <w:spacing w:after="0" w:line="368" w:lineRule="auto"/>
        <w:rPr>
          <w:sz w:val="20"/>
          <w:szCs w:val="20"/>
          <w:color w:val="auto"/>
        </w:rPr>
      </w:pPr>
      <w:r>
        <w:rPr>
          <w:rFonts w:ascii="Arial" w:cs="Arial" w:eastAsia="Arial" w:hAnsi="Arial"/>
          <w:sz w:val="12"/>
          <w:szCs w:val="12"/>
          <w:b w:val="1"/>
          <w:bCs w:val="1"/>
          <w:i w:val="1"/>
          <w:iCs w:val="1"/>
          <w:color w:val="auto"/>
        </w:rPr>
        <w:t>We rely significantly upon our information technology systems and any failure, inadequacy, interruption or security lapse of those systems could harm our ability to operate our business effectively. Information technology risks have become more significant over time, including as a result of widespread remote working during the COVID-19 pandemic.</w:t>
      </w:r>
    </w:p>
    <w:p>
      <w:pPr>
        <w:spacing w:after="0" w:line="86"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In the ordinary course of business, we collect, process and maintain personal and other sensitive data on our information technology networks. These data include our intellectual property and other proprietary or confidential information relating to our business as well as proprietary or confidential information of third parties including business collaborators. These data also include personal information relating to our clinical trial participants, employees and contractors, clinical investigators and other study staff and healthcare professionals. The secure maintenance of this sensitive information is critical to our business and reputation.</w:t>
      </w:r>
    </w:p>
    <w:p>
      <w:pPr>
        <w:spacing w:after="0" w:line="146"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We have implemented a number of measures to protect our information technology systems. These measures include, among others, creation of a cyber-security governance team and an incident response plan and other standard operating procedures for responding to any cyber-security incidents, mandatory routine cyber-security training, including social engineering training, for our employees and consultants with access to our information technology systems, and engagement of a third-party vendor to regularly assess our informational technology systems and potential vulnerabilities.</w:t>
      </w:r>
    </w:p>
    <w:p>
      <w:pPr>
        <w:spacing w:after="0" w:line="146"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Despite the implementation of security measures, our information technology systems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cyber and ransomware 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420"/>
        <w:spacing w:after="0" w:line="368" w:lineRule="auto"/>
        <w:rPr>
          <w:sz w:val="20"/>
          <w:szCs w:val="20"/>
          <w:color w:val="auto"/>
        </w:rPr>
      </w:pPr>
      <w:r>
        <w:rPr>
          <w:rFonts w:ascii="Arial" w:cs="Arial" w:eastAsia="Arial" w:hAnsi="Arial"/>
          <w:sz w:val="12"/>
          <w:szCs w:val="12"/>
          <w:color w:val="auto"/>
        </w:rPr>
        <w:t>sponsored attacks. Cyber threats may be broadly targeted, or they may be custom-crafted against our information systems. In particular, there have been increasing number of cyber threats and attempts by foreign hackers targeted towards U.S. pharmaceutical and biotechnology companies and vendors they work with, including as a result of the ongoing military conflict in Ukraine.</w:t>
      </w:r>
    </w:p>
    <w:p>
      <w:pPr>
        <w:spacing w:after="0" w:line="86" w:lineRule="exact"/>
        <w:rPr>
          <w:sz w:val="20"/>
          <w:szCs w:val="20"/>
          <w:color w:val="auto"/>
        </w:rPr>
      </w:pPr>
    </w:p>
    <w:p>
      <w:pPr>
        <w:ind w:right="200" w:firstLine="318"/>
        <w:spacing w:after="0" w:line="267" w:lineRule="auto"/>
        <w:rPr>
          <w:sz w:val="20"/>
          <w:szCs w:val="20"/>
          <w:color w:val="auto"/>
        </w:rPr>
      </w:pPr>
      <w:r>
        <w:rPr>
          <w:rFonts w:ascii="Arial" w:cs="Arial" w:eastAsia="Arial" w:hAnsi="Arial"/>
          <w:sz w:val="14"/>
          <w:szCs w:val="14"/>
          <w:color w:val="auto"/>
        </w:rPr>
        <w:t>As a result of the COVID-19 pandemic, we switched to remote working since March 2020 and as a result, have increasingly relied upon teleconferencing and cloud-based means of communication and data storage. Many other companies have done the same. There have been numerous publicized attempts of bad actors attempting to intercept proprietary communications. We may be similarly susceptible to those kinds of threats.</w:t>
      </w:r>
    </w:p>
    <w:p>
      <w:pPr>
        <w:spacing w:after="0" w:line="142" w:lineRule="exact"/>
        <w:rPr>
          <w:sz w:val="20"/>
          <w:szCs w:val="20"/>
          <w:color w:val="auto"/>
        </w:rPr>
      </w:pPr>
    </w:p>
    <w:p>
      <w:pPr>
        <w:ind w:firstLine="318"/>
        <w:spacing w:after="0" w:line="313" w:lineRule="auto"/>
        <w:rPr>
          <w:sz w:val="20"/>
          <w:szCs w:val="20"/>
          <w:color w:val="auto"/>
        </w:rPr>
      </w:pPr>
      <w:r>
        <w:rPr>
          <w:rFonts w:ascii="Arial" w:cs="Arial" w:eastAsia="Arial" w:hAnsi="Arial"/>
          <w:sz w:val="12"/>
          <w:szCs w:val="12"/>
          <w:color w:val="auto"/>
        </w:rPr>
        <w:t>Cyber-attacks have become more prevalent and much harder to detect and defend against. Our networks and storage applications may be subject to unauthorized access by hackers or breached due to human error, malfeasance or other system disruptions. We may not anticipate or immediately detect such incidents and the damage caused by such incidents. System failures, data breaches and any unauthorized access, use or disclosure of our information or data could compromise our intellectual property and expose sensitive business information; lead to unauthorized exposure of personal information of our clinical trial participants, our employees or contractors, our clinical investigators or other study staff, healthcare professionals or others we work with; and/or result in disruptions to our research and development activities and business operations, including potential product development, regulatory approval and commercialization delays.</w:t>
      </w:r>
    </w:p>
    <w:p>
      <w:pPr>
        <w:spacing w:after="0" w:line="119" w:lineRule="exact"/>
        <w:rPr>
          <w:sz w:val="20"/>
          <w:szCs w:val="20"/>
          <w:color w:val="auto"/>
        </w:rPr>
      </w:pPr>
    </w:p>
    <w:p>
      <w:pPr>
        <w:ind w:right="100" w:firstLine="318"/>
        <w:spacing w:after="0" w:line="313" w:lineRule="auto"/>
        <w:rPr>
          <w:sz w:val="20"/>
          <w:szCs w:val="20"/>
          <w:color w:val="auto"/>
        </w:rPr>
      </w:pPr>
      <w:r>
        <w:rPr>
          <w:rFonts w:ascii="Arial" w:cs="Arial" w:eastAsia="Arial" w:hAnsi="Arial"/>
          <w:sz w:val="12"/>
          <w:szCs w:val="12"/>
          <w:color w:val="auto"/>
        </w:rPr>
        <w:t>In addition, cyber-attacks and the measures we implement to prevent, detect, and respond to them could cause us to incur significant remediation costs, including costs to recover or reproduce any compromised data, expose us to contractual damages and/or regulatory and other liability, require us to make certain breach notifications, and divert the attention of our management and key information technology resources. Any loss of preclinical data or clinical trial data could result in delays to our product development, marketing approval and commercialization efforts. We may not have adequate insurance coverage to provide compensation for any losses associated with such events and cybersecurity insurance is becoming more expensive. Any breach of security could harm our reputation and deter patients, clinical investigators, or other healthcare professionals and business collaborators from participating in our clinical trials or otherwise working with us.</w:t>
      </w:r>
    </w:p>
    <w:p>
      <w:pPr>
        <w:spacing w:after="0" w:line="119" w:lineRule="exact"/>
        <w:rPr>
          <w:sz w:val="20"/>
          <w:szCs w:val="20"/>
          <w:color w:val="auto"/>
        </w:rPr>
      </w:pPr>
    </w:p>
    <w:p>
      <w:pPr>
        <w:ind w:right="180"/>
        <w:spacing w:after="0" w:line="321" w:lineRule="auto"/>
        <w:rPr>
          <w:sz w:val="20"/>
          <w:szCs w:val="20"/>
          <w:color w:val="auto"/>
        </w:rPr>
      </w:pPr>
      <w:r>
        <w:rPr>
          <w:rFonts w:ascii="Arial" w:cs="Arial" w:eastAsia="Arial" w:hAnsi="Arial"/>
          <w:sz w:val="13"/>
          <w:szCs w:val="13"/>
          <w:b w:val="1"/>
          <w:bCs w:val="1"/>
          <w:i w:val="1"/>
          <w:iCs w:val="1"/>
          <w:color w:val="auto"/>
        </w:rPr>
        <w:t>We also rely significantly upon the information technology systems of our third-party service providers and any failure, inadequacy, interruption or security lapse of those systems could harm our ability to operate our business effectively. We have limited control and oversight over the information security systems and practices of third parties.</w:t>
      </w:r>
    </w:p>
    <w:p>
      <w:pPr>
        <w:spacing w:after="0" w:line="131"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In the ordinary course of business, we rely on third parties, including clinical trial sites, CROs, CDMOs and other service providers, to collect, process and maintain personal and other sensitive data on their respective networks for our research and development activities and other business operations. These data include our intellectual property and other proprietary or confidential information relating to our business, as well as personal information relating to our clinical trial participants, employees and contractors, and clinical investigators, study staff and other healthcare professionals. The maintenance of our data by third parties does not absolve us of our responsibility for the security and integrity of this data.</w:t>
      </w:r>
    </w:p>
    <w:p>
      <w:pPr>
        <w:spacing w:after="0" w:line="152"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We have limited control and oversight over the information security systems and practices of third parties. Those systems and practices vary widely in sophistication and robustness. We have limited personnel and resources to oversee the information security systems of third parties with whom we work.</w:t>
      </w:r>
    </w:p>
    <w:p>
      <w:pPr>
        <w:spacing w:after="0" w:line="153" w:lineRule="exact"/>
        <w:rPr>
          <w:sz w:val="20"/>
          <w:szCs w:val="20"/>
          <w:color w:val="auto"/>
        </w:rPr>
      </w:pPr>
    </w:p>
    <w:p>
      <w:pPr>
        <w:ind w:right="40" w:firstLine="318"/>
        <w:spacing w:after="0" w:line="280" w:lineRule="auto"/>
        <w:rPr>
          <w:sz w:val="20"/>
          <w:szCs w:val="20"/>
          <w:color w:val="auto"/>
        </w:rPr>
      </w:pPr>
      <w:r>
        <w:rPr>
          <w:rFonts w:ascii="Arial" w:cs="Arial" w:eastAsia="Arial" w:hAnsi="Arial"/>
          <w:sz w:val="13"/>
          <w:szCs w:val="13"/>
          <w:color w:val="auto"/>
        </w:rPr>
        <w:t>Like our information security systems, those of our third-party service providers are vulnerable to compromise, damage, loss or exfiltration from cyber-attacks, computer viruses, unauthorized access and other causes. Our third-party service providers may not anticipate or immediately detect such incidents and the damage caused by such incidents or notify us in a timely or complete manner. System failures, data breaches and any unauthorized access, use or disclosure of our information or data maintained by our third-party service providers could lead to similar consequences for us as similar events involving our information technology systems, including compromise of our intellectual property or other sensitive personal or business information, disruptions and delays to our research and development activities and other operations, contractual and regulatory liability, data breach notifications, expenditure of significant costs and resources for remediation and harm to our reputation. Over the past few years, there has been an increasing number of and severity of cyber-attacks, especially ransomware attacks, against the information security systems of companies across the supply chain and other critical infrastructure service providers.</w:t>
      </w:r>
    </w:p>
    <w:p>
      <w:pPr>
        <w:spacing w:after="0" w:line="158" w:lineRule="exact"/>
        <w:rPr>
          <w:sz w:val="20"/>
          <w:szCs w:val="20"/>
          <w:color w:val="auto"/>
        </w:rPr>
      </w:pPr>
    </w:p>
    <w:p>
      <w:pPr>
        <w:jc w:val="both"/>
        <w:ind w:right="200" w:firstLine="318"/>
        <w:spacing w:after="0" w:line="267" w:lineRule="auto"/>
        <w:rPr>
          <w:sz w:val="20"/>
          <w:szCs w:val="20"/>
          <w:color w:val="auto"/>
        </w:rPr>
      </w:pPr>
      <w:r>
        <w:rPr>
          <w:rFonts w:ascii="Arial" w:cs="Arial" w:eastAsia="Arial" w:hAnsi="Arial"/>
          <w:sz w:val="14"/>
          <w:szCs w:val="14"/>
          <w:color w:val="auto"/>
        </w:rPr>
        <w:t>In September 2020, one of our vendors for the GATHER2 trial suffered a ransomware attack on several of its servers. While this vendor investigated and worked to mitigate the effects of the incident, we deployed a backup process for the work this vendor was performing for us. Although we do not believe this incident had a material impact on the GATHER2 trial or otherwise on our business or operations, similar kinds of incidents may occur in the future with this or our other vendors.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120"/>
        <w:spacing w:after="0" w:line="321" w:lineRule="auto"/>
        <w:rPr>
          <w:sz w:val="20"/>
          <w:szCs w:val="20"/>
          <w:color w:val="auto"/>
        </w:rPr>
      </w:pPr>
      <w:r>
        <w:rPr>
          <w:rFonts w:ascii="Arial" w:cs="Arial" w:eastAsia="Arial" w:hAnsi="Arial"/>
          <w:sz w:val="13"/>
          <w:szCs w:val="13"/>
          <w:b w:val="1"/>
          <w:bCs w:val="1"/>
          <w:i w:val="1"/>
          <w:iCs w:val="1"/>
          <w:color w:val="auto"/>
        </w:rPr>
        <w:t>Compliance with global privacy and data security requirements could result in additional costs and liabilities to us or inhibit our ability to collect and process data in line with our expectations, and the failure to comply with such requirements could have a material adverse effect on our business, financial condition or results of operations.</w:t>
      </w:r>
    </w:p>
    <w:p>
      <w:pPr>
        <w:spacing w:after="0" w:line="109"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The regulatory framework for the collection, use, safeguarding, sharing, transfer and other processing of personal information is rapidly evolving worldwide and is likely to remain uncertain for the foreseeable future. Globally, virtually every jurisdiction in which we operate has established its own data security and privacy frameworks with which we must comply, and those frameworks may not be consistent. For example, the collection, use, disclosure, transfer, or other processing of personal data regarding individuals in the European Union, including personal health data, is subject to the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and their rights, conducting data protection impact assessments before starting certain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some of which are currently in flux,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also provides certain discretion to individual European member states, and many of them have enacted local legislation implementing the GDPR that differ from one another. The GDPR compliance framework is evolving as data protection authorities enforce applicable requirements and as European courts interpret the GDPR. We are aware that many other countries have enacted or are considering legislation similar to the GDPR.</w:t>
      </w:r>
    </w:p>
    <w:p>
      <w:pPr>
        <w:spacing w:after="0" w:line="142" w:lineRule="exact"/>
        <w:rPr>
          <w:sz w:val="20"/>
          <w:szCs w:val="20"/>
          <w:color w:val="auto"/>
        </w:rPr>
      </w:pPr>
    </w:p>
    <w:p>
      <w:pPr>
        <w:ind w:right="20" w:firstLine="318"/>
        <w:spacing w:after="0" w:line="277" w:lineRule="auto"/>
        <w:rPr>
          <w:sz w:val="20"/>
          <w:szCs w:val="20"/>
          <w:color w:val="auto"/>
        </w:rPr>
      </w:pPr>
      <w:r>
        <w:rPr>
          <w:rFonts w:ascii="Arial" w:cs="Arial" w:eastAsia="Arial" w:hAnsi="Arial"/>
          <w:sz w:val="13"/>
          <w:szCs w:val="13"/>
          <w:color w:val="auto"/>
        </w:rPr>
        <w:t>Similar actions are either in place or under way in the United States. There are a broad variety of data protection laws that are applicable to our activities, and a wide range of enforcement agencies at both the state and federal levels with the authority to review our privacy and data security practices. The Federal Trade Commission and state Attorneys General have been increasingly active in reviewing companies' privacy and data security practices in relation to consumer information. New legislation and regulations are being considered, and in certain cases enacted, at both the state and federal levels. For example, the California Consumer Privacy Act, which went into effect on January 1, 2020, and its replacement, the California Privacy Rights Act, which will become effective on January 1, 2023, are creating similar risks and obligations as those created by the GDPR. The New York SHIELD Act, which became fully effective in March 2020, imposes certain data security and data breach notification requirements on organizations that collect personal information of New York residents. Many other states are considering similar legislation. A broad range of legislative measures are being introduced at the federal level. Accordingly, failure to comply with federal and state laws (both those currently in effect and future legislation) regarding privacy and security of personal information could expose us to fines and penalties under such laws. We also may be subject to consumer class action litigation related to alleged noncompliance with these laws. Even if we are not determined to have violated these laws, responding to government investigations and/or consumer litigation in these areas typically requires the expenditure of significant resources and has the potential to generate negative publicity, which could harm our reputation and our business.</w:t>
      </w:r>
    </w:p>
    <w:p>
      <w:pPr>
        <w:spacing w:after="0" w:line="142" w:lineRule="exact"/>
        <w:rPr>
          <w:sz w:val="20"/>
          <w:szCs w:val="20"/>
          <w:color w:val="auto"/>
        </w:rPr>
      </w:pPr>
    </w:p>
    <w:p>
      <w:pPr>
        <w:ind w:right="100" w:firstLine="318"/>
        <w:spacing w:after="0" w:line="280" w:lineRule="auto"/>
        <w:rPr>
          <w:sz w:val="20"/>
          <w:szCs w:val="20"/>
          <w:color w:val="auto"/>
        </w:rPr>
      </w:pPr>
      <w:r>
        <w:rPr>
          <w:rFonts w:ascii="Arial" w:cs="Arial" w:eastAsia="Arial" w:hAnsi="Arial"/>
          <w:sz w:val="13"/>
          <w:szCs w:val="13"/>
          <w:color w:val="auto"/>
        </w:rPr>
        <w:t>Given the breadth and depth of changes in data protection obligations, preparing for and complying with these requirements has required and will continue to require significant time, resources and a review of our technologies, systems and practices, as well as those of any third-party collaborators, service providers, contractors or consultants that process or transfer personal data on our behalf. The GDPR and other changes in laws or regulations associated with the enhanced protection of certain types of sensitive data, such as healthcare data or other personal information from our clinical trials, have resulted in certain changes to our business practices, such as additional consideration given to the GDPR and other relevant data protection laws in setting up clinical trial agreements and informed consent forms for our GATHER2 trial, and may require further changes to our business practices. Any non-compliance by us or our employees, consultants or contractors with the GDPR or other applicable data protection laws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Employee Matters and Managing Our Operations</w:t>
      </w:r>
    </w:p>
    <w:p>
      <w:pPr>
        <w:spacing w:after="0" w:line="119" w:lineRule="exact"/>
        <w:rPr>
          <w:sz w:val="20"/>
          <w:szCs w:val="20"/>
          <w:color w:val="auto"/>
        </w:rPr>
      </w:pPr>
    </w:p>
    <w:p>
      <w:pPr>
        <w:jc w:val="both"/>
        <w:ind w:right="80"/>
        <w:spacing w:after="0" w:line="267" w:lineRule="auto"/>
        <w:rPr>
          <w:sz w:val="20"/>
          <w:szCs w:val="20"/>
          <w:color w:val="auto"/>
        </w:rPr>
      </w:pPr>
      <w:r>
        <w:rPr>
          <w:rFonts w:ascii="Arial" w:cs="Arial" w:eastAsia="Arial" w:hAnsi="Arial"/>
          <w:sz w:val="14"/>
          <w:szCs w:val="14"/>
          <w:b w:val="1"/>
          <w:bCs w:val="1"/>
          <w:i w:val="1"/>
          <w:iCs w:val="1"/>
          <w:color w:val="auto"/>
        </w:rPr>
        <w:t>We are a development-stage company with a limited number of employees to oversee our research and development programs and general and administrative functions. We are in the process of recruiting new personnel to prepare for the potential commercialization of Zimura and to support our growth. We may experience difficulties in recruiting necessary personnel and in retaining key employees and consultants.</w:t>
      </w:r>
    </w:p>
    <w:p>
      <w:pPr>
        <w:spacing w:after="0" w:line="67"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We are a development-stage company with a total of 133 full-time employees as of July 22, 2022. These employees support key areas of our business and operations, including commercial planning, clinical development and clinical operations, regulatory affairs, drug safety, data management, medical affairs, scientific research, process and analytical development, drug substance and drug product manufacturing, quality control, materials and supply chain management, and quality assurance, as well as all of our general and administrative functions and public company infrastructure.</w:t>
      </w:r>
    </w:p>
    <w:p>
      <w:pPr>
        <w:spacing w:after="0" w:line="146" w:lineRule="exact"/>
        <w:rPr>
          <w:sz w:val="20"/>
          <w:szCs w:val="20"/>
          <w:color w:val="auto"/>
        </w:rPr>
      </w:pPr>
    </w:p>
    <w:p>
      <w:pPr>
        <w:ind w:right="140" w:firstLine="318"/>
        <w:spacing w:after="0" w:line="258" w:lineRule="auto"/>
        <w:rPr>
          <w:sz w:val="20"/>
          <w:szCs w:val="20"/>
          <w:color w:val="auto"/>
        </w:rPr>
      </w:pPr>
      <w:r>
        <w:rPr>
          <w:rFonts w:ascii="Arial" w:cs="Arial" w:eastAsia="Arial" w:hAnsi="Arial"/>
          <w:sz w:val="14"/>
          <w:szCs w:val="14"/>
          <w:color w:val="auto"/>
        </w:rPr>
        <w:t>We remain highly dependent on Glenn P. Sblendorio, our chief executive officer, and Dr. Pravin U. Dugel, our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 Additionally, we have only a small number of employees supporting some of the key areas of our business and operations. If any of those employees were to leave our company or become unavailable due to the COVID-19 pandemic or other reasons, the loss of their services could seriously disrupt our ability to carry on our operations as planned and seriously harm our ability to successfully implement our business plan.</w:t>
      </w:r>
    </w:p>
    <w:p>
      <w:pPr>
        <w:spacing w:after="0" w:line="76" w:lineRule="exact"/>
        <w:rPr>
          <w:sz w:val="20"/>
          <w:szCs w:val="20"/>
          <w:color w:val="auto"/>
        </w:rPr>
      </w:pPr>
    </w:p>
    <w:p>
      <w:pPr>
        <w:ind w:right="60" w:firstLine="318"/>
        <w:spacing w:after="0" w:line="277" w:lineRule="auto"/>
        <w:rPr>
          <w:sz w:val="20"/>
          <w:szCs w:val="20"/>
          <w:color w:val="auto"/>
        </w:rPr>
      </w:pPr>
      <w:r>
        <w:rPr>
          <w:rFonts w:ascii="Arial" w:cs="Arial" w:eastAsia="Arial" w:hAnsi="Arial"/>
          <w:sz w:val="13"/>
          <w:szCs w:val="13"/>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As we conduct our GATHER2 trial and prepare for the potential filing of an NDA and an MAA for and the potential commercialization of Zimura, and continue the development of IC-500, we have been and expect we will need to continue hiring additional commercial operations, medical affairs, clinical operations, quality assurance, manufacturing, analytical, regulatory, pharmacovigilance and other personnel from this limited pool. In 2021 we hired a chief commercial officer and started hiring commercial and medical affairs personnel, and will need to continue to hire additional commercialization and medical affairs personnel. We also recently hired our first group of medical science liaisons, or MSLs. Hiring additional MSLs and other field-based personnel, and training and effectively deploying them can be time consuming, and many other companies are competing with us for the MSLs and other field-based personnel whom we may seek to hire. If we experience any challenges or delays in the hiring and integration of necessary personnel due to the COVID-19 pandemic or other reasons, it could impede our ability to finish development of, file for marketing approval for, and potentially commercialize Zimura in line with our expectations.</w:t>
      </w:r>
    </w:p>
    <w:p>
      <w:pPr>
        <w:spacing w:after="0" w:line="142"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In addition to our employees, we rely on consultants and advisors, including scientific, technical and clinical advisors, to assist us in formulating our research and development, manufacturing, commercialization and lifecycle management strategies. Our consultants and advisors may be employed by employers other than us and may have commitments under consulting or advisory contracts with other entities that may limit their availability to us. Many consultants and advisors, especially those with specialized medical or clinical knowledge, are high demand and we may not be able to obtain or retain their services for any number of reasons, which could limit our ability to pursue our strategy.</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0"/>
        <w:spacing w:after="0" w:line="321" w:lineRule="auto"/>
        <w:rPr>
          <w:sz w:val="20"/>
          <w:szCs w:val="20"/>
          <w:color w:val="auto"/>
        </w:rPr>
      </w:pPr>
      <w:r>
        <w:rPr>
          <w:rFonts w:ascii="Arial" w:cs="Arial" w:eastAsia="Arial" w:hAnsi="Arial"/>
          <w:sz w:val="13"/>
          <w:szCs w:val="13"/>
          <w:b w:val="1"/>
          <w:bCs w:val="1"/>
          <w:i w:val="1"/>
          <w:iCs w:val="1"/>
          <w:color w:val="auto"/>
        </w:rPr>
        <w:t>As a result of the COVID-19 pandemic, our company has been working remotely since March 2020 and we expect to work in a hybrid (partially remote, partially in office) working model for the foreseeable near future. Our ability to continue to work effectively in a hybrid working model may affect our operations and the success of our company going forward.</w:t>
      </w:r>
    </w:p>
    <w:p>
      <w:pPr>
        <w:spacing w:after="0" w:line="35" w:lineRule="exact"/>
        <w:rPr>
          <w:sz w:val="20"/>
          <w:szCs w:val="20"/>
          <w:color w:val="auto"/>
        </w:rPr>
      </w:pPr>
    </w:p>
    <w:p>
      <w:pPr>
        <w:ind w:right="40" w:firstLine="318"/>
        <w:spacing w:after="0" w:line="257" w:lineRule="auto"/>
        <w:rPr>
          <w:sz w:val="20"/>
          <w:szCs w:val="20"/>
          <w:color w:val="auto"/>
        </w:rPr>
      </w:pPr>
      <w:r>
        <w:rPr>
          <w:rFonts w:ascii="Arial" w:cs="Arial" w:eastAsia="Arial" w:hAnsi="Arial"/>
          <w:sz w:val="14"/>
          <w:szCs w:val="14"/>
          <w:color w:val="auto"/>
        </w:rPr>
        <w:t>In March 2020, we instituted a company-wide working from home policy, which has largely remained in effect. Other than for our laboratory-based employees, we expect to work in a hybrid (partially remote, partially in office) working model for the foreseeable near future. We will closely follow the guidance from federal and state authorities, including the Centers for Disease Control and Prevention, the New York State Department of Health, the New Jersey Department of Health and the Massachusetts Department of Public Health, with regard to our policies relating to working in our offices. We expect that changes to the way we work will depend on, among other factors, the local COVID-19 and public safety situation and the degree to which our employees have received vaccines and if applicable, booster shots. If and when we transition back to working at company sites closer to a full-time basis, there may be an increased risk to our employees and contractors, including as a result of a subsequent waves of the COVID-19 pandemic. If any of them contracts COVID-19 as a result of or while conducting services for us, we may be subject to workers compensation or other claims. Because of the importance of our employees and contractors to the success of our company, their exposure to the COVID-19 pandemic may adversely affect our ability to carry on our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establish and maintain effective internal control over financial reporting, our ability to accurately report our financial results could be adversely affected.</w:t>
      </w:r>
    </w:p>
    <w:p>
      <w:pPr>
        <w:spacing w:after="0" w:line="179"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2015 our management concluded that we experienced a material weakness in internal controls that required us to restate the relevant financial statements and we took steps that year to address the deficiency and prevent similar deficiencies in the future. Although we have remediated this deficiency in internal control over financial reporting, we cannot be certain that the remedial measures that we took in the past or other measures we take in the future will ensure that we maintain adequate controls over our financial reporting going forward and, accordingly, additional material weaknesses could occur or be identified. The COVID-19 pandemic may also affect the effectiveness of our internal controls. Any future material weaknesses or combination of deficiencies could materially and adversely affect our ability to provide timely and accurate financial information and investors’ confidence in our internal controls and our company, which could cause our stock price to decline.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Regulatory Approval and Marketing of our Product Candidates and Other Legal Compliance Matters</w:t>
      </w:r>
    </w:p>
    <w:p>
      <w:pPr>
        <w:spacing w:after="0" w:line="204"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42" w:lineRule="exact"/>
        <w:rPr>
          <w:sz w:val="20"/>
          <w:szCs w:val="20"/>
          <w:color w:val="auto"/>
        </w:rPr>
      </w:pPr>
    </w:p>
    <w:p>
      <w:pPr>
        <w:ind w:right="480" w:firstLine="318"/>
        <w:spacing w:after="0" w:line="368" w:lineRule="auto"/>
        <w:rPr>
          <w:sz w:val="20"/>
          <w:szCs w:val="20"/>
          <w:color w:val="auto"/>
        </w:rPr>
      </w:pPr>
      <w:r>
        <w:rPr>
          <w:rFonts w:ascii="Arial" w:cs="Arial" w:eastAsia="Arial" w:hAnsi="Arial"/>
          <w:sz w:val="12"/>
          <w:szCs w:val="12"/>
          <w:color w:val="auto"/>
        </w:rPr>
        <w:t>Our product candidates and the activities associated with their development and commercialization, including their design, testing, manufacture, safety, recordkeeping, labeling, storage, advertising, promotion, sale and distribution and import and export, are subject to comprehensive regulation by the FDA, the EMA and comparable regulatory agencies in other countries.</w:t>
      </w:r>
    </w:p>
    <w:p>
      <w:pPr>
        <w:spacing w:after="0" w:line="86"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rely in part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product's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00"/>
        <w:spacing w:after="0" w:line="331" w:lineRule="auto"/>
        <w:rPr>
          <w:sz w:val="20"/>
          <w:szCs w:val="20"/>
          <w:color w:val="auto"/>
        </w:rPr>
      </w:pPr>
      <w:r>
        <w:rPr>
          <w:rFonts w:ascii="Arial" w:cs="Arial" w:eastAsia="Arial" w:hAnsi="Arial"/>
          <w:sz w:val="12"/>
          <w:szCs w:val="12"/>
          <w:color w:val="auto"/>
        </w:rPr>
        <w:t>The FDA issued guidance in March 2022 stating that it would treat co-packaged ophthalmic products, which generally consist of a drug component that provides the primary active pharmaceutical ingredient along with device components such as needles or syringes, as a combination product. We expect that our planned finished form of Zimura drug product will be treated by the FDA as a combination product. We do not believe that this guidance has affected our strategy and timelines for submitting an NDA to the FDA for Zimura in GA, if the GATHER2 data is positive.</w:t>
      </w:r>
    </w:p>
    <w:p>
      <w:pPr>
        <w:spacing w:after="0" w:line="108" w:lineRule="exact"/>
        <w:rPr>
          <w:sz w:val="20"/>
          <w:szCs w:val="20"/>
          <w:color w:val="auto"/>
        </w:rPr>
      </w:pPr>
    </w:p>
    <w:p>
      <w:pPr>
        <w:ind w:right="40" w:firstLine="318"/>
        <w:spacing w:after="0" w:line="257" w:lineRule="auto"/>
        <w:rPr>
          <w:sz w:val="20"/>
          <w:szCs w:val="20"/>
          <w:color w:val="auto"/>
        </w:rPr>
      </w:pPr>
      <w:r>
        <w:rPr>
          <w:rFonts w:ascii="Arial" w:cs="Arial" w:eastAsia="Arial" w:hAnsi="Arial"/>
          <w:sz w:val="14"/>
          <w:szCs w:val="14"/>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and information concerning similar product candidates as our product candidates.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nonclinical,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51"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Marketing approval of novel product candidates, for example aptamers such as Zimura, manufactured using specialized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to date. This lack of experience may lengthen the regulatory review process, require us to conduct additional nonclinical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46"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Although we have obtained agreement with the FDA on a SPA for GATHER2, a SPA does not guarantee marketing approval of, or any other particular outcome from, regulatory review.</w:t>
      </w:r>
    </w:p>
    <w:p>
      <w:pPr>
        <w:spacing w:after="0" w:line="223"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In July 2021, the FDA agreed to a SPA for GATHER2. Under the SPA procedure, the FDA provides a clinical trial sponsor with an official evaluation and written guidance on the design of a proposed protocol intended to form the basis for an NDA. A SPA agreement indicates concurrence by the FDA with the adequacy and acceptability of specific critical elements of the overall protocol design for a clinical trial intended to support a future marketing application, but it does not indicate FDA concurrence on every protocol detail. A SPA agreement also does not ensure the receipt of marketing approval or that the approval process will be faster than conventional procedures. A determination regarding marketing approval is addressed during the review of a submitted NDA and depends on efficacy and safety results and an evaluation of the overall benefits and risks of treatment after review of the data from the development program in its totality.</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Even after the FDA agrees to the design, execution, and analysis proposed in a protocol reviewed under the</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SPA process, the FDA may revoke or alter its agreement if a substantial scientific issue essential to determining the safety or effectiveness of the drug has been identified after the testing has begun. A SPA agreement may also be changed through written agreement between the sponsor and the FDA. A revocation or alteration in our existing SPA could delay or prevent approval of our planned NDA for Zimura. In addition, any significant change to the protocol for a clinical trial subject to a SPA would require prior FDA approval, which could delay implementation of such a change and the conduct of the related clinical trial. The FDA retains significant discretion in interpreting the terms of the SPA agreement and the data and results from any study that is the subject of the SPA agreement.</w:t>
      </w:r>
    </w:p>
    <w:p>
      <w:pPr>
        <w:spacing w:after="0" w:line="171"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132" w:lineRule="exact"/>
        <w:rPr>
          <w:sz w:val="20"/>
          <w:szCs w:val="20"/>
          <w:color w:val="auto"/>
        </w:rPr>
      </w:pPr>
    </w:p>
    <w:p>
      <w:pPr>
        <w:ind w:right="260" w:firstLine="318"/>
        <w:spacing w:after="0" w:line="262" w:lineRule="auto"/>
        <w:rPr>
          <w:sz w:val="20"/>
          <w:szCs w:val="20"/>
          <w:color w:val="auto"/>
        </w:rPr>
      </w:pPr>
      <w:r>
        <w:rPr>
          <w:rFonts w:ascii="Arial" w:cs="Arial" w:eastAsia="Arial" w:hAnsi="Arial"/>
          <w:sz w:val="14"/>
          <w:szCs w:val="14"/>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nonclinical or clinical testing. For example, although we have obtained a SPA from the FDA for the GATHER2 trial, the EMA or other regulatory authorities may not agree with the overall protocol design for the GATHER2 trial. The time required to obtain approval may differ substantially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 If our third-party commercial partners fail to obtain marketing approval in certain jurisdictions, it may diminish the value of our product candidate to them and cause them to terminate their relationship with us.</w:t>
      </w:r>
    </w:p>
    <w:p>
      <w:pPr>
        <w:spacing w:after="0" w:line="151" w:lineRule="exact"/>
        <w:rPr>
          <w:sz w:val="20"/>
          <w:szCs w:val="20"/>
          <w:color w:val="auto"/>
        </w:rPr>
      </w:pPr>
    </w:p>
    <w:p>
      <w:pPr>
        <w:ind w:right="20" w:firstLine="318"/>
        <w:spacing w:after="0" w:line="302" w:lineRule="auto"/>
        <w:rPr>
          <w:sz w:val="20"/>
          <w:szCs w:val="20"/>
          <w:color w:val="auto"/>
        </w:rPr>
      </w:pPr>
      <w:r>
        <w:rPr>
          <w:rFonts w:ascii="Arial" w:cs="Arial" w:eastAsia="Arial" w:hAnsi="Arial"/>
          <w:sz w:val="12"/>
          <w:szCs w:val="12"/>
          <w:color w:val="auto"/>
        </w:rPr>
        <w:t>In June 2016, the electorate in the United Kingdom, or UK, voted in favor of leaving the European Union, commonly referred to as “Brexit”. Following protracted negotiations, the UK left the European Union on January 31, 2020 and European Union rules and regulations ceased to apply to the UK starting on January 1, 2021. The Medicines and Healthcare products Regulatory Agency, or the MHRA, is now the sole decision maker for marketing authorizations of pharmaceutical products in the UK, except for Northern Ireland. The MHRA will rely on the Human Medicines Regulations 2012 (SI 2012/1916) (as amended), or the HMR, as the basis for regulating medicines. The HMR has incorporated into the domestic law of the UK the body of European Union law governing medicinal products that pre-existed before the UK’s withdrawal from the European Union. In December 2020, the UK government and the European Union agreed on a long-term trade agreement to govern economic relations going forward. Since the existing regulatory framework for pharmaceutical products in the UK is derived from European Union directives and regulations, Brexit could materially impact the future regulatory regime for pharmaceutical products in the UK. As a result of Brexit, we expect we will need to submit a separate application to the MHRA for marketing approval in the UK, in addition to the planned MAA for the EMA. We are continuing to analyze how Brexit and the trade agreement will affect the future regulatory regime for pharmaceutical products in the United Kingdom.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27"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 or for other reasons.</w:t>
      </w:r>
    </w:p>
    <w:p>
      <w:pPr>
        <w:spacing w:after="0" w:line="132"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for other reasons.</w:t>
      </w:r>
    </w:p>
    <w:p>
      <w:pPr>
        <w:spacing w:after="0" w:line="151"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In April 2020, the FDA granted fast track designation to Zimura for the treatment of GA secondary to dry AMD. Even though Zimura has received fast track designation, we must continue to follow the requirements of the program in order to maintain the fast track designation, and even if we maintain the designation, we may not ultimately experience a faster development process, review or approval compared to conventional FDA procedures. The FDA's grant of fast track designation to Zimura for the treatment of GA secondary to dry AMD does not imply that the FDA will grant fast track designation to Zimura for another indication, such as intermediate AMD or STGD1, or that the FDA will grant fast track designation for any of our other product candidates, if we choose to apply for fast track designation.</w:t>
      </w:r>
    </w:p>
    <w:p>
      <w:pPr>
        <w:spacing w:after="0" w:line="14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32"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In 2012, Congress enacted the Food and Drug Administration Safety and Innovation Act, or FDASIA. This law established a new regulatory scheme allowing for expedited review of products designated as “breakthrough therapies.” 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help design the clinical trials in an efficient manner.</w:t>
      </w:r>
    </w:p>
    <w:p>
      <w:pPr>
        <w:spacing w:after="0" w:line="146"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168"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b w:val="1"/>
          <w:bCs w:val="1"/>
          <w:i w:val="1"/>
          <w:iCs w:val="1"/>
          <w:color w:val="auto"/>
        </w:rPr>
        <w:t>We currently do not have orphan drug designations or orphan drug exclusivity for any product candidate. If our competitors are able to obtain orphan drug exclusivity for products that constitute the same or similar drug and treat the same indications as our product candidates, we may not be able to have our product candidates approved by the applicable regulatory authority for a significant period of time.</w:t>
      </w:r>
    </w:p>
    <w:p>
      <w:pPr>
        <w:spacing w:after="0" w:line="142"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and that there exists no satisfactory 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151"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46" w:lineRule="exact"/>
        <w:rPr>
          <w:sz w:val="20"/>
          <w:szCs w:val="20"/>
          <w:color w:val="auto"/>
        </w:rPr>
      </w:pPr>
    </w:p>
    <w:p>
      <w:pPr>
        <w:ind w:right="20" w:firstLine="318"/>
        <w:spacing w:after="0" w:line="278" w:lineRule="auto"/>
        <w:rPr>
          <w:sz w:val="20"/>
          <w:szCs w:val="20"/>
          <w:color w:val="auto"/>
        </w:rPr>
      </w:pPr>
      <w:r>
        <w:rPr>
          <w:rFonts w:ascii="Arial" w:cs="Arial" w:eastAsia="Arial" w:hAnsi="Arial"/>
          <w:sz w:val="13"/>
          <w:szCs w:val="13"/>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as the case may be, during that marketing exclusivity period from approving another marketing application for a product that constitutes the same or similar drug treating the same indication, except in limited circumstances. If another sponsor receives such approval before we do, regardless of our orphan drug designation, we may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In the European Union, the exclusivity period can be extended by two years following the completion of an agreed pediatric investigation plan. The exclusivity period in the European Union can be reduced to six years if a product no longer meets the criteria for orphan drug designation or if the product is sufficiently profitable so that market exclusivity is no longer justified. Orphan drug exclusivity may be revoked, or a competing sponsor may be allowed on the market, if any regulatory agency determines that the request for designation was materially defective or if the sponsor having orphan drug exclusivity is unable to assure sufficient quantity of the product to meet the needs of patients with the rare disease or condition.</w:t>
      </w:r>
    </w:p>
    <w:p>
      <w:pPr>
        <w:spacing w:after="0" w:line="139" w:lineRule="exact"/>
        <w:rPr>
          <w:sz w:val="20"/>
          <w:szCs w:val="20"/>
          <w:color w:val="auto"/>
        </w:rPr>
      </w:pPr>
    </w:p>
    <w:p>
      <w:pPr>
        <w:jc w:val="both"/>
        <w:ind w:right="20" w:firstLine="318"/>
        <w:spacing w:after="0" w:line="267" w:lineRule="auto"/>
        <w:rPr>
          <w:sz w:val="20"/>
          <w:szCs w:val="20"/>
          <w:color w:val="auto"/>
        </w:rPr>
      </w:pPr>
      <w:r>
        <w:rPr>
          <w:rFonts w:ascii="Arial" w:cs="Arial" w:eastAsia="Arial" w:hAnsi="Arial"/>
          <w:sz w:val="14"/>
          <w:szCs w:val="14"/>
          <w:color w:val="auto"/>
        </w:rPr>
        <w:t>Even if we obtain orphan drug exclusivity for a product candidate, that exclusivity may not effectively protect the product candidate from competition because a competing sponsor's drug could nevertheless be approved for the same condition if certain requirements are met. In the United States, even after an orphan drug is approved, the FDA may subsequently approve another drug for the same condition if the FDA concludes that the later drug is not the same drug or is clinically superior in that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color w:val="auto"/>
        </w:rPr>
        <w:t>it is shown to be safer, more effective or makes a major contribution to patient care. In particular, the concept of what constitutes the “same drug” for purposes of orphan drug exclusivity remains in flux in the context of gene therapies, and the FDA has recently issued final guidance stating that it would consider two gene therapy products to be different products if they express different transgenes or use different vectors. In the European Union, marketing authorization may be granted to a similar medicinal product for the same orphan indication if:</w:t>
      </w:r>
    </w:p>
    <w:p>
      <w:pPr>
        <w:spacing w:after="0" w:line="145" w:lineRule="exact"/>
        <w:rPr>
          <w:sz w:val="20"/>
          <w:szCs w:val="20"/>
          <w:color w:val="auto"/>
        </w:rPr>
      </w:pPr>
    </w:p>
    <w:p>
      <w:pPr>
        <w:ind w:left="760" w:right="120" w:hanging="246"/>
        <w:spacing w:after="0" w:line="281" w:lineRule="auto"/>
        <w:tabs>
          <w:tab w:leader="none" w:pos="756"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second applicant can establish in its application that its medicinal product, although similar to the orphan medicinal product already authorized, is safer, more effective or otherwise clinically superior by making a major contribution to patient care;</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holder of the marketing authorization for the original orphan medicinal product consents to a second orphan medicinal product application; or</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holder of the marketing authorization for the original orphan medicinal product cannot supply sufficient quantities of the orphan medicinal product.</w:t>
      </w:r>
    </w:p>
    <w:p>
      <w:pPr>
        <w:spacing w:after="0" w:line="200"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color w:val="auto"/>
        </w:rPr>
        <w:t>The FDA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concluded, orphan drug exclusivity applies to the entire designated disease or condition rather than the “indication or use.” We do not know if, when, or how the FDA may change the orphan drug regulations and policies in the future, and it is uncertain how any changes might affect our business.</w:t>
      </w:r>
    </w:p>
    <w:p>
      <w:pPr>
        <w:spacing w:after="0" w:line="152" w:lineRule="exact"/>
        <w:rPr>
          <w:sz w:val="20"/>
          <w:szCs w:val="20"/>
          <w:color w:val="auto"/>
        </w:rPr>
      </w:pPr>
    </w:p>
    <w:p>
      <w:pPr>
        <w:ind w:right="520"/>
        <w:spacing w:after="0" w:line="368" w:lineRule="auto"/>
        <w:rPr>
          <w:sz w:val="20"/>
          <w:szCs w:val="20"/>
          <w:color w:val="auto"/>
        </w:rPr>
      </w:pPr>
      <w:r>
        <w:rPr>
          <w:rFonts w:ascii="Arial" w:cs="Arial" w:eastAsia="Arial" w:hAnsi="Arial"/>
          <w:sz w:val="12"/>
          <w:szCs w:val="12"/>
          <w:b w:val="1"/>
          <w:bCs w:val="1"/>
          <w:i w:val="1"/>
          <w:iCs w:val="1"/>
          <w:color w:val="auto"/>
        </w:rPr>
        <w:t>If the FDA, EMA or other foreign regulatory authorities approve generic versions of any of our product candidates that receive marketing approval, or such authorities do not grant our products appropriate periods of exclusivity before approving generic versions of those products, the sales of our products, if approved, could be adversely affected.</w:t>
      </w:r>
    </w:p>
    <w:p>
      <w:pPr>
        <w:spacing w:after="0" w:line="107" w:lineRule="exact"/>
        <w:rPr>
          <w:sz w:val="20"/>
          <w:szCs w:val="20"/>
          <w:color w:val="auto"/>
        </w:rPr>
      </w:pPr>
    </w:p>
    <w:p>
      <w:pPr>
        <w:ind w:right="20" w:firstLine="509"/>
        <w:spacing w:after="0" w:line="282" w:lineRule="auto"/>
        <w:rPr>
          <w:sz w:val="20"/>
          <w:szCs w:val="20"/>
          <w:color w:val="auto"/>
        </w:rPr>
      </w:pPr>
      <w:r>
        <w:rPr>
          <w:rFonts w:ascii="Arial" w:cs="Arial" w:eastAsia="Arial" w:hAnsi="Arial"/>
          <w:sz w:val="13"/>
          <w:szCs w:val="13"/>
          <w:color w:val="auto"/>
        </w:rPr>
        <w:t>Once an NDA is approved, the product covered thereby becomes a “reference listed drug” in the FDA’s Orange Book. Manufacturers may seek approval of generic versions of reference listed drugs through submission of abbreviated new drug applications, or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156" w:lineRule="exact"/>
        <w:rPr>
          <w:sz w:val="20"/>
          <w:szCs w:val="20"/>
          <w:color w:val="auto"/>
        </w:rPr>
      </w:pPr>
    </w:p>
    <w:p>
      <w:pPr>
        <w:jc w:val="both"/>
        <w:ind w:right="180" w:firstLine="509"/>
        <w:spacing w:after="0" w:line="267" w:lineRule="auto"/>
        <w:rPr>
          <w:sz w:val="20"/>
          <w:szCs w:val="20"/>
          <w:color w:val="auto"/>
        </w:rPr>
      </w:pPr>
      <w:r>
        <w:rPr>
          <w:rFonts w:ascii="Arial" w:cs="Arial" w:eastAsia="Arial" w:hAnsi="Arial"/>
          <w:sz w:val="14"/>
          <w:szCs w:val="14"/>
          <w:color w:val="auto"/>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products.</w:t>
      </w:r>
    </w:p>
    <w:p>
      <w:pPr>
        <w:spacing w:after="0" w:line="163" w:lineRule="exact"/>
        <w:rPr>
          <w:sz w:val="20"/>
          <w:szCs w:val="20"/>
          <w:color w:val="auto"/>
        </w:rPr>
      </w:pPr>
    </w:p>
    <w:p>
      <w:pPr>
        <w:ind w:right="320"/>
        <w:spacing w:after="0" w:line="331" w:lineRule="auto"/>
        <w:rPr>
          <w:sz w:val="20"/>
          <w:szCs w:val="20"/>
          <w:color w:val="auto"/>
        </w:rPr>
      </w:pPr>
      <w:r>
        <w:rPr>
          <w:rFonts w:ascii="Arial" w:cs="Arial" w:eastAsia="Arial" w:hAnsi="Arial"/>
          <w:sz w:val="12"/>
          <w:szCs w:val="12"/>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108"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tracking of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possible requirement to implement a risk evaluation and mitigation strategy.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firstLine="318"/>
        <w:spacing w:after="0" w:line="258" w:lineRule="auto"/>
        <w:rPr>
          <w:sz w:val="20"/>
          <w:szCs w:val="20"/>
          <w:color w:val="auto"/>
        </w:rPr>
      </w:pPr>
      <w:r>
        <w:rPr>
          <w:rFonts w:ascii="Arial" w:cs="Arial" w:eastAsia="Arial" w:hAnsi="Arial"/>
          <w:sz w:val="14"/>
          <w:szCs w:val="14"/>
          <w:color w:val="auto"/>
        </w:rPr>
        <w:t>The FDA and other agencies, including the Department of Justice, or the DOJ, closely regulate and monitor the pre- and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preapproval promotion and off-label use and if we engage in inappropriate pre-approval promotion or if we do not market our products for their approved indications, we may be subject to enforcement action. Over the past few years, there has been increasing enforcement activity from the FDA targeting preapproval promotion.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50" w:lineRule="exact"/>
        <w:rPr>
          <w:sz w:val="20"/>
          <w:szCs w:val="20"/>
          <w:color w:val="auto"/>
        </w:rPr>
      </w:pPr>
    </w:p>
    <w:p>
      <w:pPr>
        <w:ind w:right="520" w:firstLine="318"/>
        <w:spacing w:after="0" w:line="281" w:lineRule="auto"/>
        <w:rPr>
          <w:sz w:val="20"/>
          <w:szCs w:val="20"/>
          <w:color w:val="auto"/>
        </w:rPr>
      </w:pPr>
      <w:r>
        <w:rPr>
          <w:rFonts w:ascii="Arial" w:cs="Arial" w:eastAsia="Arial" w:hAnsi="Arial"/>
          <w:sz w:val="14"/>
          <w:szCs w:val="14"/>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53" w:lineRule="exact"/>
        <w:rPr>
          <w:sz w:val="20"/>
          <w:szCs w:val="20"/>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restrictions on such products, manufacturers or manufacturing processes;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restrictions on the labeling or marketing of a product;</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restrictions on distribution or use of a product;</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requirements to conduct post-marketing studies or clinical trials;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warning letters or untitled letters;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refusal to approve pending applications or supplements to approved applications that we submit;</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recall of products;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damage to relationships with any potential collaborators;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unfavorable press coverage and damage to our reputation;</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fines, restitution or disgorgement of profits or revenues;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suspension or withdrawal of marketing approvals;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refusal to permit the import or export of our products;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product seizure;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litigation.</w:t>
      </w:r>
    </w:p>
    <w:p>
      <w:pPr>
        <w:spacing w:after="0" w:line="179"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Non-compliance with European Union or other applicable requirements regarding safety monitoring or pharmacovigilance, and with any applicable requirements related to the development of products for the pediatric population, can also result in significant penalties.</w:t>
      </w:r>
    </w:p>
    <w:p>
      <w:pPr>
        <w:spacing w:after="0" w:line="132"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b w:val="1"/>
          <w:bCs w:val="1"/>
          <w:i w:val="1"/>
          <w:iCs w:val="1"/>
          <w:color w:val="auto"/>
        </w:rPr>
        <w:t>Our and our potential commercialization partners’ relationships with healthcare professionals, patients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42"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Healthcare providers and third-party payors play a primary role in the recommendation and prescription of any product candidates for which we obtain marketing approval. Our future arrangements with healthcare providers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right="60" w:hanging="246"/>
        <w:spacing w:after="0" w:line="267"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62" w:lineRule="exact"/>
        <w:rPr>
          <w:rFonts w:ascii="Arial" w:cs="Arial" w:eastAsia="Arial" w:hAnsi="Arial"/>
          <w:sz w:val="14"/>
          <w:szCs w:val="14"/>
          <w:color w:val="auto"/>
        </w:rPr>
      </w:pPr>
    </w:p>
    <w:p>
      <w:pPr>
        <w:ind w:left="760" w:right="80" w:hanging="246"/>
        <w:spacing w:after="0" w:line="262"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the federal False Claims Act imposes criminal and civil penalties, including through civil whistleblower or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67"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or HIPAA, imposes criminal and civil liability for executing a scheme to defraud any healthcare benefit program or making false statements in connection with the delivery of or payment for benefits, items or services involving a healthcare benefit program;</w:t>
      </w:r>
    </w:p>
    <w:p>
      <w:pPr>
        <w:spacing w:after="0" w:line="153" w:lineRule="exact"/>
        <w:rPr>
          <w:rFonts w:ascii="Arial" w:cs="Arial" w:eastAsia="Arial" w:hAnsi="Arial"/>
          <w:sz w:val="14"/>
          <w:szCs w:val="14"/>
          <w:color w:val="auto"/>
        </w:rPr>
      </w:pPr>
    </w:p>
    <w:p>
      <w:pPr>
        <w:ind w:left="760" w:right="220" w:hanging="246"/>
        <w:spacing w:after="0" w:line="267"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and providing notifications of the breach of such information, by covered entities and certain business partners;</w:t>
      </w:r>
    </w:p>
    <w:p>
      <w:pPr>
        <w:spacing w:after="0" w:line="162" w:lineRule="exact"/>
        <w:rPr>
          <w:rFonts w:ascii="Arial" w:cs="Arial" w:eastAsia="Arial" w:hAnsi="Arial"/>
          <w:sz w:val="14"/>
          <w:szCs w:val="14"/>
          <w:color w:val="auto"/>
        </w:rPr>
      </w:pPr>
    </w:p>
    <w:p>
      <w:pPr>
        <w:ind w:left="760" w:right="120" w:hanging="246"/>
        <w:spacing w:after="0" w:line="281"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federal Physician Payments Sunshine Act requires certain manufacturers of drugs, medical devices and biological products covered by federal healthcare benefit programs to report payments and other transfers of value to physicians, other healthcare providers and teaching hospitals; and</w:t>
      </w:r>
    </w:p>
    <w:p>
      <w:pPr>
        <w:spacing w:after="0" w:line="153" w:lineRule="exact"/>
        <w:rPr>
          <w:rFonts w:ascii="Arial" w:cs="Arial" w:eastAsia="Arial" w:hAnsi="Arial"/>
          <w:sz w:val="14"/>
          <w:szCs w:val="14"/>
          <w:color w:val="auto"/>
        </w:rPr>
      </w:pPr>
    </w:p>
    <w:p>
      <w:pPr>
        <w:ind w:left="760" w:right="140" w:hanging="246"/>
        <w:spacing w:after="0" w:line="281" w:lineRule="auto"/>
        <w:tabs>
          <w:tab w:leader="none" w:pos="756"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32"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 may also require the licensing or listing of pharmaceutical sales representatives. State and foreign laws, such as the GDPR, also govern the privacy and security of health information in some circumstances, many of which differ from HIPAA and each other in significant ways, thus complicating compliance efforts.</w:t>
      </w:r>
    </w:p>
    <w:p>
      <w:pPr>
        <w:spacing w:after="0" w:line="131" w:lineRule="exact"/>
        <w:rPr>
          <w:sz w:val="20"/>
          <w:szCs w:val="20"/>
          <w:color w:val="auto"/>
        </w:rPr>
      </w:pPr>
    </w:p>
    <w:p>
      <w:pPr>
        <w:ind w:right="140" w:firstLine="318"/>
        <w:spacing w:after="0" w:line="257" w:lineRule="auto"/>
        <w:rPr>
          <w:sz w:val="20"/>
          <w:szCs w:val="20"/>
          <w:color w:val="auto"/>
        </w:rPr>
      </w:pPr>
      <w:r>
        <w:rPr>
          <w:rFonts w:ascii="Arial" w:cs="Arial" w:eastAsia="Arial" w:hAnsi="Arial"/>
          <w:sz w:val="14"/>
          <w:szCs w:val="14"/>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These risks are becoming more important for our operations as Zimura advances in clinical development and as we prepare for potential commercialization. We are working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51" w:lineRule="exact"/>
        <w:rPr>
          <w:sz w:val="20"/>
          <w:szCs w:val="20"/>
          <w:color w:val="auto"/>
        </w:rPr>
      </w:pPr>
    </w:p>
    <w:p>
      <w:pPr>
        <w:ind w:right="80" w:firstLine="318"/>
        <w:spacing w:after="0" w:line="282" w:lineRule="auto"/>
        <w:rPr>
          <w:sz w:val="20"/>
          <w:szCs w:val="20"/>
          <w:color w:val="auto"/>
        </w:rPr>
      </w:pPr>
      <w:r>
        <w:rPr>
          <w:rFonts w:ascii="Arial" w:cs="Arial" w:eastAsia="Arial" w:hAnsi="Arial"/>
          <w:sz w:val="13"/>
          <w:szCs w:val="13"/>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are doing business or expect to do business is found to be not in compliance with applicable laws, they may be subject to criminal, civil or administrative sanctions, including exclusions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auto"/>
        </w:rPr>
        <w:t>from government funded healthcare programs, and as a result, our relationships with those healthcare providers or third parties may be adversely affected and our business and reputation may suffer.</w:t>
      </w:r>
    </w:p>
    <w:p>
      <w:pPr>
        <w:spacing w:after="0" w:line="223"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b w:val="1"/>
          <w:bCs w:val="1"/>
          <w:i w:val="1"/>
          <w:iCs w:val="1"/>
          <w:color w:val="auto"/>
        </w:rPr>
        <w:t>Current and future legislation may increase the difficulty and costs for us and any future collaborators to obtain reimbursement for any of our product candidates that may receive marketing approval and our ability to generate revenue will be materially impaired.</w:t>
      </w:r>
    </w:p>
    <w:p>
      <w:pPr>
        <w:spacing w:after="0" w:line="154" w:lineRule="exact"/>
        <w:rPr>
          <w:sz w:val="20"/>
          <w:szCs w:val="20"/>
          <w:color w:val="auto"/>
        </w:rPr>
      </w:pPr>
    </w:p>
    <w:p>
      <w:pPr>
        <w:ind w:right="20" w:firstLine="318"/>
        <w:spacing w:after="0" w:line="319" w:lineRule="auto"/>
        <w:rPr>
          <w:sz w:val="20"/>
          <w:szCs w:val="20"/>
          <w:color w:val="auto"/>
        </w:rPr>
      </w:pPr>
      <w:r>
        <w:rPr>
          <w:rFonts w:ascii="Arial" w:cs="Arial" w:eastAsia="Arial" w:hAnsi="Arial"/>
          <w:sz w:val="12"/>
          <w:szCs w:val="12"/>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 If reimbursement of our products is unavailable or limited in scope, our business could be materially harmed.</w:t>
      </w:r>
    </w:p>
    <w:p>
      <w:pPr>
        <w:spacing w:after="0" w:line="136"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In March 2010, President Obama signed into law the Patient Protection and Affordable Care Act, as amended by the Health Care and Education Affordability Reconciliation Act, or collectively the ACA. 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U.S. Supreme Court reversed this decision and dismissed the case on standing grounds. Litigation and legislation over the ACA may continue, with unpredictable and uncertain results.</w:t>
      </w:r>
    </w:p>
    <w:p>
      <w:pPr>
        <w:spacing w:after="0" w:line="172"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January 2021, however, President Biden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Current and future legislative efforts may limit the prices for our products, if and when they are licensed for marketing, which could materially impact our ability to generate revenues.</w:t>
      </w:r>
    </w:p>
    <w:p>
      <w:pPr>
        <w:spacing w:after="0" w:line="211" w:lineRule="exact"/>
        <w:rPr>
          <w:sz w:val="20"/>
          <w:szCs w:val="20"/>
          <w:color w:val="auto"/>
        </w:rPr>
      </w:pPr>
    </w:p>
    <w:p>
      <w:pPr>
        <w:ind w:right="20" w:firstLine="318"/>
        <w:spacing w:after="0" w:line="280" w:lineRule="auto"/>
        <w:rPr>
          <w:sz w:val="20"/>
          <w:szCs w:val="20"/>
          <w:color w:val="auto"/>
        </w:rPr>
      </w:pPr>
      <w:r>
        <w:rPr>
          <w:rFonts w:ascii="Arial" w:cs="Arial" w:eastAsia="Arial" w:hAnsi="Arial"/>
          <w:sz w:val="13"/>
          <w:szCs w:val="13"/>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included an interim final rule implementing a most favored nation model for prices that would tie Medicare Part B payments for certain physician-administered pharmaceuticals to the lowest price paid in other economically advanced countries, effective January 1, 2021. That rule, however, was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148" w:lineRule="exact"/>
        <w:rPr>
          <w:sz w:val="20"/>
          <w:szCs w:val="20"/>
          <w:color w:val="auto"/>
        </w:rPr>
      </w:pPr>
    </w:p>
    <w:p>
      <w:pPr>
        <w:ind w:right="180" w:firstLine="318"/>
        <w:spacing w:after="0" w:line="254" w:lineRule="auto"/>
        <w:rPr>
          <w:sz w:val="20"/>
          <w:szCs w:val="20"/>
          <w:color w:val="auto"/>
        </w:rPr>
      </w:pPr>
      <w:r>
        <w:rPr>
          <w:rFonts w:ascii="Arial" w:cs="Arial" w:eastAsia="Arial" w:hAnsi="Arial"/>
          <w:sz w:val="13"/>
          <w:szCs w:val="13"/>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Medicare Part D, either directly or through</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ind w:right="240"/>
        <w:spacing w:after="0" w:line="262" w:lineRule="auto"/>
        <w:rPr>
          <w:sz w:val="20"/>
          <w:szCs w:val="20"/>
          <w:color w:val="auto"/>
        </w:rPr>
      </w:pPr>
      <w:r>
        <w:rPr>
          <w:rFonts w:ascii="Arial" w:cs="Arial" w:eastAsia="Arial" w:hAnsi="Arial"/>
          <w:sz w:val="13"/>
          <w:szCs w:val="13"/>
          <w:color w:val="auto"/>
        </w:rPr>
        <w:t>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2026 by the Infrastructure Investment and Jobs Act.</w:t>
      </w:r>
    </w:p>
    <w:p>
      <w:pPr>
        <w:spacing w:after="0" w:line="158" w:lineRule="exact"/>
        <w:rPr>
          <w:sz w:val="20"/>
          <w:szCs w:val="20"/>
          <w:color w:val="auto"/>
        </w:rPr>
      </w:pPr>
    </w:p>
    <w:p>
      <w:pPr>
        <w:ind w:right="20" w:firstLine="509"/>
        <w:spacing w:after="0" w:line="280" w:lineRule="auto"/>
        <w:rPr>
          <w:sz w:val="20"/>
          <w:szCs w:val="20"/>
          <w:color w:val="auto"/>
        </w:rPr>
      </w:pPr>
      <w:r>
        <w:rPr>
          <w:rFonts w:ascii="Arial" w:cs="Arial" w:eastAsia="Arial" w:hAnsi="Arial"/>
          <w:sz w:val="13"/>
          <w:szCs w:val="13"/>
          <w:color w:val="auto"/>
        </w:rPr>
        <w:t>On July 9, 2021, President Biden signed Executive Order 14063, which focuses on, among other things, the price of pharmaceuticals. The executive order directs the Department of Health and Human Services, or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158" w:lineRule="exact"/>
        <w:rPr>
          <w:sz w:val="20"/>
          <w:szCs w:val="20"/>
          <w:color w:val="auto"/>
        </w:rPr>
      </w:pPr>
    </w:p>
    <w:p>
      <w:pPr>
        <w:ind w:right="120" w:firstLine="318"/>
        <w:spacing w:after="0" w:line="282" w:lineRule="auto"/>
        <w:rPr>
          <w:sz w:val="20"/>
          <w:szCs w:val="20"/>
          <w:color w:val="auto"/>
        </w:rPr>
      </w:pPr>
      <w:r>
        <w:rPr>
          <w:rFonts w:ascii="Arial" w:cs="Arial" w:eastAsia="Arial" w:hAnsi="Arial"/>
          <w:sz w:val="13"/>
          <w:szCs w:val="13"/>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56"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and the UK,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71" w:lineRule="exact"/>
        <w:rPr>
          <w:sz w:val="20"/>
          <w:szCs w:val="20"/>
          <w:color w:val="auto"/>
        </w:rPr>
      </w:pPr>
    </w:p>
    <w:p>
      <w:pPr>
        <w:ind w:right="560"/>
        <w:spacing w:after="0" w:line="281" w:lineRule="auto"/>
        <w:rPr>
          <w:sz w:val="20"/>
          <w:szCs w:val="20"/>
          <w:color w:val="auto"/>
        </w:rPr>
      </w:pPr>
      <w:r>
        <w:rPr>
          <w:rFonts w:ascii="Arial" w:cs="Arial" w:eastAsia="Arial" w:hAnsi="Arial"/>
          <w:sz w:val="14"/>
          <w:szCs w:val="14"/>
          <w:b w:val="1"/>
          <w:bCs w:val="1"/>
          <w:i w:val="1"/>
          <w:iCs w:val="1"/>
          <w:color w:val="auto"/>
        </w:rPr>
        <w:t>Reporting and payment obligations under Medicare Part B, the Medicaid Drug Rebate Program and other governmental drug pricing programs are complex and may involve subjective decisions. Any failure to comply with those obligations could subject us to penalties and sanctions.</w:t>
      </w:r>
    </w:p>
    <w:p>
      <w:pPr>
        <w:spacing w:after="0" w:line="153" w:lineRule="exact"/>
        <w:rPr>
          <w:sz w:val="20"/>
          <w:szCs w:val="20"/>
          <w:color w:val="auto"/>
        </w:rPr>
      </w:pPr>
    </w:p>
    <w:p>
      <w:pPr>
        <w:ind w:firstLine="347"/>
        <w:spacing w:after="0" w:line="257" w:lineRule="auto"/>
        <w:rPr>
          <w:sz w:val="20"/>
          <w:szCs w:val="20"/>
          <w:color w:val="auto"/>
        </w:rPr>
      </w:pPr>
      <w:r>
        <w:rPr>
          <w:rFonts w:ascii="Arial" w:cs="Arial" w:eastAsia="Arial" w:hAnsi="Arial"/>
          <w:sz w:val="14"/>
          <w:szCs w:val="14"/>
          <w:color w:val="auto"/>
        </w:rPr>
        <w:t>As a condition of reimbursement by various federal and state health insurance programs, pharmaceutical companies are required to calculate and report certain pricing information to federal and state agencies. The regulations governing the calculations, price reporting and payment obligations are complex and subject to interpretation by various government and regulatory agencies, as well as the courts. Reasonable assumptions have been made where there is lack of regulations or clear guidance and such assumptions involve subjective decisions and estimates. Pharmaceutical companies are required to report any revisions to our calculation, price reporting and payment obligations previously reported or paid. Such revisions could affect liability to federal and state payers and also adversely impact reported financial results of operations in the period of such restatement. We expect that Zimura, if approved for GA, would be reimbursed in large part by the "buy and bill" model under Medicare Part B, which requires that we report the average sale price, or ASP, for Zimura, which will affect the level of reimbursement from Medicare. The determination of ASP can be complex and uncertain.</w:t>
      </w:r>
    </w:p>
    <w:p>
      <w:pPr>
        <w:spacing w:after="0" w:line="172" w:lineRule="exact"/>
        <w:rPr>
          <w:sz w:val="20"/>
          <w:szCs w:val="20"/>
          <w:color w:val="auto"/>
        </w:rPr>
      </w:pPr>
    </w:p>
    <w:p>
      <w:pPr>
        <w:ind w:right="200" w:firstLine="347"/>
        <w:spacing w:after="0" w:line="262" w:lineRule="auto"/>
        <w:rPr>
          <w:sz w:val="20"/>
          <w:szCs w:val="20"/>
          <w:color w:val="auto"/>
        </w:rPr>
      </w:pPr>
      <w:r>
        <w:rPr>
          <w:rFonts w:ascii="Arial" w:cs="Arial" w:eastAsia="Arial" w:hAnsi="Arial"/>
          <w:sz w:val="14"/>
          <w:szCs w:val="14"/>
          <w:color w:val="auto"/>
        </w:rPr>
        <w:t>Uncertainty exists as new laws, regulations, judicial decisions, or new interpretations of existing laws, or regulations related to our calculations, price reporting or payments obligations increases the chances of a legal challenge, restatement or investigation. If a company becomes subject to investigations, restatements, or other inquiries concerning compliance with price reporting laws and regulations, it could be required to pay or be subject to additional reimbursements, penalties, sanctions or fines, which could have a material adverse effect on the business, financial condition and results of operations. In addition, it is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color w:val="auto"/>
        </w:rPr>
        <w:t>possible that future healthcare reform measures could be adopted, which could result in increased pressure on pricing and reimbursement of products and thus have an adverse impact on financial position or business operations.</w:t>
      </w:r>
    </w:p>
    <w:p>
      <w:pPr>
        <w:spacing w:after="0" w:line="153" w:lineRule="exact"/>
        <w:rPr>
          <w:sz w:val="20"/>
          <w:szCs w:val="20"/>
          <w:color w:val="auto"/>
        </w:rPr>
      </w:pPr>
    </w:p>
    <w:p>
      <w:pPr>
        <w:ind w:right="140" w:firstLine="347"/>
        <w:spacing w:after="0" w:line="267" w:lineRule="auto"/>
        <w:rPr>
          <w:sz w:val="20"/>
          <w:szCs w:val="20"/>
          <w:color w:val="auto"/>
        </w:rPr>
      </w:pPr>
      <w:r>
        <w:rPr>
          <w:rFonts w:ascii="Arial" w:cs="Arial" w:eastAsia="Arial" w:hAnsi="Arial"/>
          <w:sz w:val="14"/>
          <w:szCs w:val="14"/>
          <w:color w:val="auto"/>
        </w:rPr>
        <w:t>Further, state Medicaid programs may be slow to invoice pharmaceutical companies for calculated rebates resulting in a lag between the time a sale is recorded and the time the rebate is paid. This results in a company having to carry a liability on its consolidated balance sheets for the estimate of rebate claims expected for Medicaid patients. If actual claims are higher than current estimates, the company’s financial position and results of operations could be adversely affected.</w:t>
      </w:r>
    </w:p>
    <w:p>
      <w:pPr>
        <w:spacing w:after="0" w:line="163" w:lineRule="exact"/>
        <w:rPr>
          <w:sz w:val="20"/>
          <w:szCs w:val="20"/>
          <w:color w:val="auto"/>
        </w:rPr>
      </w:pPr>
    </w:p>
    <w:p>
      <w:pPr>
        <w:ind w:right="60" w:firstLine="347"/>
        <w:spacing w:after="0" w:line="262" w:lineRule="auto"/>
        <w:rPr>
          <w:sz w:val="20"/>
          <w:szCs w:val="20"/>
          <w:color w:val="auto"/>
        </w:rPr>
      </w:pPr>
      <w:r>
        <w:rPr>
          <w:rFonts w:ascii="Arial" w:cs="Arial" w:eastAsia="Arial" w:hAnsi="Arial"/>
          <w:sz w:val="14"/>
          <w:szCs w:val="14"/>
          <w:color w:val="auto"/>
        </w:rPr>
        <w:t>In addition to retroactive rebates and the potential for 340B Program refunds, if a pharmaceutical firm is found to have knowingly submitted any false price information related to the Medicaid Drug Rebate Program to CMS, it may be liable for civil monetary penalties. Such failure could also be grounds for CMS to terminate the Medicaid drug rebate agreement, pursuant to which companies participate in the Medicaid program. In the event that CMS terminates a rebate agreement, federal payments may not be available under government programs, including Medicaid or Medicare Part B, for covered outpatient drugs.</w:t>
      </w:r>
    </w:p>
    <w:p>
      <w:pPr>
        <w:spacing w:after="0" w:line="167" w:lineRule="exact"/>
        <w:rPr>
          <w:sz w:val="20"/>
          <w:szCs w:val="20"/>
          <w:color w:val="auto"/>
        </w:rPr>
      </w:pPr>
    </w:p>
    <w:p>
      <w:pPr>
        <w:ind w:right="20" w:firstLine="347"/>
        <w:spacing w:after="0" w:line="262" w:lineRule="auto"/>
        <w:rPr>
          <w:sz w:val="20"/>
          <w:szCs w:val="20"/>
          <w:color w:val="auto"/>
        </w:rPr>
      </w:pPr>
      <w:r>
        <w:rPr>
          <w:rFonts w:ascii="Arial" w:cs="Arial" w:eastAsia="Arial" w:hAnsi="Arial"/>
          <w:sz w:val="14"/>
          <w:szCs w:val="14"/>
          <w:color w:val="auto"/>
        </w:rPr>
        <w:t>Additionally, if a pharmaceutical company overcharges the government in connection with the FSS program or Tricare Retail Pharmacy Program, whether due to a misstated federal ceiling price or otherwise, it is required to refund the difference to the government. Failure to make necessary disclosures and/or to identify contract overcharges can result in allegations against a company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67" w:lineRule="exact"/>
        <w:rPr>
          <w:sz w:val="20"/>
          <w:szCs w:val="20"/>
          <w:color w:val="auto"/>
        </w:rPr>
      </w:pPr>
    </w:p>
    <w:p>
      <w:pPr>
        <w:ind w:right="260" w:firstLine="347"/>
        <w:spacing w:after="0" w:line="321" w:lineRule="auto"/>
        <w:rPr>
          <w:sz w:val="20"/>
          <w:szCs w:val="20"/>
          <w:color w:val="auto"/>
        </w:rPr>
      </w:pPr>
      <w:r>
        <w:rPr>
          <w:rFonts w:ascii="Arial" w:cs="Arial" w:eastAsia="Arial" w:hAnsi="Arial"/>
          <w:sz w:val="13"/>
          <w:szCs w:val="13"/>
          <w:color w:val="auto"/>
        </w:rPr>
        <w:t>Our collaborators are also subject to similar requirements outside of the U.S. and thus the attendant risks and uncertainties. If our collaborators suffer material and adverse effects from such risks and uncertainties, our rights and benefits for our licensed products could be negatively impacted, which could have a material and adverse impact on our revenues.</w:t>
      </w:r>
    </w:p>
    <w:p>
      <w:pPr>
        <w:spacing w:after="0" w:line="109" w:lineRule="exact"/>
        <w:rPr>
          <w:sz w:val="20"/>
          <w:szCs w:val="20"/>
          <w:color w:val="auto"/>
        </w:rPr>
      </w:pPr>
    </w:p>
    <w:p>
      <w:pPr>
        <w:spacing w:after="0" w:line="267" w:lineRule="auto"/>
        <w:rPr>
          <w:sz w:val="20"/>
          <w:szCs w:val="20"/>
          <w:color w:val="auto"/>
        </w:rPr>
      </w:pPr>
      <w:r>
        <w:rPr>
          <w:rFonts w:ascii="Arial" w:cs="Arial" w:eastAsia="Arial" w:hAnsi="Arial"/>
          <w:sz w:val="14"/>
          <w:szCs w:val="14"/>
          <w:b w:val="1"/>
          <w:bCs w:val="1"/>
          <w:i w:val="1"/>
          <w:iCs w:val="1"/>
          <w:color w:val="auto"/>
        </w:rPr>
        <w:t>Inadequate funding for the FDA, the SEC and other government agencies, including from government shut downs, or other disruptions to these agencies’ operations,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63" w:lineRule="exact"/>
        <w:rPr>
          <w:sz w:val="20"/>
          <w:szCs w:val="20"/>
          <w:color w:val="auto"/>
        </w:rPr>
      </w:pPr>
    </w:p>
    <w:p>
      <w:pPr>
        <w:ind w:right="80" w:firstLine="509"/>
        <w:spacing w:after="0" w:line="282" w:lineRule="auto"/>
        <w:rPr>
          <w:sz w:val="20"/>
          <w:szCs w:val="20"/>
          <w:color w:val="auto"/>
        </w:rPr>
      </w:pPr>
      <w:r>
        <w:rPr>
          <w:rFonts w:ascii="Arial" w:cs="Arial" w:eastAsia="Arial" w:hAnsi="Arial"/>
          <w:sz w:val="13"/>
          <w:szCs w:val="13"/>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which has caused average review times to fluctuate in recent years. Disruptions at the FDA and other agencies may slow the time for new product candidates to be reviewed and/or approved by necessary government agencies, which would adversely affect our business. For example, over the last decade the U.S. government has shut down several times and certain regulatory agencies, such as the FDA and the SEC, have had to furlough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45" w:lineRule="exact"/>
        <w:rPr>
          <w:sz w:val="20"/>
          <w:szCs w:val="20"/>
          <w:color w:val="auto"/>
        </w:rPr>
      </w:pPr>
    </w:p>
    <w:p>
      <w:pPr>
        <w:ind w:firstLine="509"/>
        <w:spacing w:after="0" w:line="286" w:lineRule="auto"/>
        <w:rPr>
          <w:sz w:val="20"/>
          <w:szCs w:val="20"/>
          <w:color w:val="auto"/>
        </w:rPr>
      </w:pPr>
      <w:r>
        <w:rPr>
          <w:rFonts w:ascii="Arial" w:cs="Arial" w:eastAsia="Arial" w:hAnsi="Arial"/>
          <w:sz w:val="12"/>
          <w:szCs w:val="12"/>
          <w:color w:val="auto"/>
        </w:rPr>
        <w:t>Separately, in response to the COVID-19 pandemic, a number of companies in 2021 announced receipt of complete response letters due to the FDA’s inability to complete required inspections for their applications. Following a period of false starts and temporary suspensions due to the Omicron variant, the FDA resumed domestic inspections in February 2022 and indicated that</w:t>
      </w:r>
    </w:p>
    <w:p>
      <w:pPr>
        <w:ind w:right="40"/>
        <w:spacing w:after="0" w:line="248" w:lineRule="auto"/>
        <w:rPr>
          <w:sz w:val="20"/>
          <w:szCs w:val="20"/>
          <w:color w:val="auto"/>
        </w:rPr>
      </w:pPr>
      <w:r>
        <w:rPr>
          <w:rFonts w:ascii="Arial" w:cs="Arial" w:eastAsia="Arial" w:hAnsi="Arial"/>
          <w:sz w:val="13"/>
          <w:szCs w:val="13"/>
          <w:color w:val="auto"/>
        </w:rPr>
        <w:t>it would conduct foreign inspections beginning in April 2022 on a prioritized basis. However, the FDA may not be able to continue its current pace and review timelines could be extended, including where a pre-approval inspection or an inspection of clinical sites is required and due to the ongoing COVID-19 pandemic and travel restrictions,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32" w:lineRule="exact"/>
        <w:rPr>
          <w:sz w:val="20"/>
          <w:szCs w:val="20"/>
          <w:color w:val="auto"/>
        </w:rPr>
      </w:pPr>
    </w:p>
    <w:p>
      <w:pPr>
        <w:ind w:right="60" w:firstLine="318"/>
        <w:spacing w:after="0" w:line="280" w:lineRule="auto"/>
        <w:rPr>
          <w:sz w:val="20"/>
          <w:szCs w:val="20"/>
          <w:color w:val="auto"/>
        </w:rPr>
      </w:pPr>
      <w:r>
        <w:rPr>
          <w:rFonts w:ascii="Arial" w:cs="Arial" w:eastAsia="Arial" w:hAnsi="Arial"/>
          <w:sz w:val="13"/>
          <w:szCs w:val="13"/>
          <w:color w:val="auto"/>
        </w:rPr>
        <w:t>We are subject to the U.S. Foreign Corrupt Practices Act of 1977, as amended, or the FCPA, the U.S. domestic bribery statute contained in 18 U.S.C. § 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have relationships with certain officials and employees of government agencies or government-affiliated hospitals, universities, and other organizations, including a number of public hospitals that are our clinical trial sites.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37" w:lineRule="exact"/>
        <w:rPr>
          <w:sz w:val="20"/>
          <w:szCs w:val="20"/>
          <w:color w:val="auto"/>
        </w:rPr>
      </w:pPr>
    </w:p>
    <w:p>
      <w:pPr>
        <w:ind w:right="40" w:firstLine="318"/>
        <w:spacing w:after="0" w:line="309" w:lineRule="auto"/>
        <w:rPr>
          <w:sz w:val="20"/>
          <w:szCs w:val="20"/>
          <w:color w:val="auto"/>
        </w:rPr>
      </w:pPr>
      <w:r>
        <w:rPr>
          <w:rFonts w:ascii="Arial" w:cs="Arial" w:eastAsia="Arial" w:hAnsi="Arial"/>
          <w:sz w:val="12"/>
          <w:szCs w:val="12"/>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or governmental programs,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22"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79"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or our contractors'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70" w:lineRule="exact"/>
        <w:rPr>
          <w:sz w:val="20"/>
          <w:szCs w:val="20"/>
          <w:color w:val="auto"/>
        </w:rPr>
      </w:pPr>
    </w:p>
    <w:p>
      <w:pPr>
        <w:ind w:right="240" w:firstLine="318"/>
        <w:spacing w:after="0" w:line="321" w:lineRule="auto"/>
        <w:rPr>
          <w:sz w:val="20"/>
          <w:szCs w:val="20"/>
          <w:color w:val="auto"/>
        </w:rPr>
      </w:pPr>
      <w:r>
        <w:rPr>
          <w:rFonts w:ascii="Arial" w:cs="Arial" w:eastAsia="Arial" w:hAnsi="Arial"/>
          <w:sz w:val="13"/>
          <w:szCs w:val="13"/>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56" w:lineRule="exact"/>
        <w:rPr>
          <w:sz w:val="20"/>
          <w:szCs w:val="20"/>
          <w:color w:val="auto"/>
        </w:rPr>
      </w:pPr>
    </w:p>
    <w:p>
      <w:pPr>
        <w:jc w:val="both"/>
        <w:ind w:right="140" w:firstLine="318"/>
        <w:spacing w:after="0" w:line="262"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We expect the Biden Administration to pass additional such laws and regulations. Some of those laws and regulations may govern the health and safety measures that employers must implement to protect their workers from the COVID-19 virus.</w:t>
      </w:r>
    </w:p>
    <w:p>
      <w:pPr>
        <w:spacing w:after="0" w:line="93"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 There is also increasing focus from regulators and self-regulatory organizations on the environmental impact of operations and additional obligation on companies to make disclosures relating to them.</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204"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32"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68" w:lineRule="exact"/>
        <w:rPr>
          <w:sz w:val="20"/>
          <w:szCs w:val="20"/>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provide for a classified board of directors such that only one of three classes of directors is elected each year;</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allow the authorized number of our directors to be changed only by resolution of our board of directors;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limit the manner in which stockholders can remove directors from our board of directors;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provide for advance notice requirements for stockholder proposals that can be acted on at stockholder meetings and nominations to our board of directors;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require that stockholder actions must be effected at a duly called stockholder meeting and prohibit actions by our stockholders by written consent;</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limit who may call stockholder meetings;</w:t>
      </w:r>
    </w:p>
    <w:p>
      <w:pPr>
        <w:spacing w:after="0" w:line="199" w:lineRule="exact"/>
        <w:rPr>
          <w:rFonts w:ascii="Arial" w:cs="Arial" w:eastAsia="Arial" w:hAnsi="Arial"/>
          <w:sz w:val="14"/>
          <w:szCs w:val="14"/>
          <w:color w:val="auto"/>
        </w:rPr>
      </w:pPr>
    </w:p>
    <w:p>
      <w:pPr>
        <w:ind w:left="760" w:right="80" w:hanging="246"/>
        <w:spacing w:after="0" w:line="281" w:lineRule="auto"/>
        <w:tabs>
          <w:tab w:leader="none" w:pos="756" w:val="left"/>
        </w:tabs>
        <w:numPr>
          <w:ilvl w:val="0"/>
          <w:numId w:val="52"/>
        </w:numPr>
        <w:rPr>
          <w:rFonts w:ascii="Arial" w:cs="Arial" w:eastAsia="Arial" w:hAnsi="Arial"/>
          <w:sz w:val="14"/>
          <w:szCs w:val="14"/>
          <w:color w:val="auto"/>
        </w:rPr>
      </w:pPr>
      <w:r>
        <w:rPr>
          <w:rFonts w:ascii="Arial" w:cs="Arial" w:eastAsia="Arial" w:hAnsi="Arial"/>
          <w:sz w:val="14"/>
          <w:szCs w:val="14"/>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53" w:lineRule="exact"/>
        <w:rPr>
          <w:rFonts w:ascii="Arial" w:cs="Arial" w:eastAsia="Arial" w:hAnsi="Arial"/>
          <w:sz w:val="14"/>
          <w:szCs w:val="14"/>
          <w:color w:val="auto"/>
        </w:rPr>
      </w:pPr>
    </w:p>
    <w:p>
      <w:pPr>
        <w:ind w:left="760" w:right="100" w:hanging="246"/>
        <w:spacing w:after="0" w:line="281" w:lineRule="auto"/>
        <w:tabs>
          <w:tab w:leader="none" w:pos="756"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require the approval of the holders of at least 75% of the votes that all our stockholders would be entitled to cast to amend or repeal certain provisions of our certificate of incorporation or by-laws.</w:t>
      </w:r>
    </w:p>
    <w:p>
      <w:pPr>
        <w:spacing w:after="0" w:line="132"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price of our common stock may be volatile and fluctuate substantially, which could result in substantial losses for stockholders.</w:t>
      </w:r>
    </w:p>
    <w:p>
      <w:pPr>
        <w:spacing w:after="0" w:line="179"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including as a result of short selling by institutional and retail investors.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167" w:lineRule="exact"/>
        <w:rPr>
          <w:sz w:val="20"/>
          <w:szCs w:val="20"/>
          <w:color w:val="auto"/>
        </w:rPr>
      </w:pPr>
    </w:p>
    <w:p>
      <w:pPr>
        <w:ind w:left="760" w:right="260" w:hanging="246"/>
        <w:spacing w:after="0" w:line="321" w:lineRule="auto"/>
        <w:tabs>
          <w:tab w:leader="none" w:pos="756"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results of research, preclinical development activities and clinical trials for our product candidates and the timing of the receipt of such results, including any potential increase in the trading of our common stock and the resulting volatility of our stock price that may occur as we get closer to the expected availability of topline data from our GATHER2 trial;</w:t>
      </w:r>
    </w:p>
    <w:p>
      <w:pPr>
        <w:spacing w:after="0" w:line="130" w:lineRule="exact"/>
        <w:rPr>
          <w:rFonts w:ascii="Arial" w:cs="Arial" w:eastAsia="Arial" w:hAnsi="Arial"/>
          <w:sz w:val="13"/>
          <w:szCs w:val="13"/>
          <w:color w:val="auto"/>
        </w:rPr>
      </w:pPr>
    </w:p>
    <w:p>
      <w:pPr>
        <w:ind w:left="760" w:hanging="246"/>
        <w:spacing w:after="0"/>
        <w:tabs>
          <w:tab w:leader="none" w:pos="7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results of regulatory interactions and review for our product candidates;</w:t>
      </w:r>
    </w:p>
    <w:p>
      <w:pPr>
        <w:spacing w:after="0" w:line="199" w:lineRule="exact"/>
        <w:rPr>
          <w:rFonts w:ascii="Arial" w:cs="Arial" w:eastAsia="Arial" w:hAnsi="Arial"/>
          <w:sz w:val="14"/>
          <w:szCs w:val="14"/>
          <w:color w:val="auto"/>
        </w:rPr>
      </w:pPr>
    </w:p>
    <w:p>
      <w:pPr>
        <w:ind w:left="760" w:right="60" w:hanging="246"/>
        <w:spacing w:after="0" w:line="281" w:lineRule="auto"/>
        <w:tabs>
          <w:tab w:leader="none" w:pos="756"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success of products or technologies that compete with our product candidates, including results of clinical trials of product candidates of our competitors. For example, in September 2021, Apellis announced topline data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ind w:left="760" w:right="200"/>
        <w:spacing w:after="0" w:line="281" w:lineRule="auto"/>
        <w:rPr>
          <w:sz w:val="20"/>
          <w:szCs w:val="20"/>
          <w:color w:val="auto"/>
        </w:rPr>
      </w:pPr>
      <w:r>
        <w:rPr>
          <w:rFonts w:ascii="Arial" w:cs="Arial" w:eastAsia="Arial" w:hAnsi="Arial"/>
          <w:sz w:val="14"/>
          <w:szCs w:val="14"/>
          <w:color w:val="auto"/>
        </w:rPr>
        <w:t>from its Phase 3 trials for GA, and the price of our common stock was affected following the release of those results. Any subsequent developments from Apellis or other competitors may have a significant impact on our stock price;</w:t>
      </w:r>
    </w:p>
    <w:p>
      <w:pPr>
        <w:spacing w:after="0" w:line="153" w:lineRule="exact"/>
        <w:rPr>
          <w:sz w:val="20"/>
          <w:szCs w:val="20"/>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actual or anticipated changes in estimates as to financial results, development timelines or recommendations by securities analysts;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level of expenses related to any of our product candidates or development programs;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199" w:lineRule="exact"/>
        <w:rPr>
          <w:rFonts w:ascii="Arial" w:cs="Arial" w:eastAsia="Arial" w:hAnsi="Arial"/>
          <w:sz w:val="14"/>
          <w:szCs w:val="14"/>
          <w:color w:val="auto"/>
        </w:rPr>
      </w:pPr>
    </w:p>
    <w:p>
      <w:pPr>
        <w:ind w:left="760" w:right="480" w:hanging="246"/>
        <w:spacing w:after="0" w:line="281" w:lineRule="auto"/>
        <w:tabs>
          <w:tab w:leader="none" w:pos="756"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results of our efforts to in-license or acquire the rights to other product candidates and technologies for the treatment of retinal diseases, including additional sustained release delivery technologies for Zimura;</w:t>
      </w:r>
    </w:p>
    <w:p>
      <w:pPr>
        <w:spacing w:after="0" w:line="153"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developments or disputes concerning patent applications, issued patents or other proprietary rights;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relevant scientific and medical developments;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market conditions in the pharmaceutical and biotechnology sectors;</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general economic, industry and market conditions, such as those caused by the COVID-19 pandemic or the ongoing military conflict in Ukraine;</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political, social, regulatory or legal developments in the United States and other countries; and</w:t>
      </w:r>
    </w:p>
    <w:p>
      <w:pPr>
        <w:spacing w:after="0" w:line="199" w:lineRule="exact"/>
        <w:rPr>
          <w:rFonts w:ascii="Arial" w:cs="Arial" w:eastAsia="Arial" w:hAnsi="Arial"/>
          <w:sz w:val="14"/>
          <w:szCs w:val="14"/>
          <w:color w:val="auto"/>
        </w:rPr>
      </w:pPr>
    </w:p>
    <w:p>
      <w:pPr>
        <w:ind w:left="760" w:hanging="246"/>
        <w:spacing w:after="0"/>
        <w:tabs>
          <w:tab w:leader="none" w:pos="7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other factors described in this “Risk Factors” section.</w:t>
      </w:r>
    </w:p>
    <w:p>
      <w:pPr>
        <w:spacing w:after="0" w:line="200" w:lineRule="exact"/>
        <w:rPr>
          <w:sz w:val="20"/>
          <w:szCs w:val="20"/>
          <w:color w:val="auto"/>
        </w:rPr>
      </w:pPr>
    </w:p>
    <w:p>
      <w:pPr>
        <w:jc w:val="both"/>
        <w:ind w:right="20" w:firstLine="318"/>
        <w:spacing w:after="0" w:line="299" w:lineRule="auto"/>
        <w:rPr>
          <w:sz w:val="20"/>
          <w:szCs w:val="20"/>
          <w:color w:val="auto"/>
        </w:rPr>
      </w:pPr>
      <w:r>
        <w:rPr>
          <w:rFonts w:ascii="Arial" w:cs="Arial" w:eastAsia="Arial" w:hAnsi="Arial"/>
          <w:sz w:val="12"/>
          <w:szCs w:val="12"/>
          <w:color w:val="auto"/>
        </w:rPr>
        <w:t>In addition, the COVID-19 pandemic has caused significant disruptions in the financial markets, and may continue to cause such disruptions, and has also impacted, and may continue to impact, the volatility of our stock price and trading in our stock. Following periods of volatility in the market price of a company’s stock, securities class-action litigation has often been instituted against that company. For example, we and certain of our current and former executive officers were named as defendants in a purported class action lawsuit and a related shareholder derivative action following our announcement in December 2016 of the initial, topline results from the first two of our Phase 3 Fovista trials for the treatment of wet AMD, which caused our stock price to decline significantly.</w:t>
      </w:r>
    </w:p>
    <w:p>
      <w:pPr>
        <w:spacing w:after="0" w:line="2"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color w:val="auto"/>
        </w:rPr>
        <w:t>See “</w:t>
      </w:r>
      <w:r>
        <w:rPr>
          <w:rFonts w:ascii="Arial" w:cs="Arial" w:eastAsia="Arial" w:hAnsi="Arial"/>
          <w:sz w:val="14"/>
          <w:szCs w:val="14"/>
          <w:i w:val="1"/>
          <w:iCs w:val="1"/>
          <w:color w:val="auto"/>
        </w:rPr>
        <w:t>Risks Related to Our Business Plan, Financial Position and Need for Additional Capital—We and certain of our current and former executive officers were named as defendants in lawsuits that</w:t>
      </w:r>
      <w:r>
        <w:rPr>
          <w:rFonts w:ascii="Arial" w:cs="Arial" w:eastAsia="Arial" w:hAnsi="Arial"/>
          <w:sz w:val="14"/>
          <w:szCs w:val="14"/>
          <w:color w:val="auto"/>
        </w:rPr>
        <w:t xml:space="preserve"> </w:t>
      </w:r>
      <w:r>
        <w:rPr>
          <w:rFonts w:ascii="Arial" w:cs="Arial" w:eastAsia="Arial" w:hAnsi="Arial"/>
          <w:sz w:val="14"/>
          <w:szCs w:val="14"/>
          <w:i w:val="1"/>
          <w:iCs w:val="1"/>
          <w:color w:val="auto"/>
        </w:rPr>
        <w:t>could result in substantial costs and divert management’s attention</w:t>
      </w:r>
      <w:r>
        <w:rPr>
          <w:rFonts w:ascii="Arial" w:cs="Arial" w:eastAsia="Arial" w:hAnsi="Arial"/>
          <w:sz w:val="14"/>
          <w:szCs w:val="14"/>
          <w:color w:val="auto"/>
        </w:rPr>
        <w:t>.</w:t>
      </w:r>
      <w:r>
        <w:rPr>
          <w:rFonts w:ascii="Arial" w:cs="Arial" w:eastAsia="Arial" w:hAnsi="Arial"/>
          <w:sz w:val="14"/>
          <w:szCs w:val="14"/>
          <w:i w:val="1"/>
          <w:iCs w:val="1"/>
          <w:color w:val="auto"/>
        </w:rPr>
        <w:t xml:space="preserve"> We are in the process of settling those lawsuits but the settlements are not yet final</w:t>
      </w:r>
      <w:r>
        <w:rPr>
          <w:rFonts w:ascii="Arial" w:cs="Arial" w:eastAsia="Arial" w:hAnsi="Arial"/>
          <w:sz w:val="14"/>
          <w:szCs w:val="14"/>
          <w:color w:val="auto"/>
        </w:rPr>
        <w:t>.” These proceedings and other similar litigation,</w:t>
      </w:r>
      <w:r>
        <w:rPr>
          <w:rFonts w:ascii="Arial" w:cs="Arial" w:eastAsia="Arial" w:hAnsi="Arial"/>
          <w:sz w:val="14"/>
          <w:szCs w:val="14"/>
          <w:i w:val="1"/>
          <w:iCs w:val="1"/>
          <w:color w:val="auto"/>
        </w:rPr>
        <w:t xml:space="preserve"> </w:t>
      </w:r>
      <w:r>
        <w:rPr>
          <w:rFonts w:ascii="Arial" w:cs="Arial" w:eastAsia="Arial" w:hAnsi="Arial"/>
          <w:sz w:val="14"/>
          <w:szCs w:val="14"/>
          <w:color w:val="auto"/>
        </w:rPr>
        <w:t>if instituted against us, could cause us to incur substantial costs to defend such claims and divert management’s attention and resources, which could seriously harm our business, and cause additional volatility in the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90"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If the holders of a significant number of shares our common stock sell, or the market perceives that these holders will sell, the shares currently held by them, the price of our common stock may decline.</w:t>
      </w:r>
    </w:p>
    <w:p>
      <w:pPr>
        <w:spacing w:after="0" w:line="142" w:lineRule="exact"/>
        <w:rPr>
          <w:sz w:val="20"/>
          <w:szCs w:val="20"/>
          <w:color w:val="auto"/>
        </w:rPr>
      </w:pPr>
    </w:p>
    <w:p>
      <w:pPr>
        <w:ind w:firstLine="318"/>
        <w:spacing w:after="0" w:line="368" w:lineRule="auto"/>
        <w:rPr>
          <w:sz w:val="20"/>
          <w:szCs w:val="20"/>
          <w:color w:val="auto"/>
        </w:rPr>
      </w:pPr>
      <w:r>
        <w:rPr>
          <w:rFonts w:ascii="Arial" w:cs="Arial" w:eastAsia="Arial" w:hAnsi="Arial"/>
          <w:sz w:val="12"/>
          <w:szCs w:val="12"/>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ownership percentage of our stockholders may be diluted in the future, which could dilute the voting power or reduce the value of our outstanding shares of common stock.</w:t>
      </w:r>
    </w:p>
    <w:p>
      <w:pPr>
        <w:spacing w:after="0" w:line="137" w:lineRule="exact"/>
        <w:rPr>
          <w:sz w:val="20"/>
          <w:szCs w:val="20"/>
          <w:color w:val="auto"/>
        </w:rPr>
      </w:pPr>
    </w:p>
    <w:p>
      <w:pPr>
        <w:ind w:right="160" w:firstLine="318"/>
        <w:spacing w:after="0" w:line="297" w:lineRule="auto"/>
        <w:rPr>
          <w:sz w:val="20"/>
          <w:szCs w:val="20"/>
          <w:color w:val="auto"/>
        </w:rPr>
      </w:pPr>
      <w:r>
        <w:rPr>
          <w:rFonts w:ascii="Arial" w:cs="Arial" w:eastAsia="Arial" w:hAnsi="Arial"/>
          <w:sz w:val="13"/>
          <w:szCs w:val="13"/>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 compensation plans. Our employees are also entitled, subject to certain conditions, to purchase our common stock at a discount pursuant to our Employee Stock Purchase Plan.</w:t>
      </w:r>
    </w:p>
    <w:p>
      <w:pPr>
        <w:spacing w:after="0" w:line="124" w:lineRule="exact"/>
        <w:rPr>
          <w:sz w:val="20"/>
          <w:szCs w:val="20"/>
          <w:color w:val="auto"/>
        </w:rPr>
      </w:pPr>
    </w:p>
    <w:p>
      <w:pPr>
        <w:ind w:right="260" w:firstLine="318"/>
        <w:spacing w:after="0" w:line="297" w:lineRule="auto"/>
        <w:rPr>
          <w:sz w:val="20"/>
          <w:szCs w:val="20"/>
          <w:color w:val="auto"/>
        </w:rPr>
      </w:pPr>
      <w:r>
        <w:rPr>
          <w:rFonts w:ascii="Arial" w:cs="Arial" w:eastAsia="Arial" w:hAnsi="Arial"/>
          <w:sz w:val="13"/>
          <w:szCs w:val="13"/>
          <w:color w:val="auto"/>
        </w:rPr>
        <w:t>In addition, the pre-funded warrants that we issued in connection with our December 2019 and June 2020 public offerings are exercisable at any time, and any exercise of such warrants will increase the number of shares of our outstanding common stock, which may dilute the ownership percentage or voting power of our stockholders. As of June 30, 2022, pre-funded warrants representing approximately 2.5 million shares of common stock have been exercised and pre-funded warrants representing 3,164,280 shares of common stock remain outstanding.</w:t>
      </w:r>
    </w:p>
    <w:p>
      <w:pPr>
        <w:spacing w:after="0" w:line="124"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common stock. Similarly, the repurchase or redemption rights or liquidation preferences we could assign to holders of preferred stock could affect the residual value of our common stock.</w:t>
      </w:r>
    </w:p>
    <w:p>
      <w:pPr>
        <w:spacing w:after="0" w:line="93"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For more information about the dilutive effects of financing or business development transactions we may undertake, see the risk factor above, “</w:t>
      </w:r>
      <w:r>
        <w:rPr>
          <w:rFonts w:ascii="Arial" w:cs="Arial" w:eastAsia="Arial" w:hAnsi="Arial"/>
          <w:sz w:val="14"/>
          <w:szCs w:val="14"/>
          <w:i w:val="1"/>
          <w:iCs w:val="1"/>
          <w:color w:val="auto"/>
        </w:rPr>
        <w:t>Raising additional capital may cause dilution to</w:t>
      </w:r>
      <w:r>
        <w:rPr>
          <w:rFonts w:ascii="Arial" w:cs="Arial" w:eastAsia="Arial" w:hAnsi="Arial"/>
          <w:sz w:val="14"/>
          <w:szCs w:val="14"/>
          <w:color w:val="auto"/>
        </w:rPr>
        <w:t xml:space="preserve"> </w:t>
      </w:r>
      <w:r>
        <w:rPr>
          <w:rFonts w:ascii="Arial" w:cs="Arial" w:eastAsia="Arial" w:hAnsi="Arial"/>
          <w:sz w:val="14"/>
          <w:szCs w:val="14"/>
          <w:i w:val="1"/>
          <w:iCs w:val="1"/>
          <w:color w:val="auto"/>
        </w:rPr>
        <w:t>our stockholders, restrict our operations or require us to relinquish rights to our technologies or product candidates</w:t>
      </w:r>
      <w:r>
        <w:rPr>
          <w:rFonts w:ascii="Arial" w:cs="Arial" w:eastAsia="Arial" w:hAnsi="Arial"/>
          <w:sz w:val="14"/>
          <w:szCs w:val="14"/>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significant costs as a result of operating as a public company, and our management is required to devote substantial time to compliance initiatives and corporate governance practices.</w:t>
      </w:r>
    </w:p>
    <w:p>
      <w:pPr>
        <w:spacing w:after="0" w:line="148" w:lineRule="exact"/>
        <w:rPr>
          <w:sz w:val="20"/>
          <w:szCs w:val="20"/>
          <w:color w:val="auto"/>
        </w:rPr>
      </w:pPr>
    </w:p>
    <w:p>
      <w:pPr>
        <w:ind w:right="60" w:firstLine="318"/>
        <w:spacing w:after="0" w:line="319" w:lineRule="auto"/>
        <w:rPr>
          <w:sz w:val="20"/>
          <w:szCs w:val="20"/>
          <w:color w:val="auto"/>
        </w:rPr>
      </w:pPr>
      <w:r>
        <w:rPr>
          <w:rFonts w:ascii="Arial" w:cs="Arial" w:eastAsia="Arial" w:hAnsi="Arial"/>
          <w:sz w:val="12"/>
          <w:szCs w:val="12"/>
          <w:color w:val="auto"/>
        </w:rPr>
        <w:t>As a public company, we incur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36" w:lineRule="exact"/>
        <w:rPr>
          <w:sz w:val="20"/>
          <w:szCs w:val="20"/>
          <w:color w:val="auto"/>
        </w:rPr>
      </w:pPr>
    </w:p>
    <w:p>
      <w:pPr>
        <w:ind w:right="160" w:firstLine="318"/>
        <w:spacing w:after="0" w:line="282" w:lineRule="auto"/>
        <w:rPr>
          <w:sz w:val="20"/>
          <w:szCs w:val="20"/>
          <w:color w:val="auto"/>
        </w:rPr>
      </w:pPr>
      <w:r>
        <w:rPr>
          <w:rFonts w:ascii="Arial" w:cs="Arial" w:eastAsia="Arial" w:hAnsi="Arial"/>
          <w:sz w:val="13"/>
          <w:szCs w:val="13"/>
          <w:color w:val="auto"/>
        </w:rPr>
        <w:t>Pursuant to Section 404 of the Sarbanes-Oxley Act of 2002, or Section 404, we are required to furnish with our periodic Exchange Act reports a report by our management on our internal control over financial reporting.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Because we do not anticipate paying any cash dividends on our common stock in the foreseeable future, capital appreciation, if any, will be our stockholders’ sole source of gain.</w:t>
      </w:r>
    </w:p>
    <w:p>
      <w:pPr>
        <w:spacing w:after="0" w:line="19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We have never declared or paid cash dividends on our common stock. We currently intend to retain all of our future earnings, if any, to finance the growth of our business. In addition, the terms of our Loan Agreement and any future debt agreements that we may enter into may preclude us from paying dividends without the lender’s consent or at all. As a result, capital appreciation, if any, of our common stock will be our stockholders’ sole source of gain for the foreseeable future.</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did not sell any unregistered equity securities during the period covered by this Quarterly Report on Form 10-Q.</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 of Equity Securities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did not purchase any of our registered equity securities during the period covered by this Quarterly Report on Form 10-Q.</w:t>
      </w:r>
    </w:p>
    <w:p>
      <w:pPr>
        <w:spacing w:after="0" w:line="12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1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exhibits filed as part of this Quarterly Report on Form 10-Q are set forth on the Exhibit Index, which is incorporated herein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Financial Statement Schedules</w:t>
      </w:r>
    </w:p>
    <w:p>
      <w:pPr>
        <w:spacing w:after="0" w:line="119"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Exhibits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48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8"/>
              </w:rPr>
              <w:t>Exhibit</w:t>
            </w:r>
          </w:p>
        </w:tc>
        <w:tc>
          <w:tcPr>
            <w:tcW w:w="4160" w:type="dxa"/>
            <w:vAlign w:val="bottom"/>
          </w:tcPr>
          <w:p>
            <w:pPr>
              <w:spacing w:after="0"/>
              <w:rPr>
                <w:sz w:val="10"/>
                <w:szCs w:val="10"/>
                <w:color w:val="auto"/>
              </w:rPr>
            </w:pPr>
          </w:p>
        </w:tc>
        <w:tc>
          <w:tcPr>
            <w:tcW w:w="5600" w:type="dxa"/>
            <w:vAlign w:val="bottom"/>
            <w:gridSpan w:val="4"/>
            <w:vMerge w:val="restart"/>
          </w:tcPr>
          <w:p>
            <w:pPr>
              <w:ind w:left="180"/>
              <w:spacing w:after="0"/>
              <w:rPr>
                <w:sz w:val="20"/>
                <w:szCs w:val="20"/>
                <w:color w:val="auto"/>
              </w:rPr>
            </w:pPr>
            <w:r>
              <w:rPr>
                <w:rFonts w:ascii="Arial" w:cs="Arial" w:eastAsia="Arial" w:hAnsi="Arial"/>
                <w:sz w:val="11"/>
                <w:szCs w:val="11"/>
                <w:b w:val="1"/>
                <w:bCs w:val="1"/>
                <w:color w:val="auto"/>
              </w:rPr>
              <w:t>Description of Exhibit</w:t>
            </w:r>
          </w:p>
        </w:tc>
        <w:tc>
          <w:tcPr>
            <w:tcW w:w="0" w:type="dxa"/>
            <w:vAlign w:val="bottom"/>
          </w:tcPr>
          <w:p>
            <w:pPr>
              <w:spacing w:after="0"/>
              <w:rPr>
                <w:sz w:val="1"/>
                <w:szCs w:val="1"/>
                <w:color w:val="auto"/>
              </w:rPr>
            </w:pPr>
          </w:p>
        </w:tc>
      </w:tr>
      <w:tr>
        <w:trPr>
          <w:trHeight w:val="148"/>
        </w:trPr>
        <w:tc>
          <w:tcPr>
            <w:tcW w:w="148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6"/>
              </w:rPr>
              <w:t>Number</w:t>
            </w:r>
          </w:p>
        </w:tc>
        <w:tc>
          <w:tcPr>
            <w:tcW w:w="4160" w:type="dxa"/>
            <w:vAlign w:val="bottom"/>
          </w:tcPr>
          <w:p>
            <w:pPr>
              <w:spacing w:after="0"/>
              <w:rPr>
                <w:sz w:val="12"/>
                <w:szCs w:val="12"/>
                <w:color w:val="auto"/>
              </w:rPr>
            </w:pPr>
          </w:p>
        </w:tc>
        <w:tc>
          <w:tcPr>
            <w:tcW w:w="5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60" w:type="dxa"/>
            <w:vAlign w:val="bottom"/>
            <w:tcBorders>
              <w:top w:val="single" w:sz="8" w:color="auto"/>
            </w:tcBorders>
            <w:gridSpan w:val="3"/>
          </w:tcPr>
          <w:p>
            <w:pPr>
              <w:jc w:val="right"/>
              <w:ind w:right="20"/>
              <w:spacing w:after="0" w:line="140" w:lineRule="exact"/>
              <w:rPr>
                <w:rFonts w:ascii="Arial" w:cs="Arial" w:eastAsia="Arial" w:hAnsi="Arial"/>
                <w:sz w:val="14"/>
                <w:szCs w:val="14"/>
                <w:color w:val="0000FF"/>
              </w:rPr>
            </w:pPr>
            <w:hyperlink r:id="rId119">
              <w:r>
                <w:rPr>
                  <w:rFonts w:ascii="Arial" w:cs="Arial" w:eastAsia="Arial" w:hAnsi="Arial"/>
                  <w:sz w:val="14"/>
                  <w:szCs w:val="14"/>
                  <w:color w:val="0000FF"/>
                </w:rPr>
                <w:t>3.</w:t>
              </w:r>
              <w:r>
                <w:rPr>
                  <w:rFonts w:ascii="Arial" w:cs="Arial" w:eastAsia="Arial" w:hAnsi="Arial"/>
                  <w:sz w:val="14"/>
                  <w:szCs w:val="14"/>
                  <w:u w:val="single" w:color="auto"/>
                  <w:color w:val="0000FF"/>
                </w:rPr>
                <w:t>1</w:t>
              </w:r>
            </w:hyperlink>
          </w:p>
        </w:tc>
        <w:tc>
          <w:tcPr>
            <w:tcW w:w="220" w:type="dxa"/>
            <w:vAlign w:val="bottom"/>
          </w:tcPr>
          <w:p>
            <w:pPr>
              <w:spacing w:after="0"/>
              <w:rPr>
                <w:sz w:val="12"/>
                <w:szCs w:val="12"/>
                <w:color w:val="auto"/>
              </w:rPr>
            </w:pPr>
          </w:p>
        </w:tc>
        <w:tc>
          <w:tcPr>
            <w:tcW w:w="9760" w:type="dxa"/>
            <w:vAlign w:val="bottom"/>
            <w:tcBorders>
              <w:top w:val="single" w:sz="8" w:color="auto"/>
            </w:tcBorders>
            <w:gridSpan w:val="5"/>
          </w:tcPr>
          <w:p>
            <w:pPr>
              <w:spacing w:after="0" w:line="140" w:lineRule="exact"/>
              <w:rPr>
                <w:rFonts w:ascii="Arial" w:cs="Arial" w:eastAsia="Arial" w:hAnsi="Arial"/>
                <w:sz w:val="14"/>
                <w:szCs w:val="14"/>
                <w:color w:val="0000FF"/>
                <w:w w:val="92"/>
              </w:rPr>
            </w:pPr>
            <w:hyperlink r:id="rId119">
              <w:r>
                <w:rPr>
                  <w:rFonts w:ascii="Arial" w:cs="Arial" w:eastAsia="Arial" w:hAnsi="Arial"/>
                  <w:sz w:val="14"/>
                  <w:szCs w:val="14"/>
                  <w:color w:val="0000FF"/>
                  <w:w w:val="92"/>
                </w:rPr>
                <w:t>Restated Certificate of Incorporation of the Registrant, as amended April 16, 2019 (incorporated by reference to Exhibit 3.1 of the Registrant's Annual Report on Form 10-</w:t>
              </w:r>
            </w:hyperlink>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1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9"/>
              </w:rPr>
            </w:pPr>
            <w:hyperlink r:id="rId119">
              <w:r>
                <w:rPr>
                  <w:rFonts w:ascii="Arial" w:cs="Arial" w:eastAsia="Arial" w:hAnsi="Arial"/>
                  <w:sz w:val="13"/>
                  <w:szCs w:val="13"/>
                  <w:color w:val="0000FF"/>
                  <w:w w:val="99"/>
                </w:rPr>
                <w:t>K filed with the Securities and Exchange Commission on March 4, 2021)</w:t>
              </w:r>
            </w:hyperlink>
          </w:p>
        </w:tc>
        <w:tc>
          <w:tcPr>
            <w:tcW w:w="5520" w:type="dxa"/>
            <w:vAlign w:val="bottom"/>
            <w:tcBorders>
              <w:top w:val="single" w:sz="8" w:color="0000FF"/>
            </w:tcBorders>
            <w:gridSpan w:val="3"/>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60" w:type="dxa"/>
            <w:vAlign w:val="bottom"/>
            <w:gridSpan w:val="3"/>
          </w:tcPr>
          <w:p>
            <w:pPr>
              <w:jc w:val="right"/>
              <w:ind w:right="20"/>
              <w:spacing w:after="0"/>
              <w:rPr>
                <w:rFonts w:ascii="Arial" w:cs="Arial" w:eastAsia="Arial" w:hAnsi="Arial"/>
                <w:sz w:val="14"/>
                <w:szCs w:val="14"/>
                <w:color w:val="0000FF"/>
              </w:rPr>
            </w:pPr>
            <w:hyperlink r:id="rId120">
              <w:r>
                <w:rPr>
                  <w:rFonts w:ascii="Arial" w:cs="Arial" w:eastAsia="Arial" w:hAnsi="Arial"/>
                  <w:sz w:val="14"/>
                  <w:szCs w:val="14"/>
                  <w:color w:val="0000FF"/>
                </w:rPr>
                <w:t>3.</w:t>
              </w:r>
              <w:r>
                <w:rPr>
                  <w:rFonts w:ascii="Arial" w:cs="Arial" w:eastAsia="Arial" w:hAnsi="Arial"/>
                  <w:sz w:val="14"/>
                  <w:szCs w:val="14"/>
                  <w:u w:val="single" w:color="auto"/>
                  <w:color w:val="0000FF"/>
                </w:rPr>
                <w:t>2</w:t>
              </w:r>
            </w:hyperlink>
          </w:p>
        </w:tc>
        <w:tc>
          <w:tcPr>
            <w:tcW w:w="220" w:type="dxa"/>
            <w:vAlign w:val="bottom"/>
          </w:tcPr>
          <w:p>
            <w:pPr>
              <w:spacing w:after="0"/>
              <w:rPr>
                <w:sz w:val="13"/>
                <w:szCs w:val="13"/>
                <w:color w:val="auto"/>
              </w:rPr>
            </w:pPr>
          </w:p>
        </w:tc>
        <w:tc>
          <w:tcPr>
            <w:tcW w:w="9760" w:type="dxa"/>
            <w:vAlign w:val="bottom"/>
            <w:gridSpan w:val="5"/>
          </w:tcPr>
          <w:p>
            <w:pPr>
              <w:spacing w:after="0"/>
              <w:rPr>
                <w:rFonts w:ascii="Arial" w:cs="Arial" w:eastAsia="Arial" w:hAnsi="Arial"/>
                <w:sz w:val="14"/>
                <w:szCs w:val="14"/>
                <w:color w:val="0000FF"/>
                <w:w w:val="95"/>
              </w:rPr>
            </w:pPr>
            <w:hyperlink r:id="rId120">
              <w:r>
                <w:rPr>
                  <w:rFonts w:ascii="Arial" w:cs="Arial" w:eastAsia="Arial" w:hAnsi="Arial"/>
                  <w:sz w:val="14"/>
                  <w:szCs w:val="14"/>
                  <w:color w:val="0000FF"/>
                  <w:w w:val="95"/>
                </w:rPr>
                <w:t>Amended and Restated Bylaws of the Registrant (incorporated by reference to Exhibit 3.4 to Amendment No. 2 of the Registrant's Registration Statement on Form S-</w:t>
              </w:r>
            </w:hyperlink>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8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8"/>
              </w:rPr>
            </w:pPr>
            <w:hyperlink r:id="rId120">
              <w:r>
                <w:rPr>
                  <w:rFonts w:ascii="Arial" w:cs="Arial" w:eastAsia="Arial" w:hAnsi="Arial"/>
                  <w:sz w:val="13"/>
                  <w:szCs w:val="13"/>
                  <w:color w:val="0000FF"/>
                  <w:w w:val="98"/>
                </w:rPr>
                <w:t>1 (File No. 333-190643) filed with the Securities and Exchange Commission on September 9, 2013)</w:t>
              </w:r>
            </w:hyperlink>
          </w:p>
        </w:tc>
        <w:tc>
          <w:tcPr>
            <w:tcW w:w="3720" w:type="dxa"/>
            <w:vAlign w:val="bottom"/>
            <w:tcBorders>
              <w:top w:val="single" w:sz="8" w:color="0000FF"/>
            </w:tcBorders>
          </w:tcPr>
          <w:p>
            <w:pPr>
              <w:spacing w:after="0"/>
              <w:rPr>
                <w:sz w:val="10"/>
                <w:szCs w:val="10"/>
                <w:color w:val="auto"/>
              </w:rPr>
            </w:pPr>
          </w:p>
        </w:tc>
        <w:tc>
          <w:tcPr>
            <w:tcW w:w="3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020"/>
        <w:spacing w:after="0"/>
        <w:tabs>
          <w:tab w:leader="none" w:pos="1480" w:val="left"/>
        </w:tabs>
        <w:rPr>
          <w:rFonts w:ascii="Arial" w:cs="Arial" w:eastAsia="Arial" w:hAnsi="Arial"/>
          <w:sz w:val="12"/>
          <w:szCs w:val="12"/>
          <w:u w:val="single" w:color="auto"/>
          <w:color w:val="0000FF"/>
        </w:rPr>
      </w:pPr>
      <w:hyperlink w:anchor="page108">
        <w:r>
          <w:rPr>
            <w:rFonts w:ascii="Arial" w:cs="Arial" w:eastAsia="Arial" w:hAnsi="Arial"/>
            <w:sz w:val="14"/>
            <w:szCs w:val="14"/>
            <w:u w:val="single" w:color="auto"/>
            <w:color w:val="0000FF"/>
          </w:rPr>
          <w:t>10.1</w:t>
        </w:r>
        <w:r>
          <w:rPr>
            <w:rFonts w:ascii="Arial" w:cs="Arial" w:eastAsia="Arial" w:hAnsi="Arial"/>
            <w:sz w:val="14"/>
            <w:szCs w:val="14"/>
            <w:color w:val="0000FF"/>
          </w:rPr>
          <w:t xml:space="preserve"> </w:t>
        </w:r>
      </w:hyperlink>
      <w:r>
        <w:rPr>
          <w:rFonts w:ascii="Arial" w:cs="Arial" w:eastAsia="Arial" w:hAnsi="Arial"/>
          <w:sz w:val="14"/>
          <w:szCs w:val="14"/>
          <w:color w:val="000000"/>
        </w:rPr>
        <w:t>+</w:t>
      </w:r>
      <w:r>
        <w:rPr>
          <w:rFonts w:ascii="Arial" w:cs="Arial" w:eastAsia="Arial" w:hAnsi="Arial"/>
          <w:sz w:val="14"/>
          <w:szCs w:val="14"/>
          <w:color w:val="0000FF"/>
        </w:rPr>
        <w:tab/>
      </w:r>
      <w:hyperlink w:anchor="page108">
        <w:r>
          <w:rPr>
            <w:rFonts w:ascii="Arial" w:cs="Arial" w:eastAsia="Arial" w:hAnsi="Arial"/>
            <w:sz w:val="12"/>
            <w:szCs w:val="12"/>
            <w:u w:val="single" w:color="auto"/>
            <w:color w:val="0000FF"/>
          </w:rPr>
          <w:t>Exclusive License Agreement between the Registrant and DelSiTech Ltd., dated June 30, 2022</w:t>
        </w:r>
      </w:hyperlink>
    </w:p>
    <w:p>
      <w:pPr>
        <w:spacing w:after="0" w:line="19" w:lineRule="exact"/>
        <w:rPr>
          <w:sz w:val="20"/>
          <w:szCs w:val="20"/>
          <w:color w:val="auto"/>
        </w:rPr>
      </w:pPr>
    </w:p>
    <w:p>
      <w:pPr>
        <w:ind w:left="1500" w:right="20" w:hanging="487"/>
        <w:spacing w:after="0" w:line="261" w:lineRule="auto"/>
        <w:tabs>
          <w:tab w:leader="none" w:pos="1480" w:val="left"/>
        </w:tabs>
        <w:rPr>
          <w:rFonts w:ascii="Arial" w:cs="Arial" w:eastAsia="Arial" w:hAnsi="Arial"/>
          <w:sz w:val="13"/>
          <w:szCs w:val="13"/>
          <w:u w:val="single" w:color="auto"/>
          <w:color w:val="0000FF"/>
        </w:rPr>
      </w:pPr>
      <w:hyperlink w:anchor="page151">
        <w:r>
          <w:rPr>
            <w:rFonts w:ascii="Arial" w:cs="Arial" w:eastAsia="Arial" w:hAnsi="Arial"/>
            <w:sz w:val="14"/>
            <w:szCs w:val="14"/>
            <w:u w:val="single" w:color="auto"/>
            <w:color w:val="0000FF"/>
          </w:rPr>
          <w:t>10.2</w:t>
        </w:r>
        <w:r>
          <w:rPr>
            <w:rFonts w:ascii="Arial" w:cs="Arial" w:eastAsia="Arial" w:hAnsi="Arial"/>
            <w:sz w:val="14"/>
            <w:szCs w:val="14"/>
            <w:color w:val="0000FF"/>
          </w:rPr>
          <w:t xml:space="preserve"> </w:t>
        </w:r>
      </w:hyperlink>
      <w:r>
        <w:rPr>
          <w:rFonts w:ascii="Arial" w:cs="Arial" w:eastAsia="Arial" w:hAnsi="Arial"/>
          <w:sz w:val="14"/>
          <w:szCs w:val="14"/>
          <w:color w:val="000000"/>
        </w:rPr>
        <w:t>+</w:t>
      </w:r>
      <w:r>
        <w:rPr>
          <w:rFonts w:ascii="Arial" w:cs="Arial" w:eastAsia="Arial" w:hAnsi="Arial"/>
          <w:sz w:val="14"/>
          <w:szCs w:val="14"/>
          <w:color w:val="0000FF"/>
        </w:rPr>
        <w:tab/>
      </w:r>
      <w:hyperlink w:anchor="page151">
        <w:r>
          <w:rPr>
            <w:rFonts w:ascii="Arial" w:cs="Arial" w:eastAsia="Arial" w:hAnsi="Arial"/>
            <w:sz w:val="13"/>
            <w:szCs w:val="13"/>
            <w:u w:val="single" w:color="auto"/>
            <w:color w:val="0000FF"/>
          </w:rPr>
          <w:t>Loan and Security Agreement between the Registrant, IVERIC bio Gene Therapy LLC, Orion Ophthalmology LLC, each of the Registrant’s other subsidiaries from time to</w:t>
        </w:r>
      </w:hyperlink>
      <w:r>
        <w:rPr>
          <w:rFonts w:ascii="Arial" w:cs="Arial" w:eastAsia="Arial" w:hAnsi="Arial"/>
          <w:sz w:val="13"/>
          <w:szCs w:val="13"/>
          <w:u w:val="single" w:color="auto"/>
          <w:color w:val="0000FF"/>
        </w:rPr>
        <w:t xml:space="preserve"> </w:t>
      </w:r>
      <w:hyperlink w:anchor="page151">
        <w:r>
          <w:rPr>
            <w:rFonts w:ascii="Arial" w:cs="Arial" w:eastAsia="Arial" w:hAnsi="Arial"/>
            <w:sz w:val="13"/>
            <w:szCs w:val="13"/>
            <w:u w:val="single" w:color="auto"/>
            <w:color w:val="0000FF"/>
          </w:rPr>
          <w:t>time party thereto as a borrower, Hercules Capital, Inc. Silicon Valley Bank, and the several banks and other financial institutions or entities from time to time parties</w:t>
        </w:r>
      </w:hyperlink>
      <w:r>
        <w:rPr>
          <w:rFonts w:ascii="Arial" w:cs="Arial" w:eastAsia="Arial" w:hAnsi="Arial"/>
          <w:sz w:val="13"/>
          <w:szCs w:val="13"/>
          <w:u w:val="single" w:color="auto"/>
          <w:color w:val="0000FF"/>
        </w:rPr>
        <w:t xml:space="preserve"> </w:t>
      </w:r>
      <w:hyperlink w:anchor="page151">
        <w:r>
          <w:rPr>
            <w:rFonts w:ascii="Arial" w:cs="Arial" w:eastAsia="Arial" w:hAnsi="Arial"/>
            <w:sz w:val="13"/>
            <w:szCs w:val="13"/>
            <w:u w:val="single" w:color="auto"/>
            <w:color w:val="0000FF"/>
          </w:rPr>
          <w:t>thereto, and Hercules Capital Inc., in its capacity as administrative agent and collateral agent for itself and the lenders, dated July 26, 2022</w:t>
        </w:r>
      </w:hyperlink>
    </w:p>
    <w:tbl>
      <w:tblPr>
        <w:tblLayout w:type="fixed"/>
        <w:tblInd w:w="660" w:type="dxa"/>
        <w:tblCellMar>
          <w:top w:w="0" w:type="dxa"/>
          <w:left w:w="0" w:type="dxa"/>
          <w:bottom w:w="0" w:type="dxa"/>
          <w:right w:w="0" w:type="dxa"/>
        </w:tblCellMar>
      </w:tblPr>
      <w:tr>
        <w:trPr>
          <w:trHeight w:val="149"/>
        </w:trPr>
        <w:tc>
          <w:tcPr>
            <w:tcW w:w="600" w:type="dxa"/>
            <w:vAlign w:val="bottom"/>
            <w:gridSpan w:val="2"/>
          </w:tcPr>
          <w:p>
            <w:pPr>
              <w:jc w:val="right"/>
              <w:spacing w:after="0" w:line="149" w:lineRule="exact"/>
              <w:rPr>
                <w:rFonts w:ascii="Arial" w:cs="Arial" w:eastAsia="Arial" w:hAnsi="Arial"/>
                <w:sz w:val="14"/>
                <w:szCs w:val="14"/>
                <w:color w:val="0000FF"/>
              </w:rPr>
            </w:pPr>
            <w:hyperlink w:anchor="page214">
              <w:r>
                <w:rPr>
                  <w:rFonts w:ascii="Arial" w:cs="Arial" w:eastAsia="Arial" w:hAnsi="Arial"/>
                  <w:sz w:val="14"/>
                  <w:szCs w:val="14"/>
                  <w:color w:val="0000FF"/>
                </w:rPr>
                <w:t>10.</w:t>
              </w:r>
              <w:r>
                <w:rPr>
                  <w:rFonts w:ascii="Arial" w:cs="Arial" w:eastAsia="Arial" w:hAnsi="Arial"/>
                  <w:sz w:val="14"/>
                  <w:szCs w:val="14"/>
                  <w:u w:val="single" w:color="auto"/>
                  <w:color w:val="0000FF"/>
                </w:rPr>
                <w:t>3</w:t>
              </w:r>
            </w:hyperlink>
          </w:p>
        </w:tc>
        <w:tc>
          <w:tcPr>
            <w:tcW w:w="240" w:type="dxa"/>
            <w:vAlign w:val="bottom"/>
          </w:tcPr>
          <w:p>
            <w:pPr>
              <w:spacing w:after="0"/>
              <w:rPr>
                <w:sz w:val="12"/>
                <w:szCs w:val="12"/>
                <w:color w:val="auto"/>
              </w:rPr>
            </w:pPr>
          </w:p>
        </w:tc>
        <w:tc>
          <w:tcPr>
            <w:tcW w:w="8100" w:type="dxa"/>
            <w:vAlign w:val="bottom"/>
            <w:gridSpan w:val="4"/>
          </w:tcPr>
          <w:p>
            <w:pPr>
              <w:spacing w:after="0" w:line="149" w:lineRule="exact"/>
              <w:rPr>
                <w:rFonts w:ascii="Arial" w:cs="Arial" w:eastAsia="Arial" w:hAnsi="Arial"/>
                <w:sz w:val="14"/>
                <w:szCs w:val="14"/>
                <w:color w:val="0000FF"/>
              </w:rPr>
            </w:pPr>
            <w:hyperlink w:anchor="page214">
              <w:r>
                <w:rPr>
                  <w:rFonts w:ascii="Arial" w:cs="Arial" w:eastAsia="Arial" w:hAnsi="Arial"/>
                  <w:sz w:val="14"/>
                  <w:szCs w:val="14"/>
                  <w:color w:val="0000FF"/>
                </w:rPr>
                <w:t>Amendment No. 5 to the 2019 Inducement Stock Incentive Plan of the Registrant, as adopted on May 12, 2022</w:t>
              </w:r>
            </w:hyperlink>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62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600" w:type="dxa"/>
            <w:vAlign w:val="bottom"/>
            <w:gridSpan w:val="2"/>
          </w:tcPr>
          <w:p>
            <w:pPr>
              <w:jc w:val="right"/>
              <w:spacing w:after="0"/>
              <w:rPr>
                <w:rFonts w:ascii="Arial" w:cs="Arial" w:eastAsia="Arial" w:hAnsi="Arial"/>
                <w:sz w:val="14"/>
                <w:szCs w:val="14"/>
                <w:color w:val="0000FF"/>
              </w:rPr>
            </w:pPr>
            <w:hyperlink w:anchor="page215">
              <w:r>
                <w:rPr>
                  <w:rFonts w:ascii="Arial" w:cs="Arial" w:eastAsia="Arial" w:hAnsi="Arial"/>
                  <w:sz w:val="14"/>
                  <w:szCs w:val="14"/>
                  <w:color w:val="0000FF"/>
                </w:rPr>
                <w:t>31.</w:t>
              </w:r>
              <w:r>
                <w:rPr>
                  <w:rFonts w:ascii="Arial" w:cs="Arial" w:eastAsia="Arial" w:hAnsi="Arial"/>
                  <w:sz w:val="14"/>
                  <w:szCs w:val="14"/>
                  <w:u w:val="single" w:color="auto"/>
                  <w:color w:val="0000FF"/>
                </w:rPr>
                <w:t>1</w:t>
              </w:r>
            </w:hyperlink>
          </w:p>
        </w:tc>
        <w:tc>
          <w:tcPr>
            <w:tcW w:w="240" w:type="dxa"/>
            <w:vAlign w:val="bottom"/>
          </w:tcPr>
          <w:p>
            <w:pPr>
              <w:spacing w:after="0"/>
              <w:rPr>
                <w:sz w:val="13"/>
                <w:szCs w:val="13"/>
                <w:color w:val="auto"/>
              </w:rPr>
            </w:pPr>
          </w:p>
        </w:tc>
        <w:tc>
          <w:tcPr>
            <w:tcW w:w="8100" w:type="dxa"/>
            <w:vAlign w:val="bottom"/>
            <w:gridSpan w:val="4"/>
          </w:tcPr>
          <w:p>
            <w:pPr>
              <w:spacing w:after="0"/>
              <w:rPr>
                <w:rFonts w:ascii="Arial" w:cs="Arial" w:eastAsia="Arial" w:hAnsi="Arial"/>
                <w:sz w:val="14"/>
                <w:szCs w:val="14"/>
                <w:color w:val="0000FF"/>
                <w:w w:val="98"/>
              </w:rPr>
            </w:pPr>
            <w:hyperlink w:anchor="page215">
              <w:r>
                <w:rPr>
                  <w:rFonts w:ascii="Arial" w:cs="Arial" w:eastAsia="Arial" w:hAnsi="Arial"/>
                  <w:sz w:val="14"/>
                  <w:szCs w:val="14"/>
                  <w:color w:val="0000FF"/>
                  <w:w w:val="98"/>
                </w:rPr>
                <w:t>Certification of principal executive officer pursuant to Rule 13a-14(a)/15d-14(a) of the Securities Exchange Act of 1934, as amended</w:t>
              </w:r>
            </w:hyperlink>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75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600" w:type="dxa"/>
            <w:vAlign w:val="bottom"/>
            <w:gridSpan w:val="2"/>
          </w:tcPr>
          <w:p>
            <w:pPr>
              <w:jc w:val="right"/>
              <w:spacing w:after="0"/>
              <w:rPr>
                <w:rFonts w:ascii="Arial" w:cs="Arial" w:eastAsia="Arial" w:hAnsi="Arial"/>
                <w:sz w:val="14"/>
                <w:szCs w:val="14"/>
                <w:color w:val="0000FF"/>
              </w:rPr>
            </w:pPr>
            <w:hyperlink w:anchor="page216">
              <w:r>
                <w:rPr>
                  <w:rFonts w:ascii="Arial" w:cs="Arial" w:eastAsia="Arial" w:hAnsi="Arial"/>
                  <w:sz w:val="14"/>
                  <w:szCs w:val="14"/>
                  <w:color w:val="0000FF"/>
                </w:rPr>
                <w:t>31.</w:t>
              </w:r>
              <w:r>
                <w:rPr>
                  <w:rFonts w:ascii="Arial" w:cs="Arial" w:eastAsia="Arial" w:hAnsi="Arial"/>
                  <w:sz w:val="14"/>
                  <w:szCs w:val="14"/>
                  <w:u w:val="single" w:color="auto"/>
                  <w:color w:val="0000FF"/>
                </w:rPr>
                <w:t>2</w:t>
              </w:r>
            </w:hyperlink>
          </w:p>
        </w:tc>
        <w:tc>
          <w:tcPr>
            <w:tcW w:w="240" w:type="dxa"/>
            <w:vAlign w:val="bottom"/>
          </w:tcPr>
          <w:p>
            <w:pPr>
              <w:spacing w:after="0"/>
              <w:rPr>
                <w:sz w:val="13"/>
                <w:szCs w:val="13"/>
                <w:color w:val="auto"/>
              </w:rPr>
            </w:pPr>
          </w:p>
        </w:tc>
        <w:tc>
          <w:tcPr>
            <w:tcW w:w="7540" w:type="dxa"/>
            <w:vAlign w:val="bottom"/>
            <w:tcBorders>
              <w:bottom w:val="single" w:sz="8" w:color="0000FF"/>
            </w:tcBorders>
            <w:gridSpan w:val="2"/>
          </w:tcPr>
          <w:p>
            <w:pPr>
              <w:spacing w:after="0"/>
              <w:rPr>
                <w:rFonts w:ascii="Arial" w:cs="Arial" w:eastAsia="Arial" w:hAnsi="Arial"/>
                <w:sz w:val="14"/>
                <w:szCs w:val="14"/>
                <w:color w:val="0000FF"/>
                <w:w w:val="92"/>
              </w:rPr>
            </w:pPr>
            <w:hyperlink w:anchor="page216">
              <w:r>
                <w:rPr>
                  <w:rFonts w:ascii="Arial" w:cs="Arial" w:eastAsia="Arial" w:hAnsi="Arial"/>
                  <w:sz w:val="14"/>
                  <w:szCs w:val="14"/>
                  <w:color w:val="0000FF"/>
                  <w:w w:val="92"/>
                </w:rPr>
                <w:t>Certification of principal financial officer pursuant to Rule 13a-14(a)/15d-14(a) of the Securities Exchange Act of 1934, as amended</w:t>
              </w:r>
            </w:hyperlink>
          </w:p>
        </w:tc>
        <w:tc>
          <w:tcPr>
            <w:tcW w:w="560" w:type="dxa"/>
            <w:vAlign w:val="bottom"/>
            <w:gridSpan w:val="2"/>
          </w:tcPr>
          <w:p>
            <w:pPr>
              <w:spacing w:after="0"/>
              <w:rPr>
                <w:sz w:val="13"/>
                <w:szCs w:val="13"/>
                <w:color w:val="auto"/>
              </w:rPr>
            </w:pPr>
          </w:p>
        </w:tc>
      </w:tr>
      <w:tr>
        <w:trPr>
          <w:trHeight w:val="160"/>
        </w:trPr>
        <w:tc>
          <w:tcPr>
            <w:tcW w:w="600" w:type="dxa"/>
            <w:vAlign w:val="bottom"/>
            <w:gridSpan w:val="2"/>
          </w:tcPr>
          <w:p>
            <w:pPr>
              <w:jc w:val="right"/>
              <w:spacing w:after="0"/>
              <w:rPr>
                <w:rFonts w:ascii="Arial" w:cs="Arial" w:eastAsia="Arial" w:hAnsi="Arial"/>
                <w:sz w:val="14"/>
                <w:szCs w:val="14"/>
                <w:color w:val="0000FF"/>
              </w:rPr>
            </w:pPr>
            <w:hyperlink w:anchor="page217">
              <w:r>
                <w:rPr>
                  <w:rFonts w:ascii="Arial" w:cs="Arial" w:eastAsia="Arial" w:hAnsi="Arial"/>
                  <w:sz w:val="14"/>
                  <w:szCs w:val="14"/>
                  <w:color w:val="0000FF"/>
                </w:rPr>
                <w:t>32.</w:t>
              </w:r>
              <w:r>
                <w:rPr>
                  <w:rFonts w:ascii="Arial" w:cs="Arial" w:eastAsia="Arial" w:hAnsi="Arial"/>
                  <w:sz w:val="14"/>
                  <w:szCs w:val="14"/>
                  <w:u w:val="single" w:color="auto"/>
                  <w:color w:val="0000FF"/>
                </w:rPr>
                <w:t>1</w:t>
              </w:r>
            </w:hyperlink>
          </w:p>
        </w:tc>
        <w:tc>
          <w:tcPr>
            <w:tcW w:w="240" w:type="dxa"/>
            <w:vAlign w:val="bottom"/>
          </w:tcPr>
          <w:p>
            <w:pPr>
              <w:spacing w:after="0"/>
              <w:rPr>
                <w:sz w:val="13"/>
                <w:szCs w:val="13"/>
                <w:color w:val="auto"/>
              </w:rPr>
            </w:pPr>
          </w:p>
        </w:tc>
        <w:tc>
          <w:tcPr>
            <w:tcW w:w="8100" w:type="dxa"/>
            <w:vAlign w:val="bottom"/>
            <w:gridSpan w:val="4"/>
          </w:tcPr>
          <w:p>
            <w:pPr>
              <w:spacing w:after="0"/>
              <w:rPr>
                <w:rFonts w:ascii="Arial" w:cs="Arial" w:eastAsia="Arial" w:hAnsi="Arial"/>
                <w:sz w:val="14"/>
                <w:szCs w:val="14"/>
                <w:color w:val="0000FF"/>
                <w:w w:val="91"/>
              </w:rPr>
            </w:pPr>
            <w:hyperlink w:anchor="page217">
              <w:r>
                <w:rPr>
                  <w:rFonts w:ascii="Arial" w:cs="Arial" w:eastAsia="Arial" w:hAnsi="Arial"/>
                  <w:sz w:val="14"/>
                  <w:szCs w:val="14"/>
                  <w:color w:val="0000FF"/>
                  <w:w w:val="91"/>
                </w:rPr>
                <w:t>Certification of principal executive officer pursuant to 18 U.S.C. §1350, as adopted pursuant to Section 906 of the Sarbanes-Oxley Act of 2002</w:t>
              </w:r>
            </w:hyperlink>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60"/>
        </w:trPr>
        <w:tc>
          <w:tcPr>
            <w:tcW w:w="600" w:type="dxa"/>
            <w:vAlign w:val="bottom"/>
            <w:gridSpan w:val="2"/>
          </w:tcPr>
          <w:p>
            <w:pPr>
              <w:jc w:val="right"/>
              <w:spacing w:after="0"/>
              <w:rPr>
                <w:rFonts w:ascii="Arial" w:cs="Arial" w:eastAsia="Arial" w:hAnsi="Arial"/>
                <w:sz w:val="14"/>
                <w:szCs w:val="14"/>
                <w:color w:val="0000FF"/>
              </w:rPr>
            </w:pPr>
            <w:hyperlink w:anchor="page218">
              <w:r>
                <w:rPr>
                  <w:rFonts w:ascii="Arial" w:cs="Arial" w:eastAsia="Arial" w:hAnsi="Arial"/>
                  <w:sz w:val="14"/>
                  <w:szCs w:val="14"/>
                  <w:color w:val="0000FF"/>
                </w:rPr>
                <w:t>32.</w:t>
              </w:r>
              <w:r>
                <w:rPr>
                  <w:rFonts w:ascii="Arial" w:cs="Arial" w:eastAsia="Arial" w:hAnsi="Arial"/>
                  <w:sz w:val="14"/>
                  <w:szCs w:val="14"/>
                  <w:u w:val="single" w:color="auto"/>
                  <w:color w:val="0000FF"/>
                </w:rPr>
                <w:t>2</w:t>
              </w:r>
            </w:hyperlink>
          </w:p>
        </w:tc>
        <w:tc>
          <w:tcPr>
            <w:tcW w:w="240" w:type="dxa"/>
            <w:vAlign w:val="bottom"/>
          </w:tcPr>
          <w:p>
            <w:pPr>
              <w:spacing w:after="0"/>
              <w:rPr>
                <w:sz w:val="13"/>
                <w:szCs w:val="13"/>
                <w:color w:val="auto"/>
              </w:rPr>
            </w:pPr>
          </w:p>
        </w:tc>
        <w:tc>
          <w:tcPr>
            <w:tcW w:w="8100" w:type="dxa"/>
            <w:vAlign w:val="bottom"/>
            <w:gridSpan w:val="4"/>
          </w:tcPr>
          <w:p>
            <w:pPr>
              <w:spacing w:after="0"/>
              <w:rPr>
                <w:rFonts w:ascii="Arial" w:cs="Arial" w:eastAsia="Arial" w:hAnsi="Arial"/>
                <w:sz w:val="14"/>
                <w:szCs w:val="14"/>
                <w:color w:val="0000FF"/>
                <w:w w:val="92"/>
              </w:rPr>
            </w:pPr>
            <w:hyperlink w:anchor="page218">
              <w:r>
                <w:rPr>
                  <w:rFonts w:ascii="Arial" w:cs="Arial" w:eastAsia="Arial" w:hAnsi="Arial"/>
                  <w:sz w:val="14"/>
                  <w:szCs w:val="14"/>
                  <w:color w:val="0000FF"/>
                  <w:w w:val="92"/>
                </w:rPr>
                <w:t>Certification of principal financial officer pursuant to 18 U.S.C. §1350, as adopted pursuant to Section 906 of the Sarbanes-Oxley Act of 2002</w:t>
              </w:r>
            </w:hyperlink>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600" w:type="dxa"/>
            <w:vAlign w:val="bottom"/>
            <w:gridSpan w:val="2"/>
          </w:tcPr>
          <w:p>
            <w:pPr>
              <w:jc w:val="right"/>
              <w:spacing w:after="0"/>
              <w:rPr>
                <w:sz w:val="20"/>
                <w:szCs w:val="20"/>
                <w:color w:val="auto"/>
              </w:rPr>
            </w:pPr>
            <w:r>
              <w:rPr>
                <w:rFonts w:ascii="Arial" w:cs="Arial" w:eastAsia="Arial" w:hAnsi="Arial"/>
                <w:sz w:val="14"/>
                <w:szCs w:val="14"/>
                <w:color w:val="auto"/>
              </w:rPr>
              <w:t>101.INS*</w:t>
            </w:r>
          </w:p>
        </w:tc>
        <w:tc>
          <w:tcPr>
            <w:tcW w:w="240" w:type="dxa"/>
            <w:vAlign w:val="bottom"/>
          </w:tcPr>
          <w:p>
            <w:pPr>
              <w:spacing w:after="0"/>
              <w:rPr>
                <w:sz w:val="16"/>
                <w:szCs w:val="16"/>
                <w:color w:val="auto"/>
              </w:rPr>
            </w:pPr>
          </w:p>
        </w:tc>
        <w:tc>
          <w:tcPr>
            <w:tcW w:w="8100" w:type="dxa"/>
            <w:vAlign w:val="bottom"/>
            <w:gridSpan w:val="4"/>
          </w:tcPr>
          <w:p>
            <w:pPr>
              <w:spacing w:after="0"/>
              <w:rPr>
                <w:sz w:val="20"/>
                <w:szCs w:val="20"/>
                <w:color w:val="auto"/>
              </w:rPr>
            </w:pPr>
            <w:r>
              <w:rPr>
                <w:rFonts w:ascii="Arial" w:cs="Arial" w:eastAsia="Arial" w:hAnsi="Arial"/>
                <w:sz w:val="14"/>
                <w:szCs w:val="14"/>
                <w:color w:val="auto"/>
              </w:rPr>
              <w:t>Inline XBRL Instance Document</w:t>
            </w:r>
          </w:p>
        </w:tc>
      </w:tr>
      <w:tr>
        <w:trPr>
          <w:trHeight w:val="180"/>
        </w:trPr>
        <w:tc>
          <w:tcPr>
            <w:tcW w:w="600" w:type="dxa"/>
            <w:vAlign w:val="bottom"/>
            <w:gridSpan w:val="2"/>
          </w:tcPr>
          <w:p>
            <w:pPr>
              <w:jc w:val="right"/>
              <w:spacing w:after="0"/>
              <w:rPr>
                <w:sz w:val="20"/>
                <w:szCs w:val="20"/>
                <w:color w:val="auto"/>
              </w:rPr>
            </w:pPr>
            <w:r>
              <w:rPr>
                <w:rFonts w:ascii="Arial" w:cs="Arial" w:eastAsia="Arial" w:hAnsi="Arial"/>
                <w:sz w:val="14"/>
                <w:szCs w:val="14"/>
                <w:color w:val="auto"/>
                <w:w w:val="93"/>
              </w:rPr>
              <w:t>101.SCH*</w:t>
            </w:r>
          </w:p>
        </w:tc>
        <w:tc>
          <w:tcPr>
            <w:tcW w:w="240" w:type="dxa"/>
            <w:vAlign w:val="bottom"/>
          </w:tcPr>
          <w:p>
            <w:pPr>
              <w:spacing w:after="0"/>
              <w:rPr>
                <w:sz w:val="15"/>
                <w:szCs w:val="15"/>
                <w:color w:val="auto"/>
              </w:rPr>
            </w:pPr>
          </w:p>
        </w:tc>
        <w:tc>
          <w:tcPr>
            <w:tcW w:w="8100" w:type="dxa"/>
            <w:vAlign w:val="bottom"/>
            <w:gridSpan w:val="4"/>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180"/>
        </w:trPr>
        <w:tc>
          <w:tcPr>
            <w:tcW w:w="600" w:type="dxa"/>
            <w:vAlign w:val="bottom"/>
            <w:gridSpan w:val="2"/>
          </w:tcPr>
          <w:p>
            <w:pPr>
              <w:jc w:val="right"/>
              <w:spacing w:after="0"/>
              <w:rPr>
                <w:sz w:val="20"/>
                <w:szCs w:val="20"/>
                <w:color w:val="auto"/>
              </w:rPr>
            </w:pPr>
            <w:r>
              <w:rPr>
                <w:rFonts w:ascii="Arial" w:cs="Arial" w:eastAsia="Arial" w:hAnsi="Arial"/>
                <w:sz w:val="14"/>
                <w:szCs w:val="14"/>
                <w:color w:val="auto"/>
                <w:w w:val="96"/>
              </w:rPr>
              <w:t>101.CAL*</w:t>
            </w:r>
          </w:p>
        </w:tc>
        <w:tc>
          <w:tcPr>
            <w:tcW w:w="240" w:type="dxa"/>
            <w:vAlign w:val="bottom"/>
          </w:tcPr>
          <w:p>
            <w:pPr>
              <w:spacing w:after="0"/>
              <w:rPr>
                <w:sz w:val="15"/>
                <w:szCs w:val="15"/>
                <w:color w:val="auto"/>
              </w:rPr>
            </w:pPr>
          </w:p>
        </w:tc>
        <w:tc>
          <w:tcPr>
            <w:tcW w:w="8100" w:type="dxa"/>
            <w:vAlign w:val="bottom"/>
            <w:gridSpan w:val="4"/>
          </w:tcPr>
          <w:p>
            <w:pPr>
              <w:spacing w:after="0"/>
              <w:rPr>
                <w:sz w:val="20"/>
                <w:szCs w:val="20"/>
                <w:color w:val="auto"/>
              </w:rPr>
            </w:pPr>
            <w:r>
              <w:rPr>
                <w:rFonts w:ascii="Arial" w:cs="Arial" w:eastAsia="Arial" w:hAnsi="Arial"/>
                <w:sz w:val="14"/>
                <w:szCs w:val="14"/>
                <w:color w:val="auto"/>
              </w:rPr>
              <w:t>Inline XBRL Taxonomy Calculation Linkbase Document</w:t>
            </w:r>
          </w:p>
        </w:tc>
      </w:tr>
      <w:tr>
        <w:trPr>
          <w:trHeight w:val="180"/>
        </w:trPr>
        <w:tc>
          <w:tcPr>
            <w:tcW w:w="600" w:type="dxa"/>
            <w:vAlign w:val="bottom"/>
            <w:gridSpan w:val="2"/>
          </w:tcPr>
          <w:p>
            <w:pPr>
              <w:jc w:val="right"/>
              <w:spacing w:after="0"/>
              <w:rPr>
                <w:sz w:val="20"/>
                <w:szCs w:val="20"/>
                <w:color w:val="auto"/>
              </w:rPr>
            </w:pPr>
            <w:r>
              <w:rPr>
                <w:rFonts w:ascii="Arial" w:cs="Arial" w:eastAsia="Arial" w:hAnsi="Arial"/>
                <w:sz w:val="14"/>
                <w:szCs w:val="14"/>
                <w:color w:val="auto"/>
                <w:w w:val="95"/>
              </w:rPr>
              <w:t>101.DEF*</w:t>
            </w:r>
          </w:p>
        </w:tc>
        <w:tc>
          <w:tcPr>
            <w:tcW w:w="240" w:type="dxa"/>
            <w:vAlign w:val="bottom"/>
          </w:tcPr>
          <w:p>
            <w:pPr>
              <w:spacing w:after="0"/>
              <w:rPr>
                <w:sz w:val="15"/>
                <w:szCs w:val="15"/>
                <w:color w:val="auto"/>
              </w:rPr>
            </w:pPr>
          </w:p>
        </w:tc>
        <w:tc>
          <w:tcPr>
            <w:tcW w:w="8100" w:type="dxa"/>
            <w:vAlign w:val="bottom"/>
            <w:gridSpan w:val="4"/>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80"/>
        </w:trPr>
        <w:tc>
          <w:tcPr>
            <w:tcW w:w="600" w:type="dxa"/>
            <w:vAlign w:val="bottom"/>
            <w:gridSpan w:val="2"/>
          </w:tcPr>
          <w:p>
            <w:pPr>
              <w:jc w:val="right"/>
              <w:spacing w:after="0"/>
              <w:rPr>
                <w:sz w:val="20"/>
                <w:szCs w:val="20"/>
                <w:color w:val="auto"/>
              </w:rPr>
            </w:pPr>
            <w:r>
              <w:rPr>
                <w:rFonts w:ascii="Arial" w:cs="Arial" w:eastAsia="Arial" w:hAnsi="Arial"/>
                <w:sz w:val="14"/>
                <w:szCs w:val="14"/>
                <w:color w:val="auto"/>
                <w:w w:val="97"/>
              </w:rPr>
              <w:t>101.LAB*</w:t>
            </w:r>
          </w:p>
        </w:tc>
        <w:tc>
          <w:tcPr>
            <w:tcW w:w="240" w:type="dxa"/>
            <w:vAlign w:val="bottom"/>
          </w:tcPr>
          <w:p>
            <w:pPr>
              <w:spacing w:after="0"/>
              <w:rPr>
                <w:sz w:val="15"/>
                <w:szCs w:val="15"/>
                <w:color w:val="auto"/>
              </w:rPr>
            </w:pPr>
          </w:p>
        </w:tc>
        <w:tc>
          <w:tcPr>
            <w:tcW w:w="8100" w:type="dxa"/>
            <w:vAlign w:val="bottom"/>
            <w:gridSpan w:val="4"/>
          </w:tcPr>
          <w:p>
            <w:pPr>
              <w:spacing w:after="0"/>
              <w:rPr>
                <w:sz w:val="20"/>
                <w:szCs w:val="20"/>
                <w:color w:val="auto"/>
              </w:rPr>
            </w:pPr>
            <w:r>
              <w:rPr>
                <w:rFonts w:ascii="Arial" w:cs="Arial" w:eastAsia="Arial" w:hAnsi="Arial"/>
                <w:sz w:val="14"/>
                <w:szCs w:val="14"/>
                <w:color w:val="auto"/>
              </w:rPr>
              <w:t>Inline XBRL Taxonomy Label Linkbase Document</w:t>
            </w:r>
          </w:p>
        </w:tc>
      </w:tr>
      <w:tr>
        <w:trPr>
          <w:trHeight w:val="180"/>
        </w:trPr>
        <w:tc>
          <w:tcPr>
            <w:tcW w:w="600" w:type="dxa"/>
            <w:vAlign w:val="bottom"/>
            <w:gridSpan w:val="2"/>
          </w:tcPr>
          <w:p>
            <w:pPr>
              <w:jc w:val="right"/>
              <w:spacing w:after="0"/>
              <w:rPr>
                <w:sz w:val="20"/>
                <w:szCs w:val="20"/>
                <w:color w:val="auto"/>
              </w:rPr>
            </w:pPr>
            <w:r>
              <w:rPr>
                <w:rFonts w:ascii="Arial" w:cs="Arial" w:eastAsia="Arial" w:hAnsi="Arial"/>
                <w:sz w:val="14"/>
                <w:szCs w:val="14"/>
                <w:color w:val="auto"/>
                <w:w w:val="94"/>
              </w:rPr>
              <w:t>101.PRE*</w:t>
            </w:r>
          </w:p>
        </w:tc>
        <w:tc>
          <w:tcPr>
            <w:tcW w:w="240" w:type="dxa"/>
            <w:vAlign w:val="bottom"/>
          </w:tcPr>
          <w:p>
            <w:pPr>
              <w:spacing w:after="0"/>
              <w:rPr>
                <w:sz w:val="15"/>
                <w:szCs w:val="15"/>
                <w:color w:val="auto"/>
              </w:rPr>
            </w:pPr>
          </w:p>
        </w:tc>
        <w:tc>
          <w:tcPr>
            <w:tcW w:w="8100" w:type="dxa"/>
            <w:vAlign w:val="bottom"/>
            <w:gridSpan w:val="4"/>
          </w:tcPr>
          <w:p>
            <w:pPr>
              <w:spacing w:after="0"/>
              <w:rPr>
                <w:sz w:val="20"/>
                <w:szCs w:val="20"/>
                <w:color w:val="auto"/>
              </w:rPr>
            </w:pPr>
            <w:r>
              <w:rPr>
                <w:rFonts w:ascii="Arial" w:cs="Arial" w:eastAsia="Arial" w:hAnsi="Arial"/>
                <w:sz w:val="14"/>
                <w:szCs w:val="14"/>
                <w:color w:val="auto"/>
              </w:rPr>
              <w:t>Inline XBRL Taxonomy Presentation Linkbase Document</w:t>
            </w:r>
          </w:p>
        </w:tc>
      </w:tr>
      <w:tr>
        <w:trPr>
          <w:trHeight w:val="180"/>
        </w:trPr>
        <w:tc>
          <w:tcPr>
            <w:tcW w:w="600" w:type="dxa"/>
            <w:vAlign w:val="bottom"/>
            <w:gridSpan w:val="2"/>
          </w:tcPr>
          <w:p>
            <w:pPr>
              <w:jc w:val="right"/>
              <w:spacing w:after="0"/>
              <w:rPr>
                <w:sz w:val="20"/>
                <w:szCs w:val="20"/>
                <w:color w:val="auto"/>
              </w:rPr>
            </w:pPr>
            <w:r>
              <w:rPr>
                <w:rFonts w:ascii="Arial" w:cs="Arial" w:eastAsia="Arial" w:hAnsi="Arial"/>
                <w:sz w:val="14"/>
                <w:szCs w:val="14"/>
                <w:color w:val="auto"/>
              </w:rPr>
              <w:t>104*</w:t>
            </w:r>
          </w:p>
        </w:tc>
        <w:tc>
          <w:tcPr>
            <w:tcW w:w="240" w:type="dxa"/>
            <w:vAlign w:val="bottom"/>
          </w:tcPr>
          <w:p>
            <w:pPr>
              <w:spacing w:after="0"/>
              <w:rPr>
                <w:sz w:val="15"/>
                <w:szCs w:val="15"/>
                <w:color w:val="auto"/>
              </w:rPr>
            </w:pPr>
          </w:p>
        </w:tc>
        <w:tc>
          <w:tcPr>
            <w:tcW w:w="8100" w:type="dxa"/>
            <w:vAlign w:val="bottom"/>
            <w:gridSpan w:val="4"/>
          </w:tcPr>
          <w:p>
            <w:pPr>
              <w:spacing w:after="0"/>
              <w:rPr>
                <w:sz w:val="20"/>
                <w:szCs w:val="20"/>
                <w:color w:val="auto"/>
              </w:rPr>
            </w:pPr>
            <w:r>
              <w:rPr>
                <w:rFonts w:ascii="Arial" w:cs="Arial" w:eastAsia="Arial" w:hAnsi="Arial"/>
                <w:sz w:val="14"/>
                <w:szCs w:val="14"/>
                <w:color w:val="auto"/>
              </w:rPr>
              <w:t>The cover page from this Quarterly Report on Form 10-Q, formatted in Inline XBRL</w:t>
            </w:r>
          </w:p>
        </w:tc>
      </w:tr>
    </w:tbl>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Submitted electronically herewith.</w:t>
      </w:r>
    </w:p>
    <w:p>
      <w:pPr>
        <w:spacing w:after="0" w:line="83" w:lineRule="exact"/>
        <w:rPr>
          <w:sz w:val="20"/>
          <w:szCs w:val="20"/>
          <w:color w:val="auto"/>
        </w:rPr>
      </w:pPr>
    </w:p>
    <w:p>
      <w:pPr>
        <w:ind w:left="500" w:hanging="481"/>
        <w:spacing w:after="0"/>
        <w:tabs>
          <w:tab w:leader="none" w:pos="50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Portions of this exhibit have been omitted pursuant to Item 601(b)(10)(iv) of Regulation S-K.</w:t>
      </w: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234" w:lineRule="exact"/>
        <w:rPr>
          <w:rFonts w:ascii="Arial" w:cs="Arial" w:eastAsia="Arial" w:hAnsi="Arial"/>
          <w:sz w:val="14"/>
          <w:szCs w:val="14"/>
          <w:b w:val="1"/>
          <w:bCs w:val="1"/>
          <w:color w:val="auto"/>
        </w:rPr>
      </w:pPr>
    </w:p>
    <w:p>
      <w:pPr>
        <w:ind w:left="5540"/>
        <w:spacing w:after="0"/>
        <w:rPr>
          <w:rFonts w:ascii="Arial" w:cs="Arial" w:eastAsia="Arial" w:hAnsi="Arial"/>
          <w:sz w:val="14"/>
          <w:szCs w:val="14"/>
          <w:b w:val="1"/>
          <w:bCs w:val="1"/>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Attached as Exhibit 101 to this report are the following formatted in XBRL (Extensible Business Reporting Language): (i) Condensed Consolidated Balance Sheets at June 30, 2022 (unaudited) and December 31, 2021, (ii) Condensed Consolidated Statements of Operations and Comprehensive Loss (unaudited) for the three and six month periods ended June 30, 2022 and 2021, (iii) Condensed Consolidated Statements of Stockholders' Equity (unaudited) for the three and six month periods ended June 30, 2022 and 2021, (iv) Condensed Consolidated Statements of Cash Flows (unaudited) for the six month periods ended June 30, 2022 and 2021 and (v) Notes to Condensed Financial Statements (unaudited).</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9" w:right="4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7900" w:type="dxa"/>
            <w:vAlign w:val="bottom"/>
            <w:gridSpan w:val="2"/>
          </w:tcPr>
          <w:p>
            <w:pPr>
              <w:ind w:left="2240"/>
              <w:spacing w:after="0"/>
              <w:rPr>
                <w:sz w:val="20"/>
                <w:szCs w:val="20"/>
                <w:color w:val="auto"/>
              </w:rPr>
            </w:pPr>
            <w:r>
              <w:rPr>
                <w:rFonts w:ascii="Arial" w:cs="Arial" w:eastAsia="Arial" w:hAnsi="Arial"/>
                <w:sz w:val="14"/>
                <w:szCs w:val="14"/>
                <w:b w:val="1"/>
                <w:bCs w:val="1"/>
                <w:color w:val="auto"/>
              </w:rPr>
              <w:t>IVERIC bio, Inc.</w:t>
            </w:r>
          </w:p>
        </w:tc>
      </w:tr>
      <w:tr>
        <w:trPr>
          <w:trHeight w:val="541"/>
        </w:trPr>
        <w:tc>
          <w:tcPr>
            <w:tcW w:w="3340" w:type="dxa"/>
            <w:vAlign w:val="bottom"/>
          </w:tcPr>
          <w:p>
            <w:pPr>
              <w:spacing w:after="0"/>
              <w:rPr>
                <w:sz w:val="20"/>
                <w:szCs w:val="20"/>
                <w:color w:val="auto"/>
              </w:rPr>
            </w:pPr>
            <w:r>
              <w:rPr>
                <w:rFonts w:ascii="Arial" w:cs="Arial" w:eastAsia="Arial" w:hAnsi="Arial"/>
                <w:sz w:val="14"/>
                <w:szCs w:val="14"/>
                <w:color w:val="auto"/>
              </w:rPr>
              <w:t>Date: July 26, 2022</w:t>
            </w:r>
          </w:p>
        </w:tc>
        <w:tc>
          <w:tcPr>
            <w:tcW w:w="2960" w:type="dxa"/>
            <w:vAlign w:val="bottom"/>
          </w:tcPr>
          <w:p>
            <w:pPr>
              <w:ind w:left="2240"/>
              <w:spacing w:after="0"/>
              <w:rPr>
                <w:sz w:val="20"/>
                <w:szCs w:val="20"/>
                <w:color w:val="auto"/>
              </w:rPr>
            </w:pPr>
            <w:r>
              <w:rPr>
                <w:rFonts w:ascii="Arial" w:cs="Arial" w:eastAsia="Arial" w:hAnsi="Arial"/>
                <w:sz w:val="14"/>
                <w:szCs w:val="14"/>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F. Carroll</w:t>
            </w:r>
          </w:p>
        </w:tc>
      </w:tr>
      <w:tr>
        <w:trPr>
          <w:trHeight w:val="171"/>
        </w:trPr>
        <w:tc>
          <w:tcPr>
            <w:tcW w:w="3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940" w:type="dxa"/>
            <w:vAlign w:val="bottom"/>
          </w:tcPr>
          <w:p>
            <w:pPr>
              <w:ind w:left="20"/>
              <w:spacing w:after="0"/>
              <w:rPr>
                <w:sz w:val="20"/>
                <w:szCs w:val="20"/>
                <w:color w:val="auto"/>
              </w:rPr>
            </w:pPr>
            <w:r>
              <w:rPr>
                <w:rFonts w:ascii="Arial" w:cs="Arial" w:eastAsia="Arial" w:hAnsi="Arial"/>
                <w:sz w:val="14"/>
                <w:szCs w:val="14"/>
                <w:color w:val="auto"/>
              </w:rPr>
              <w:t>David F. Carroll</w:t>
            </w:r>
          </w:p>
        </w:tc>
      </w:tr>
      <w:tr>
        <w:trPr>
          <w:trHeight w:val="180"/>
        </w:trPr>
        <w:tc>
          <w:tcPr>
            <w:tcW w:w="33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94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180"/>
        </w:trPr>
        <w:tc>
          <w:tcPr>
            <w:tcW w:w="33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940" w:type="dxa"/>
            <w:vAlign w:val="bottom"/>
          </w:tcPr>
          <w:p>
            <w:pPr>
              <w:ind w:left="20"/>
              <w:spacing w:after="0"/>
              <w:rPr>
                <w:sz w:val="20"/>
                <w:szCs w:val="20"/>
                <w:color w:val="auto"/>
              </w:rPr>
            </w:pPr>
            <w:r>
              <w:rPr>
                <w:rFonts w:ascii="Arial" w:cs="Arial" w:eastAsia="Arial" w:hAnsi="Arial"/>
                <w:sz w:val="14"/>
                <w:szCs w:val="14"/>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60"/>
          </w:cols>
          <w:pgMar w:left="300" w:top="129" w:right="339" w:bottom="1440"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3" w:name="page214"/>
    <w:bookmarkEnd w:id="213"/>
    <w:p>
      <w:pPr>
        <w:jc w:val="center"/>
        <w:ind w:right="-119"/>
        <w:spacing w:after="0"/>
        <w:rPr>
          <w:sz w:val="20"/>
          <w:szCs w:val="20"/>
          <w:color w:val="auto"/>
        </w:rPr>
      </w:pPr>
      <w:r>
        <w:rPr>
          <w:rFonts w:ascii="Arial" w:cs="Arial" w:eastAsia="Arial" w:hAnsi="Arial"/>
          <w:sz w:val="17"/>
          <w:szCs w:val="17"/>
          <w:b w:val="1"/>
          <w:bCs w:val="1"/>
          <w:color w:val="auto"/>
        </w:rPr>
        <w:t>Amendment No. 5 to 2019 Inducement Stock Incentive Plan</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AMENDMENT NO. 5 TO</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2019 INDUCEMENT STOCK INCENTIVE PLAN</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OF</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IVERIC BIO, INC.</w:t>
      </w:r>
    </w:p>
    <w:p>
      <w:pPr>
        <w:spacing w:after="0" w:line="165" w:lineRule="exact"/>
        <w:rPr>
          <w:sz w:val="20"/>
          <w:szCs w:val="20"/>
          <w:color w:val="auto"/>
        </w:rPr>
      </w:pPr>
    </w:p>
    <w:p>
      <w:pPr>
        <w:ind w:firstLine="347"/>
        <w:spacing w:after="0" w:line="236" w:lineRule="auto"/>
        <w:rPr>
          <w:sz w:val="20"/>
          <w:szCs w:val="20"/>
          <w:color w:val="auto"/>
        </w:rPr>
      </w:pPr>
      <w:r>
        <w:rPr>
          <w:rFonts w:ascii="Arial" w:cs="Arial" w:eastAsia="Arial" w:hAnsi="Arial"/>
          <w:sz w:val="17"/>
          <w:szCs w:val="17"/>
          <w:color w:val="auto"/>
        </w:rPr>
        <w:t>The 2019 Inducement Stock Incentive Plan (the “Plan”) of IVERIC bio, Inc. (the “Company”) is hereby amended as follows (all capitalized terms used and not defined herein shall have the respective meanings ascribed to such terms in the Plan):</w:t>
      </w:r>
    </w:p>
    <w:p>
      <w:pPr>
        <w:spacing w:after="0" w:line="146" w:lineRule="exact"/>
        <w:rPr>
          <w:sz w:val="20"/>
          <w:szCs w:val="20"/>
          <w:color w:val="auto"/>
        </w:rPr>
      </w:pPr>
    </w:p>
    <w:p>
      <w:pPr>
        <w:ind w:left="340" w:hanging="335"/>
        <w:spacing w:after="0"/>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Section 4(a)(1) of the Plan be and hereby is deleted in its entirety and the following is inserted in lieu thereof:</w:t>
      </w:r>
    </w:p>
    <w:p>
      <w:pPr>
        <w:spacing w:after="0" w:line="144" w:lineRule="exact"/>
        <w:rPr>
          <w:rFonts w:ascii="Arial" w:cs="Arial" w:eastAsia="Arial" w:hAnsi="Arial"/>
          <w:sz w:val="17"/>
          <w:szCs w:val="17"/>
          <w:color w:val="auto"/>
        </w:rPr>
      </w:pPr>
    </w:p>
    <w:p>
      <w:pPr>
        <w:ind w:left="1020" w:right="120" w:firstLine="258"/>
        <w:spacing w:after="0" w:line="227" w:lineRule="auto"/>
        <w:tabs>
          <w:tab w:leader="none" w:pos="1515"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Authorized Number of Shares</w:t>
      </w:r>
      <w:r>
        <w:rPr>
          <w:rFonts w:ascii="Arial" w:cs="Arial" w:eastAsia="Arial" w:hAnsi="Arial"/>
          <w:sz w:val="17"/>
          <w:szCs w:val="17"/>
          <w:color w:val="auto"/>
        </w:rPr>
        <w:t>. Subject to adjustment under Section 9, Awards may be made under the Plan for up to 5,600,000 shares of common stock, $0.001 par value per share, of the Company (the “Common Stock”). Shares issued under the Plan may consist in whole or in part of authorized but unissued shares or treasury shares.</w:t>
      </w:r>
    </w:p>
    <w:p>
      <w:pPr>
        <w:spacing w:after="0" w:line="146" w:lineRule="exact"/>
        <w:rPr>
          <w:sz w:val="20"/>
          <w:szCs w:val="20"/>
          <w:color w:val="auto"/>
        </w:rPr>
      </w:pPr>
    </w:p>
    <w:p>
      <w:pPr>
        <w:ind w:left="340" w:hanging="335"/>
        <w:spacing w:after="0"/>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Except as set forth herein, the Plan shall remain in full force and effect.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 * *</w:t>
      </w:r>
    </w:p>
    <w:p>
      <w:pPr>
        <w:spacing w:after="0" w:line="356" w:lineRule="exact"/>
        <w:rPr>
          <w:sz w:val="20"/>
          <w:szCs w:val="20"/>
          <w:color w:val="auto"/>
        </w:rPr>
      </w:pPr>
    </w:p>
    <w:p>
      <w:pPr>
        <w:jc w:val="center"/>
        <w:ind w:right="380"/>
        <w:spacing w:after="0"/>
        <w:rPr>
          <w:sz w:val="20"/>
          <w:szCs w:val="20"/>
          <w:color w:val="auto"/>
        </w:rPr>
      </w:pPr>
      <w:r>
        <w:rPr>
          <w:rFonts w:ascii="Arial" w:cs="Arial" w:eastAsia="Arial" w:hAnsi="Arial"/>
          <w:sz w:val="17"/>
          <w:szCs w:val="17"/>
          <w:i w:val="1"/>
          <w:iCs w:val="1"/>
          <w:color w:val="auto"/>
        </w:rPr>
        <w:t>Approved by the Board of Directors on May 12, 2022.</w:t>
      </w:r>
    </w:p>
    <w:p>
      <w:pPr>
        <w:sectPr>
          <w:pgSz w:w="11900" w:h="16838" w:orient="portrait"/>
          <w:cols w:equalWidth="0" w:num="1">
            <w:col w:w="11180"/>
          </w:cols>
          <w:pgMar w:left="300" w:top="1127" w:right="419" w:bottom="1440" w:gutter="0" w:footer="0" w:header="0"/>
        </w:sectPr>
      </w:pPr>
    </w:p>
    <w:bookmarkStart w:id="214" w:name="page215"/>
    <w:bookmarkEnd w:id="214"/>
    <w:p>
      <w:pPr>
        <w:ind w:left="10600"/>
        <w:spacing w:after="0"/>
        <w:rPr>
          <w:sz w:val="20"/>
          <w:szCs w:val="20"/>
          <w:color w:val="auto"/>
        </w:rPr>
      </w:pPr>
      <w:r>
        <w:rPr>
          <w:rFonts w:ascii="Arial" w:cs="Arial" w:eastAsia="Arial" w:hAnsi="Arial"/>
          <w:sz w:val="11"/>
          <w:szCs w:val="11"/>
          <w:b w:val="1"/>
          <w:bCs w:val="1"/>
          <w:color w:val="auto"/>
        </w:rPr>
        <w:t>Exhibit 31.1</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rPr>
          <w:sz w:val="20"/>
          <w:szCs w:val="20"/>
          <w:color w:val="auto"/>
        </w:rPr>
      </w:pPr>
      <w:r>
        <w:rPr>
          <w:rFonts w:ascii="Arial" w:cs="Arial" w:eastAsia="Arial" w:hAnsi="Arial"/>
          <w:sz w:val="13"/>
          <w:szCs w:val="13"/>
          <w:color w:val="auto"/>
        </w:rPr>
        <w:t>I, Glenn P. Sblendorio, certify that:</w:t>
      </w:r>
    </w:p>
    <w:p>
      <w:pPr>
        <w:spacing w:after="0" w:line="180" w:lineRule="exact"/>
        <w:rPr>
          <w:sz w:val="20"/>
          <w:szCs w:val="20"/>
          <w:color w:val="auto"/>
        </w:rPr>
      </w:pPr>
    </w:p>
    <w:p>
      <w:pPr>
        <w:ind w:left="520" w:hanging="260"/>
        <w:spacing w:after="0"/>
        <w:tabs>
          <w:tab w:leader="none" w:pos="5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for the quarter ended June 30, 2022 of IVERIC bio, Inc.;</w:t>
      </w:r>
    </w:p>
    <w:p>
      <w:pPr>
        <w:spacing w:after="0" w:line="190" w:lineRule="exact"/>
        <w:rPr>
          <w:rFonts w:ascii="Arial" w:cs="Arial" w:eastAsia="Arial" w:hAnsi="Arial"/>
          <w:sz w:val="13"/>
          <w:szCs w:val="13"/>
          <w:color w:val="auto"/>
        </w:rPr>
      </w:pPr>
    </w:p>
    <w:p>
      <w:pPr>
        <w:ind w:left="520" w:right="20" w:hanging="260"/>
        <w:spacing w:after="0" w:line="257" w:lineRule="auto"/>
        <w:tabs>
          <w:tab w:leader="none" w:pos="5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3"/>
          <w:szCs w:val="13"/>
          <w:color w:val="auto"/>
        </w:rPr>
      </w:pPr>
    </w:p>
    <w:p>
      <w:pPr>
        <w:ind w:left="520" w:right="120" w:hanging="260"/>
        <w:spacing w:after="0" w:line="257" w:lineRule="auto"/>
        <w:tabs>
          <w:tab w:leader="none" w:pos="5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3"/>
          <w:szCs w:val="13"/>
          <w:color w:val="auto"/>
        </w:rPr>
      </w:pPr>
    </w:p>
    <w:p>
      <w:pPr>
        <w:ind w:left="520" w:right="60" w:hanging="260"/>
        <w:spacing w:after="0" w:line="257" w:lineRule="auto"/>
        <w:tabs>
          <w:tab w:leader="none" w:pos="5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3"/>
          <w:szCs w:val="13"/>
          <w:color w:val="auto"/>
        </w:rPr>
      </w:pPr>
    </w:p>
    <w:p>
      <w:pPr>
        <w:ind w:left="760" w:right="340" w:hanging="246"/>
        <w:spacing w:after="0" w:line="299" w:lineRule="auto"/>
        <w:tabs>
          <w:tab w:leader="none" w:pos="742" w:val="left"/>
        </w:tabs>
        <w:numPr>
          <w:ilvl w:val="1"/>
          <w:numId w:val="5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2"/>
          <w:szCs w:val="12"/>
          <w:color w:val="auto"/>
        </w:rPr>
      </w:pPr>
    </w:p>
    <w:p>
      <w:pPr>
        <w:ind w:left="760" w:right="20" w:hanging="246"/>
        <w:spacing w:after="0" w:line="257" w:lineRule="auto"/>
        <w:tabs>
          <w:tab w:leader="none" w:pos="749" w:val="left"/>
        </w:tabs>
        <w:numPr>
          <w:ilvl w:val="1"/>
          <w:numId w:val="5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3"/>
          <w:szCs w:val="13"/>
          <w:color w:val="auto"/>
        </w:rPr>
      </w:pPr>
    </w:p>
    <w:p>
      <w:pPr>
        <w:ind w:left="760" w:hanging="246"/>
        <w:spacing w:after="0" w:line="257" w:lineRule="auto"/>
        <w:tabs>
          <w:tab w:leader="none" w:pos="742" w:val="left"/>
        </w:tabs>
        <w:numPr>
          <w:ilvl w:val="1"/>
          <w:numId w:val="5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3"/>
          <w:szCs w:val="13"/>
          <w:color w:val="auto"/>
        </w:rPr>
      </w:pPr>
    </w:p>
    <w:p>
      <w:pPr>
        <w:ind w:left="760" w:right="40" w:hanging="246"/>
        <w:spacing w:after="0" w:line="257" w:lineRule="auto"/>
        <w:tabs>
          <w:tab w:leader="none" w:pos="749" w:val="left"/>
        </w:tabs>
        <w:numPr>
          <w:ilvl w:val="1"/>
          <w:numId w:val="5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3"/>
          <w:szCs w:val="13"/>
          <w:color w:val="auto"/>
        </w:rPr>
      </w:pPr>
    </w:p>
    <w:p>
      <w:pPr>
        <w:ind w:left="520" w:right="40" w:hanging="260"/>
        <w:spacing w:after="0" w:line="257" w:lineRule="auto"/>
        <w:tabs>
          <w:tab w:leader="none" w:pos="549"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Arial" w:cs="Arial" w:eastAsia="Arial" w:hAnsi="Arial"/>
          <w:sz w:val="13"/>
          <w:szCs w:val="13"/>
          <w:color w:val="auto"/>
        </w:rPr>
      </w:pPr>
    </w:p>
    <w:p>
      <w:pPr>
        <w:ind w:left="760" w:right="280" w:hanging="246"/>
        <w:spacing w:after="0" w:line="257" w:lineRule="auto"/>
        <w:tabs>
          <w:tab w:leader="none" w:pos="735" w:val="left"/>
        </w:tabs>
        <w:numPr>
          <w:ilvl w:val="1"/>
          <w:numId w:val="5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Arial" w:cs="Arial" w:eastAsia="Arial" w:hAnsi="Arial"/>
          <w:sz w:val="13"/>
          <w:szCs w:val="13"/>
          <w:color w:val="auto"/>
        </w:rPr>
      </w:pPr>
    </w:p>
    <w:p>
      <w:pPr>
        <w:ind w:left="760" w:hanging="246"/>
        <w:spacing w:after="0"/>
        <w:tabs>
          <w:tab w:leader="none" w:pos="760" w:val="left"/>
        </w:tabs>
        <w:numPr>
          <w:ilvl w:val="1"/>
          <w:numId w:val="5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7000" w:val="left"/>
          <w:tab w:leader="none" w:pos="7760" w:val="left"/>
        </w:tabs>
        <w:rPr>
          <w:sz w:val="20"/>
          <w:szCs w:val="20"/>
          <w:color w:val="auto"/>
        </w:rPr>
      </w:pPr>
      <w:r>
        <w:rPr>
          <w:rFonts w:ascii="Arial" w:cs="Arial" w:eastAsia="Arial" w:hAnsi="Arial"/>
          <w:sz w:val="13"/>
          <w:szCs w:val="13"/>
          <w:color w:val="auto"/>
        </w:rPr>
        <w:t>Date: July 26,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10160</wp:posOffset>
            </wp:positionV>
            <wp:extent cx="220980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2209800" cy="698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3"/>
          <w:szCs w:val="13"/>
          <w:color w:val="auto"/>
        </w:rPr>
        <w:t>Glenn P. Sblendorio</w:t>
      </w:r>
    </w:p>
    <w:p>
      <w:pPr>
        <w:ind w:left="7780"/>
        <w:spacing w:after="0" w:line="204" w:lineRule="auto"/>
        <w:rPr>
          <w:sz w:val="20"/>
          <w:szCs w:val="20"/>
          <w:color w:val="auto"/>
        </w:rPr>
      </w:pPr>
      <w:r>
        <w:rPr>
          <w:rFonts w:ascii="Arial" w:cs="Arial" w:eastAsia="Arial" w:hAnsi="Arial"/>
          <w:sz w:val="13"/>
          <w:szCs w:val="13"/>
          <w:color w:val="auto"/>
        </w:rPr>
        <w:t>Chief Executive Officer</w:t>
      </w:r>
    </w:p>
    <w:p>
      <w:pPr>
        <w:ind w:left="7780"/>
        <w:spacing w:after="0"/>
        <w:rPr>
          <w:sz w:val="20"/>
          <w:szCs w:val="20"/>
          <w:color w:val="auto"/>
        </w:rPr>
      </w:pPr>
      <w:r>
        <w:rPr>
          <w:rFonts w:ascii="Arial" w:cs="Arial" w:eastAsia="Arial" w:hAnsi="Arial"/>
          <w:sz w:val="13"/>
          <w:szCs w:val="13"/>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3810</wp:posOffset>
            </wp:positionV>
            <wp:extent cx="220980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22098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64770</wp:posOffset>
            </wp:positionV>
            <wp:extent cx="7148195" cy="266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15" w:name="page216"/>
    <w:bookmarkEnd w:id="215"/>
    <w:p>
      <w:pPr>
        <w:ind w:left="10600"/>
        <w:spacing w:after="0"/>
        <w:rPr>
          <w:sz w:val="20"/>
          <w:szCs w:val="20"/>
          <w:color w:val="auto"/>
        </w:rPr>
      </w:pPr>
      <w:r>
        <w:rPr>
          <w:rFonts w:ascii="Arial" w:cs="Arial" w:eastAsia="Arial" w:hAnsi="Arial"/>
          <w:sz w:val="11"/>
          <w:szCs w:val="11"/>
          <w:b w:val="1"/>
          <w:bCs w:val="1"/>
          <w:color w:val="auto"/>
        </w:rPr>
        <w:t>Exhibit 31.2</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I, David F. Carroll, certify that:</w:t>
      </w:r>
    </w:p>
    <w:p>
      <w:pPr>
        <w:spacing w:after="0" w:line="190" w:lineRule="exact"/>
        <w:rPr>
          <w:sz w:val="20"/>
          <w:szCs w:val="20"/>
          <w:color w:val="auto"/>
        </w:rPr>
      </w:pPr>
    </w:p>
    <w:p>
      <w:pPr>
        <w:ind w:left="520" w:hanging="260"/>
        <w:spacing w:after="0"/>
        <w:tabs>
          <w:tab w:leader="none" w:pos="5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for the quarter ended June 30, 2022 of IVERIC bio, Inc.;</w:t>
      </w:r>
    </w:p>
    <w:p>
      <w:pPr>
        <w:spacing w:after="0" w:line="190" w:lineRule="exact"/>
        <w:rPr>
          <w:rFonts w:ascii="Arial" w:cs="Arial" w:eastAsia="Arial" w:hAnsi="Arial"/>
          <w:sz w:val="13"/>
          <w:szCs w:val="13"/>
          <w:color w:val="auto"/>
        </w:rPr>
      </w:pPr>
    </w:p>
    <w:p>
      <w:pPr>
        <w:ind w:left="520" w:right="20" w:hanging="260"/>
        <w:spacing w:after="0" w:line="257" w:lineRule="auto"/>
        <w:tabs>
          <w:tab w:leader="none" w:pos="5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3"/>
          <w:szCs w:val="13"/>
          <w:color w:val="auto"/>
        </w:rPr>
      </w:pPr>
    </w:p>
    <w:p>
      <w:pPr>
        <w:ind w:left="520" w:right="120" w:hanging="260"/>
        <w:spacing w:after="0" w:line="257" w:lineRule="auto"/>
        <w:tabs>
          <w:tab w:leader="none" w:pos="5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3"/>
          <w:szCs w:val="13"/>
          <w:color w:val="auto"/>
        </w:rPr>
      </w:pPr>
    </w:p>
    <w:p>
      <w:pPr>
        <w:ind w:left="520" w:right="80" w:hanging="260"/>
        <w:spacing w:after="0" w:line="257" w:lineRule="auto"/>
        <w:tabs>
          <w:tab w:leader="none" w:pos="518"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3"/>
          <w:szCs w:val="13"/>
          <w:color w:val="auto"/>
        </w:rPr>
      </w:pPr>
    </w:p>
    <w:p>
      <w:pPr>
        <w:ind w:left="760" w:right="340" w:hanging="246"/>
        <w:spacing w:after="0" w:line="299" w:lineRule="auto"/>
        <w:tabs>
          <w:tab w:leader="none" w:pos="742" w:val="left"/>
        </w:tabs>
        <w:numPr>
          <w:ilvl w:val="1"/>
          <w:numId w:val="5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2"/>
          <w:szCs w:val="12"/>
          <w:color w:val="auto"/>
        </w:rPr>
      </w:pPr>
    </w:p>
    <w:p>
      <w:pPr>
        <w:ind w:left="760" w:right="20" w:hanging="246"/>
        <w:spacing w:after="0" w:line="257" w:lineRule="auto"/>
        <w:tabs>
          <w:tab w:leader="none" w:pos="749" w:val="left"/>
        </w:tabs>
        <w:numPr>
          <w:ilvl w:val="1"/>
          <w:numId w:val="5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3"/>
          <w:szCs w:val="13"/>
          <w:color w:val="auto"/>
        </w:rPr>
      </w:pPr>
    </w:p>
    <w:p>
      <w:pPr>
        <w:ind w:left="760" w:hanging="246"/>
        <w:spacing w:after="0" w:line="257" w:lineRule="auto"/>
        <w:tabs>
          <w:tab w:leader="none" w:pos="742" w:val="left"/>
        </w:tabs>
        <w:numPr>
          <w:ilvl w:val="1"/>
          <w:numId w:val="5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3"/>
          <w:szCs w:val="13"/>
          <w:color w:val="auto"/>
        </w:rPr>
      </w:pPr>
    </w:p>
    <w:p>
      <w:pPr>
        <w:ind w:left="760" w:right="40" w:hanging="246"/>
        <w:spacing w:after="0" w:line="257" w:lineRule="auto"/>
        <w:tabs>
          <w:tab w:leader="none" w:pos="749" w:val="left"/>
        </w:tabs>
        <w:numPr>
          <w:ilvl w:val="1"/>
          <w:numId w:val="5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3"/>
          <w:szCs w:val="13"/>
          <w:color w:val="auto"/>
        </w:rPr>
      </w:pPr>
    </w:p>
    <w:p>
      <w:pPr>
        <w:ind w:left="520" w:right="80" w:hanging="260"/>
        <w:spacing w:after="0" w:line="257" w:lineRule="auto"/>
        <w:tabs>
          <w:tab w:leader="none" w:pos="518"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7" w:lineRule="exact"/>
        <w:rPr>
          <w:rFonts w:ascii="Arial" w:cs="Arial" w:eastAsia="Arial" w:hAnsi="Arial"/>
          <w:sz w:val="13"/>
          <w:szCs w:val="13"/>
          <w:color w:val="auto"/>
        </w:rPr>
      </w:pPr>
    </w:p>
    <w:p>
      <w:pPr>
        <w:ind w:left="760" w:right="280" w:hanging="246"/>
        <w:spacing w:after="0" w:line="257" w:lineRule="auto"/>
        <w:tabs>
          <w:tab w:leader="none" w:pos="735" w:val="left"/>
        </w:tabs>
        <w:numPr>
          <w:ilvl w:val="1"/>
          <w:numId w:val="5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Arial" w:cs="Arial" w:eastAsia="Arial" w:hAnsi="Arial"/>
          <w:sz w:val="13"/>
          <w:szCs w:val="13"/>
          <w:color w:val="auto"/>
        </w:rPr>
      </w:pPr>
    </w:p>
    <w:p>
      <w:pPr>
        <w:ind w:left="760" w:hanging="246"/>
        <w:spacing w:after="0"/>
        <w:tabs>
          <w:tab w:leader="none" w:pos="760" w:val="left"/>
        </w:tabs>
        <w:numPr>
          <w:ilvl w:val="1"/>
          <w:numId w:val="5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7000" w:val="left"/>
          <w:tab w:leader="none" w:pos="7760" w:val="left"/>
        </w:tabs>
        <w:rPr>
          <w:sz w:val="20"/>
          <w:szCs w:val="20"/>
          <w:color w:val="auto"/>
        </w:rPr>
      </w:pPr>
      <w:r>
        <w:rPr>
          <w:rFonts w:ascii="Arial" w:cs="Arial" w:eastAsia="Arial" w:hAnsi="Arial"/>
          <w:sz w:val="13"/>
          <w:szCs w:val="13"/>
          <w:color w:val="auto"/>
        </w:rPr>
        <w:t>Date: July 26,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10160</wp:posOffset>
            </wp:positionV>
            <wp:extent cx="220980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2209800" cy="698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3"/>
          <w:szCs w:val="13"/>
          <w:color w:val="auto"/>
        </w:rPr>
        <w:t>David F. Carroll</w:t>
      </w:r>
    </w:p>
    <w:p>
      <w:pPr>
        <w:ind w:left="7780"/>
        <w:spacing w:after="0" w:line="204" w:lineRule="auto"/>
        <w:rPr>
          <w:sz w:val="20"/>
          <w:szCs w:val="20"/>
          <w:color w:val="auto"/>
        </w:rPr>
      </w:pPr>
      <w:r>
        <w:rPr>
          <w:rFonts w:ascii="Arial" w:cs="Arial" w:eastAsia="Arial" w:hAnsi="Arial"/>
          <w:sz w:val="13"/>
          <w:szCs w:val="13"/>
          <w:color w:val="auto"/>
        </w:rPr>
        <w:t>Chief Financial Officer</w:t>
      </w:r>
    </w:p>
    <w:p>
      <w:pPr>
        <w:ind w:left="7780"/>
        <w:spacing w:after="0"/>
        <w:rPr>
          <w:sz w:val="20"/>
          <w:szCs w:val="20"/>
          <w:color w:val="auto"/>
        </w:rPr>
      </w:pPr>
      <w:r>
        <w:rPr>
          <w:rFonts w:ascii="Arial" w:cs="Arial" w:eastAsia="Arial" w:hAnsi="Arial"/>
          <w:sz w:val="13"/>
          <w:szCs w:val="13"/>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148195" cy="266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3"/>
          <w:szCs w:val="13"/>
          <w:b w:val="1"/>
          <w:bCs w:val="1"/>
          <w:color w:val="auto"/>
        </w:rPr>
        <w:t>Exhibit 32.1</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CERTIFICATION PURSUANT TO 18 U.S.C. SECTION 1350,</w:t>
      </w:r>
    </w:p>
    <w:p>
      <w:pPr>
        <w:jc w:val="center"/>
        <w:ind w:right="-39"/>
        <w:spacing w:after="0"/>
        <w:rPr>
          <w:sz w:val="20"/>
          <w:szCs w:val="20"/>
          <w:color w:val="auto"/>
        </w:rPr>
      </w:pPr>
      <w:r>
        <w:rPr>
          <w:rFonts w:ascii="Arial" w:cs="Arial" w:eastAsia="Arial" w:hAnsi="Arial"/>
          <w:sz w:val="13"/>
          <w:szCs w:val="13"/>
          <w:b w:val="1"/>
          <w:bCs w:val="1"/>
          <w:color w:val="auto"/>
        </w:rPr>
        <w:t>AS ADOPTED PURSUANT TO</w:t>
      </w: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80" w:lineRule="exact"/>
        <w:rPr>
          <w:sz w:val="20"/>
          <w:szCs w:val="20"/>
          <w:color w:val="auto"/>
        </w:rPr>
      </w:pPr>
    </w:p>
    <w:p>
      <w:pPr>
        <w:ind w:right="240" w:firstLine="255"/>
        <w:spacing w:after="0" w:line="248" w:lineRule="auto"/>
        <w:rPr>
          <w:sz w:val="20"/>
          <w:szCs w:val="20"/>
          <w:color w:val="auto"/>
        </w:rPr>
      </w:pPr>
      <w:r>
        <w:rPr>
          <w:rFonts w:ascii="Arial" w:cs="Arial" w:eastAsia="Arial" w:hAnsi="Arial"/>
          <w:sz w:val="13"/>
          <w:szCs w:val="13"/>
          <w:color w:val="auto"/>
        </w:rPr>
        <w:t>In connection with the Quarterly Report on Form 10-Q of IVERIC bio, Inc. (the "Company") for the period ended June 30, 2022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73" w:lineRule="exact"/>
        <w:rPr>
          <w:sz w:val="20"/>
          <w:szCs w:val="20"/>
          <w:color w:val="auto"/>
        </w:rPr>
      </w:pPr>
    </w:p>
    <w:p>
      <w:pPr>
        <w:ind w:left="500" w:hanging="240"/>
        <w:spacing w:after="0"/>
        <w:tabs>
          <w:tab w:leader="none" w:pos="5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96" w:lineRule="exact"/>
        <w:rPr>
          <w:sz w:val="20"/>
          <w:szCs w:val="20"/>
          <w:color w:val="auto"/>
        </w:rPr>
      </w:pPr>
    </w:p>
    <w:p>
      <w:pPr>
        <w:ind w:left="20"/>
        <w:spacing w:after="0"/>
        <w:tabs>
          <w:tab w:leader="none" w:pos="5700" w:val="left"/>
          <w:tab w:leader="none" w:pos="6440" w:val="left"/>
        </w:tabs>
        <w:rPr>
          <w:sz w:val="20"/>
          <w:szCs w:val="20"/>
          <w:color w:val="auto"/>
        </w:rPr>
      </w:pPr>
      <w:r>
        <w:rPr>
          <w:rFonts w:ascii="Arial" w:cs="Arial" w:eastAsia="Arial" w:hAnsi="Arial"/>
          <w:sz w:val="13"/>
          <w:szCs w:val="13"/>
          <w:color w:val="auto"/>
        </w:rPr>
        <w:t>Date: July 26,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4099560</wp:posOffset>
            </wp:positionH>
            <wp:positionV relativeFrom="paragraph">
              <wp:posOffset>10160</wp:posOffset>
            </wp:positionV>
            <wp:extent cx="301815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3018155" cy="698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3"/>
          <w:szCs w:val="13"/>
          <w:color w:val="auto"/>
        </w:rPr>
        <w:t>Glenn P. Sblendorio</w:t>
      </w:r>
    </w:p>
    <w:p>
      <w:pPr>
        <w:ind w:left="6460"/>
        <w:spacing w:after="0" w:line="204" w:lineRule="auto"/>
        <w:rPr>
          <w:sz w:val="20"/>
          <w:szCs w:val="20"/>
          <w:color w:val="auto"/>
        </w:rPr>
      </w:pPr>
      <w:r>
        <w:rPr>
          <w:rFonts w:ascii="Arial" w:cs="Arial" w:eastAsia="Arial" w:hAnsi="Arial"/>
          <w:sz w:val="13"/>
          <w:szCs w:val="13"/>
          <w:color w:val="auto"/>
        </w:rPr>
        <w:t>Chief Executive Officer</w:t>
      </w:r>
    </w:p>
    <w:p>
      <w:pPr>
        <w:ind w:left="6460"/>
        <w:spacing w:after="0"/>
        <w:rPr>
          <w:sz w:val="20"/>
          <w:szCs w:val="20"/>
          <w:color w:val="auto"/>
        </w:rPr>
      </w:pPr>
      <w:r>
        <w:rPr>
          <w:rFonts w:ascii="Arial" w:cs="Arial" w:eastAsia="Arial" w:hAnsi="Arial"/>
          <w:sz w:val="13"/>
          <w:szCs w:val="13"/>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148195" cy="266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3"/>
          <w:szCs w:val="13"/>
          <w:b w:val="1"/>
          <w:bCs w:val="1"/>
          <w:color w:val="auto"/>
        </w:rPr>
        <w:t>Exhibit 32.2</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CERTIFICATION PURSUANT TO 18 U.S.C. SECTION 1350,</w:t>
      </w:r>
    </w:p>
    <w:p>
      <w:pPr>
        <w:jc w:val="center"/>
        <w:ind w:right="-39"/>
        <w:spacing w:after="0"/>
        <w:rPr>
          <w:sz w:val="20"/>
          <w:szCs w:val="20"/>
          <w:color w:val="auto"/>
        </w:rPr>
      </w:pPr>
      <w:r>
        <w:rPr>
          <w:rFonts w:ascii="Arial" w:cs="Arial" w:eastAsia="Arial" w:hAnsi="Arial"/>
          <w:sz w:val="13"/>
          <w:szCs w:val="13"/>
          <w:b w:val="1"/>
          <w:bCs w:val="1"/>
          <w:color w:val="auto"/>
        </w:rPr>
        <w:t>AS ADOPTED PURSUANT TO</w:t>
      </w: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80" w:lineRule="exact"/>
        <w:rPr>
          <w:sz w:val="20"/>
          <w:szCs w:val="20"/>
          <w:color w:val="auto"/>
        </w:rPr>
      </w:pPr>
    </w:p>
    <w:p>
      <w:pPr>
        <w:ind w:right="160" w:firstLine="255"/>
        <w:spacing w:after="0" w:line="248" w:lineRule="auto"/>
        <w:rPr>
          <w:sz w:val="20"/>
          <w:szCs w:val="20"/>
          <w:color w:val="auto"/>
        </w:rPr>
      </w:pPr>
      <w:r>
        <w:rPr>
          <w:rFonts w:ascii="Arial" w:cs="Arial" w:eastAsia="Arial" w:hAnsi="Arial"/>
          <w:sz w:val="13"/>
          <w:szCs w:val="13"/>
          <w:color w:val="auto"/>
        </w:rPr>
        <w:t>In connection with the Quarterly Report on Form 10-Q of IVERIC bio, Inc. (the "Company") for the period ended June 30, 2022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73" w:lineRule="exact"/>
        <w:rPr>
          <w:sz w:val="20"/>
          <w:szCs w:val="20"/>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96" w:lineRule="exact"/>
        <w:rPr>
          <w:sz w:val="20"/>
          <w:szCs w:val="20"/>
          <w:color w:val="auto"/>
        </w:rPr>
      </w:pPr>
    </w:p>
    <w:p>
      <w:pPr>
        <w:ind w:left="20"/>
        <w:spacing w:after="0"/>
        <w:tabs>
          <w:tab w:leader="none" w:pos="5720" w:val="left"/>
          <w:tab w:leader="none" w:pos="6480" w:val="left"/>
        </w:tabs>
        <w:rPr>
          <w:sz w:val="20"/>
          <w:szCs w:val="20"/>
          <w:color w:val="auto"/>
        </w:rPr>
      </w:pPr>
      <w:r>
        <w:rPr>
          <w:rFonts w:ascii="Arial" w:cs="Arial" w:eastAsia="Arial" w:hAnsi="Arial"/>
          <w:sz w:val="13"/>
          <w:szCs w:val="13"/>
          <w:color w:val="auto"/>
        </w:rPr>
        <w:t>Date: July 26,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10160</wp:posOffset>
            </wp:positionV>
            <wp:extent cx="302514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3025140" cy="6985"/>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3"/>
          <w:szCs w:val="13"/>
          <w:color w:val="auto"/>
        </w:rPr>
        <w:t>David F. Carroll</w:t>
      </w:r>
    </w:p>
    <w:p>
      <w:pPr>
        <w:ind w:left="6500"/>
        <w:spacing w:after="0" w:line="204" w:lineRule="auto"/>
        <w:rPr>
          <w:sz w:val="20"/>
          <w:szCs w:val="20"/>
          <w:color w:val="auto"/>
        </w:rPr>
      </w:pPr>
      <w:r>
        <w:rPr>
          <w:rFonts w:ascii="Arial" w:cs="Arial" w:eastAsia="Arial" w:hAnsi="Arial"/>
          <w:sz w:val="13"/>
          <w:szCs w:val="13"/>
          <w:color w:val="auto"/>
        </w:rPr>
        <w:t>Chief Financial Officer</w:t>
      </w:r>
    </w:p>
    <w:p>
      <w:pPr>
        <w:ind w:left="6500"/>
        <w:spacing w:after="0"/>
        <w:rPr>
          <w:sz w:val="20"/>
          <w:szCs w:val="20"/>
          <w:color w:val="auto"/>
        </w:rPr>
      </w:pPr>
      <w:r>
        <w:rPr>
          <w:rFonts w:ascii="Arial" w:cs="Arial" w:eastAsia="Arial" w:hAnsi="Arial"/>
          <w:sz w:val="13"/>
          <w:szCs w:val="13"/>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57785</wp:posOffset>
            </wp:positionV>
            <wp:extent cx="7148195" cy="266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sectPr>
      <w:pgSz w:w="11900" w:h="16838" w:orient="portrait"/>
      <w:cols w:equalWidth="0" w:num="1">
        <w:col w:w="11260"/>
      </w:cols>
      <w:pgMar w:left="30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1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lowerRoman"/>
      <w:start w:val="3"/>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lowerRoman"/>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
    </w:lvl>
    <w:lvl w:ilvl="1">
      <w:lvlJc w:val="left"/>
      <w:lvlText w:val="(%2)"/>
      <w:numFmt w:val="decimal"/>
      <w:start w:val="1"/>
    </w:lvl>
  </w:abstractNum>
  <w:abstractNum w:abstractNumId="56">
    <w:nsid w:val="354FE9F9"/>
    <w:multiLevelType w:val="hybridMultilevel"/>
    <w:lvl w:ilvl="0">
      <w:lvlJc w:val="left"/>
      <w:lvlText w:val="%1."/>
      <w:numFmt w:val="decimal"/>
      <w:start w:val="3"/>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119" Type="http://schemas.openxmlformats.org/officeDocument/2006/relationships/hyperlink" Target="https://www.sec.gov/Archives/edgar/data/1410939/000141093921000007/isee12312020exhibit31.htm" TargetMode="External"/><Relationship Id="rId120" Type="http://schemas.openxmlformats.org/officeDocument/2006/relationships/hyperlink" Target="http://www.sec.gov/Archives/edgar/data/1410939/000119312513360785/d560505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2022-07-26T15:27:01Z</dcterms:created>
  <dcterms:modified xsi:type="dcterms:W3CDTF">2022-07-26T15:27:01Z</dcterms:modified>
</cp:coreProperties>
</file>