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260" w:right="2040" w:hanging="3273"/>
        <w:spacing w:after="0" w:line="379" w:lineRule="auto"/>
        <w:tabs>
          <w:tab w:leader="none" w:pos="196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2018</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OPHTHOTECH CORPORATION</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5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right"/>
              <w:ind w:right="628"/>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35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One Penn Plaza, 35th Floor</w:t>
            </w:r>
          </w:p>
        </w:tc>
        <w:tc>
          <w:tcPr>
            <w:tcW w:w="39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35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43"/>
        </w:trPr>
        <w:tc>
          <w:tcPr>
            <w:tcW w:w="3540" w:type="dxa"/>
            <w:vAlign w:val="bottom"/>
          </w:tcPr>
          <w:p>
            <w:pPr>
              <w:spacing w:after="0"/>
              <w:rPr>
                <w:sz w:val="24"/>
                <w:szCs w:val="24"/>
                <w:color w:val="auto"/>
              </w:rPr>
            </w:pPr>
          </w:p>
        </w:tc>
        <w:tc>
          <w:tcPr>
            <w:tcW w:w="3920" w:type="dxa"/>
            <w:vAlign w:val="bottom"/>
          </w:tcPr>
          <w:p>
            <w:pPr>
              <w:jc w:val="right"/>
              <w:ind w:right="2868"/>
              <w:spacing w:after="0"/>
              <w:rPr>
                <w:sz w:val="20"/>
                <w:szCs w:val="20"/>
                <w:color w:val="auto"/>
              </w:rPr>
            </w:pPr>
            <w:r>
              <w:rPr>
                <w:rFonts w:ascii="Arial" w:cs="Arial" w:eastAsia="Arial" w:hAnsi="Arial"/>
                <w:sz w:val="14"/>
                <w:szCs w:val="14"/>
                <w:b w:val="1"/>
                <w:bCs w:val="1"/>
                <w:color w:val="auto"/>
              </w:rPr>
              <w:t>(212) 845-8200</w:t>
            </w: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296545</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122" w:lineRule="exact"/>
        <w:rPr>
          <w:sz w:val="24"/>
          <w:szCs w:val="24"/>
          <w:color w:val="auto"/>
        </w:rPr>
      </w:pPr>
    </w:p>
    <w:p>
      <w:pPr>
        <w:ind w:right="22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p>
      <w:pPr>
        <w:ind w:left="380"/>
        <w:spacing w:after="0" w:line="184" w:lineRule="exact"/>
        <w:tabs>
          <w:tab w:leader="none" w:pos="2760" w:val="left"/>
          <w:tab w:leader="none" w:pos="4580" w:val="left"/>
          <w:tab w:leader="none" w:pos="6680" w:val="left"/>
          <w:tab w:leader="none" w:pos="91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(Do not check if a smaller reporting company)</w:t>
      </w:r>
    </w:p>
    <w:p>
      <w:pPr>
        <w:spacing w:after="0" w:line="343" w:lineRule="exact"/>
        <w:rPr>
          <w:sz w:val="24"/>
          <w:szCs w:val="24"/>
          <w:color w:val="auto"/>
        </w:rPr>
      </w:pPr>
    </w:p>
    <w:p>
      <w:pPr>
        <w:ind w:left="40"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5"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May 8, 2018 there were 36,188,161 shares of Common Stock, $0.001 par value per share, outstanding.</w:t>
      </w:r>
    </w:p>
    <w:p>
      <w:pPr>
        <w:sectPr>
          <w:pgSz w:w="11900" w:h="16838" w:orient="portrait"/>
          <w:cols w:equalWidth="0" w:num="1">
            <w:col w:w="11320"/>
          </w:cols>
          <w:pgMar w:left="24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gridSpan w:val="7"/>
          </w:tcPr>
          <w:p>
            <w:pPr>
              <w:jc w:val="center"/>
              <w:ind w:right="30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3040" w:type="dxa"/>
            <w:vAlign w:val="bottom"/>
            <w:gridSpan w:val="7"/>
          </w:tcPr>
          <w:p>
            <w:pPr>
              <w:ind w:left="420"/>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4"/>
          </w:tcPr>
          <w:p>
            <w:pPr>
              <w:spacing w:after="0"/>
              <w:rPr>
                <w:sz w:val="21"/>
                <w:szCs w:val="21"/>
                <w:color w:val="auto"/>
              </w:rPr>
            </w:pPr>
          </w:p>
        </w:tc>
        <w:tc>
          <w:tcPr>
            <w:tcW w:w="392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10120" w:type="dxa"/>
            <w:vAlign w:val="bottom"/>
            <w:gridSpan w:val="13"/>
          </w:tcPr>
          <w:p>
            <w:pPr>
              <w:ind w:left="420"/>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10120" w:type="dxa"/>
            <w:vAlign w:val="bottom"/>
            <w:gridSpan w:val="13"/>
          </w:tcPr>
          <w:p>
            <w:pPr>
              <w:ind w:left="420"/>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10120" w:type="dxa"/>
            <w:vAlign w:val="bottom"/>
            <w:gridSpan w:val="13"/>
          </w:tcPr>
          <w:p>
            <w:pPr>
              <w:ind w:left="420"/>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5"/>
          </w:tcPr>
          <w:p>
            <w:pPr>
              <w:jc w:val="center"/>
              <w:ind w:right="408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06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3180" w:type="dxa"/>
            <w:vAlign w:val="bottom"/>
            <w:gridSpan w:val="8"/>
          </w:tcPr>
          <w:p>
            <w:pPr>
              <w:ind w:left="420"/>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2860" w:type="dxa"/>
            <w:vAlign w:val="bottom"/>
            <w:tcBorders>
              <w:top w:val="single" w:sz="8" w:color="0000EE"/>
            </w:tcBorders>
            <w:gridSpan w:val="2"/>
          </w:tcPr>
          <w:p>
            <w:pPr>
              <w:spacing w:after="0"/>
              <w:rPr>
                <w:sz w:val="24"/>
                <w:szCs w:val="24"/>
                <w:color w:val="auto"/>
              </w:rPr>
            </w:pPr>
          </w:p>
        </w:tc>
        <w:tc>
          <w:tcPr>
            <w:tcW w:w="4080" w:type="dxa"/>
            <w:vAlign w:val="bottom"/>
            <w:gridSpan w:val="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2.</w:t>
              </w:r>
            </w:hyperlink>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1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10120" w:type="dxa"/>
            <w:vAlign w:val="bottom"/>
            <w:gridSpan w:val="13"/>
          </w:tcPr>
          <w:p>
            <w:pPr>
              <w:ind w:left="420"/>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6.</w:t>
              </w:r>
            </w:hyperlink>
          </w:p>
        </w:tc>
        <w:tc>
          <w:tcPr>
            <w:tcW w:w="10120" w:type="dxa"/>
            <w:vAlign w:val="bottom"/>
            <w:gridSpan w:val="13"/>
          </w:tcPr>
          <w:p>
            <w:pPr>
              <w:ind w:left="420"/>
              <w:spacing w:after="0"/>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business plan and strategy to develop Zimura® (avacincaptad pegol) in orphan ophthalmic indications and age-related retinal diseases and potentially expand our product pipeline, including through collaborative gene therapy research programs;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costs, conduct and outcome of our ongoing and planned clinical trials, including statements regarding the timing of the initiation of and completion of enrollment in such trials, and the costs to obtain and timing of receipt of initial results from, and the completion of, such trials;</w:t>
      </w:r>
    </w:p>
    <w:p>
      <w:pPr>
        <w:spacing w:after="0" w:line="123"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166,972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3,146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157,747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97"/>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161,551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Royalty purchase liability</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125,000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0"/>
              </w:rPr>
              <w:t>Common stock—$0.001 par value, 200,000,000 shares authorized, 36,163,811 and 36,110,298 shares issued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and outstanding at March 31, 2018 and December 31, 2017, respectively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522,759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(484,754)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38,041</w:t>
            </w:r>
          </w:p>
        </w:tc>
      </w:tr>
      <w:tr>
        <w:trPr>
          <w:trHeight w:val="25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161,551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Unaudited Statements of Operations</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31,979</w:t>
            </w:r>
          </w:p>
        </w:tc>
        <w:tc>
          <w:tcPr>
            <w:tcW w:w="0" w:type="dxa"/>
            <w:vAlign w:val="bottom"/>
          </w:tcPr>
          <w:p>
            <w:pPr>
              <w:spacing w:after="0"/>
              <w:rPr>
                <w:sz w:val="1"/>
                <w:szCs w:val="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before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36,153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35,804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00"/>
          </w:cols>
          <w:pgMar w:left="240" w:top="125" w:right="9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Unaudited Statements of Comprehensive Loss</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(43,122)</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loss on available for sale securities,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88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(43,132)</w:t>
            </w:r>
          </w:p>
        </w:tc>
      </w:tr>
      <w:tr>
        <w:trPr>
          <w:trHeight w:val="20"/>
        </w:trPr>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240" w:top="125" w:right="9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Statements of Cash Flows</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23495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7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2017</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(43,122)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premium and discounts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interest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(19,285)</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(3,375)</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(61,512)</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(12,014)</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32,119</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20,105</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employee stock plan purchases and stock option exercises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(41,376)</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133,930</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paid (received),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information related to investing activities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loss on available for sale securities, net of tax</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Ophthotech Corporation (the “Company” or “Ophthotech”) was incorporated on January 5, 2007, in Delaware. The Company is a science-driven biopharmaceutical company specializing in the development of novel therapies to treat ophthalmic diseases, with a focus on age-related and orphan retinal diseases. The Company's multi-track strategy is to leverage its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The Company is developing Zimura® (avacincaptad pegol), its complement C5 inhibitor, for dry and wet forms of age-related macular degeneration, or AMD, which is a disorder of the central portion of the retina, known as the macula, that may result in loss of central vision, and autosomal recessive Stargardt disease, or STGD1, which is an orphan inherited retinal disease that also may result in loss of central and peripheral vision. The Company is actively engaged in extensive business development efforts to identify, evaluate and potentially obtain rights to and develop additional therapeutic and gene therapy product candidates that would complement its strategic goals and leverage its competitive advantages. The Company believes that its strategy will provide multiple potential opportunities to bring ophthalmic therapies to market.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2017 filed with the Securities and Exchange Commission (SEC) on March 5,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the Company had cash and cash equivalents of approximately $154.9 million.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28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considers securities with original maturities of greater than 90 days when purchased to be available for sale securities. Available for sale securities with original maturities of greater than one year are recorded as non-current assets. Available for sale securities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 The Company did not hold any available for sale securities at March 31, 2018 or December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Prior to 2018, the Company's revenue resulted from payments received under its May 2014 licensing and commercialization agreement (the “Novartis Agreement”) with Novartis Pharma AG ("Novartis"), as modified by the July 2017 letter agreement entered into by the Company and Novartis in relation to the Novartis Agreement (the "Letter Agreement"). See "Note 5—Licensing and Commercialization Agreement with Novartis Pharma AG" below for a description of these agreements.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 On October 23, 2017, following the failure of the Phase 3 Fovista program and pursuant to the terms of the Letter Agreement, Novartis elected to terminate the Novartis Agreement with immediate effect.</w:t>
      </w:r>
    </w:p>
    <w:p>
      <w:pPr>
        <w:spacing w:after="0" w:line="23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As the Company has no products approved for sale, the Company will not receive any revenue from any product candidates that it develops until it obtains regulatory approval and commercializes such products, or until the Company potentially enters into agreements with third parties for the development and commercialization of product candidates. If the Company's development efforts for any of its product candidates result in regulatory approval or the Company enters into collaboration agreements with third parties, the Company may generate revenue from product sales or from such third parties.</w:t>
      </w:r>
    </w:p>
    <w:p>
      <w:pPr>
        <w:spacing w:after="0" w:line="7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 xml:space="preserve">In the future, the Company will evaluate revenue contracts and arrangements, if any, following the provisions of the Financial Accounting Standards Board, or FASB, Accounting Standards Codification, or ASC, </w:t>
      </w:r>
      <w:r>
        <w:rPr>
          <w:rFonts w:ascii="Arial" w:cs="Arial" w:eastAsia="Arial" w:hAnsi="Arial"/>
          <w:sz w:val="18"/>
          <w:szCs w:val="18"/>
          <w:i w:val="1"/>
          <w:iCs w:val="1"/>
          <w:color w:val="auto"/>
        </w:rPr>
        <w:t>Revenue from Contracts with Customers (Topic 606).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Company's available for sale securities are also invested in U.S. Treasury securities and investment-grade corporate debt securities. The Company believes it is not exposed to significant credit risk on its cash, cash equivalents and available for sale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active pharmaceutical ingredient, or API, for Zimura on a purchase order basis. The Company also engages a single third-party manufacturer to provide fill/finish services for clinical supplies of Zimura. In addition, the Company currently relies upon a single third-party supplier to supply it with the proprietary polyethylene glycol, or PEG, reagent used to manufacture Zimura on a purchase order basis. Furthermore, the Company and its contract manufacturers currently rely upon sole-source suppliers of certain raw materials and other specialized components of production used in the manufacture and fill/finish of Zimura.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and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manufacturing, development and clinical testing of Zimura and, historically, Fovista, as well as costs associated with the preclinical development of other product candidates and formulations. Research and development expenses consist of:</w:t>
      </w:r>
    </w:p>
    <w:p>
      <w:pPr>
        <w:spacing w:after="0" w:line="100" w:lineRule="exact"/>
        <w:rPr>
          <w:sz w:val="20"/>
          <w:szCs w:val="20"/>
          <w:color w:val="auto"/>
        </w:rPr>
      </w:pPr>
    </w:p>
    <w:p>
      <w:pPr>
        <w:jc w:val="both"/>
        <w:ind w:left="980" w:right="22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other vendors and contract manufacturing organizations ("CMOs") for the production of drug substance and drug product; and</w:t>
      </w:r>
    </w:p>
    <w:p>
      <w:pPr>
        <w:spacing w:after="0" w:line="181"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 The Company expects that research and development expenses in the future will also include the costs of the Company's collaborative gene therapy research programs, including the costs of its research collaboration with the University of Massachusetts Medical School ("UMMS"), entered into in February 2018.</w:t>
      </w:r>
    </w:p>
    <w:p>
      <w:pPr>
        <w:spacing w:after="0" w:line="22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ectPr>
          <w:pgSz w:w="11900" w:h="16838" w:orient="portrait"/>
          <w:cols w:equalWidth="0" w:num="1">
            <w:col w:w="11420"/>
          </w:cols>
          <w:pgMar w:left="240" w:top="125"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For stock options and RSUs granted as consideration for services rendered by consultants, the Company recognizes expense in accordance with the requirements of ASC 505-50,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3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months ended March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9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2.39%-2.65%</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2.10%-2.38%</w:t>
            </w:r>
          </w:p>
        </w:tc>
      </w:tr>
      <w:tr>
        <w:trPr>
          <w:trHeight w:val="27"/>
        </w:trPr>
        <w:tc>
          <w:tcPr>
            <w:tcW w:w="7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jc w:val="both"/>
        <w:ind w:right="28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options granted to employees to purchase shares under the ESPP, all of which have been reported in the Company’s Statements of Operations as follows:</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1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4,150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1,642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1,914</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3,082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6,064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model requires revenue recognition to depict the transfer of promised goods or services to customers in an amount that reflects the consideration a company expects to receive in exchange for those goods or services. On January 1, 2018, the Company adopted this guidance using the modified retrospective approach. Due to the termination of the Novartis Agreement and the Company's current lack of other revenue sources, the Company's financial statements were not impacted by adoption of this standard. The future impact of ASC 606 will be dependent on the nature of the Company’s future revenue contracts and arrangements, if any.</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clarifies the presentation of certain specific cash flow issues in the Statement of Cash Flows. For public companies, the amendments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 periods beginning after December 15, 2017, and interim periods within those annual periods and early adoption is permitted. During the three months ended March 31, 2018, the Company adopted this guidance. The adoption did not have a material impact on the Company's financial statements.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in an effort to clarify the definition of a business with the objective of adding guidance to assist entities with evaluating whether transactions should be accounted for as acquisitions (or disposals) of assets or businesses. The amendments of this ASU are effective for fiscal years beginning after December 15, 2017, and interim periods within those fiscal years. Early adoption is permitted. This new guidance will be applicable for the Company’s acquisitions on or after January 1,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assessing the impact that adopting this new accounting guidance will have on its financial statements and footnote disclosures.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Basic and diluted net income (loss) per common share calculation:</w:t>
            </w:r>
          </w:p>
        </w:tc>
        <w:tc>
          <w:tcPr>
            <w:tcW w:w="1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(43,122)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 average common shares outstanding - basic and dilutive</w:t>
            </w:r>
          </w:p>
        </w:tc>
        <w:tc>
          <w:tcPr>
            <w:tcW w:w="1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36,153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35,804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60" w:type="dxa"/>
            <w:vAlign w:val="bottom"/>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80" w:type="dxa"/>
            <w:vAlign w:val="bottom"/>
            <w:vMerge w:val="restart"/>
          </w:tcPr>
          <w:p>
            <w:pPr>
              <w:jc w:val="right"/>
              <w:ind w:right="1690"/>
              <w:spacing w:after="0"/>
              <w:rPr>
                <w:sz w:val="20"/>
                <w:szCs w:val="20"/>
                <w:color w:val="auto"/>
              </w:rPr>
            </w:pPr>
            <w:r>
              <w:rPr>
                <w:rFonts w:ascii="Arial" w:cs="Arial" w:eastAsia="Arial" w:hAnsi="Arial"/>
                <w:sz w:val="18"/>
                <w:szCs w:val="18"/>
                <w:color w:val="auto"/>
                <w:w w:val="89"/>
              </w:rPr>
              <w:t>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31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68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3,999</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678</w:t>
            </w:r>
          </w:p>
        </w:tc>
      </w:tr>
      <w:tr>
        <w:trPr>
          <w:trHeight w:val="27"/>
        </w:trPr>
        <w:tc>
          <w:tcPr>
            <w:tcW w:w="6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5,249</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March 31, 2018 and December 31, 2017, the Company had cash and cash equivalents of approximately 154.9 million and 167.0 million, respectively. Cash and cash equivalents included cash of $5.0 million at March 31, 2018 and $9.5 million at December 31, 2017. Cash and cash equivalents at March 31, 2018 and December 31, 2017 also included $149.9 million and $157.4 million, respectively, of investments in money market funds.</w:t>
      </w:r>
    </w:p>
    <w:p>
      <w:pPr>
        <w:spacing w:after="0" w:line="208"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March 31, 2018 or at December 31, 2017, respectively. During the year ended December 31, 2017, the Company's investments matured and were reinvested in money market funds.</w:t>
      </w:r>
    </w:p>
    <w:p>
      <w:pPr>
        <w:spacing w:after="0" w:line="10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believes that its existing cash and cash equivalents as of March 31, 2018 will be sufficient to fund its operations and capital expenditure requirements as currently planned for at least the next 12 months.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Prior Licensing and Commercialization Agreement with Novartis Pharma AG</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Prior to 2018, the Company's revenue resulted from payments received under the Novartis Agreement, as modified by the July 2017 letter agreement entered into by the Company and Novartis. These two agreements are described below.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the components of the Company's collaboration revenue for the three months ended March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Research and development activity revenue</w:t>
            </w:r>
          </w:p>
        </w:tc>
        <w:tc>
          <w:tcPr>
            <w:tcW w:w="112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1,658</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 transfer revenue</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Joint operating committee revenue</w:t>
            </w:r>
          </w:p>
        </w:tc>
        <w:tc>
          <w:tcPr>
            <w:tcW w:w="112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2014, the Company entered into the Novartis Agreement. Under the Novartis Agreement, the Company granted Novartis exclusive rights under specified patent rights, know-how and trademarks controlled by the Company to manufacture, from bulk API supplied by the Company,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July 2017, the Company and Novartis entered into the Letter Agreement to streamline the process and timeline for evaluating data from the OPH1004 trial once it became available. On October 23, 2017, following the failure of the Phase 3 Fovista program and pursuant to the terms of the Letter Agreement, Novartis elected to terminate the Novartis Agreement with immediate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2014, Novartis paid the Company a $200.0 million upfront payment. In each of September 2014 and March 2015, the Company achieved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million enrollment-based milestone, and in June 2016, the Company achieved a $30.0 million enrollment-based milestone, for an aggregate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 million in enrollment-based milestones under the Novartis Agreement. The Company used the relative selling price method to allocate these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contract deliverables based on its performance obligations under the Novartis Agreement.</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Activities under the Novartis Agreement were evaluated under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(“ASC 605-25”) (as amended by ASU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2009-13”)), the relevant codification applicable at the time, to determine if they represented a multiple element revenue arrangement. The Novartis Agreement included the following deliverables: (1) an exclusive license to commercialize Fovista outside the United States (the “License Deliverable”); (2) the performance obligation to conduct research and development activities related to the Phase 3 Fovista clinical trials and certain Phase 2 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 Activity Deliverable included the right and responsibility for the Company to conduct the Phase 3 Fovista clinical program and other Phase 2 studies of Fovista which were necessary or desirable for regulatory approval or commercialization of Fovista. The Manufacturing Deliverable included the obligation for the Company to supply API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Novartis Agreement included a termination right for the Company in the event that specified governmental actions prevented the parties from materially progressing the development or commercialization of licensed products. If the Company 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Letter Agreement.</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Letter Agreement also provided Novartis with a shorter notice period in the event Novartis determined to terminate the Novartis Agreement in certain circumstances. In addition, the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the fifth anniversary of the Letter Agreement.</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evaluated the Letter Agreement under ASC 605-25, the relevant codification applicable at the time, and determined that the Letter Agreement does not create any new deliverables. The Company is treating the Fovista license granted at the inception of the Novartis Agreement and the Lucentis study data license granted under the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 that were determined based on the relative selling price at contract inception. Upon entry into the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recognized $206.7 million in previously deferred collaboration revenue in connection with the Novartis Agreement. The recognition of this revenue during the third quarter of 2017 did not impact the Company's cash balance.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Company's collaboration revenue for the three months ended March 31, 2017 related to the research and development activities performed by the Company during the period under the Novartis Agreement. All activities under the Novartis agreement were completed during the third quarter of 2017 prior to the adoption of ASC 606.</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Agreement with Novo A/S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May 2013, the Company entered into a Purchase and Sale Agreement with Novo A/S, which is referred to as the Novo Agreement, pursuant to which the Company had the ability to obtain financing in three tranches in an amount of up to $125.0 million in return for the sale to Novo A/S of aggregate royalties of worldwide sales of (a) Fovista, (b) Fovista-Related Products, and (c) Other Products (each as defined in the Novo Agreement), calculated as mid-single digit percentages of net sales.</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Novo Agreement provided for up to three separate purchases for a purchase price of $41.7 million each, at a first, second and third closing, for an aggregate purchase price of $125.0 million. In each purchase, Novo A/S would acquire rights to a low single digit percentage of net sales. In each of May 2013, January 2014 and November 2014, the Company received cash payments of $41.7 million, or $125.0 million in the aggregate, and Novo A/S received, in the aggregate, a right to receive royalties on net sales of Fovista at a mid-single digit percentage.</w:t>
      </w:r>
    </w:p>
    <w:p>
      <w:pPr>
        <w:spacing w:after="0" w:line="24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royalty payment period covered by the Novo Agreement begins on commercial launch and ends, on a product-by-product and country-by-country basis, on the latest to occur of (i) the 12th anniversary of the commercial launch, (ii) the expiration of certain patent rights and (iii) the expiration of the regulatory exclusivity for each product in each country. The Company's obligations under the Novo agreement are secured by a lien on certain of the Company's intellectual property and other rights related to Fovista and other anti-PDGF products the Company may develop.</w:t>
      </w:r>
    </w:p>
    <w:p>
      <w:pPr>
        <w:spacing w:after="0" w:line="22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Under the terms of the Novo Agreement, the Company is not required to reimburse or otherwise compensate Novo A/S through any means other than the agreed royalty entitlement. In addition, the Company does not, under the terms of the Novo Agreement, have the right or obligation to prepay Novo A/S in connection with a change of control of the Company or otherwise.</w:t>
      </w:r>
    </w:p>
    <w:p>
      <w:pPr>
        <w:spacing w:after="0" w:line="235"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represents the full funding available under the Novo Agreement, and has been recorded as a liability on the Company's Balance Sheet as of March 31, 2018, in accordance with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w:t>
      </w:r>
      <w:r>
        <w:rPr>
          <w:rFonts w:ascii="Arial" w:cs="Arial" w:eastAsia="Arial" w:hAnsi="Arial"/>
          <w:sz w:val="16"/>
          <w:szCs w:val="16"/>
          <w:color w:val="auto"/>
        </w:rPr>
        <w:t>. Because there is a significant related party relationship between the Company and Novo A/S, the Company is treating its obligation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payments under the Novo Agreement as an implicit obligation to repay the funds advanced by Novo A/S. If the Company were to make royalty payments under the Novo Agreement, it would reduce the liability balance at such time. At the time that such royalty payments become probable and estimable, and if such amounts exceed the liability balance, the Company will impute interest accordingly on a prospective basis based on such estimates.</w:t>
      </w:r>
    </w:p>
    <w:p>
      <w:pPr>
        <w:spacing w:after="0" w:line="2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Novo Agreement requires the establishment of a Joint Oversight Committee in the event that Novo A/S does not continue to have a representative on the Company's board of directors. The Joint Oversight Committee would have responsibilities that include "discussion and review" of all matters related to Fovista research, development, regulatory approval and commercialization, but there is no provision either implicit or explicit that gives the Joint Oversight Committee or its members decision-making authority.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On December 22, 2017, the U.S. Tax Cuts and Jobs Act (“TCJA”) was enacted reducing the corporate tax rate from 35% to 21% effective for tax years beginning on or after January 1, 2018.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the effects of changes in tax laws to be recognized in the period in which the legislation is enacted. However, due to the complexity and significance of TCJA's provisions, the SEC staff issued </w:t>
      </w:r>
      <w:r>
        <w:rPr>
          <w:rFonts w:ascii="Arial" w:cs="Arial" w:eastAsia="Arial" w:hAnsi="Arial"/>
          <w:sz w:val="16"/>
          <w:szCs w:val="16"/>
          <w:i w:val="1"/>
          <w:iCs w:val="1"/>
          <w:color w:val="auto"/>
        </w:rPr>
        <w:t>Staff Accounting Bulletin</w:t>
      </w:r>
      <w:r>
        <w:rPr>
          <w:rFonts w:ascii="Arial" w:cs="Arial" w:eastAsia="Arial" w:hAnsi="Arial"/>
          <w:sz w:val="16"/>
          <w:szCs w:val="16"/>
          <w:color w:val="auto"/>
        </w:rPr>
        <w:t xml:space="preserve"> 118, which allows companies to record the tax effects of the TCJA on a provisional basis based on a reasonable estimate, and then, if necessary, subsequently adjust such amounts during a limited measurement period as more information becomes available. The measurement period ends when a company has obtained, prepared, and analyzed the information necessary to finalize its accounting, but cannot extend beyond one year from enactment of the TCJA.</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TCJA, the Corporate Alternative Minimum Tax ("AMT") was repealed. The Company's previously recorded Alternative Minimum Tax (“AMT”) credits of approximately $3.5 million are now refundable over a four year period beginning in 2018, and the previously recorded valuation allowance for these AMT credits was reversed during the fourth quarter of 2017. During the three months ended March 31, 2018, the Company reduced its estimate of refundable AMT credits to approximately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$3.3 million to reflect the impact of sequestration as required by the Balanced Budget and Emergency Deficit Control Act of 1985, as amended. As a result of the TCJA’s reduction in the corporate tax rate from 35% to 21% the value of the Company’s deferred tax assets, and related valuation allowance, were reduced by a provisional amount of approximately $54.6 million during the year ended December 31, 2017. The Company does not have any offshore earnings from which to record the mandatory transition tax enacted under the TCJA. Given the significant complexity of the TCJA, anticipated guidance from the US Treasury and the Internal Revenue Service about implementing the TCJA, and the potential for additional guidance from the SEC or the FASB related to the TCJA, the deferred taxes provisional amounts may be adjusted during the measurement period. These provisional amounts were based on the Company’s present interpretations of the TCJA and current available information, including assumptions and expectations about future events, such as its projected financial performance, and are subject to further refinement as additional information becomes available (including potential new interpretative guidance) and further analyses are completed.</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three months ended March 31, 2018, the Company recorded a $0.2 million provision for income taxes to reflect a reduction in the amount of deferred tax assets expected to be realized in the future. For the three months ended March 31, 2017, the Company recorded a de minimis provision for income taxes.</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 The Company does not currently hold any assets that are measured using Level 2 inputs.</w:t>
      </w:r>
    </w:p>
    <w:p>
      <w:pPr>
        <w:spacing w:after="0" w:line="155"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March 31, 2018:</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Fair Value Measurement Using</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42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4"/>
              <w:spacing w:after="0"/>
              <w:rPr>
                <w:sz w:val="20"/>
                <w:szCs w:val="20"/>
                <w:color w:val="auto"/>
              </w:rPr>
            </w:pPr>
            <w:r>
              <w:rPr>
                <w:rFonts w:ascii="Arial" w:cs="Arial" w:eastAsia="Arial" w:hAnsi="Arial"/>
                <w:sz w:val="18"/>
                <w:szCs w:val="18"/>
                <w:color w:val="auto"/>
              </w:rPr>
              <w:t>149,928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Fair Value Measurement Using</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42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4"/>
              <w:spacing w:after="0"/>
              <w:rPr>
                <w:sz w:val="20"/>
                <w:szCs w:val="20"/>
                <w:color w:val="auto"/>
              </w:rPr>
            </w:pPr>
            <w:r>
              <w:rPr>
                <w:rFonts w:ascii="Arial" w:cs="Arial" w:eastAsia="Arial" w:hAnsi="Arial"/>
                <w:sz w:val="18"/>
                <w:szCs w:val="18"/>
                <w:color w:val="auto"/>
              </w:rPr>
              <w:t>162,457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40" w:right="40" w:hanging="108"/>
        <w:spacing w:after="0" w:line="518" w:lineRule="auto"/>
        <w:tabs>
          <w:tab w:leader="none" w:pos="65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Investments in money market funds with maturities less than 90 days are reflected in cash and cash equivalents in the accompanying Balance Sheets. No transfer of assets between Level 1 and Level 2 of the fair value measurement hierarchy occurred during the three months ended March 31, 2018.</w:t>
      </w:r>
    </w:p>
    <w:p>
      <w:pPr>
        <w:spacing w:after="0" w:line="4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Company's available for sale securities are reported at fair value on the Company's Balance Sheets. The Company held no available for sale securities for the three month period ended March 31, 2018. Unrealized gains (losses) are reported within accumulated other comprehensive income (loss) in the statements of comprehensive loss. The cost of securities sold and any realized gains/losses from the sale of available for sale securities are based on the specific identification method. The changes in accumulated other comprehensive loss associated with the unrealized loss on available for sale securities for the three months ended March 31, 2018 and March 31, 2017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106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and Compensation Plans</w:t>
      </w:r>
    </w:p>
    <w:p>
      <w:pPr>
        <w:spacing w:after="0" w:line="148"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were reserved for issuance under the 2013 Plan was the sum of (1) such number of shares (up to approximately 3,359,641 shares) as is equal to the sum of 739,317 shares (the number of shares of the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85"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Annual increases under the evergreen provisions of the 2013 Plan have resulted in the addition of an aggregate of approximately 6,898,000 additional shares to the 2013 Plan, including for 2018, an increase of approximately 1,444,000 shares, or 4% of the total number of shares of the Company's common stock outstanding as of January 1, 2018. As of March 31, 2018, the Company had approximately 2,212,000 shares available for grant under the 2013 Plan.</w:t>
      </w:r>
    </w:p>
    <w:p>
      <w:pPr>
        <w:spacing w:after="0" w:line="14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six-month offering period during the term of the ESPP. The first offering period began in September 2016.</w:t>
      </w:r>
    </w:p>
    <w:p>
      <w:pPr>
        <w:spacing w:after="0" w:line="18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March 31, 2018 is as follows (in thousands except weighted average exercise price):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Underlying 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5,284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64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Outstanding, March 31, 2018</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5,021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3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exercisable at March 31, 2018</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Weighted average grant date fair value (per share) of options granted during the period</w:t>
            </w:r>
          </w:p>
        </w:tc>
        <w:tc>
          <w:tcPr>
            <w:tcW w:w="150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As of March 31, 2018, there were outstanding, net of estimated forfeitures, options to purchase approximately 4,713,000 shares, which options had vested or are expected to vest. The weighted-average exercise price of these options was $19.10 per share; the weighted-average remaining contractual life of these options was 7.9 years; and the aggregate intrinsic value of these options was approximately $0.1 million. A summary of the stock options outstanding and exercisable as of March 31, 2018 is as follows (in thousands except exercise prices and weighted average exercise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0"/>
              </w:rPr>
              <w:t>Total Shares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which 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8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are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$0.12-$10.03</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$10.04-$20.00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$20.01-$30.00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$30.01-$40.00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$40.01-$55.00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$55.01-$73.22</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5,021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three months ended March 31, 2018 and 2017, respectively,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1120" w:type="dxa"/>
            <w:vAlign w:val="bottom"/>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stock option awards granted to employees, the Company recognized approximately $2.1 million and $4.4 million in share-based compensation expense during the three months ended March 31, 2018 and 2017, respectively, net of expected forfeitures. As of March 31, 2018, there were approximately $12.6 million of unrecognized compensation costs, net of estimated forfeitures, related to stock option awards granted to employees, which are expected to be recognized over a remaining weighted average period of 2.4 years.</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stock option awards granted to consultants, the Company recognized approximately $0.1 million and $0.1 million in share-based compensation expense during the three months ended March 31, 2018 and 2017, respectively, net of expected forfeitures. As of March 31, 2018, there were approximately $0.1 million of unrecognized compensation costs, net of estimated forfeitures, related to stock option awards granted to consultants, which are expected to be recognized over a remaining weighted average period of 1.6 years.</w:t>
      </w:r>
    </w:p>
    <w:p>
      <w:pPr>
        <w:spacing w:after="0" w:line="10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March 31, 2018 (in thousands except weighted average grant-date fair value):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Restricted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51.08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47.77</w:t>
            </w:r>
          </w:p>
        </w:tc>
      </w:tr>
      <w:tr>
        <w:trPr>
          <w:trHeight w:val="27"/>
        </w:trPr>
        <w:tc>
          <w:tcPr>
            <w:tcW w:w="7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47.17</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Outstanding, March 31, 2018</w:t>
            </w:r>
          </w:p>
        </w:tc>
        <w:tc>
          <w:tcPr>
            <w:tcW w:w="13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52.46</w:t>
            </w:r>
          </w:p>
        </w:tc>
      </w:tr>
      <w:tr>
        <w:trPr>
          <w:trHeight w:val="20"/>
        </w:trPr>
        <w:tc>
          <w:tcPr>
            <w:tcW w:w="7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As of March 31, 2018, there were approximately 134,000 RSUs outstanding, net of estimated forfeitures, that are expected to vest. The weighted-average fair value of these RSUs was $49.37 per share; and the aggregate intrinsic value of these RSUs was approximately $0.4 million.</w:t>
      </w:r>
    </w:p>
    <w:p>
      <w:pPr>
        <w:spacing w:after="0" w:line="12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connection with RSUs granted to employees, the Company recognized approximately $0.9 million and $1.3 million in share-based compensation expense during the three months ended March 31, 2018 and 2017, respectively, net of expected forfeitures. As of March 31, 2018, there was approximately $4.6 million of unrecognized compensation costs, net of estimated forfeitures, related to RSUs granted to employees, which are expected to be recognized over a remaining weighted average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period of 1.8 years. The total fair value of the RSUs that vested during the three months ended March 31, 2018 was $1.7 million.</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In connection with RSUs granted to consultants, the Company recognized a de minimis amount of share-based compensation expense and $0.1 million in share-based compensation expense during the three months ended March 31, 2018 and 2017, respectively, net of expected forfeitures. As of March 31, 2018, there were approximately $0.1 million of unrecognized compensation costs, net of estimated forfeitures, related to RSUs granted to consultants, which are expected to be recognized over a remaining weighted average period of 1.5 years.</w:t>
      </w:r>
    </w:p>
    <w:p>
      <w:pPr>
        <w:spacing w:after="0" w:line="17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connection with the ESPP made available to employees, the Company recognized a de minimis amount of share-based compensation expense during the three months ended March 31, 2018 and 2017, respectively, net of expected forfeitures. As of March 31, 2018, there was a de minimis amount of unrecognized compensation costs, net of estimated forfeitures, related to the ESPP, which are expected to be recognized over 0.5 years. There were 12,229 shares of common stock issued under the ESPP during the three months ended March 31, 2018. Cash proceeds from ESPP purchases were $27 thousand during the three months ended March 31, 2018. There were 4,746 shares of common stock issued under the ESPP plan during the three months ended March 31, 2017. As of March 31, 2018, there were 971,413 shares available for future purchases under the ESPP.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March 31, 2018 and December 31, 2017 were as follows: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2017</w:t>
            </w: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13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7 - 10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1380" w:type="dxa"/>
            <w:vAlign w:val="bottom"/>
          </w:tcPr>
          <w:p>
            <w:pPr>
              <w:jc w:val="right"/>
              <w:ind w:right="55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933</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r>
      <w:tr>
        <w:trPr>
          <w:trHeight w:val="20"/>
        </w:trPr>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2018 and 2017, depreciation expense was $50 thousand and $808 thousand,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48"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Under the license agreement, for each anti</w:t>
      </w:r>
      <w:r>
        <w:rPr>
          <w:rFonts w:ascii="MS PGothic" w:cs="MS PGothic" w:eastAsia="MS PGothic" w:hAnsi="MS PGothic"/>
          <w:sz w:val="17"/>
          <w:szCs w:val="17"/>
          <w:color w:val="auto"/>
        </w:rPr>
        <w:t>‑</w:t>
      </w:r>
      <w:r>
        <w:rPr>
          <w:rFonts w:ascii="Arial" w:cs="Arial" w:eastAsia="Arial" w:hAnsi="Arial"/>
          <w:sz w:val="17"/>
          <w:szCs w:val="17"/>
          <w:color w:val="auto"/>
        </w:rPr>
        <w:t>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license agreement, the Company is also obligated to make additional payments to Archemix of up to an aggregate of $22.5 million if the Company achieves specified commercial milestones based on net product sales of all anti</w:t>
      </w:r>
      <w:r>
        <w:rPr>
          <w:rFonts w:ascii="MS PGothic" w:cs="MS PGothic" w:eastAsia="MS PGothic" w:hAnsi="MS PGothic"/>
          <w:sz w:val="17"/>
          <w:szCs w:val="17"/>
          <w:color w:val="auto"/>
        </w:rPr>
        <w:t>‑</w:t>
      </w:r>
      <w:r>
        <w:rPr>
          <w:rFonts w:ascii="Arial" w:cs="Arial" w:eastAsia="Arial" w:hAnsi="Arial"/>
          <w:sz w:val="17"/>
          <w:szCs w:val="17"/>
          <w:color w:val="auto"/>
        </w:rPr>
        <w:t>C5 products licensed under the agreement. The Company is also obligated to pay Archemix a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specified non</w:t>
      </w:r>
      <w:r>
        <w:rPr>
          <w:rFonts w:ascii="MS PGothic" w:cs="MS PGothic" w:eastAsia="MS PGothic" w:hAnsi="MS PGothic"/>
          <w:sz w:val="17"/>
          <w:szCs w:val="17"/>
          <w:color w:val="auto"/>
        </w:rPr>
        <w:t>‑</w:t>
      </w:r>
      <w:r>
        <w:rPr>
          <w:rFonts w:ascii="Arial" w:cs="Arial" w:eastAsia="Arial" w:hAnsi="Arial"/>
          <w:sz w:val="17"/>
          <w:szCs w:val="17"/>
          <w:color w:val="auto"/>
        </w:rPr>
        <w:t>royalty payments the Company may receive from any sublicensee of its rights under the C5 agreement. The Company is not obligated to pay Archemix a running royalty based on net product sales in connection with the C5 agreement.</w:t>
      </w:r>
    </w:p>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 and CMOs represent significant costs in clinical development. Subject to required notice periods and the Company’s obligations under binding purchase orders, the Company can elect to discontinue the work under these agreements at any time.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The complaint purports to be brought on behalf of shareholders who purchased the Company's common stock between May 11, 2015 and December 12, 2016. The complaint generally alleges that the Company and certain of its officers violated Sections 10(b) and/or 20(a) of the Securities Exchange Act of 1934 and Rule 10b-5 promulgated thereunder by making allegedly false and/or misleading statements concerning the prospects of the Company's Phase 3 trials for Fovista in combination with anti-VEGF agents for the treatment of wet AMD. The complaint seeks equitable and/or injunctive relief, unspecified damages, attorneys’ fees, and other costs.</w:t>
      </w:r>
    </w:p>
    <w:p>
      <w:pPr>
        <w:spacing w:after="0" w:line="18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March 9, 2017, a second putative class action lawsuit was filed against the Company and the same group of its current and former executive officers in the United States District Court for the Southern District of New York, captioned Wasson v. Ophthotech Corporation, et al., No. 1:17-cv-01758. The complaint purports to be brought on behalf of shareholders who purchased the Company’s common stock between May 11, 2015 and December 9, 2016. The allegations made in the complaint are similar to those made in the Micholle complaint. Putative lead plaintiffs in the Micholle action have moved to consolidate the Micholle and Wasson actions. These cases were consolidated on March 13, 2018. The deadline for lead plaintiff to file an amended complaint is June 4, 2018. The Company intends to file a motion to dismiss the consolidated case on or before July 19, 2018.</w:t>
      </w:r>
    </w:p>
    <w:p>
      <w:pPr>
        <w:spacing w:after="0" w:line="16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February 7, 2018, a shareholder derivative action was filed against the members of the Company’s Board of Directors in the New York Supreme Court Commercial Division, captioned Cano v. Guyer, et al., No. 650601/2018. The complaint alleges that defendants breached their fiduciary duties to the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behalf of the Company, as well as an order directing the Company to reform and improve its corporate governance and internal procedures to comply with applicable laws, attorneys’ fees, and other costs. The Company intends to file a motion to dismiss this case on or before May 14, 2018.</w:t>
      </w:r>
    </w:p>
    <w:p>
      <w:pPr>
        <w:spacing w:after="0" w:line="18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Company denies any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business plans and strategies that are important to the Company's ability to grow its business, any of which could have a material adverse effect on the Company's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Activities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December 2016, the Company announced its intention to implement a reduction in personnel to focus on an updated business plan. In January 2017, the Board of Directors approved a plan to implement a reduction in personnel involving approximately 80% of the Company’s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8"/>
          <w:szCs w:val="18"/>
          <w:color w:val="auto"/>
        </w:rPr>
        <w:t>January 2017, the Company issued a notice of termination under the Lease Agreement, dated as of September 30, 2007, between the Company</w:t>
      </w:r>
      <w:r>
        <w:rPr>
          <w:rFonts w:ascii="Arial" w:cs="Arial" w:eastAsia="Arial" w:hAnsi="Arial"/>
          <w:sz w:val="16"/>
          <w:szCs w:val="16"/>
          <w:color w:val="auto"/>
        </w:rPr>
        <w:t xml:space="preserve"> </w:t>
      </w:r>
      <w:r>
        <w:rPr>
          <w:rFonts w:ascii="Arial" w:cs="Arial" w:eastAsia="Arial" w:hAnsi="Arial"/>
          <w:sz w:val="18"/>
          <w:szCs w:val="18"/>
          <w:color w:val="auto"/>
        </w:rPr>
        <w:t>and One Penn Plaza LLC, as previously supplemented and amended (as so supplemented and amended, the “Lease”) for office space at One Penn Plaza in New York, New York. The termination of the Lease triggered an early termination payment by the Company of approximately $0.9 million. On November 1, 2017, the Company and One Penn Plaza LLC executed a further amendment to the Lease extending the term of the Lease to the end of 2018. Payments under the further lease amendment will not constitute restructuring charges.</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January 26, 2017, the Company issued a notice of termination under the Sublease Agreement between the Company and Otsuka America Pharmaceutical, Inc. (the “Sublease”) for office space at One University Square, Princeton, New Jersey. The termination of the Sublease triggered an early termination payment by the Company of approximately $1.2 million and became effective February 2018, through which time the Company was responsible for paying continuing rental fees, as well as taxes, operating expenses and utility and other charges related to the subleased premises.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January 26, 2017, the Company issued a notice of termination under its Office Lease Agreement between the Company and PSN Partners, L.P. (the "Office Lease") for office space in Palmer Square in Princeton, New Jersey. The termination of the Office Lease did not trigger any early termination payment.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connection with the Company's restructuring activities, the Company recognized severance, stock compensation, other employee costs and lease termination costs, all of which have been reported in the Company’s Statements of Operations, as follows:</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4,835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3,941</w:t>
            </w:r>
          </w:p>
        </w:tc>
      </w:tr>
      <w:tr>
        <w:trPr>
          <w:trHeight w:val="27"/>
        </w:trPr>
        <w:tc>
          <w:tcPr>
            <w:tcW w:w="8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8,776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of March 31, 2018, the Company's accrual balance for severance and benefit costs was $0.6 million which was recorded in "Accounts payable and accrued expenses" in the Company's Balance Sheet. The severance and other employee cost accruals as of March 31, 2018 are expected to be paid through to December of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severance-related accrual activity for the three months ended March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w w:val="90"/>
              </w:rPr>
              <w:t>Accrued Severance and Other</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Employee Costs</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Accrued restructuring expenses</w:t>
            </w:r>
          </w:p>
        </w:tc>
        <w:tc>
          <w:tcPr>
            <w:tcW w:w="5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5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5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100" w:type="dxa"/>
            <w:vAlign w:val="bottom"/>
            <w:vMerge w:val="restart"/>
          </w:tcPr>
          <w:p>
            <w:pPr>
              <w:jc w:val="right"/>
              <w:ind w:right="325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2017 included in our Annual Report on Form 10-K filed with the Securities and Exchange Commission on March 5, 2018.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a science-driven biopharmaceutical company specializing in the development of novel therapies to treat ophthalmic diseases, with a focus on age-related and orphan retinal diseases. Our multi-track strategy is to leverage our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We believe that there are advantages to pursuing drug development for orphan indications, including the potential for regulatory exclusivity, the potential for clinical trials with smaller sample sizes and the potential for accelerated development timelines.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IND-enabling studies and clinical trials for eye diseases, and specifically back of the eye diseases, provide us a competitive advantage.</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developing Zimura® (avacincaptad pegol), our complement C5 inhibitor, for dry and wet forms of age-related macular degeneration, or AMD, which is a disorder of the central portion of the retina, known as the macula, that may result in loss of central vision, and autosomal recessive Stargardt disease, or STGD1, which is an orphan inherited retinal disease that also may result in loss of central and peripheral vision. In connection with our Stargardt clinical trial, which we recently initiated, we have expanded our network of thought leaders and clinical trial sites for orphan ophthalmic indications to include leading research university hospitals around the world, where patients with orphan retinal diseases are often referred.</w:t>
      </w:r>
    </w:p>
    <w:p>
      <w:pPr>
        <w:spacing w:after="0" w:line="17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are actively engaged in extensive business development efforts to identify, evaluate and potentially obtain rights to and develop additional therapeutic and gene therapy product candidates that would complement our strategic goals and leverage our competitive advantages. We believe that our strategy will provide multiple potential opportunities to bring ophthalmic therapies to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Based on our Zimura development experience to date, as well as scientific literature in the field, we believe there is a strong rationale to pursue the development of our C5 complement inhibitor, Zimura, in multiple ophthalmic diseases. Zimura is a chemically-synthesized, pegylated RNA aptamer. Aptamers are short molecules made up of a single stranded nucleic acid sequence or an amino acid sequence that bind molecular targets with high selectivity and specificity. We have multiple clinical development programs for Zimura ongoing or planned to initiate by the end of 2018. Our ongoing and planned clinical trials for Zimura, all of which are designed to obtain data to guide potential future development efforts, include the following:</w:t>
      </w:r>
    </w:p>
    <w:p>
      <w:pPr>
        <w:spacing w:after="0" w:line="154" w:lineRule="exact"/>
        <w:rPr>
          <w:sz w:val="20"/>
          <w:szCs w:val="20"/>
          <w:color w:val="auto"/>
        </w:rPr>
      </w:pPr>
    </w:p>
    <w:p>
      <w:pPr>
        <w:ind w:left="980" w:right="220" w:hanging="324"/>
        <w:spacing w:after="0" w:line="31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OPH2003 (geographic atrophy (GA) secondary to dry AMD)</w:t>
      </w:r>
      <w:r>
        <w:rPr>
          <w:rFonts w:ascii="Arial" w:cs="Arial" w:eastAsia="Arial" w:hAnsi="Arial"/>
          <w:sz w:val="16"/>
          <w:szCs w:val="16"/>
          <w:color w:val="auto"/>
        </w:rPr>
        <w:t>: an ongoing, randomized, double–masked, sham controlled,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Phase 2b clinical trial evaluating the safety and efficacy of Zimura monotherapy in patients with geographic atrophy, or GA, secondary to dry AMD. GA, the end stage of dry AMD, is a disease characterized by retinal cell death and degeneration of retinal tissue.</w:t>
      </w:r>
    </w:p>
    <w:p>
      <w:pPr>
        <w:spacing w:after="0" w:line="142" w:lineRule="exact"/>
        <w:rPr>
          <w:rFonts w:ascii="Arial" w:cs="Arial" w:eastAsia="Arial" w:hAnsi="Arial"/>
          <w:sz w:val="16"/>
          <w:szCs w:val="16"/>
          <w:color w:val="auto"/>
        </w:rPr>
      </w:pPr>
    </w:p>
    <w:p>
      <w:pPr>
        <w:ind w:left="980" w:right="14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anti-vascular endothelial growth factor, or anti-VEGF, agent Lucentis® (ranibizumab) for the treatment of wet AMD in patients who have not previously been treated with anti-VEGF agents, referred to as treatment-naïve patients. Wet AMD is characterized by the presence and growth of abnormal new blood vessels under and through the retina. In May 2018, we announced completion of enrollment for this trial with a total of 64 patients enrolled.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right="280" w:hanging="324"/>
        <w:spacing w:after="0" w:line="303"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OPH2006 (IPCV)</w:t>
      </w:r>
      <w:r>
        <w:rPr>
          <w:rFonts w:ascii="Arial" w:cs="Arial" w:eastAsia="Arial" w:hAnsi="Arial"/>
          <w:sz w:val="16"/>
          <w:szCs w:val="16"/>
          <w:color w:val="auto"/>
        </w:rPr>
        <w:t>: an ongoing, randomized, dose-ranging, open-label Phase 2a clinical trial of Zimura in combination with the anti-VEGF</w:t>
      </w:r>
      <w:r>
        <w:rPr>
          <w:rFonts w:ascii="Arial" w:cs="Arial" w:eastAsia="Arial" w:hAnsi="Arial"/>
          <w:sz w:val="16"/>
          <w:szCs w:val="16"/>
          <w:b w:val="1"/>
          <w:bCs w:val="1"/>
          <w:color w:val="auto"/>
        </w:rPr>
        <w:t xml:space="preserve"> </w:t>
      </w:r>
      <w:r>
        <w:rPr>
          <w:rFonts w:ascii="Arial" w:cs="Arial" w:eastAsia="Arial" w:hAnsi="Arial"/>
          <w:sz w:val="16"/>
          <w:szCs w:val="16"/>
          <w:color w:val="auto"/>
        </w:rPr>
        <w:t>agent Eylea® (aflibercept) for the treatment of idiopathic polypoidal choroidal vasculopathy, or IPCV, in patients who have not responded to Eylea monotherapy. IPCV is an age-related retinal disease involving the choroidal vasculature characterized by the presence of polypoidal lesions, which leads to vision loss. We are at a very early stage of site initiation and patient recruitment for this trial.</w:t>
      </w:r>
    </w:p>
    <w:p>
      <w:pPr>
        <w:spacing w:after="0" w:line="151" w:lineRule="exact"/>
        <w:rPr>
          <w:rFonts w:ascii="Arial" w:cs="Arial" w:eastAsia="Arial" w:hAnsi="Arial"/>
          <w:sz w:val="16"/>
          <w:szCs w:val="16"/>
          <w:color w:val="auto"/>
        </w:rPr>
      </w:pPr>
    </w:p>
    <w:p>
      <w:pPr>
        <w:ind w:left="980" w:right="60" w:hanging="324"/>
        <w:spacing w:after="0" w:line="266"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autosomal recessive Stargardt disease, referred to as STGD1. We are at an early stage of patient recruitment for this trial.</w:t>
      </w:r>
    </w:p>
    <w:p>
      <w:pPr>
        <w:spacing w:after="0" w:line="176" w:lineRule="exact"/>
        <w:rPr>
          <w:rFonts w:ascii="Arial" w:cs="Arial" w:eastAsia="Arial" w:hAnsi="Arial"/>
          <w:sz w:val="18"/>
          <w:szCs w:val="18"/>
          <w:b w:val="1"/>
          <w:bCs w:val="1"/>
          <w:color w:val="auto"/>
        </w:rPr>
      </w:pPr>
    </w:p>
    <w:p>
      <w:pPr>
        <w:ind w:left="980" w:right="26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Non-infectious intermediate and posterior uveitis</w:t>
      </w:r>
      <w:r>
        <w:rPr>
          <w:rFonts w:ascii="Arial" w:cs="Arial" w:eastAsia="Arial" w:hAnsi="Arial"/>
          <w:sz w:val="18"/>
          <w:szCs w:val="18"/>
          <w:color w:val="auto"/>
        </w:rPr>
        <w:t>: a planned open-label Phase 2a clinical trial of Zimura monotherapy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non-infectious intermediate and posterior uveitis, a rare inflammatory disease of the back of the eye.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current status of these ongoing and planned Zimura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152400</wp:posOffset>
            </wp:positionV>
            <wp:extent cx="5848985" cy="3249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Business Development and Pipeline Expansion Activities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Since early 2017, we have been engaged in extensive business development efforts. Without limiting any option, the principal focus of this plan, based on our deep expertise and experience in ophthalmic drug development, has been to actively explore obtaining rights to additional products, product candidates and technologies to treat ophthalmic diseases, particularly those in the back of the eye. We evaluated a large number of assets and platforms during 2017 and continue to actively review assets, platforms and other compelling ophthalmology opportunities that would complement our strategic goals. We have considered multiple opportunities over the last several months, including in-licensing, obtaining rights to products, product candidates or technologies, acquisitions, mergers and reverse mergers. Our selection criteria are based on several factors. In general, we are looking for:</w:t>
      </w:r>
    </w:p>
    <w:p>
      <w:pPr>
        <w:spacing w:after="0" w:line="16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compelling science;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identified unmet medical need based on the current standard of care;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meaningful commercial opportunity based on existing treatment options and treatment options known to be in development;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areas where we believe we can apply our competitive advantages.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our work to date, among the novel technologies we have evaluated, we believe that gene therapy solutions may be particularly well-suited for our strategy as potential treatments for both orphan and age-related eye diseases. We remain committed to being opportunistic and will consider other compelling opportunities that may emerge.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Program</w:t>
      </w:r>
      <w:r>
        <w:rPr>
          <w:rFonts w:ascii="Arial" w:cs="Arial" w:eastAsia="Arial" w:hAnsi="Arial"/>
          <w:sz w:val="18"/>
          <w:szCs w:val="18"/>
          <w:color w:val="auto"/>
        </w:rPr>
        <w:t>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February 2018, we announced that an element of our strategy will include initiating collaborative gene therapy programs focused on discovering and developing novel gene therapy technologies to treat retinal diseases. We intend to investigate promising gene therapy product candidates through collaborations with leading companies and academic and research institutions in the United States and internationally.</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our first gene therapy research collaboration, we have entered into a series of sponsored research agreements with the University of Massachusetts Medical School, or UMMS, and its Horae Gene Therapy Center to utilize novel gene delivery methods and UMMS's "minigene" therapy approach to target retinal diseases. AAV vectors are generally limited as a delivery vehicle by the size of their genetic cargo, which is restricted to approximately 4,700 base pairs of genetic code. The use of "minigenes" as a novel therapeutic strategy seeks to deliver a shortened but still functional form of a larger gene packaged into a standard-size AAV delivery vector. The "minigene" strategy may offer an innovative solution for diseases that would otherwise be difficult to address through conventional AAV gene replacement therapy where the size of the gene of interest exceeds the transgene packaging capacity of conventional AAV vectors. Furthermore, one of the differentiating advantages of the "minigene" approach is that it could potentially provide a treatment that is independent of a patient's specific mutation. The scope of the UMMS collaboration addresses Leber Congenital Amaurosis type 10, or LCA10, which is the most common type of LCA and is caused by mutations in the CEP290 gene, and STGD1, which is caused by mutations in the ABCA4 gene. LCA10 and STGD1 are both orphan inherited degenerative retinal diseases that lead to vision loss without any FDA or EMA approved treatment. As a condition of each sponsored research agreement, UMMS has granted us an option to obtain an exclusive license to any patents or patent applications that result from the sponsored research. Our aggregate financial commitment for the sponsored research agreements is in the low, single-digit millions of dollars.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 Wind-down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indicating that these trials failed to achieve their pre-specified primary endpoints. We have terminated these trials, as well as several other smaller Fovista trials in wet AMD, which we have referred to as the Fovista Expansion Studies. The National Eye Institute and an academic pre-clinical program are evaluating various uses of Fovista for the treatment of retinal capillary hemangiomas associated with the orphan disease Von-Hippel-Lindau Syndrome, and for the treatment of retinoblastoma, a rare cancer of the eye in children, respectively. We have completed our commitments to these two programs, which primarily involved providing Fovista drug product and drug substance that we had on hand for use in the studies.</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Therefore, we do not currently expect any further development activity for Fovista going forward, as we have no intentions to resume development of Fovista in wet AMD and our supply commitments for the two external studies are complete.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Novartis Agreement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from bulk active pharmaceutical ingredient, or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rights, as well as a pre-filled syringe presentation of such products and to use commercially reasonable efforts, subject to obtaining marketing 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to streamline the process and timeline for evaluating data from the final Fovista Phase 3 clinical trial once it became available. On October 23, 2017, following the failure of the Phase 3 Fovista program and pursuant to the terms of the July 2017 letter agreement, Novartis elected to terminate the Novartis Agreement with immediate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March 31, 2018, we had cash and cash equivalents of $154.9 million. We estimate our year end 2018 cash and cash equivalents to range between $112.0 million and $117.0 million based on our current 2018 business plan and planned capital expenditures. This estimate includes continuation of our development programs for Zimura and the continuation of our collaborative gene therapy research programs as currently planned.</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a result of our ongoing reassessment of our development programs and potential business development opportunities and pipeline expansion activities, we may modify, expand or terminate some or all of our research or development programs or clinical trials at any time. The outcome of these reassessments, as well as the progress of our plans to potentially acquire additional products, product candidates or technologies will determine whether and to what extent we will continue to incur research and development costs for each of our development programs going forward.</w:t>
      </w:r>
    </w:p>
    <w:p>
      <w:pPr>
        <w:spacing w:after="0" w:line="15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whether we are successful in our pursuit to acquire or in-license and subsequently develop additional product candidates or technologies. We may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Prior to 2018, our revenue resulted from payments received under the Novartis Agreement as modified by the July 2017 letter agreement we entered into with Novartis in relation to the Novartis Agreement, both of which are described below under "—Liquidity and Capital Resources—Prior Licensing and Commercialization Agreement with Novartis Pharma AG." We used the relative selling price method to allocate arrangement consideration to our performance obligations under the Novartis Agreement. We completed the deliverables under the Novartis Agreement during the third quarter of 2017.</w:t>
      </w:r>
    </w:p>
    <w:p>
      <w:pPr>
        <w:spacing w:after="0" w:line="20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October 23, 2017, following the failure of the Fovista Phase 3 program and pursuant to the terms of the July 2017 letter agreement, Novartis elected to terminate the Novartis Agreement with immediate effect. As we have no products approved for sale, we will not receive any revenue from any product candidates that we develop until we obtain regulatory approval and commercialize such products, or until we potentially enter into agreements with third parties for the development and commercialization of product candidates. If our development efforts for any of our product candidates result in regulatory approval or we enter into collaboration agreements with third parties, we may generate revenue from product sales or from such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development and clinical testing and manufacturing of Zimura and, historically, Fovista, as well as costs associated with the preclinical development of other product candidates and formulations. Our research and development expenses consist of:</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or CROs, and other vendors and contract manufacturing organizations, or CMOs, for the production of API and drug product; and</w:t>
      </w:r>
    </w:p>
    <w:p>
      <w:pPr>
        <w:spacing w:after="0" w:line="181"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 We expect that research and development expenses in the future will also include the costs of our collaborative gene therapy research programs, including the costs of our research collaboration with UMMS, entered into in February 2018.</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account for non-refundable advance payments for goods and services that will be used in future research and development 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2018 and 2017: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4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82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Fovista</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Zimura</w:t>
            </w:r>
          </w:p>
        </w:tc>
        <w:tc>
          <w:tcPr>
            <w:tcW w:w="82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3,975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5,632</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Personnel-related</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4,150</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8"/>
              </w:rPr>
              <w:t>7,686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31,979</w:t>
            </w:r>
          </w:p>
        </w:tc>
      </w:tr>
      <w:tr>
        <w:trPr>
          <w:trHeight w:val="27"/>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expect to continue to incur significant research and development expenses as we pursue the development of Zimura as currently planned. We also expect very limited research and development expenses related to Fovista in the future, as we have terminated our Fovista development programs and have no plans for the future development of Fovista. As we pursue our ongoing and planned Zimura development programs and our collaborative gene therapy research programs, or as we commence any new development efforts in relation to additional product candidates we may in-license or acquire as we pursue our business plan, we expect that our overall research and development expenses will begin to increase from the current level of expenditure.</w:t>
      </w:r>
    </w:p>
    <w:p>
      <w:pPr>
        <w:spacing w:after="0" w:line="158"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expenses may exceed our expectations if we experience any unforeseen issue in our ongoing clinical trials, such as delays in enrollment or issues with the availability of drug supply or, if we further expand the scope of our clinical trials or collaborative research programs. Our costs may also exceed our expectations for other reasons, for example, if we experience issues with process development, establishing or scaling-up of manufacturing activities or activities to enable and qualify second source suppliers or if we decide to increase preclinical and clinical research and development activities, including by entering into new collaborative research programs, in-licensing or acquiring, and pursuing the development of, additional product candidates, building internal research capabilities or pursuing internal research efforts.</w:t>
      </w:r>
    </w:p>
    <w:p>
      <w:pPr>
        <w:spacing w:after="0" w:line="17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“Liquidity and Capital Resources” section on page 32 of this Quarterly Report on Form 10-Q for more information regarding our current and future financial resources and our expectations regarding our research and development expenses and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costs for personnel, including share-based compensation expense, in our executive, legal, finance, human resources, investor relations and business development functions. Other general and administrative expenses include facility costs and professional fees for legal, patent, pre-launch commercialization activities, if any, travel expenses, consulting and accounting services.</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anticipate that our general and administrative expenses will decrease in future periods as compared to 2017 levels as a result of a reduction in personnel to focus on our revised business plan, which we expect will involve a total expected workforce of approximately 40 employees. We substantially completed the reduction in personnel during 2017 as part of implementing our revised business plan. The expected decreases in our general and administrative expenses as compared to 2017 levels may be partially offset by expenses related to business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have invested our cash and cash equivalents in money market funds, which generate a nominal amount of interest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CMOs and other vendors in connection with research and development and manufacturing activities.</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base our expenses related to academic research collaborators,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May 2014, we received an upfront payment of $200.0 million in connection with our entry into the Novartis Agreement, which was not recorded as revenue due to the existence of a contingency with respect to our right to terminate the agreement in certain circumstances and the associated termination fee equivalent to the entire $200.0 million upfront payment, which we would have been required to pay if we elected to exercise this termination option. In each of September 2014 and March 2015, we achieved a $50.0 million enrollment-based milestone, and in June 2016, we achieved a $30.0 million enrollment-based milestone, for an aggregate total of $130.0 million in milestones, under the Novartis Agreement. We used the relative selling price method to allocate these payments to contract deliverables based on our performance obligations under the Novartis Agreement.</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July 2017 letter agreement with Novartis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On October 23, 2017, following the failure of the Fovista Phase 3 program and pursuant to the terms of the July 2017 letter agreement, Novartis elected to terminate the Novartis Agreement with immediate effect.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the components of our collaboration revenue for the three months ended March 31, 2018 and 2017:</w:t>
      </w:r>
    </w:p>
    <w:p>
      <w:pPr>
        <w:spacing w:after="0" w:line="365"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4"/>
        </w:trPr>
        <w:tc>
          <w:tcPr>
            <w:tcW w:w="86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7"/>
                <w:szCs w:val="17"/>
                <w:color w:val="auto"/>
              </w:rPr>
            </w:pP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8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1,658</w:t>
            </w:r>
          </w:p>
        </w:tc>
      </w:tr>
      <w:tr>
        <w:trPr>
          <w:trHeight w:val="27"/>
        </w:trPr>
        <w:tc>
          <w:tcPr>
            <w:tcW w:w="8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8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The proceeds from the financing we received under our Fovista royalty financing agreement with Novo A/S, or the Novo Agreement, have been recorded as a liability on our Balance Sheet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Although there is no explicit repayment obligation contained in the Novo Agreement, because there was a significant related party relationship between us and Novo A/S at the time the Novo Agreement was entered into, we are treating our obligation to make royalty payments under the Novo Agreement as an implicit obligation to repay the funds advanced by Novo A/S, and thus have recorded the proceeds as a liability on our Balance Sheet. In the event that we make royalty payments to Novo A/S, we will reduce the liability balance. At the time that such royalty payments become probable and estimable, and if such amounts exceed the liability balance, we will impute interest accordingly on a prospective basis based on such estimates, which would result in a corresponding increase in the liability balance.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that we make highly subjective assumptions.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months ended March 31,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2.39%-2.65%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2.10%-2.38%</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Share-based compensation expense for equity grants to employees, non-employee directors and consultants was $3.1 million and $6.1 million for the three months ended March 31, 2018 and 2017, respectively. As of March 31, 2018, we had $17.4 million of total unrecognized share-based compensation expense, which we expect to recognize over a weighted-average remaining vesting period of approximately 2.2 years. We expect our share-based compensation expense for our equity awards to employees, non-employee directors and consultants to increase as a result of recognizing our existing unrecognized share-based compensation for awards that will vest and as we issue additional equity awards to attract and retain our employees.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2018 and 2017,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75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196"/>
        </w:trPr>
        <w:tc>
          <w:tcPr>
            <w:tcW w:w="7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7"/>
                <w:szCs w:val="17"/>
                <w:color w:val="auto"/>
              </w:rPr>
            </w:pPr>
          </w:p>
        </w:tc>
      </w:tr>
      <w:tr>
        <w:trPr>
          <w:trHeight w:val="256"/>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4,150</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1,642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1,914</w:t>
            </w:r>
          </w:p>
        </w:tc>
      </w:tr>
      <w:tr>
        <w:trPr>
          <w:trHeight w:val="27"/>
        </w:trPr>
        <w:tc>
          <w:tcPr>
            <w:tcW w:w="7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3,082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6,064</w:t>
            </w:r>
          </w:p>
        </w:tc>
      </w:tr>
      <w:tr>
        <w:trPr>
          <w:trHeight w:val="20"/>
        </w:trPr>
        <w:tc>
          <w:tcPr>
            <w:tcW w:w="7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December 22, 2017, the U.S. Tax Cuts and Jobs Act, or the TCJA, was enacted reducing the corporate tax rate from 35% to 21% effective for tax years beginning on or after January 1, 2018. As a result of the passage of the TCJA, the value of our deferred tax assets and related valuation allowance was reduced by a provisional amount of approximately $54.6 million. Additionally, under the TCJA, the Corporate Alternative Minimum Tax, or AMT, was repealed. Accordingly, our previously recorded AMT credits of approximately $3.5 million are now refundable over a four-year period beginning in 2018 and the previously recorded valuation allowance for these AMT credits was reversed as a result of the TCJA during the fourth quarter of 2017. During the three months ended March 31, 2018, we reduced our estimate of refundable AMT credits to $3.3 million to reflect the impact of sequestration as required by the Balanced Budget and Emergency Deficit Control Act of 1985, as amended.</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deferred tax assets associated with our losses incurred to date in 2018 have a full valuation allowance recorded against them due to our history of losses and the lack of other positive evidence to support future taxable income against which these losses could be applied. See Note 7 to our financial statements in Part I-Item 1 of this Quarterly Report on Form 10-Q for further information regarding our expectations with respect to our income tax provision.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March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31,979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13,331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 provision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We recognized no collaboration revenue for the three months ended March 31, 2018, a decrease of $1.7 million compared to $1.7 million for the three months ended March 31, 2017. Collaboration revenue for the three months ended March 31, 2018 decreased as we completed all deliverables required under the Novartis Agreement during the year ended December 31, 2017.</w:t>
      </w:r>
    </w:p>
    <w:p>
      <w:pPr>
        <w:spacing w:after="0" w:line="23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Collaboration revenue for the three months ended March 31, 2017 was $1.7 million, which was allocated to research and development activities performed under the Novartis Agreement.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research and development expenses were $7.7 million for the three months ended March 31, 2018, a decrease of $24.3 million compared to $32.0 million for the three months ended March 31, 2017. The decrease in research and development expenses for the three months ended March 31, 2018 was primarily due to an $11.8 million decrease in personnel costs which included a $2.7 million decrease in stock compensation costs and a $4.8 million decrease in costs related to our previously announced reduction in force. Additionally, there was a $10.4 million decrease in costs associated with our Fovista program, including our Fovista Phase 3 clinical program and our Fovista Expansion Studies, a $1.7 million decrease associated with our Zimura program, and a $0.2 million decrease in professional services and consulting fees. The decreased costs for our Fovista program included lower costs related to Fovista manufacturing activities and lower clinical trial costs as a result of the wind-down of Fovista Phase 3 clinical trials and the Fovista Expansion Studies. The decreased costs for our Zimura program included lower costs related to the Zimura manufacturing activities offset by the increased costs related to clinical trial activities as a result of start-up costs and increased enrollment.</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general and administrative expenses were $5.6 million for the three months ended March 31, 2018, a decrease of $7.5 million, compared to $13.2 million for the three months ended March 31, 2017. The decrease in general and administrative expenses for the three months ended March 31, 2018 was primarily due to a decrease in costs to support our operations and infrastructure as a result of our reduction in force and the termination of facilities leases completed during 2017. General and administrative expenses for the three months ended March 31, 2017 included approximately $3.9 million in costs related to our previously announced reduction in force and the termination of facilities leases.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income for the three months ended March 31, 2018 was $0.5 million compared to interest income of $0.4 million for the three months ended March 31, 2017.</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recorded an income tax provision of $199 thousand and $3 thousand for the three months ended March 31, 2018 and 2017, respectively. The income tax provision recorded for the three months ended March 31, 2018 primarily related to a reduction in the amount of deferred tax assets that we expect will be realized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Since inception, we have financed our operations primarily through private placements of our preferred stock, venture debt borrowings, funding we received under the Novo Agreement, our initial public offering of common stock, which we closed in September 2013, our follow-on public offering of common stock, which we closed in February 2014, and funds we received under the Novartis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of March 31, 2018, we had cash and cash equivalents totaling $154.9 million and no debt. We currently have invested our cash and cash equivalents in money market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three months ended March 31, 2018 and 2017:</w:t>
      </w:r>
    </w:p>
    <w:p>
      <w:pPr>
        <w:spacing w:after="0" w:line="365"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(61,512)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20,105</w:t>
            </w:r>
          </w:p>
        </w:tc>
      </w:tr>
      <w:tr>
        <w:trPr>
          <w:trHeight w:val="243"/>
        </w:trPr>
        <w:tc>
          <w:tcPr>
            <w:tcW w:w="76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(41,376)</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used in operating activities for the three months ended March 31, 2018 was $12.1 million and relates primarily to net cash used to fund our Zimura research and development activities and our general and administrative operations.</w:t>
      </w:r>
    </w:p>
    <w:p>
      <w:pPr>
        <w:spacing w:after="0" w:line="2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2017 was $61.5 million and related primarily to net cash used for the wind-down of OPH1002 and OPH1003 and the Fovista Expansion Studies, implementation of a previously announced reduction in personnel and related costs, and cancellation fees related to manufacturing commitments, as well as continuation of our OPH1004 trial and general and administrative and corporate infrastructure expense.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had no net cash provided by investing activities for the three months ended March 31, 2018. Net cash provided by investing activities for the three months ended March 31, 2017 was $20.1 million and relates primarily to proceeds from the maturity of marketable securities totaling $32.1 million offset by purchases of marketable securities totaling $12.0 million.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Net cash provided by financing activities of $27 thousand for the three months ended March 31, 2018 and $31 thousand for the three months ended March 31, 2017 related to the proceeds from stock option plan exercises and purchases made under our employee stock purchase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product candidate Zimura is in clinical development. We expect to continue to incur significant research and development expenses as we pursue the development of Zimura as currently planned. We could also incur additional research and development expenses if we conclude that there is a scientific rationale for potentially developing, or if we undertake the</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an agreement with Archemix that imposes significant milestone payment obligations on us in connection with our achievement of specific clinical, regulatory and commercial milestones with respect to Zimura. It is likely that any future in-licensing or acquisition agreements that we enter into with respect to additional products, product candidates or technologies would include similar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1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if we are successful in acquiring or in-licensing rights to additional products, product candidates or technologies or progressing the clinical development of any of our product candidates or if we decide to establish internal gene therapy capabilities;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March 31, 2018, we had cash and cash equivalents of $154.9 million. We estimate our year end 2018 cash and cash equivalents to range between $112.0 million and $117.0 million based on our current 2018 business plan and planned capital expenditures. This estimate includes continuation of our development programs for Zimura and the continuation of our collaborative gene therapy research programs as currently planned. We also had $133.5 million in total liabilities as of March 31,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15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with the availability of drug supply or if we further expand the scope or size of our clinical trials or collaborative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3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Zimura or any other product candidates that we may develop;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w:t>
      </w:r>
    </w:p>
    <w:p>
      <w:pPr>
        <w:spacing w:after="0" w:line="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1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that we have sufficient funds for our current or future operating plans.</w:t>
      </w:r>
    </w:p>
    <w:p>
      <w:pPr>
        <w:spacing w:after="0" w:line="1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1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July 2017, we and Novartis entered into a letter agreement to streamline the process and timeline for evaluating data from the OPH1004 trial once it became available. The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shall continue until the fifth anniversary of the letter agreement. On October 23, 2017, following the failure of the Phase 3 Fovista program and pursuant to the terms of the Letter Agreement, Novartis elected to terminate the Novartis Agreement with immediate effect.</w:t>
      </w:r>
    </w:p>
    <w:p>
      <w:pPr>
        <w:spacing w:after="0" w:line="13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In connection with the receipt of the upfront payment from Novartis, we made a milestone payment in June 2014 of approximately $19.8 million to Nektar Therapeutics, or Nektar, pursuant to a license, manufacturing and supply agreement that we agreed to terminate with Nektar in October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Financing Agreement with Novo A/S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May 2013, we entered into the Novo Agreement, pursuant to which we had the ability to obtain financing in three tranches in an amount of up to $125.0 million in return for the sale to Novo A/S of aggregate royalties of a mid-single-digit percentage on worldwide sales of Fovista, with the royalty percentage determined by the amount of funding provided by Novo A/S. The three tranches of financing, in which Novo A/S purchased three low single-digit royalty interests and paid us $125.0 million in the aggregate, closed in May 2013, January 2014 and November 2014.</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royalty payment period begins on the commercial launch of Fovista and ends, on a country-by-country basis, on the latest to occur of the twelfth anniversary of the commercial launch of Fovista, the expiration of certain patent rights covering Fovista, and the expiration of regulatory exclusivity for Fovista, in each applicable country. Royalty payments will be payable quarterly in arrears during the royalty period. Our obligations under the Novo Agreement may also apply to certain other anti-PDGF, products we may develop.</w:t>
      </w:r>
    </w:p>
    <w:p>
      <w:pPr>
        <w:spacing w:after="0" w:line="13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1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Novo Agreement requires the establishment by Novo A/S and us of a joint oversight committee in relation to the development of Fovista in the event that Novo A/S does not continue to have a representative on our board of directors. The Novo Agreement also contains customary representations and warranties, as well as certain covenants relating to the operation of our business, including covenants requiring us to use commercially reasonable efforts to complete the Phase 3 development of Fovista, to file, prosecute and maintain certain patent rights and, in our reasonable judgment, to pursue claims of infringement of our intellectual property rights. The Novo Agreement also places certain restrictions on our business, including restrictions on our ability to grant security interests in our intellectual property to third parties, to sell, transfer or out-license intellectual property, or to grant others rights to receive royalties on sales of Fovista and certain other products. We reimbursed Novo A/S for specified legal and other expenses and are required to provide Novo A/S with certain continuing information rights. We have agreed to indemnify Novo A/S and its representatives with respect to certain matters, including with respect to any third-party infringement or product liability claims relating to our products. Our obligations under the Novo agreement are secured by a lien on certain of our intellectual property and other rights related to Fovista and other anti-PDGF products we may develop.</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March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Operating Leases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Benefits (3)</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Total (4)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660" w:right="8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table above includes our contracted obligations under our sponsored research agreements. We have engaged academic research collaborators to conduct research that has potential to create or enhance technologies to assist our development and commercialization of new products or processes.</w:t>
      </w:r>
    </w:p>
    <w:p>
      <w:pPr>
        <w:spacing w:after="0" w:line="123"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February 2020. On November 1, 2017, we and One Penn Plaza LLC entered into an amendment to the lease for office space at One Penn Plaza in New York, New York extending the term of our lease, which was scheduled to expire in January 2018, through the end of December 2018.</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and Other Employee Benefits represents our commitments under the Board of Directors' approved plan to implement a reduction in personnel that involved approximately 80% of our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186" w:lineRule="exact"/>
        <w:rPr>
          <w:rFonts w:ascii="Arial" w:cs="Arial" w:eastAsia="Arial" w:hAnsi="Arial"/>
          <w:sz w:val="18"/>
          <w:szCs w:val="18"/>
          <w:color w:val="auto"/>
        </w:rPr>
      </w:pPr>
    </w:p>
    <w:p>
      <w:pPr>
        <w:ind w:left="660" w:right="100" w:hanging="328"/>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table does not include (a) any royalty payments, sublicense fees or milestone payments which may become payable to third parties under license agreements as the timing and likelihood of such payments are not known with certainty, (b) anticipated expenditures under supply agreements for periods for which we are not yet bound under binding purchase orders, (c) contracts that are entered into in the ordinary course of business that are not material in the aggregate in any period presented above and (d) our royalty purchase liability of $125.0 million as of March 31, 2018, due to the fact that royalty payment obligations are not expected given our lack of plans for the future development of Fovista or any other anti-PDGF product that would fall under our royalty obligation.</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amounts set forth in the table above, we may be required, under various agreements, to pay royalties and sublicense fees and make milestone payments. These agreements include the following:</w:t>
      </w:r>
    </w:p>
    <w:p>
      <w:pPr>
        <w:spacing w:after="0" w:line="170" w:lineRule="exact"/>
        <w:rPr>
          <w:sz w:val="20"/>
          <w:szCs w:val="20"/>
          <w:color w:val="auto"/>
        </w:rPr>
      </w:pPr>
    </w:p>
    <w:p>
      <w:pPr>
        <w:ind w:left="740" w:right="20" w:hanging="327"/>
        <w:spacing w:after="0" w:line="271"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a license agreement with Archemix, for each anti-C5 aptamer product that we may develop under the agreement, including Zimura, we are obligated to make additional payments to Archemix of up to an aggregate of $57.5 million if we achieve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agreement. We are not obligated to pay Archemix a running royalty based on net product sales in connection with the C5 agreement.</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2018 annual meeting of stockholders, as filed with the SEC on April 17, 2018.</w:t>
      </w: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clinical development. Subject to required notice periods and our obligations under binding purchase orders, we can elect to discontinue the work under these agreements at any time. We could also enter into additional collaborative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contract research, manufacturing, and supplier agreements in the future, which may require upfront payments and even long-term commitments of cash.</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are exposed to market risk related to changes in interest rates. We had cash and cash equivalents of $154.9 million as of March 31, 2018, consisting of cash and investments in money market funds. Our primary exposure to market risk is interest rate sensitivity, which is affected by changes in the general level of U.S. interest rates, particularly because a significant portion of our investments are in short-term securities. Our available for sale securities are subject to interest rate risk and will fall in value if market interest rates increase. Due to the low risk profile of our investments, an immediate 100 basis point change in interest rates would not have a material effect on the fair market value of our portfolio.</w:t>
      </w:r>
    </w:p>
    <w:p>
      <w:pPr>
        <w:spacing w:after="0" w:line="22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contract with CROs and CMOs globally. We may be subject to fluctuations in foreign currency rates in connection with certain of these agreements. Transactions denominated in currencies other than the U.S. dollar are recorded based on exchange rates at the time such transactions arise. As of March 31, 2018,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March 31, 2018 that have materially affected, or are reasonably likely to materially affect, our internal control over financial reporting.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The complaint purports to be brought on behalf of shareholders who purchased our common stock between May 11, 2015 and December 12, 2016. The complaint generally alleges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agents for the treatment of wet AMD. The complaint seeks equitable and/or injunctive relief, unspecified damages, attorneys’ fees, and other costs.</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9, 2017, a second putative class action lawsuit was filed against us and the same group of our current and former executive officers in the United States District Court for the Southern District of New York, captioned Wasson v. Ophthotech Corporation, et al., No. 1:17-cv-01758. The complaint purports to be brought on behalf of shareholders who purchased our common stock between May 11, 2015 and December 9, 2016. The allegations made in the complaint are similar to those made in the Micholle complaint. Putative lead plaintiffs in the Micholle action moved to consolidate the Micholle and Wasson actions. These cases were consolidated on March 13, 2018. The deadline for lead plaintiff to file an amended complaint is June 4, 2018. We intend to file a motion to dismiss on or before July 19, 2018.</w:t>
      </w:r>
    </w:p>
    <w:p>
      <w:pPr>
        <w:spacing w:after="0" w:line="19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February 7, 2018, a shareholder derivative action was filed against the members of our Board of Directors in the New York Supreme Court Commercial Division, captioned Cano v. Guyer, et al., No. 650601/2018. The complaint alleges that defendants breached their fiduciary duties to our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our behalf, as well as an order directing us to reform and improve our corporate governance and internal procedures to comply with applicable laws, attorneys’ fees, and other costs. We intend to file a motion to dismiss on or before May 14, 2018.</w:t>
      </w:r>
    </w:p>
    <w:p>
      <w:pPr>
        <w:spacing w:after="0" w:line="17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are in the process of implementing a business plan that may continue to evolve as we await relevant clinical data and evaluate new opportunities. Our business plan may lead to the initiation of one or more development programs or the execution of one or more transactions that you do not agree with or that you do not perceive as favorable to your investment.</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early 2017, we began a process to review our strategic alternatives, including identifying potential business development opportunities. Also beginning in early 2017, we undertook a reassessment of our development plans for Zimura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Fovista, which included an evaluation of the scientific rationale for potentially developing these product candidates in one or more other ophthalmic indications for which there is a high unmet need.</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July 2017, we announced that we are pursuing a strategy to leverage our clinical experience and retina expertise to identify and develop therapies to treat multiple ophthalmic orphan diseases for which there are limited or no treatment options available. In parallel, we also determined that we would continue our Zimura programs in age-related retinal diseases. In February 2018, we announced that an element of our strategy will include initiating gene therapy collaborations focused on discovering and developing novel gene therapy technologies to treat retinal diseases. We intend to investigate promising gene therapy product candidates through collaborations with leading companies and academic and research institutions in the United States and internationally. We continue to be actively engaged in extensive business development efforts to identify, evaluate and potentially obtain rights to and develop additional therapeutic and gene therapy product candidates that would complement our strategic goals and leverage our competitive advantages.</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This business plan requires us to be successful in a number of challenging, uncertain and risky activities, including pursuing development of Zimura in indications for which we have limited or no human clinical data, identifying promising new assets for development that are available for acquisition or in-license and that fit our strategic focus and, if so identified, negotiating and executing an acquisition or in-license agreement for one or more of those programs on favorable terms, converting early stage gene therapy research efforts into clinical development opportunities, building internal or outsourced gene therapy capabilities and designing and executing a pre-clinical and/or clinical development program for any newly acquired product candidates. We may not be successful at one or more of the activities required for us to execute this business plan. We are also continuing to consider other alternatives, including mergers or other transactions involving our company as a whole or other collaboration transactions. We cannot be sure when or if this process will result in any type of transaction. Even if we pursue a transaction, such transaction may not be consistent with our stockholders’ expectations or may not ultimately be favorable for our stockholders, either in the shorter or longer term.</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growth prospects and the future value of our company are primarily dependent on the progress of our ongoing and planned clinical development programs for Zimura and the outcome of our ongoing business development efforts and pipeline expansion activities, together with the amount of our remaining available cash. The development of Zimura and the outcome of our ongoing business development efforts and pipeline expansion activities are highly uncertain.</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only very limited data from small, uncontrolled clinical trials regarding the safety and efficacy of Zimura as a monotherapy for the treatment of GA or in combination with anti-VEGF agents for the treatment of wet AMD or IPCV, and we have no human clinical data regarding the safety and efficacy of Zimura as a treatment for autosomal recessive Stargardt disease, referred to as STGD1, or non-infectious intermediate and posterior uveitis. Our prior Zimura trials were not powered to demonstrate the efficacy of Zimura therapy with statistical significance.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STGD1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8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With respect to business development efforts and pipeline expansion activities, our research collaboration with the University of Massachusetts Medical School, or UMMS, is for very early stage technology which may never translate into clinical development programs. We may be unable to secure additional collaborations, partnerships or in-licensing or acquisition opportunities.</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We may continue to reassess and make changes to our existing development programs and pipeline expansion strategy. Our future plans for our Zimura development program may be affected by the results of competitors’ clinical trials of complement inhibitors or other product candidates that may compete with ours. Our plans for our business development efforts and pipeline expansion activities may be affected by the results of competitors' ongoing research and development efforts. We may modify, expand or terminate some or all of our development programs, clinical trials or collaborative research programs at any time as a result of new competitive information or as the result of changes to our product pipeline or business development strategy.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expect that our remaining cash balances will continue to decline as we pursue these development programs, pursue our collaborative research programs, pursue our business development activities and until such time, if any, as we receive additional funding, and the value of our stockholders’ investment may decline as a result.</w:t>
      </w:r>
    </w:p>
    <w:p>
      <w:pPr>
        <w:spacing w:after="0" w:line="181"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Our strategy of obtaining rights to products, product candidates or technologies for the treatment of ophthalmic diseases through in-licenses and acquisitions may not be successful. Our failure to successfully expand our clinical pipeline would likely impair our ability to grow.</w:t>
      </w:r>
    </w:p>
    <w:p>
      <w:pPr>
        <w:spacing w:after="0" w:line="10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An important element of our strategy has been and continues to be to expand our product pipeline through potentially in-licensing or acquiring the rights to products, product candidates or technologies that would complement our strategic goals as well as other compelling ophthalmology opportunities. In addition, we have recently added gene therapy research as an area of interest for our strategy. Because we expect generally that we will not engage directly in internal early stage research and drug discovery efforts, the future growth of our business beyond our current product portfolio will depend significantly on our ability to in-license or acquire the rights to approved products, additional product candidates or technologies, including any promising product candidates that may emerge from our collaborative gene therapy research programs, including, for example, our collaboration with UMMS, for which we have an option to obtain an exclusive license to patents and patent applications resulting from the sponsored research but for which we have not yet agreed to license terms. We may be unable, however,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We may be unable to identify suitable products, product candidates or technologies within our area of focus. The process of proposing, negotiating and implementing a license or acquisition of a product candidate is lengthy and complex.</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products, product candidates or technologies that we may consider attractive. We believe that other companies may be particularly active in pursuing opportunities to in-license or acquire promising gene therapy opportunities. More established companies may have a competitive advantage over us due to their size, cash resources and greater clinical development and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or worth of an acquired or in-licensed product candidate or technology.</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products, product candidates or technologies, our expenses and short-term costs may increase materially and adversely affect our liquidity.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and in-licenses may entail numerous operational, financial and legal risks, including:</w:t>
      </w:r>
    </w:p>
    <w:p>
      <w:pPr>
        <w:spacing w:after="0" w:line="225" w:lineRule="exact"/>
        <w:rPr>
          <w:sz w:val="20"/>
          <w:szCs w:val="20"/>
          <w:color w:val="auto"/>
        </w:rPr>
      </w:pPr>
    </w:p>
    <w:p>
      <w:pPr>
        <w:ind w:left="980" w:right="2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we are unable to successfully manage our acquisitions or other in-license transactions, our ability to develop new products and continue to expand and diversify our product pipeline may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use our available cash and other sources of funding effectively as we pursue our business plan.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plan may not be successful, or we may be unsuccessful in effectively executing our business plan, which, in either case, could result in the expenditure of our available cash and other sources of funding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available cash in a manner that does not produce adequate income, if any, or that loses value. For example, as we implement our revised business plan, we could allocate our available capital resources to pursue the development or acquisition of a particular product candidate or technology that proves to be ineffective, or we could fail to allocate sufficient resources to strategic opportunities or product candidates or technologies that may be more profitable or for which there is a greater likelihood of success. If we fail to effectively allocate our available capital resources, we may not be able to achieve our goals, and our financial condition and prospects for growth could suffer.</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a clinical-stage company. The relatively early stage of our business may make it difficult for our stockholders to assess our viability as a potential commercial-stage company in the future.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were incorporated and commenced active operations in 2007. Our operations to date have been focused on organizing and staffing our company, acquiring rights to product candidates, business planning, raising capital and developing Zimura, Fovista and other product candidates. We have not yet demonstrated our ability to successfully complete a large-scale, pivotal clinical trial with safety and efficacy data sufficient to obtain marketing approval, apply for and obtain marketing approval, qualify a commercial manufacturer through a pre-approval inspection with respect to any of our products,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17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We may never be successful in developing or commercializing any of our product candidates. If successful in developing and obtaining marketing approval of one of our product candidates, we would need to transition from a company with a product development focus to a company capable of supporting commercial activities. We may not be successful in such a transition.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royalty purchase and sale agreement with Novo A/S, which we refer to as the Novo Agreement, which we entered into in May 2013, our initial public offering, which we closed in September 2013, our follow-on public offering, which we closed in February 2014, and funds we received under the Fovista Licensing and Commercialization Agreement with Novartis Pharma, AG, which we refer to as the Novartis Agreement, which we entered into in May 2014 and which was terminated by Novartis in October 2017. As of March 31, 2018, we had an accumulated deficit of $497.8 million. Our net loss was $13.1 million for the three months ended March 31, 2018 and we expect to continue to incur significant operating losses for the foreseeable future.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of Fovista and Zimura and preparations for the potential commercial launch of Fovista, including manufacturing scale-up activities. Although we are no longer pursuing the development of Fovista, we expect to continue to incur significant expenses and operating losses over the next few years as we continue the development of Zimura and potentially add to our product portfolio through in-licensing or acquisition of additional product candidates. Our net losses may fluctuate significantly from quarter to quarter and year to year.</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product candidate Zimura is in clinical development. We expect to continue to incur significant research and development expenses as we pursue the development of Zimura as currently planned. We could also incur additional research and development expenses if we conclude that there is a scientific rationale for potentially developing, or if we undertake the 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an agreement with Archemix that imposes significant milestone payment obligations on us in connection with our achievement of specific clinical, regulatory and commercial milestones with respect to Zimura. It is likely that any future in-licensing or acquisition agreements that we enter into with respect to additional products, product candidates or technologies would include similar obligations.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1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if we are successful in acquiring or in-licensing rights to additional products, product candidates or technologies or progressing the clinical development of any of our product candidates or if we decide to establish internal gene therapy capabilities;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ability to become and remain profitable depends on our ability to generate revenue in excess of our expenses. Our ability to generate revenues from product sales is dependent on our obtaining marketing approval for and commercializing our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funding in order to complete the activities necessary to commercialize one or more of our product candidates. If we are unable to raise capital when needed, we could be forced to delay, reduce or eliminate our product development programs or commercialization efforts.</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March 31, 2018, we had cash and cash equivalents of $154.9 million. We estimate our year end 2018 cash and cash equivalents to range between $112.0 million and $117.0 million based on our current 2018 business plan and planned capital expenditures. This estimate includes continuation of our development programs for Zimura and the continuation of our collaborative gene therapy research programs as currently planned. We also had $133.5 million in total liabilities as of March 31,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with the availability of drug supply, or if we further expand the scope or size of our clinical trials or collaborative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6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4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Zimura or any other product candidates that we may develop;</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lawsuits that could result in substantial costs and divert management’s attention.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agents for the treatment of wet AMD. The members of our Board of Directors have also been named as defendants in a shareholder derivative action initiated on February 7, 2018, which generally alleges that defendants breached their fiduciary duties to our company by adopting a compensation plan that overcompensates the non-employee members of the Board relative to the boards of companies of comparable market capitalization and size. These complaints seek equitable and/or injunctive relief, unspecified damages, attorneys’ fees, and other costs. The defendants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business plans and strategies that are important to our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ability to grow our business, any of which could have a material adverse effect on our business. Additional similar lawsuits might be filed.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jc w:val="both"/>
        <w:ind w:left="980" w:right="4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development activities, including pre-clinical efficacy and IND-enabling studies, for our product candidates or product candidates we are interested in in-licensing or acquiring, including product candidates we may evaluate as part of our collaborative gene therapy research programs;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 controlled pivotal clinical trials in the relevant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 for the use of our product candidates;</w:t>
      </w:r>
    </w:p>
    <w:p>
      <w:pPr>
        <w:spacing w:after="0" w:line="225" w:lineRule="exact"/>
        <w:rPr>
          <w:rFonts w:ascii="Arial" w:cs="Arial" w:eastAsia="Arial" w:hAnsi="Arial"/>
          <w:sz w:val="18"/>
          <w:szCs w:val="18"/>
          <w:color w:val="auto"/>
        </w:rPr>
      </w:pPr>
    </w:p>
    <w:p>
      <w:pPr>
        <w:ind w:left="980" w:right="7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receiving regulatory approval of our manufacturing processes and our third-party manufacturers’ facilities from applicable regulatory authorities and ensuring adequate supply of drug product;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Act, if we choose to seek such protections for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Clinical Practices, or GCP, Good Manufacturing Practices, or GMP, and standards, rules and regulations governing promotional and other marketing activities.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Our development efforts may be delayed for any number of reasons, in which case potential marketing approval or commercialization of our product candidates could be delayed or prevented.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IND-enabling toxicology studies. These experiments and studies may be time-consuming and expensive to complete. The necessary pre-clinical testing may not be completed successfully for a pre-clinical product candidate and a potentially promising product candidate may therefore never be tested in humans. 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In particular, clinical trials of our product candidates may produce inconclusive or negative results, such as the results we observed in our pivotal Phase 3 Fovista program for the treatment of wet AMD.</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or non-infectious intermediate and posterior uveitis.</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STGD1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Furthermore, our current and planned Zimura clinical trials are evaluating or will evaluate </w:t>
      </w:r>
      <w:r>
        <w:rPr>
          <w:rFonts w:ascii="Arial" w:cs="Arial" w:eastAsia="Arial" w:hAnsi="Arial"/>
          <w:sz w:val="18"/>
          <w:szCs w:val="18"/>
          <w:color w:val="auto"/>
          <w:highlight w:val="white"/>
        </w:rPr>
        <w:t>Zimura dosing regimens that we have not studied before,</w:t>
      </w:r>
      <w:r>
        <w:rPr>
          <w:rFonts w:ascii="Arial" w:cs="Arial" w:eastAsia="Arial" w:hAnsi="Arial"/>
          <w:sz w:val="18"/>
          <w:szCs w:val="18"/>
          <w:color w:val="auto"/>
        </w:rPr>
        <w:t xml:space="preserve"> which may increase the risk that patients in these trials experience adverse events and/or serious adverse events (either ocular, systemic or both) that we have not observed or at rates that we have not observed in prior trials. For a further discussion of the safety risks in our trials, see the risk factor herein entitled "</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color w:val="auto"/>
        </w:rPr>
        <w:t>serious adverse or unacceptable side effects are identified during the development of our product candidate, we may need to abandon or limit our development of such product candidate."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 In addition, the competitor's anti-C5 antibody administered via intravitreal injections that was studied for the treatment of GA did not show any benefit when studied in a cohort of anti-VEGF treatment-experienced wet AMD patients.</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clinical development programs may fail to produce positive safety or efficacy data that support the use of these product candidates in the indications we are pursuing. Additional development risks include the following:</w:t>
      </w:r>
    </w:p>
    <w:p>
      <w:pPr>
        <w:spacing w:after="0" w:line="170" w:lineRule="exact"/>
        <w:rPr>
          <w:sz w:val="20"/>
          <w:szCs w:val="20"/>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in-license or acquire;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clinical trial sites, especially in cases where we are working with clinical research organizations or clinical trial sites we have not worked with previously;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and packagers and analytic testing service providers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there are no therapies approved for either GA or Stargardt disease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patients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product candidates we are investigating or other materials necessary to conduct clinical trials of our product candidates, such as the anti-VEGF drugs we need to use in combination with Zimura in our wet AMD and IPCV trials, may be insufficient or inadequate or we may face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300"/>
        <w:spacing w:after="0" w:line="311" w:lineRule="auto"/>
        <w:rPr>
          <w:sz w:val="20"/>
          <w:szCs w:val="20"/>
          <w:color w:val="auto"/>
        </w:rPr>
      </w:pPr>
      <w:r>
        <w:rPr>
          <w:rFonts w:ascii="Arial" w:cs="Arial" w:eastAsia="Arial" w:hAnsi="Arial"/>
          <w:sz w:val="18"/>
          <w:szCs w:val="18"/>
          <w:color w:val="auto"/>
        </w:rPr>
        <w:t>delays in the manufacture and supply of our product candidates as a result of a decision to transfer manufacturing between contract manufacturers or on account of interruptions in our supply chain, including in relation to the packaging and distribution or import / export of clinical materials; and</w:t>
      </w:r>
    </w:p>
    <w:p>
      <w:pPr>
        <w:spacing w:after="0" w:line="154" w:lineRule="exact"/>
        <w:rPr>
          <w:sz w:val="20"/>
          <w:szCs w:val="20"/>
          <w:color w:val="auto"/>
        </w:rPr>
      </w:pPr>
    </w:p>
    <w:p>
      <w:pPr>
        <w:ind w:left="980" w:right="3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delays in the manufacture and supply of any product candidates we are investigating in our collaborative gene therapy research programs as a result of our inability to establish new manufacturing capabilities or processes.</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or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or other clinical trials for our product candidates. Moreover, the timing of the completion of, and the availability of results from, clinical trials is difficult to predict. Furthermore, our development plans may change based on feedback we may receive from regulatory authorities throughout the development process. If we experience delays in testing or marketing approvals, our product development costs would increase. We do not know whether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 experience in gene therapy clinical development. Our lack of experience may limit our ability to be successful or may delay our development efforts.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 therapy is an emerging field of drug development with only one gene replacement therapy having received FDA approval to date. The novel gene therapy delivery technologies and "minigene" therapy approaches we are evaluating in our collaboration with UMMS are particularly early-stage in their development. Even with promising pre-clinical efficacy data for a new gene therapy product candidate, there will remain several areas of drug development risk, including translational science, manufacturing techniques, safety concerns, regulatory pathway, clinical trial design and the approach to ocular gene therapy administration through either sub-retinal surgery or intravitreal delivery, which will likely pose particular uncertainty given the relatively limited development history for gene therapies. Although we believe gene therapy is a promising area for ophthalmic drug development, we do not have any internal gene therapy development experience or specific gene therapy capabilities. In entering this new area, we will need to build significant technical capabilities, including translational, manufacturing, process development, and other capabilities. We will either need to hire internally for these capabilities or establish them through outside service providers. We believe that gene therapy is an area of significant investment by biotechnology and pharmaceutical companies and that there may be a scarcity of talent available to us in these areas. If we are not able to establish our own internal or outsourced gene therapy capabilities, we may not be able to develop promising product candidates that emerge from our collaborative gene therapy research programs, which would limit our prospects for future growth.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 we may need to abandon or limit our development of such product candidate.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or non-infectious intermediate and posterior uveitis. Our clinical trials for Zimura involve dosing regimens that we have not studied before, which may increase the risk that patients in these trials experience adverse events and/or serious adverse events (either ocular, systemic or both) that we have not observed or at rates that we have not observed in prior trials. In addition, our clinical trials for Zimura will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cardiovascular disease such as myocardial infarctions, stroke, blood clots or emboli, or hospitalizations in patients who receive Zimura monotherapy or Zimura in combination with anti-VEGF therapy. Because we currently have only one product candidate in clinical development, it is possible that a safety issue in any of our ongoing clinical trials for Zimura could impact all of our ongoing clinical trials.</w:t>
      </w:r>
    </w:p>
    <w:p>
      <w:pPr>
        <w:spacing w:after="0" w:line="183"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In the event that we in-license or acquire a gene therapy product candidate and progress it into clinical development, we may experience delays or other challenges for our development programs as a result of safety issues.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experience manufacturing Zimura is limited. In addition, we have no experience manufacturing gene therapy product candidates. Manufacturing issues, including technical or quality issues or issues securing capacity, may arise that could cause delays in our development programs or increase costs. Furthermore, we may experience delays in regulatory approval of our product candidates if we do not satisfy applicable manufacturing regulatory requirements.</w:t>
      </w:r>
    </w:p>
    <w:p>
      <w:pPr>
        <w:spacing w:after="0" w:line="187"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We do not have any internal manufacturing facilities, personnel or other capabilities and are dependent on outside contract manufacturers to manufacture Zimura and any other product candidates that we would acquire or in-license as part of pursuing our business plan. Manufacturing for these product candidates could be complicated or present novel technical challenges.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rely upon a single third-party manufacturer, Agilent Technologies, to supply us with the chemically synthesized API for Zimura and a different, single third-party manufacturer, Ajinomoto Althea, to provide fill/finish services for Zimura. In order to obtain and maintain regulatory approval for Zimura, our third-party manufacturers will be required to consistently produce the API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These manufacturing processes and the facilities of our third-party manufacturers, including our third-party API manufacturer and our third-party fill/finish service provider, are subject to inspection and approval by the FDA, referred to as a pre-approval inspection, before we can commence the commercial sale of any approved product candidate, and thereafter on an ongoing basis. Our third-party API manufacturer has undergone only one pre-approval inspection by the FDA, and has not yet gone through a pre-approval inspection for Zimura. Our third-party fill/finish service provider is subject to FDA inspection from time to time. Failure by our third-party manufacturers to pass such inspections and otherwise satisfactorily complete the FDA approval regimen with respect to our product candidates may result in delays in the approval of our applications for marketing approval in the event a recommendation to withhold is issued, as well as regulatory actions such as the issuance of FDA Form 483 notices of observations, warning letters or injunctions or the loss of operating licenses. Additionally, on October 22, 2014, the FDA issued its final guidance on the circumstances that constitute delaying, denying, limiting or refusing</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drug inspection pursuant to Section 707 of the Food and Drug Administration Safety and Innovation Act of 2012. If any of our third-party manufacturers are found to have delayed, denied, limited or refused a drug inspection, our API or drug product could be deemed adulterated. Based on the severity of the regulatory action, our clinical or commercial supply of API or our fill/finish services could be interrupted or limited, which could have a material adverse effect on our business.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 or any future product candidate.</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in order to manufacture and supply any of our product candidates on a commercial scale in the future, we will need to bolster our quality control and quality assurance capabilities, including by augmenting our manufacturing processes and adding personnel. We also may encounter problems hiring and retaining the experienced specialist scientific and manufacturing personnel needed to operate our manufacturing process, which could result in delays in our production or difficulties in maintaining compliance with applicable regulatory requirements. As we or any manufacturer we engage scales-up manufacturing of any approved product,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78"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Gene therapy drug products are complex and difficult to manufacture. A number of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that are beyond our control.</w:t>
      </w:r>
    </w:p>
    <w:p>
      <w:pPr>
        <w:spacing w:after="0" w:line="14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believe that the high demand for clinical gene therapy material and a scarcity of potential contract manufacturers may cause long lead times for establishing manufacturing capabilities for gene therapy drug development activities. There may also be long lead times to purchase manufacturing materials, including for GMP compliant material needed for clinical trials. It is often the case that early stage research is conducted with materials that are not manufactured using GMP techniques or processes and which are not subject to the same level of analysis that would be required for clinical grade material. Therefore, to the extent that we in-license or acquire a new gene therapy product candidate, we may need to devote significant time and financial resources to establishing manufacturing processes that are sufficient for clinical supplies. In addition, because early stage, pilot manufacturing is often done on a small scale, we may face challenges scaling up any early stage manufacturing to the scale necessary to support supply for clinical trials. If we are not able to establish gene therapy manufacturing or related processes, our development plans may be delayed or stalled and our business may be materially harmed.</w:t>
      </w:r>
    </w:p>
    <w:p>
      <w:pPr>
        <w:spacing w:after="0" w:line="166"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For example, current treatments for wet AMD, including Lucentis, Eylea and low cost, off-label use of Avastin, are well established in the medical community, and doctors may continue to rely upon these treatments without Zimura. If any of our product candidates, if approved, do not achieve an adequate level of acceptance, we may not generate significant product revenues and we may not become profitable. The degree of market acceptance of Zimura or any other product candidate that we may develop, if approved for commercial sale, will depend on a number of factors, including: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the label on the use of our combination therapy product candidates, such as Zimura for the treatment of wet AMD or IPCV, limiting their use in combination with particular standard of care drugs, such as a particular anti-VEGF drug;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injections;</w:t>
      </w:r>
    </w:p>
    <w:p>
      <w:pPr>
        <w:spacing w:after="0" w:line="225"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 particularly in light of the cost of any of our combination therapy product candidates in addition to the cost of the underlying standard of care drug;</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third-party coverage and adequate reimbursement, particularly by Medicare given the target market for AMD indications for persons over age 50;</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come to market.</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each of our Zimura trials where patients will receive multiple intravitreal injections on the same day, either Zimura in combination with an anti-VEGF agent or multiple Zimura injections, we have provided for a delay in the second intravitreal injection to minimize the risk of an unacceptable increase in intraocular pressure as a result of the volume of the multiple injections. If Zimura receives marketing approval for a particular indication and the approved label requires a waiting period, the potential market opportunity for Zimura may be limited to the extent that physicians and patients find such a waiting period unacceptable.</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products approved and marketed for wet AMD or orphan retinal diseases,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currently market and sell products or are pursuing the development of product candidates for the treatment of GA, wet AMD, Stargardt disease, non-infectious intermediate and posterior uveitis or other disease indications for which we may develop Zimura.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 commercialize in the future. In particular, many companies are pursuing gene therapy approaches for age-related and orphan retinal diseases.</w:t>
      </w:r>
    </w:p>
    <w:p>
      <w:pPr>
        <w:spacing w:after="0" w:line="178"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The method of administration of Zimura, intravitreal injection, is commonly used to administer ophthalmic drugs for the treatment of severe disease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hanging="328"/>
        <w:spacing w:after="0" w:line="28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Based on publicly available information, we are aware that Apellis Pharmaceuticals, Inc., Novartis AG and MorphoSys AG, Hemera Biosciences, Inc., Achillion Pharmaceuticals, Inc. and Catalyst Biosciences, Inc. each have complement inhibitors in development, the most advanced of which we believe is Apellis's pegylated, synthetic peptide targeting complement factor C3. Apellis announced positive Phase 2 results for its product candidate and has announced plans to initiate a Phase 3 program during 2018. If Apellis's Phase 3 program for its complement factor C3 product candidate is successful, it is likely that Apellis may obtain marketing approval for its product candidate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wet AMD:</w:t>
      </w:r>
    </w:p>
    <w:p>
      <w:pPr>
        <w:spacing w:after="0" w:line="225" w:lineRule="exact"/>
        <w:rPr>
          <w:sz w:val="20"/>
          <w:szCs w:val="20"/>
          <w:color w:val="auto"/>
        </w:rPr>
      </w:pPr>
    </w:p>
    <w:p>
      <w:pPr>
        <w:ind w:left="660" w:right="120" w:hanging="328"/>
        <w:spacing w:after="0" w:line="253" w:lineRule="auto"/>
        <w:tabs>
          <w:tab w:leader="none" w:pos="660" w:val="left"/>
        </w:tabs>
        <w:numPr>
          <w:ilvl w:val="0"/>
          <w:numId w:val="29"/>
        </w:numPr>
        <w:rPr>
          <w:rFonts w:ascii="Arial" w:cs="Arial" w:eastAsia="Arial" w:hAnsi="Arial"/>
          <w:sz w:val="18"/>
          <w:szCs w:val="18"/>
          <w:color w:val="191919"/>
        </w:rPr>
      </w:pPr>
      <w:r>
        <w:rPr>
          <w:rFonts w:ascii="Arial" w:cs="Arial" w:eastAsia="Arial" w:hAnsi="Arial"/>
          <w:sz w:val="18"/>
          <w:szCs w:val="18"/>
          <w:color w:val="191919"/>
        </w:rPr>
        <w:t>There are a number of products in preclinical research and clinical development by third parties to treat wet AMD. Based on publicly available information, we are aware that multiple mechanisms of action are in clinical or pre-clinical development for wet AMD, including angiopoietin-2 inhibitors, tyrosine kinase inhibitors, integrin inhibitors, novel VEGF inhibitors and complement inhibitors, as well as a few remaining PDGF inhibitors. Within the complement system, we are aware that Apellis is planning a Phase 1b/2 clinical trial with their C3 inhibitor in combination with anti-VEGF therapy. Moreover, based on publicly available information, we are aware that several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topical dosing of therapeutic agents such as anti-VEGF agents or integrin inhibitors through eye-drops or to allow for a less frequent intravitreal dosing schedule than currently used for standard of care anti-VEGF agents.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0" w:hanging="328"/>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commercial opportunity for Zimura in wet AMD in particular also could be reduced or eliminated if our competitors develop and commercialize products that reduce or eliminate the use of anti-VEGF drugs for the treatment of patients with wet AMD, since we are only developing Zimura for wet AMD as a combination therapy with anti-VEGF agents. Moreover, we expect that if Zimura is approved for combination therapy for the treatment of wet AMD, the cost of combination treatment would be higher than the cost of treatment of wet AMD with Lucentis, Eylea or particularly Avastin monotherapy. Insurers and other third-party payors may encourage the use of anti-VEGF drugs as monotherapy and discourage the use of Zimura in combination with these drugs. This could limit sales of Zimura for this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120" w:hanging="328"/>
        <w:spacing w:after="0" w:line="29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Based on publicly available information, we are aware that Sanofi, Acucela Inc., Alkeus Pharmaceuticals, Inc., Vision Medicines, Inc., Lin BioScience, Inc., Nightstar Therapeutics plc and ProQR Therapeutics N.V. each have development programs in Stargardt disease. In addition, several academic organizations have early programs in Stargardt disease. Four of these programs, Acucela, Alkeus, Vision Medicines and Lin BioScience, are exploring the use of oral therapeutics, while Sanofi, with technology provided by Oxford BioMedica plc, and Nightstar are each using a gene therapy approach and ProQR is using an RNA interference approach. Acucela’s, Alkeus’s and Sanofi’s product candidates are each in Phase 2 development.</w:t>
      </w:r>
    </w:p>
    <w:p>
      <w:pPr>
        <w:spacing w:after="0" w:line="164"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orphan diseases such as Stargardt disease, should we be successful in development, our commercialization efforts may rely on non-patent market exclusivity periods under the Orphan Drug Act and the Hatch-Waxman Act. The Orphan Drug Act only provides exclusivity periods for the specific drug granted orphan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9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would vary depending on whether the disease is typically treated by general ophthalmology practitioners, specialists, such as retinal specialists, or sub-specialists.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pricing for products intended to treat orphan diseases in particular may be perceived as too high to be justified. The perceived high cost for pharmaceutical products to treat orphan diseases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or in a monotherapy indication, such as GA secondary to dry AMD and a combination therapy indication such as wet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prices for drugs covered by Medicare directly with pharmaceutical companies. If this were to occur, especially for wet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and because, in the case of Zimura for the treatment of wet AMD or IPCV, our drug would be administered in combination with other drugs that may carry high prices. In addition, physicians, patients and third-party payors may be sensitive to the addition of the cost of Zimura to the cost of treatment with anti-VEGF drugs for the treatment of wet AMD or IPCV. We or any commercialization partner may be required to conduct expensive pharmacoeconomic studies to justify coverage and reimbursement or the level of reimbursement relative to other therapies, including in the case of Zimura for the treatment of wet AMD or IPCV, relative to monotherapy with anti-VEGF drugs.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Because our Zimura wet AMD and IPCV trials involve or will involve the administration of Zimura in combination with an anti-VEGF drug, we also face an inherent risk of product liability exposure related to the testing of such anti-VEGF drug. If we become subject to or otherwise cannot successfully defend ourselves against claims that our product candidates, anti-VEGF drugs administered in combination with our product candidates or our products caused injuries, we will incur substantial liabilities. Regardless of merit or eventual outcome, liability claims may result in:</w:t>
      </w:r>
    </w:p>
    <w:p>
      <w:pPr>
        <w:spacing w:after="0" w:line="17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6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4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86"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80" w:hanging="324"/>
        <w:spacing w:after="0" w:line="34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in the business and financial communities could be adversely affected.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rely, in part, on third-party researchers to advance our pipeline expansion efforts. These arrangements may not ultimately yield any promising product candidates for clinical development.</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Part of our pipeline expansion strategy involves collaborative sponsored research to be performed by third-party research institutions. Although we seek to direct this research and advise on the design of these projects as well as critical development decisions, this research is being performed by individuals that are not our employees and the timeline and quality 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develop or exploit the resulting intellectual property.</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our Zimura for clinical trials and expect to continue to do so in connection with its potential commercialization and for materials for development activities and commercialization of any other product candidates that we may develop.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Zimura and have limited personnel with manufacturing experience.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Our current and anticipated future dependence upon others for the manufacture of the product candidates that we are developing or may develop may adversely affect our future profit margins and our ability to commercialize any products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receive marketing approval on a timely and competitive basis. In addition, any performance failure or differing priorities on the part of our existing or future manufacturers could delay clinical development or marketing approval.</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rely exclusively upon a single third-party manufacturer to provide supplies of Zimura API and a different single third-party manufacturer to provide fill/finish services for Zimura. We do not currently have any contractual commitments for the supply of Zimura API. We also do not currently have arrangements in place for redundant supply or a second source for API for Zimura or for a redundant supply or a second source for fill/finish services. We purchase the proprietary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 Furthermore, we and our contract manufacturers currently rely upon sole-source suppliers of certain raw materials and other specialized components of production used in the manufacture and fill/finish of each of Zimura. We currently expect to rely on third-party manufacturers for any manufacturing needs for our collaborative gene therapy research programs or future gene therapy clinical trials.</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third-party manufacturers fail to fulfill our purchase orders, or if any of these manufacturers should become unavailable to us for any reason, including as a result of capacity constraints, differing priorities, financial difficulties or insolvency, we believe that there are a limited number of potential replacement manufacturers, and we likely would incur added costs and delays in identifying or qualifying such replacements. We could also incur additional costs and delays in identifying or qualifying a replacement manufacturer for fill/finish services if our existing third-party fill/finish provider should become unavailable for any reason. We may be unable to establish agreements with such replacement manufacturers or fill/finish providers or to do so on acceptable terms.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current good manufacturing practices, or cGMP,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depend on licenses and sublicenses for development and commercialization rights to Zimura. We may enter into similar arrangements with respect to future product candidates. Termination of these rights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party to a license agreement with Archemix on which we depend for rights to Zimura. This agreement imposes diligence, development and commercialization timelines, milestone payment, royalty, insurance and other obligations on us. Generally, the diligence obligations contained in the agreement require us to use commercially reasonable efforts to develop, seek regulatory approval for and commercialize Zimura in the United States, the European Union, Japan and such other markets where it would be commercially reasonable to do so. Under our license agreement with Archemix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We expect to enter into acquisition or licensing agreements in the future that would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impose similar obligations on us, particularly as we pursue our business plan to acquire or in-license additional products, product candidates or other technologies and expand our product pipeline.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and other important intellectual property or technology. Any of the foregoing could prevent us from commercializing Zimura or other product candidates we may develop, which could have a material adverse effect on our operating results and overall financial condition.</w:t>
      </w:r>
    </w:p>
    <w:p>
      <w:pPr>
        <w:spacing w:after="0" w:line="16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For example, the licenses from Archemix include sublicenses to us of rights to specified technology, which we refer to as the SELEX technology, licensed by University License Equity Holdings, Inc. to Gilead Sciences, Inc., or Gilead, and sublicensed by Gilead to Archemix, as well as other technology owned by Gilead and licensed to Archemix. Should our licensors or any of their upstream licensors fail to comply with their obligations under the agreements pursuant to which they obtain the rights that are sublicensed to us, or should such agreements be terminated or amended, our ability to develop and commercialize Zimura and other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7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6"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As we expect the clinical development of Zimura to continue for at least the next several years, these expiration dates may be prior to the date by which we would be able to commercialize Zimura in the United States or Europe if we seek and obtain marketing approval. Once our patents expire, we may not be able to exclude competitors from commercializing products similar or identical to ours if such competitors do not use or promote our claimed methods of treatment or do use or promote our methods of treatment after our patents expire.</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Depending on potential delays in the regulatory review process for Zimura, we may be able to obtain patent term restoration for one of our patents in the United States under the Hatch-Waxman Act, which permits a patent restoration term of up to five years as partial compensation for patent term effectively lost during product development and the FDA regulatory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review process occurring after the issuance of a patent, but we can provide no assurances that such a restoration term will be obtained. Similar to the patent term restoration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or restoration provisions, we may not be granted patent term extensions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API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API as Zimura or such other product candidate in that jurisdiction so long as these competitors do not infringe any other of our patents covering Zimura’s composition of matter or method of use or manufacture, do not violate the terms of any marketing or data exclusivity that may be granted to us by regulatory authorities and obtain any necessary marketing approvals from applicable regulatory authorities. In such circumstances, we also may not be able to detect, prevent or prosecute off-label use of such competitors’ products containing the same API as Zimura, even if such use infringes any of our method-of-treatment patents.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 if they are ultimately approved.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also increase as our or their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8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or their product candidates or force us or them to cease some of our business operations, which could materially harm our business. Claims that we or our future collaboration and commercialization partners have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misappropriated the confidential information or trade secrets of third parties could expose us or them to similar liabilities and have a similar negative impact on our business.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Zimura from Archemix, we must rely upon Archemix's and its successors' practices, and those of its predecessors, with regard to the assignment of intellectual property therein.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employees and consultants. We cannot guarantee that we have executed such agreements with each party that may have or have had access to our trade secrets. Moreover, because we acquired certain rights to Zimura from Archemix, we must rely upon Archemix's and its successors' practices, and those of its predecessors, with regard to the protection of Zimura-related trade secrets before we acquired it.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by the EMA and comparable regulatory agencies in other countries.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 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 In the case of Zimura for the treatment of wet AMD or IPCV, the FDA or other regulatory authority may limit the approval of Zimura to use with only specified anti-VEGF drugs that are approved for the treatment of wet AMD or IPCV rather than with all anti-VEGF drugs. Such limitation could limit sales of Zimura for the treatment of wet AMD or IPCV.</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Marketing approval of novel product candidates such as Zimura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studies or clinical trials, increase our development costs, lead to changes in regulatory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positions and interpretations, delay or prevent approval and commercialization of these product candidates or lead to significant post-approval limitations or restrictions.</w:t>
      </w:r>
    </w:p>
    <w:p>
      <w:pPr>
        <w:spacing w:after="0" w:line="17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Accordingly, if we or our collaborators experience delays in obtaining approval or if we fail to obtain approval of Zimura or any other product candidate that we develop, the commercial prospects for such product candidate may be harmed and our ability to generate revenues would be materially impaired.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88" w:lineRule="exact"/>
        <w:rPr>
          <w:sz w:val="20"/>
          <w:szCs w:val="20"/>
          <w:color w:val="auto"/>
        </w:rPr>
      </w:pPr>
    </w:p>
    <w:p>
      <w:pPr>
        <w:ind w:left="980" w:right="6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9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interactions and communications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qualify as breakthrough therapies, the FDA may later decide that the products no longer meet the conditions for qualification or decide that the time period for FDA review or approval will not be shortened.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fail to comply with regulatory requirements or if we or our third-party commercialization partners experience unanticipated problems with our products, when and if any of them are approved.</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8" w:lineRule="exact"/>
        <w:rPr>
          <w:sz w:val="20"/>
          <w:szCs w:val="20"/>
          <w:color w:val="auto"/>
        </w:rPr>
      </w:pPr>
    </w:p>
    <w:p>
      <w:pPr>
        <w:ind w:left="980" w:right="160" w:hanging="324"/>
        <w:spacing w:after="0" w:line="25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73" w:lineRule="exact"/>
        <w:rPr>
          <w:sz w:val="20"/>
          <w:szCs w:val="20"/>
          <w:color w:val="auto"/>
        </w:rPr>
      </w:pPr>
    </w:p>
    <w:p>
      <w:pPr>
        <w:ind w:left="880" w:hanging="35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09" w:lineRule="exact"/>
        <w:rPr>
          <w:rFonts w:ascii="Arial" w:cs="Arial" w:eastAsia="Arial" w:hAnsi="Arial"/>
          <w:sz w:val="17"/>
          <w:szCs w:val="17"/>
          <w:color w:val="auto"/>
        </w:rPr>
      </w:pPr>
    </w:p>
    <w:p>
      <w:pPr>
        <w:ind w:left="880" w:hanging="35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880" w:right="500" w:hanging="359"/>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right="280" w:hanging="35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198" w:lineRule="exact"/>
        <w:rPr>
          <w:rFonts w:ascii="Arial" w:cs="Arial" w:eastAsia="Arial" w:hAnsi="Arial"/>
          <w:sz w:val="18"/>
          <w:szCs w:val="18"/>
          <w:color w:val="auto"/>
        </w:rPr>
      </w:pPr>
    </w:p>
    <w:p>
      <w:pPr>
        <w:ind w:left="880" w:right="300" w:hanging="35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5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3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1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12" w:lineRule="exact"/>
        <w:rPr>
          <w:sz w:val="20"/>
          <w:szCs w:val="20"/>
          <w:color w:val="auto"/>
        </w:rPr>
      </w:pPr>
    </w:p>
    <w:p>
      <w:pPr>
        <w:jc w:val="both"/>
        <w:ind w:right="140" w:firstLine="648"/>
        <w:spacing w:after="0" w:line="293"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3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20" w:firstLine="8"/>
        <w:spacing w:after="0" w:line="252" w:lineRule="auto"/>
        <w:tabs>
          <w:tab w:leader="none" w:pos="1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recently completed a substantial reduction in personnel, the effects of which could disrupt our operations. In addition, we may experience difficulties in retaining key employees.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year ended December 31, 2017, our workforce was reduced by 122 employees in connection with a reduction in personnel following the failure of our pivotal trials of Fovista as well as natural attrition. Nonetheless, we are continuing to function as a development company and need to continue all or nearly all of our prior business functions to support such development, including clinical operations, regulatory affairs, drug safety, data management, outsourced manufacturing and supply chain, analytical development and quality assurance, as well as all of our general and administrative functions and public company infrastructure. Due to our limited financial resources and the inherent challenges associated with managing such a reduction in personnel, we may not be able to manage effectively the reduction in personnel and transition of operations to remaining employees.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through specific dates to assist with transition activities may choose not to remain employees. In addition, we may experience difficulties in retaining key employees,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new business plan, our ability to pursue our development strategy would be limited.</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125"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and the associated decrease in staffing in our accounting and finance areas, will ensure that we maintain adequate controls over our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going forward and, accordingly, additional material weaknesses could occur or be identified. Any additional material weaknesses or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deficiencies could materially and adversely affect our ability to provide timely and accurate financial information, and the current and future deficiencies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investors’ confidence in our internal controls and our company, which could cause our stock price to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participants, business partners and employees. In particular, we rely on contract research organizations and other third parties to store and manage information from our clinical trials. The secure maintenance of this sensitive information is critical to our business and reputation.</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clinical and commercialization activities and business operations, in addition to possibly requiring substantial expenditures of resources to remedy.</w:t>
      </w:r>
    </w:p>
    <w:p>
      <w:pPr>
        <w:spacing w:after="0" w:line="1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products, product candidates and technologies for the treatment of ophthalmic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For example, following our announcement of initial, top-line results from the first two of our pivotal Fovista trials for the treatment of wet AMD, the closing price of our common stock declined from $38.77 on December 9, 2016 to $5.29 on December 12, 2016 and declined further thereafter. The closing price of our common stock was $2.62 on May 8, 2018.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 See “Part II, Item 1—Legal Proceedings” and “—Risks Related to Our Business Plan, Financial Position and Need for Additional Capital—We and certain of our current and former executive officers have been named as defendants in lawsuits that could result in substantial costs and divert management’s attention.” These proceedings and other similar litigation, if instituted against us, could cause us to incur substantial costs to defend such claims and divert management’s attention and resources, which could seriously harm our business.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we have filed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compliance initiatives. Moreover, these rules and regulations have increased our legal and financial compliance costs and have made some activities more time-consuming and costly.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340" w:type="dxa"/>
            <w:vAlign w:val="bottom"/>
            <w:gridSpan w:val="8"/>
            <w:vMerge w:val="restart"/>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3"/>
          </w:tcPr>
          <w:p>
            <w:pPr>
              <w:jc w:val="right"/>
              <w:spacing w:after="0" w:line="202" w:lineRule="exact"/>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10"/>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Registration Statement on Form S-1 (File No. 333-190643) filed with the SEC on September 9, 2013)</w:t>
              </w:r>
            </w:hyperlink>
          </w:p>
        </w:tc>
        <w:tc>
          <w:tcPr>
            <w:tcW w:w="2440" w:type="dxa"/>
            <w:vAlign w:val="bottom"/>
            <w:tcBorders>
              <w:top w:val="single" w:sz="8" w:color="0000FF"/>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0"/>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Registration Statement on Form S-1 (File No. 333-190643) filed with the SEC on September 9, 2013)</w:t>
              </w:r>
            </w:hyperlink>
          </w:p>
        </w:tc>
        <w:tc>
          <w:tcPr>
            <w:tcW w:w="2060" w:type="dxa"/>
            <w:vAlign w:val="bottom"/>
            <w:tcBorders>
              <w:top w:val="single" w:sz="8" w:color="0000FF"/>
            </w:tcBorders>
          </w:tcPr>
          <w:p>
            <w:pPr>
              <w:spacing w:after="0"/>
              <w:rPr>
                <w:sz w:val="17"/>
                <w:szCs w:val="17"/>
                <w:color w:val="auto"/>
              </w:rPr>
            </w:pPr>
          </w:p>
        </w:tc>
        <w:tc>
          <w:tcPr>
            <w:tcW w:w="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8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3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8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8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0"/>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of 2002</w:t>
              </w:r>
            </w:hyperlink>
          </w:p>
        </w:tc>
        <w:tc>
          <w:tcPr>
            <w:tcW w:w="9140" w:type="dxa"/>
            <w:vAlign w:val="bottom"/>
            <w:tcBorders>
              <w:top w:val="single" w:sz="8" w:color="0000FF"/>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0"/>
          </w:tcPr>
          <w:p>
            <w:pPr>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84">
              <w:r>
                <w:rPr>
                  <w:rFonts w:ascii="Arial" w:cs="Arial" w:eastAsia="Arial" w:hAnsi="Arial"/>
                  <w:sz w:val="18"/>
                  <w:szCs w:val="18"/>
                  <w:color w:val="0000FF"/>
                  <w:w w:val="84"/>
                </w:rPr>
                <w:t>2002</w:t>
              </w:r>
            </w:hyperlink>
          </w:p>
        </w:tc>
        <w:tc>
          <w:tcPr>
            <w:tcW w:w="200" w:type="dxa"/>
            <w:vAlign w:val="bottom"/>
            <w:tcBorders>
              <w:top w:val="single" w:sz="8" w:color="0000FF"/>
            </w:tcBorders>
          </w:tcPr>
          <w:p>
            <w:pPr>
              <w:spacing w:after="0"/>
              <w:rPr>
                <w:sz w:val="17"/>
                <w:szCs w:val="17"/>
                <w:color w:val="auto"/>
              </w:rPr>
            </w:pPr>
          </w:p>
        </w:tc>
        <w:tc>
          <w:tcPr>
            <w:tcW w:w="6780" w:type="dxa"/>
            <w:vAlign w:val="bottom"/>
            <w:tcBorders>
              <w:top w:val="single" w:sz="8" w:color="0000FF"/>
            </w:tcBorders>
          </w:tcPr>
          <w:p>
            <w:pPr>
              <w:spacing w:after="0"/>
              <w:rPr>
                <w:sz w:val="17"/>
                <w:szCs w:val="17"/>
                <w:color w:val="auto"/>
              </w:rPr>
            </w:pPr>
          </w:p>
        </w:tc>
        <w:tc>
          <w:tcPr>
            <w:tcW w:w="20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Submitted electronically herewith.</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Balance Sheets at March 31, 2018 (unaudited) and December 31, 2017, (ii) Statements of Operations (unaudited) for the three month periods ended March 31, 2018 and 2017, (iii) Statements of Cash Flows (unaudited) for three month periods ended March 31, 2018 and 2017 and (iv) Notes to Financial Statements (unaudited).</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accordance with Rule 406T of Regulation S-T, the XBRL 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May 9,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Glenn P. Sblendorio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1" w:name="page82"/>
    <w:bookmarkEnd w:id="81"/>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May 9,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8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March 31, 2018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31750</wp:posOffset>
            </wp:positionV>
            <wp:extent cx="3095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8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March 31, 2018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May 9,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46355</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4" Type="http://schemas.openxmlformats.org/officeDocument/2006/relationships/hyperlink" Target="http://www.sec.gov/Archives/edgar/data/1410939/000119312513360785/d560505dex33.htm" TargetMode="External"/><Relationship Id="rId15"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2019-12-28T22:25:20Z</dcterms:created>
  <dcterms:modified xsi:type="dcterms:W3CDTF">2019-12-28T22:25:20Z</dcterms:modified>
</cp:coreProperties>
</file>