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13" w:lineRule="exact"/>
        <w:rPr>
          <w:sz w:val="24"/>
          <w:szCs w:val="24"/>
          <w:color w:val="auto"/>
        </w:rPr>
      </w:pPr>
    </w:p>
    <w:p>
      <w:pPr>
        <w:spacing w:after="0"/>
        <w:rPr>
          <w:rFonts w:ascii="Arial" w:cs="Arial" w:eastAsia="Arial" w:hAnsi="Arial"/>
          <w:sz w:val="14"/>
          <w:szCs w:val="14"/>
          <w:u w:val="single" w:color="auto"/>
          <w:color w:val="0000FF"/>
        </w:rPr>
      </w:pPr>
      <w:hyperlink w:anchor="page150">
        <w:r>
          <w:rPr>
            <w:rFonts w:ascii="Arial" w:cs="Arial" w:eastAsia="Arial" w:hAnsi="Arial"/>
            <w:sz w:val="14"/>
            <w:szCs w:val="14"/>
            <w:u w:val="single" w:color="auto"/>
            <w:color w:val="0000FF"/>
          </w:rPr>
          <w:t>PART IV</w:t>
        </w:r>
      </w:hyperlink>
    </w:p>
    <w:p>
      <w:pPr>
        <w:spacing w:after="0" w:line="1" w:lineRule="exact"/>
        <w:rPr>
          <w:sz w:val="24"/>
          <w:szCs w:val="24"/>
          <w:color w:val="auto"/>
        </w:rPr>
      </w:pPr>
    </w:p>
    <w:p>
      <w:pPr>
        <w:spacing w:after="0"/>
        <w:rPr>
          <w:rFonts w:ascii="Arial" w:cs="Arial" w:eastAsia="Arial" w:hAnsi="Arial"/>
          <w:sz w:val="14"/>
          <w:szCs w:val="14"/>
          <w:u w:val="single" w:color="auto"/>
          <w:color w:val="0000FF"/>
        </w:rPr>
      </w:pPr>
      <w:hyperlink w:anchor="page155">
        <w:r>
          <w:rPr>
            <w:rFonts w:ascii="Arial" w:cs="Arial" w:eastAsia="Arial" w:hAnsi="Arial"/>
            <w:sz w:val="14"/>
            <w:szCs w:val="14"/>
            <w:u w:val="single" w:color="auto"/>
            <w:color w:val="0000FF"/>
          </w:rPr>
          <w:t>INDEX TO FINANCIAL STATEMENTS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81915</wp:posOffset>
            </wp:positionV>
            <wp:extent cx="1311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17145"/>
                    </a:xfrm>
                    <a:prstGeom prst="rect">
                      <a:avLst/>
                    </a:prstGeom>
                    <a:noFill/>
                  </pic:spPr>
                </pic:pic>
              </a:graphicData>
            </a:graphic>
          </wp:anchor>
        </w:drawing>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ectPr>
          <w:pgSz w:w="11900" w:h="16838" w:orient="portrait"/>
          <w:cols w:equalWidth="0" w:num="1">
            <w:col w:w="11200"/>
          </w:cols>
          <w:pgMar w:left="320" w:top="229" w:right="379" w:bottom="1440" w:gutter="0" w:footer="0" w:header="0"/>
        </w:sectPr>
      </w:pPr>
    </w:p>
    <w:p>
      <w:pPr>
        <w:spacing w:after="0" w:line="131" w:lineRule="exact"/>
        <w:rPr>
          <w:sz w:val="24"/>
          <w:szCs w:val="24"/>
          <w:color w:val="auto"/>
        </w:rPr>
      </w:pPr>
    </w:p>
    <w:p>
      <w:pPr>
        <w:jc w:val="center"/>
        <w:ind w:left="600"/>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jc w:val="center"/>
        <w:ind w:left="60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20" w:lineRule="exact"/>
        <w:rPr>
          <w:sz w:val="24"/>
          <w:szCs w:val="24"/>
          <w:color w:val="auto"/>
        </w:rPr>
      </w:pPr>
    </w:p>
    <w:p>
      <w:pPr>
        <w:jc w:val="center"/>
        <w:ind w:left="6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8" w:lineRule="exact"/>
        <w:rPr>
          <w:sz w:val="24"/>
          <w:szCs w:val="24"/>
          <w:color w:val="auto"/>
        </w:rPr>
      </w:pPr>
    </w:p>
    <w:p>
      <w:pPr>
        <w:jc w:val="center"/>
        <w:ind w:right="1820"/>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28" w:lineRule="exact"/>
        <w:rPr>
          <w:sz w:val="24"/>
          <w:szCs w:val="24"/>
          <w:color w:val="auto"/>
        </w:rPr>
      </w:pPr>
    </w:p>
    <w:p>
      <w:pPr>
        <w:jc w:val="center"/>
        <w:ind w:right="1820"/>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jc w:val="center"/>
        <w:ind w:right="202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8" w:lineRule="exact"/>
        <w:rPr>
          <w:sz w:val="24"/>
          <w:szCs w:val="24"/>
          <w:color w:val="auto"/>
        </w:rPr>
      </w:pPr>
    </w:p>
    <w:p>
      <w:pPr>
        <w:ind w:left="2400"/>
        <w:spacing w:after="0"/>
        <w:tabs>
          <w:tab w:leader="none" w:pos="46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9" w:lineRule="exact"/>
        <w:rPr>
          <w:sz w:val="24"/>
          <w:szCs w:val="24"/>
          <w:color w:val="auto"/>
        </w:rPr>
      </w:pPr>
    </w:p>
    <w:p>
      <w:pPr>
        <w:ind w:left="2680"/>
        <w:spacing w:after="0"/>
        <w:rPr>
          <w:sz w:val="20"/>
          <w:szCs w:val="20"/>
          <w:color w:val="auto"/>
        </w:rPr>
      </w:pPr>
      <w:r>
        <w:rPr>
          <w:rFonts w:ascii="Arial" w:cs="Arial" w:eastAsia="Arial" w:hAnsi="Arial"/>
          <w:sz w:val="14"/>
          <w:szCs w:val="14"/>
          <w:b w:val="1"/>
          <w:bCs w:val="1"/>
          <w:color w:val="auto"/>
        </w:rPr>
        <w:t>Commission file number 001-36080</w:t>
      </w:r>
    </w:p>
    <w:p>
      <w:pPr>
        <w:spacing w:after="0" w:line="100" w:lineRule="exact"/>
        <w:rPr>
          <w:sz w:val="24"/>
          <w:szCs w:val="24"/>
          <w:color w:val="auto"/>
        </w:rPr>
      </w:pPr>
    </w:p>
    <w:p>
      <w:pPr>
        <w:ind w:left="2700"/>
        <w:spacing w:after="0"/>
        <w:rPr>
          <w:sz w:val="20"/>
          <w:szCs w:val="20"/>
          <w:color w:val="auto"/>
        </w:rPr>
      </w:pPr>
      <w:r>
        <w:rPr>
          <w:rFonts w:ascii="Arial" w:cs="Arial" w:eastAsia="Arial" w:hAnsi="Arial"/>
          <w:sz w:val="29"/>
          <w:szCs w:val="29"/>
          <w:b w:val="1"/>
          <w:bCs w:val="1"/>
          <w:color w:val="auto"/>
        </w:rPr>
        <w:t>IVERIC bio, Inc.</w:t>
      </w:r>
    </w:p>
    <w:p>
      <w:pPr>
        <w:spacing w:after="0" w:line="29" w:lineRule="exact"/>
        <w:rPr>
          <w:sz w:val="24"/>
          <w:szCs w:val="24"/>
          <w:color w:val="auto"/>
        </w:rPr>
      </w:pPr>
    </w:p>
    <w:p>
      <w:pPr>
        <w:sectPr>
          <w:pgSz w:w="11900" w:h="16838" w:orient="portrait"/>
          <w:cols w:equalWidth="0" w:num="2">
            <w:col w:w="1340" w:space="520"/>
            <w:col w:w="9340"/>
          </w:cols>
          <w:pgMar w:left="320" w:top="229" w:right="379" w:bottom="1440" w:gutter="0" w:footer="0" w:header="0"/>
          <w:type w:val="continuous"/>
        </w:sect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201"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338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Delaware</w:t>
            </w:r>
          </w:p>
        </w:tc>
        <w:tc>
          <w:tcPr>
            <w:tcW w:w="1380" w:type="dxa"/>
            <w:vAlign w:val="bottom"/>
          </w:tcPr>
          <w:p>
            <w:pPr>
              <w:spacing w:after="0"/>
              <w:rPr>
                <w:sz w:val="16"/>
                <w:szCs w:val="16"/>
                <w:color w:val="auto"/>
              </w:rPr>
            </w:pPr>
          </w:p>
        </w:tc>
        <w:tc>
          <w:tcPr>
            <w:tcW w:w="3220" w:type="dxa"/>
            <w:vAlign w:val="bottom"/>
          </w:tcPr>
          <w:p>
            <w:pPr>
              <w:jc w:val="right"/>
              <w:ind w:right="1528"/>
              <w:spacing w:after="0"/>
              <w:rPr>
                <w:sz w:val="20"/>
                <w:szCs w:val="20"/>
                <w:color w:val="auto"/>
              </w:rPr>
            </w:pPr>
            <w:r>
              <w:rPr>
                <w:rFonts w:ascii="Arial" w:cs="Arial" w:eastAsia="Arial" w:hAnsi="Arial"/>
                <w:sz w:val="14"/>
                <w:szCs w:val="14"/>
                <w:color w:val="auto"/>
              </w:rPr>
              <w:t>20-8185347</w:t>
            </w:r>
          </w:p>
        </w:tc>
      </w:tr>
      <w:tr>
        <w:trPr>
          <w:trHeight w:val="216"/>
        </w:trPr>
        <w:tc>
          <w:tcPr>
            <w:tcW w:w="3460" w:type="dxa"/>
            <w:vAlign w:val="bottom"/>
            <w:gridSpan w:val="2"/>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380" w:type="dxa"/>
            <w:vAlign w:val="bottom"/>
          </w:tcPr>
          <w:p>
            <w:pPr>
              <w:spacing w:after="0"/>
              <w:rPr>
                <w:sz w:val="18"/>
                <w:szCs w:val="18"/>
                <w:color w:val="auto"/>
              </w:rPr>
            </w:pPr>
          </w:p>
        </w:tc>
        <w:tc>
          <w:tcPr>
            <w:tcW w:w="3220" w:type="dxa"/>
            <w:vAlign w:val="bottom"/>
          </w:tcPr>
          <w:p>
            <w:pPr>
              <w:jc w:val="center"/>
              <w:ind w:right="588"/>
              <w:spacing w:after="0"/>
              <w:rPr>
                <w:sz w:val="20"/>
                <w:szCs w:val="20"/>
                <w:color w:val="auto"/>
              </w:rPr>
            </w:pPr>
            <w:r>
              <w:rPr>
                <w:rFonts w:ascii="Arial" w:cs="Arial" w:eastAsia="Arial" w:hAnsi="Arial"/>
                <w:sz w:val="14"/>
                <w:szCs w:val="14"/>
                <w:color w:val="auto"/>
                <w:w w:val="96"/>
              </w:rPr>
              <w:t>(I.R.S. Employer Identification No.)</w:t>
            </w:r>
          </w:p>
        </w:tc>
      </w:tr>
      <w:tr>
        <w:trPr>
          <w:trHeight w:val="324"/>
        </w:trPr>
        <w:tc>
          <w:tcPr>
            <w:tcW w:w="80" w:type="dxa"/>
            <w:vAlign w:val="bottom"/>
          </w:tcPr>
          <w:p>
            <w:pPr>
              <w:spacing w:after="0"/>
              <w:rPr>
                <w:sz w:val="24"/>
                <w:szCs w:val="24"/>
                <w:color w:val="auto"/>
              </w:rPr>
            </w:pPr>
          </w:p>
        </w:tc>
        <w:tc>
          <w:tcPr>
            <w:tcW w:w="3380" w:type="dxa"/>
            <w:vAlign w:val="bottom"/>
          </w:tcPr>
          <w:p>
            <w:pPr>
              <w:ind w:left="580"/>
              <w:spacing w:after="0"/>
              <w:rPr>
                <w:sz w:val="20"/>
                <w:szCs w:val="20"/>
                <w:color w:val="auto"/>
              </w:rPr>
            </w:pPr>
            <w:r>
              <w:rPr>
                <w:rFonts w:ascii="Arial" w:cs="Arial" w:eastAsia="Arial" w:hAnsi="Arial"/>
                <w:sz w:val="14"/>
                <w:szCs w:val="14"/>
                <w:b w:val="1"/>
                <w:bCs w:val="1"/>
                <w:color w:val="auto"/>
              </w:rPr>
              <w:t>Five Penn Plaza, Suite 2372</w:t>
            </w:r>
          </w:p>
        </w:tc>
        <w:tc>
          <w:tcPr>
            <w:tcW w:w="13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3380" w:type="dxa"/>
            <w:vAlign w:val="bottom"/>
          </w:tcPr>
          <w:p>
            <w:pPr>
              <w:ind w:left="980"/>
              <w:spacing w:after="0"/>
              <w:rPr>
                <w:sz w:val="20"/>
                <w:szCs w:val="20"/>
                <w:color w:val="auto"/>
              </w:rPr>
            </w:pPr>
            <w:r>
              <w:rPr>
                <w:rFonts w:ascii="Arial" w:cs="Arial" w:eastAsia="Arial" w:hAnsi="Arial"/>
                <w:sz w:val="14"/>
                <w:szCs w:val="14"/>
                <w:color w:val="auto"/>
              </w:rPr>
              <w:t>New York, NY</w:t>
            </w:r>
          </w:p>
        </w:tc>
        <w:tc>
          <w:tcPr>
            <w:tcW w:w="1380" w:type="dxa"/>
            <w:vAlign w:val="bottom"/>
          </w:tcPr>
          <w:p>
            <w:pPr>
              <w:spacing w:after="0"/>
              <w:rPr>
                <w:sz w:val="18"/>
                <w:szCs w:val="18"/>
                <w:color w:val="auto"/>
              </w:rPr>
            </w:pPr>
          </w:p>
        </w:tc>
        <w:tc>
          <w:tcPr>
            <w:tcW w:w="3220" w:type="dxa"/>
            <w:vAlign w:val="bottom"/>
          </w:tcPr>
          <w:p>
            <w:pPr>
              <w:jc w:val="right"/>
              <w:ind w:right="1688"/>
              <w:spacing w:after="0"/>
              <w:rPr>
                <w:sz w:val="20"/>
                <w:szCs w:val="20"/>
                <w:color w:val="auto"/>
              </w:rPr>
            </w:pPr>
            <w:r>
              <w:rPr>
                <w:rFonts w:ascii="Arial" w:cs="Arial" w:eastAsia="Arial" w:hAnsi="Arial"/>
                <w:sz w:val="14"/>
                <w:szCs w:val="14"/>
                <w:b w:val="1"/>
                <w:bCs w:val="1"/>
                <w:color w:val="auto"/>
              </w:rPr>
              <w:t>10001</w:t>
            </w:r>
          </w:p>
        </w:tc>
      </w:tr>
      <w:tr>
        <w:trPr>
          <w:trHeight w:val="216"/>
        </w:trPr>
        <w:tc>
          <w:tcPr>
            <w:tcW w:w="80" w:type="dxa"/>
            <w:vAlign w:val="bottom"/>
          </w:tcPr>
          <w:p>
            <w:pPr>
              <w:spacing w:after="0"/>
              <w:rPr>
                <w:sz w:val="18"/>
                <w:szCs w:val="18"/>
                <w:color w:val="auto"/>
              </w:rPr>
            </w:pPr>
          </w:p>
        </w:tc>
        <w:tc>
          <w:tcPr>
            <w:tcW w:w="3380" w:type="dxa"/>
            <w:vAlign w:val="bottom"/>
          </w:tcPr>
          <w:p>
            <w:pPr>
              <w:jc w:val="center"/>
              <w:ind w:right="28"/>
              <w:spacing w:after="0"/>
              <w:rPr>
                <w:sz w:val="20"/>
                <w:szCs w:val="20"/>
                <w:color w:val="auto"/>
              </w:rPr>
            </w:pPr>
            <w:r>
              <w:rPr>
                <w:rFonts w:ascii="Arial" w:cs="Arial" w:eastAsia="Arial" w:hAnsi="Arial"/>
                <w:sz w:val="14"/>
                <w:szCs w:val="14"/>
                <w:color w:val="auto"/>
                <w:w w:val="95"/>
              </w:rPr>
              <w:t>(Address of principal executive offices)</w:t>
            </w:r>
          </w:p>
        </w:tc>
        <w:tc>
          <w:tcPr>
            <w:tcW w:w="1380" w:type="dxa"/>
            <w:vAlign w:val="bottom"/>
          </w:tcPr>
          <w:p>
            <w:pPr>
              <w:spacing w:after="0"/>
              <w:rPr>
                <w:sz w:val="18"/>
                <w:szCs w:val="18"/>
                <w:color w:val="auto"/>
              </w:rPr>
            </w:pPr>
          </w:p>
        </w:tc>
        <w:tc>
          <w:tcPr>
            <w:tcW w:w="3220" w:type="dxa"/>
            <w:vAlign w:val="bottom"/>
          </w:tcPr>
          <w:p>
            <w:pPr>
              <w:jc w:val="center"/>
              <w:ind w:right="588"/>
              <w:spacing w:after="0"/>
              <w:rPr>
                <w:sz w:val="20"/>
                <w:szCs w:val="20"/>
                <w:color w:val="auto"/>
              </w:rPr>
            </w:pPr>
            <w:r>
              <w:rPr>
                <w:rFonts w:ascii="Arial" w:cs="Arial" w:eastAsia="Arial" w:hAnsi="Arial"/>
                <w:sz w:val="14"/>
                <w:szCs w:val="14"/>
                <w:color w:val="auto"/>
                <w:w w:val="96"/>
              </w:rPr>
              <w:t>(Zip Code)</w:t>
            </w:r>
          </w:p>
        </w:tc>
      </w:tr>
      <w:tr>
        <w:trPr>
          <w:trHeight w:val="344"/>
        </w:trPr>
        <w:tc>
          <w:tcPr>
            <w:tcW w:w="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8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(212) 845-8200</w:t>
            </w:r>
          </w:p>
        </w:tc>
        <w:tc>
          <w:tcPr>
            <w:tcW w:w="3220" w:type="dxa"/>
            <w:vAlign w:val="bottom"/>
          </w:tcPr>
          <w:p>
            <w:pPr>
              <w:spacing w:after="0"/>
              <w:rPr>
                <w:sz w:val="24"/>
                <w:szCs w:val="24"/>
                <w:color w:val="auto"/>
              </w:rPr>
            </w:pPr>
          </w:p>
        </w:tc>
      </w:tr>
      <w:tr>
        <w:trPr>
          <w:trHeight w:val="182"/>
        </w:trPr>
        <w:tc>
          <w:tcPr>
            <w:tcW w:w="80" w:type="dxa"/>
            <w:vAlign w:val="bottom"/>
          </w:tcPr>
          <w:p>
            <w:pPr>
              <w:spacing w:after="0"/>
              <w:rPr>
                <w:sz w:val="15"/>
                <w:szCs w:val="15"/>
                <w:color w:val="auto"/>
              </w:rPr>
            </w:pPr>
          </w:p>
        </w:tc>
        <w:tc>
          <w:tcPr>
            <w:tcW w:w="7980" w:type="dxa"/>
            <w:vAlign w:val="bottom"/>
            <w:gridSpan w:val="3"/>
          </w:tcPr>
          <w:p>
            <w:pPr>
              <w:jc w:val="center"/>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405"/>
        </w:trPr>
        <w:tc>
          <w:tcPr>
            <w:tcW w:w="80" w:type="dxa"/>
            <w:vAlign w:val="bottom"/>
          </w:tcPr>
          <w:p>
            <w:pPr>
              <w:spacing w:after="0"/>
              <w:rPr>
                <w:sz w:val="24"/>
                <w:szCs w:val="24"/>
                <w:color w:val="auto"/>
              </w:rPr>
            </w:pPr>
          </w:p>
        </w:tc>
        <w:tc>
          <w:tcPr>
            <w:tcW w:w="7980" w:type="dxa"/>
            <w:vAlign w:val="bottom"/>
            <w:gridSpan w:val="3"/>
          </w:tcPr>
          <w:p>
            <w:pPr>
              <w:jc w:val="center"/>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30"/>
        </w:trPr>
        <w:tc>
          <w:tcPr>
            <w:tcW w:w="80" w:type="dxa"/>
            <w:vAlign w:val="bottom"/>
          </w:tcPr>
          <w:p>
            <w:pPr>
              <w:spacing w:after="0"/>
              <w:rPr>
                <w:sz w:val="24"/>
                <w:szCs w:val="24"/>
                <w:color w:val="auto"/>
              </w:rPr>
            </w:pPr>
          </w:p>
        </w:tc>
        <w:tc>
          <w:tcPr>
            <w:tcW w:w="33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Title of each class</w:t>
            </w:r>
          </w:p>
        </w:tc>
        <w:tc>
          <w:tcPr>
            <w:tcW w:w="13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Trading Symbol(s)</w:t>
            </w: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0"/>
        </w:trPr>
        <w:tc>
          <w:tcPr>
            <w:tcW w:w="80" w:type="dxa"/>
            <w:vAlign w:val="bottom"/>
          </w:tcPr>
          <w:p>
            <w:pPr>
              <w:spacing w:after="0"/>
              <w:rPr>
                <w:sz w:val="16"/>
                <w:szCs w:val="16"/>
                <w:color w:val="auto"/>
              </w:rPr>
            </w:pPr>
          </w:p>
        </w:tc>
        <w:tc>
          <w:tcPr>
            <w:tcW w:w="3380" w:type="dxa"/>
            <w:vAlign w:val="bottom"/>
          </w:tcPr>
          <w:p>
            <w:pPr>
              <w:ind w:left="580"/>
              <w:spacing w:after="0"/>
              <w:rPr>
                <w:sz w:val="20"/>
                <w:szCs w:val="20"/>
                <w:color w:val="auto"/>
              </w:rPr>
            </w:pPr>
            <w:r>
              <w:rPr>
                <w:rFonts w:ascii="Arial" w:cs="Arial" w:eastAsia="Arial" w:hAnsi="Arial"/>
                <w:sz w:val="14"/>
                <w:szCs w:val="14"/>
                <w:color w:val="auto"/>
              </w:rPr>
              <w:t>Common Stock, $0.001 par value</w:t>
            </w:r>
          </w:p>
        </w:tc>
        <w:tc>
          <w:tcPr>
            <w:tcW w:w="1380" w:type="dxa"/>
            <w:vAlign w:val="bottom"/>
          </w:tcPr>
          <w:p>
            <w:pPr>
              <w:jc w:val="center"/>
              <w:ind w:right="128"/>
              <w:spacing w:after="0"/>
              <w:rPr>
                <w:sz w:val="20"/>
                <w:szCs w:val="20"/>
                <w:color w:val="auto"/>
              </w:rPr>
            </w:pPr>
            <w:r>
              <w:rPr>
                <w:rFonts w:ascii="Arial" w:cs="Arial" w:eastAsia="Arial" w:hAnsi="Arial"/>
                <w:sz w:val="14"/>
                <w:szCs w:val="14"/>
                <w:color w:val="auto"/>
                <w:w w:val="93"/>
              </w:rPr>
              <w:t>ISEE</w:t>
            </w:r>
          </w:p>
        </w:tc>
        <w:tc>
          <w:tcPr>
            <w:tcW w:w="322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2242185</wp:posOffset>
            </wp:positionH>
            <wp:positionV relativeFrom="paragraph">
              <wp:posOffset>92075</wp:posOffset>
            </wp:positionV>
            <wp:extent cx="266573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34290"/>
                    </a:xfrm>
                    <a:prstGeom prst="rect">
                      <a:avLst/>
                    </a:prstGeom>
                    <a:noFill/>
                  </pic:spPr>
                </pic:pic>
              </a:graphicData>
            </a:graphic>
          </wp:anchor>
        </w:drawing>
      </w:r>
    </w:p>
    <w:p>
      <w:pPr>
        <w:spacing w:after="0" w:line="309" w:lineRule="exact"/>
        <w:rPr>
          <w:sz w:val="24"/>
          <w:szCs w:val="24"/>
          <w:color w:val="auto"/>
        </w:rPr>
      </w:pPr>
    </w:p>
    <w:p>
      <w:pPr>
        <w:ind w:right="3400"/>
        <w:spacing w:after="0" w:line="26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Indicate by check mark if the registrant is not required to file reports pursuant to Section 13 or Section 15(d)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99"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2"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p>
      <w:pPr>
        <w:ind w:left="320"/>
        <w:spacing w:after="0" w:line="184" w:lineRule="exact"/>
        <w:tabs>
          <w:tab w:leader="none" w:pos="2740" w:val="left"/>
          <w:tab w:leader="none" w:pos="4560" w:val="left"/>
          <w:tab w:leader="none" w:pos="6420" w:val="left"/>
          <w:tab w:leader="none" w:pos="8480" w:val="left"/>
          <w:tab w:leader="none" w:pos="8880" w:val="left"/>
          <w:tab w:leader="none" w:pos="109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48" w:lineRule="exact"/>
        <w:rPr>
          <w:sz w:val="24"/>
          <w:szCs w:val="24"/>
          <w:color w:val="auto"/>
        </w:rPr>
      </w:pPr>
    </w:p>
    <w:p>
      <w:pPr>
        <w:ind w:left="20" w:right="52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9"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72" w:lineRule="exact"/>
        <w:rPr>
          <w:sz w:val="24"/>
          <w:szCs w:val="24"/>
          <w:color w:val="auto"/>
        </w:rPr>
      </w:pPr>
    </w:p>
    <w:p>
      <w:pPr>
        <w:spacing w:after="0" w:line="150" w:lineRule="exact"/>
        <w:tabs>
          <w:tab w:leader="none" w:pos="70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18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30, 2020, the aggregate market value of the voting and non-voting common equity held by non-affiliates of the registrant was approximately $442.6 million, based on the closing price of the registrant's common stock on June 30, 2020.</w:t>
      </w:r>
    </w:p>
    <w:p>
      <w:pPr>
        <w:spacing w:after="0" w:line="10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class of common stock, as of February 28, 2021: 90,140,797</w:t>
      </w:r>
    </w:p>
    <w:p>
      <w:pPr>
        <w:spacing w:after="0" w:line="132"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4" w:lineRule="exact"/>
        <w:rPr>
          <w:sz w:val="24"/>
          <w:szCs w:val="24"/>
          <w:color w:val="auto"/>
        </w:rPr>
      </w:pPr>
    </w:p>
    <w:p>
      <w:pPr>
        <w:ind w:right="140"/>
        <w:spacing w:after="0" w:line="273" w:lineRule="auto"/>
        <w:rPr>
          <w:sz w:val="20"/>
          <w:szCs w:val="20"/>
          <w:color w:val="auto"/>
        </w:rPr>
      </w:pPr>
      <w:r>
        <w:rPr>
          <w:rFonts w:ascii="Arial" w:cs="Arial" w:eastAsia="Arial" w:hAnsi="Arial"/>
          <w:sz w:val="14"/>
          <w:szCs w:val="14"/>
          <w:color w:val="auto"/>
        </w:rPr>
        <w:t>Part III of this Annual Report incorporates by reference information from the definitive Proxy Statement for the registrant's 2021 Annual Meeting of Shareholders, which is expected to be filed with the Securities and Exchange Commission not later than 120 days after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636270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916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04"/>
        </w:trPr>
        <w:tc>
          <w:tcPr>
            <w:tcW w:w="1000" w:type="dxa"/>
            <w:vAlign w:val="bottom"/>
          </w:tcPr>
          <w:p>
            <w:pPr>
              <w:spacing w:after="0"/>
              <w:rPr>
                <w:sz w:val="24"/>
                <w:szCs w:val="24"/>
                <w:color w:val="auto"/>
              </w:rPr>
            </w:pPr>
          </w:p>
        </w:tc>
        <w:tc>
          <w:tcPr>
            <w:tcW w:w="9160" w:type="dxa"/>
            <w:vAlign w:val="bottom"/>
          </w:tcPr>
          <w:p>
            <w:pPr>
              <w:jc w:val="center"/>
              <w:spacing w:after="0"/>
              <w:rPr>
                <w:rFonts w:ascii="Arial" w:cs="Arial" w:eastAsia="Arial" w:hAnsi="Arial"/>
                <w:sz w:val="18"/>
                <w:szCs w:val="18"/>
                <w:b w:val="1"/>
                <w:bCs w:val="1"/>
                <w:u w:val="single" w:color="auto"/>
                <w:color w:val="0000FF"/>
                <w:w w:val="98"/>
              </w:rPr>
            </w:pPr>
            <w:hyperlink w:anchor="page6">
              <w:r>
                <w:rPr>
                  <w:rFonts w:ascii="Arial" w:cs="Arial" w:eastAsia="Arial" w:hAnsi="Arial"/>
                  <w:sz w:val="18"/>
                  <w:szCs w:val="18"/>
                  <w:b w:val="1"/>
                  <w:bCs w:val="1"/>
                  <w:u w:val="single" w:color="auto"/>
                  <w:color w:val="0000FF"/>
                  <w:w w:val="98"/>
                </w:rPr>
                <w:t>PART I</w:t>
              </w:r>
            </w:hyperlink>
          </w:p>
        </w:tc>
        <w:tc>
          <w:tcPr>
            <w:tcW w:w="1000" w:type="dxa"/>
            <w:vAlign w:val="bottom"/>
          </w:tcPr>
          <w:p>
            <w:pPr>
              <w:spacing w:after="0"/>
              <w:rPr>
                <w:sz w:val="24"/>
                <w:szCs w:val="24"/>
                <w:color w:val="auto"/>
              </w:rPr>
            </w:pPr>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Item 1.</w:t>
              </w:r>
            </w:hyperlink>
          </w:p>
        </w:tc>
        <w:tc>
          <w:tcPr>
            <w:tcW w:w="9160" w:type="dxa"/>
            <w:vAlign w:val="bottom"/>
          </w:tcPr>
          <w:p>
            <w:pPr>
              <w:ind w:left="3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2</w:t>
              </w:r>
            </w:hyperlink>
          </w:p>
        </w:tc>
      </w:tr>
      <w:tr>
        <w:trPr>
          <w:trHeight w:val="230"/>
        </w:trPr>
        <w:tc>
          <w:tcPr>
            <w:tcW w:w="1000" w:type="dxa"/>
            <w:vAlign w:val="bottom"/>
          </w:tcPr>
          <w:p>
            <w:pPr>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Item 1A.</w:t>
              </w:r>
            </w:hyperlink>
          </w:p>
        </w:tc>
        <w:tc>
          <w:tcPr>
            <w:tcW w:w="9160" w:type="dxa"/>
            <w:vAlign w:val="bottom"/>
          </w:tcPr>
          <w:p>
            <w:pPr>
              <w:ind w:left="34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Risk Factors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62</w:t>
              </w:r>
            </w:hyperlink>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Item 1B.</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Unresolved Staff Comments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118</w:t>
              </w:r>
            </w:hyperlink>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Item 2.</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Properties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118</w:t>
              </w:r>
            </w:hyperlink>
          </w:p>
        </w:tc>
      </w:tr>
      <w:tr>
        <w:trPr>
          <w:trHeight w:val="230"/>
        </w:trPr>
        <w:tc>
          <w:tcPr>
            <w:tcW w:w="1000" w:type="dxa"/>
            <w:vAlign w:val="bottom"/>
          </w:tcPr>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Item 3.</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Legal Proceedings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118</w:t>
              </w:r>
            </w:hyperlink>
          </w:p>
        </w:tc>
      </w:tr>
      <w:tr>
        <w:trPr>
          <w:trHeight w:val="225"/>
        </w:trPr>
        <w:tc>
          <w:tcPr>
            <w:tcW w:w="1000" w:type="dxa"/>
            <w:vAlign w:val="bottom"/>
          </w:tcPr>
          <w:p>
            <w:pPr>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Item 4.</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Mine Safety Disclosures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118</w:t>
              </w:r>
            </w:hyperlink>
          </w:p>
        </w:tc>
      </w:tr>
      <w:tr>
        <w:trPr>
          <w:trHeight w:val="233"/>
        </w:trPr>
        <w:tc>
          <w:tcPr>
            <w:tcW w:w="1000" w:type="dxa"/>
            <w:vAlign w:val="bottom"/>
          </w:tcPr>
          <w:p>
            <w:pPr>
              <w:spacing w:after="0"/>
              <w:rPr>
                <w:sz w:val="20"/>
                <w:szCs w:val="20"/>
                <w:color w:val="auto"/>
              </w:rPr>
            </w:pPr>
          </w:p>
        </w:tc>
        <w:tc>
          <w:tcPr>
            <w:tcW w:w="9160" w:type="dxa"/>
            <w:vAlign w:val="bottom"/>
          </w:tcPr>
          <w:p>
            <w:pPr>
              <w:jc w:val="center"/>
              <w:spacing w:after="0"/>
              <w:rPr>
                <w:rFonts w:ascii="Arial" w:cs="Arial" w:eastAsia="Arial" w:hAnsi="Arial"/>
                <w:sz w:val="18"/>
                <w:szCs w:val="18"/>
                <w:b w:val="1"/>
                <w:bCs w:val="1"/>
                <w:u w:val="single" w:color="auto"/>
                <w:color w:val="0000FF"/>
              </w:rPr>
            </w:pPr>
            <w:hyperlink w:anchor="page120">
              <w:r>
                <w:rPr>
                  <w:rFonts w:ascii="Arial" w:cs="Arial" w:eastAsia="Arial" w:hAnsi="Arial"/>
                  <w:sz w:val="18"/>
                  <w:szCs w:val="18"/>
                  <w:b w:val="1"/>
                  <w:bCs w:val="1"/>
                  <w:u w:val="single" w:color="auto"/>
                  <w:color w:val="0000FF"/>
                </w:rPr>
                <w:t>PART II</w:t>
              </w:r>
            </w:hyperlink>
          </w:p>
        </w:tc>
        <w:tc>
          <w:tcPr>
            <w:tcW w:w="1000" w:type="dxa"/>
            <w:vAlign w:val="bottom"/>
          </w:tcPr>
          <w:p>
            <w:pPr>
              <w:spacing w:after="0"/>
              <w:rPr>
                <w:sz w:val="20"/>
                <w:szCs w:val="20"/>
                <w:color w:val="auto"/>
              </w:rPr>
            </w:pPr>
          </w:p>
        </w:tc>
      </w:tr>
      <w:tr>
        <w:trPr>
          <w:trHeight w:val="230"/>
        </w:trPr>
        <w:tc>
          <w:tcPr>
            <w:tcW w:w="1000" w:type="dxa"/>
            <w:vAlign w:val="bottom"/>
          </w:tcPr>
          <w:p>
            <w:pPr>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Item 5.</w:t>
              </w:r>
            </w:hyperlink>
          </w:p>
        </w:tc>
        <w:tc>
          <w:tcPr>
            <w:tcW w:w="9160" w:type="dxa"/>
            <w:vAlign w:val="bottom"/>
          </w:tcPr>
          <w:p>
            <w:pPr>
              <w:ind w:left="340"/>
              <w:spacing w:after="0"/>
              <w:rPr>
                <w:rFonts w:ascii="Arial" w:cs="Arial" w:eastAsia="Arial" w:hAnsi="Arial"/>
                <w:sz w:val="18"/>
                <w:szCs w:val="18"/>
                <w:u w:val="single" w:color="auto"/>
                <w:color w:val="0000FF"/>
                <w:w w:val="99"/>
              </w:rPr>
            </w:pPr>
            <w:hyperlink w:anchor="page121">
              <w:r>
                <w:rPr>
                  <w:rFonts w:ascii="Arial" w:cs="Arial" w:eastAsia="Arial" w:hAnsi="Arial"/>
                  <w:sz w:val="18"/>
                  <w:szCs w:val="18"/>
                  <w:u w:val="single" w:color="auto"/>
                  <w:color w:val="0000FF"/>
                  <w:w w:val="99"/>
                </w:rPr>
                <w:t>Market for Registrant's Common Equity, Related Stockholder Matters and Issuer Purchases of Equity Securities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21">
              <w:r>
                <w:rPr>
                  <w:rFonts w:ascii="Arial" w:cs="Arial" w:eastAsia="Arial" w:hAnsi="Arial"/>
                  <w:sz w:val="18"/>
                  <w:szCs w:val="18"/>
                  <w:u w:val="single" w:color="auto"/>
                  <w:color w:val="0000FF"/>
                </w:rPr>
                <w:t>119</w:t>
              </w:r>
            </w:hyperlink>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Item 6.</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Selected Financial Data</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121</w:t>
              </w:r>
            </w:hyperlink>
          </w:p>
        </w:tc>
      </w:tr>
      <w:tr>
        <w:trPr>
          <w:trHeight w:val="230"/>
        </w:trPr>
        <w:tc>
          <w:tcPr>
            <w:tcW w:w="1000" w:type="dxa"/>
            <w:vAlign w:val="bottom"/>
          </w:tcPr>
          <w:p>
            <w:pPr>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Item 7.</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Management's Discussion and Analysis of Financial Condition and Results of Operations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23">
              <w:r>
                <w:rPr>
                  <w:rFonts w:ascii="Arial" w:cs="Arial" w:eastAsia="Arial" w:hAnsi="Arial"/>
                  <w:sz w:val="18"/>
                  <w:szCs w:val="18"/>
                  <w:u w:val="single" w:color="auto"/>
                  <w:color w:val="0000FF"/>
                </w:rPr>
                <w:t>122</w:t>
              </w:r>
            </w:hyperlink>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Item 7A.</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Quantitative and Qualitative Disclosures About Market Risk</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144</w:t>
              </w:r>
            </w:hyperlink>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Item 8.</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Financial Statements and Supplementary Data</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144</w:t>
              </w:r>
            </w:hyperlink>
          </w:p>
        </w:tc>
      </w:tr>
      <w:tr>
        <w:trPr>
          <w:trHeight w:val="230"/>
        </w:trPr>
        <w:tc>
          <w:tcPr>
            <w:tcW w:w="1000" w:type="dxa"/>
            <w:vAlign w:val="bottom"/>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Item 9.</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Changes in and Disagreements With Accountants on Accounting and Financial Disclosure</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144</w:t>
              </w:r>
            </w:hyperlink>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Item 9A.</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Controls and Procedures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144</w:t>
              </w:r>
            </w:hyperlink>
          </w:p>
        </w:tc>
      </w:tr>
      <w:tr>
        <w:trPr>
          <w:trHeight w:val="225"/>
        </w:trPr>
        <w:tc>
          <w:tcPr>
            <w:tcW w:w="1000" w:type="dxa"/>
            <w:vAlign w:val="bottom"/>
          </w:tcPr>
          <w:p>
            <w:pPr>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Item 9B.</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Other Information</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147</w:t>
              </w:r>
            </w:hyperlink>
          </w:p>
        </w:tc>
      </w:tr>
      <w:tr>
        <w:trPr>
          <w:trHeight w:val="234"/>
        </w:trPr>
        <w:tc>
          <w:tcPr>
            <w:tcW w:w="1000" w:type="dxa"/>
            <w:vAlign w:val="bottom"/>
          </w:tcPr>
          <w:p>
            <w:pPr>
              <w:spacing w:after="0"/>
              <w:rPr>
                <w:sz w:val="20"/>
                <w:szCs w:val="20"/>
                <w:color w:val="auto"/>
              </w:rPr>
            </w:pPr>
          </w:p>
        </w:tc>
        <w:tc>
          <w:tcPr>
            <w:tcW w:w="9160" w:type="dxa"/>
            <w:vAlign w:val="bottom"/>
          </w:tcPr>
          <w:p>
            <w:pPr>
              <w:jc w:val="center"/>
              <w:spacing w:after="0"/>
              <w:rPr>
                <w:rFonts w:ascii="Arial" w:cs="Arial" w:eastAsia="Arial" w:hAnsi="Arial"/>
                <w:sz w:val="18"/>
                <w:szCs w:val="18"/>
                <w:b w:val="1"/>
                <w:bCs w:val="1"/>
                <w:u w:val="single" w:color="auto"/>
                <w:color w:val="0000FF"/>
              </w:rPr>
            </w:pPr>
            <w:hyperlink w:anchor="page149">
              <w:r>
                <w:rPr>
                  <w:rFonts w:ascii="Arial" w:cs="Arial" w:eastAsia="Arial" w:hAnsi="Arial"/>
                  <w:sz w:val="18"/>
                  <w:szCs w:val="18"/>
                  <w:b w:val="1"/>
                  <w:bCs w:val="1"/>
                  <w:u w:val="single" w:color="auto"/>
                  <w:color w:val="0000FF"/>
                </w:rPr>
                <w:t>PART III</w:t>
              </w:r>
            </w:hyperlink>
          </w:p>
        </w:tc>
        <w:tc>
          <w:tcPr>
            <w:tcW w:w="1000" w:type="dxa"/>
            <w:vAlign w:val="bottom"/>
          </w:tcPr>
          <w:p>
            <w:pPr>
              <w:spacing w:after="0"/>
              <w:rPr>
                <w:sz w:val="20"/>
                <w:szCs w:val="20"/>
                <w:color w:val="auto"/>
              </w:rPr>
            </w:pPr>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Item 10.</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Directors, Executive Officers and Corporate Governance</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147</w:t>
              </w:r>
            </w:hyperlink>
          </w:p>
        </w:tc>
      </w:tr>
      <w:tr>
        <w:trPr>
          <w:trHeight w:val="230"/>
        </w:trPr>
        <w:tc>
          <w:tcPr>
            <w:tcW w:w="1000" w:type="dxa"/>
            <w:vAlign w:val="bottom"/>
          </w:tcPr>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Item 11.</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Executive Compensation</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147</w:t>
              </w:r>
            </w:hyperlink>
          </w:p>
        </w:tc>
      </w:tr>
      <w:tr>
        <w:trPr>
          <w:trHeight w:val="229"/>
        </w:trPr>
        <w:tc>
          <w:tcPr>
            <w:tcW w:w="1000" w:type="dxa"/>
            <w:vAlign w:val="bottom"/>
          </w:tcPr>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Item 12.</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Security Ownership of Certain Beneficial Owners and Management and Related Stockholder Matters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147</w:t>
              </w:r>
            </w:hyperlink>
          </w:p>
        </w:tc>
      </w:tr>
      <w:tr>
        <w:trPr>
          <w:trHeight w:val="230"/>
        </w:trPr>
        <w:tc>
          <w:tcPr>
            <w:tcW w:w="1000" w:type="dxa"/>
            <w:vAlign w:val="bottom"/>
          </w:tcPr>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Item 13.</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Certain Relationships and Related Transactions, and Director Independence</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147</w:t>
              </w:r>
            </w:hyperlink>
          </w:p>
        </w:tc>
      </w:tr>
      <w:tr>
        <w:trPr>
          <w:trHeight w:val="225"/>
        </w:trPr>
        <w:tc>
          <w:tcPr>
            <w:tcW w:w="1000" w:type="dxa"/>
            <w:vAlign w:val="bottom"/>
          </w:tcPr>
          <w:p>
            <w:pPr>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Item 14.</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Principal Accountant Fees and Services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148</w:t>
              </w:r>
            </w:hyperlink>
          </w:p>
        </w:tc>
      </w:tr>
      <w:tr>
        <w:trPr>
          <w:trHeight w:val="234"/>
        </w:trPr>
        <w:tc>
          <w:tcPr>
            <w:tcW w:w="1000" w:type="dxa"/>
            <w:vAlign w:val="bottom"/>
          </w:tcPr>
          <w:p>
            <w:pPr>
              <w:spacing w:after="0"/>
              <w:rPr>
                <w:sz w:val="20"/>
                <w:szCs w:val="20"/>
                <w:color w:val="auto"/>
              </w:rPr>
            </w:pPr>
          </w:p>
        </w:tc>
        <w:tc>
          <w:tcPr>
            <w:tcW w:w="9160" w:type="dxa"/>
            <w:vAlign w:val="bottom"/>
          </w:tcPr>
          <w:p>
            <w:pPr>
              <w:jc w:val="center"/>
              <w:spacing w:after="0"/>
              <w:rPr>
                <w:rFonts w:ascii="Arial" w:cs="Arial" w:eastAsia="Arial" w:hAnsi="Arial"/>
                <w:sz w:val="18"/>
                <w:szCs w:val="18"/>
                <w:b w:val="1"/>
                <w:bCs w:val="1"/>
                <w:u w:val="single" w:color="auto"/>
                <w:color w:val="0000FF"/>
              </w:rPr>
            </w:pPr>
            <w:hyperlink w:anchor="page150">
              <w:r>
                <w:rPr>
                  <w:rFonts w:ascii="Arial" w:cs="Arial" w:eastAsia="Arial" w:hAnsi="Arial"/>
                  <w:sz w:val="18"/>
                  <w:szCs w:val="18"/>
                  <w:b w:val="1"/>
                  <w:bCs w:val="1"/>
                  <w:u w:val="single" w:color="auto"/>
                  <w:color w:val="0000FF"/>
                </w:rPr>
                <w:t>PART IV</w:t>
              </w:r>
            </w:hyperlink>
          </w:p>
        </w:tc>
        <w:tc>
          <w:tcPr>
            <w:tcW w:w="1000" w:type="dxa"/>
            <w:vAlign w:val="bottom"/>
          </w:tcPr>
          <w:p>
            <w:pPr>
              <w:spacing w:after="0"/>
              <w:rPr>
                <w:sz w:val="20"/>
                <w:szCs w:val="20"/>
                <w:color w:val="auto"/>
              </w:rPr>
            </w:pPr>
          </w:p>
        </w:tc>
      </w:tr>
      <w:tr>
        <w:trPr>
          <w:trHeight w:val="230"/>
        </w:trPr>
        <w:tc>
          <w:tcPr>
            <w:tcW w:w="1000" w:type="dxa"/>
            <w:vAlign w:val="bottom"/>
          </w:tcPr>
          <w:p>
            <w:pPr>
              <w:spacing w:after="0"/>
              <w:rPr>
                <w:rFonts w:ascii="Arial" w:cs="Arial" w:eastAsia="Arial" w:hAnsi="Arial"/>
                <w:sz w:val="18"/>
                <w:szCs w:val="18"/>
                <w:u w:val="single" w:color="auto"/>
                <w:color w:val="0000FF"/>
              </w:rPr>
            </w:pPr>
            <w:hyperlink w:anchor="page151">
              <w:r>
                <w:rPr>
                  <w:rFonts w:ascii="Arial" w:cs="Arial" w:eastAsia="Arial" w:hAnsi="Arial"/>
                  <w:sz w:val="18"/>
                  <w:szCs w:val="18"/>
                  <w:u w:val="single" w:color="auto"/>
                  <w:color w:val="0000FF"/>
                </w:rPr>
                <w:t>Item 15.</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51">
              <w:r>
                <w:rPr>
                  <w:rFonts w:ascii="Arial" w:cs="Arial" w:eastAsia="Arial" w:hAnsi="Arial"/>
                  <w:sz w:val="18"/>
                  <w:szCs w:val="18"/>
                  <w:u w:val="single" w:color="auto"/>
                  <w:color w:val="0000FF"/>
                </w:rPr>
                <w:t>Exhibits and Financial Statement Schedules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51">
              <w:r>
                <w:rPr>
                  <w:rFonts w:ascii="Arial" w:cs="Arial" w:eastAsia="Arial" w:hAnsi="Arial"/>
                  <w:sz w:val="18"/>
                  <w:szCs w:val="18"/>
                  <w:u w:val="single" w:color="auto"/>
                  <w:color w:val="0000FF"/>
                </w:rPr>
                <w:t>149</w:t>
              </w:r>
            </w:hyperlink>
          </w:p>
        </w:tc>
      </w:tr>
      <w:tr>
        <w:trPr>
          <w:trHeight w:val="230"/>
        </w:trPr>
        <w:tc>
          <w:tcPr>
            <w:tcW w:w="1000" w:type="dxa"/>
            <w:vAlign w:val="bottom"/>
          </w:tcPr>
          <w:p>
            <w:pPr>
              <w:spacing w:after="0"/>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Item 16.</w:t>
              </w:r>
            </w:hyperlink>
          </w:p>
        </w:tc>
        <w:tc>
          <w:tcPr>
            <w:tcW w:w="9160" w:type="dxa"/>
            <w:vAlign w:val="bottom"/>
          </w:tcPr>
          <w:p>
            <w:pPr>
              <w:ind w:left="340"/>
              <w:spacing w:after="0"/>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Form 10-K Summary</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53">
              <w:r>
                <w:rPr>
                  <w:rFonts w:ascii="Arial" w:cs="Arial" w:eastAsia="Arial" w:hAnsi="Arial"/>
                  <w:sz w:val="18"/>
                  <w:szCs w:val="18"/>
                  <w:u w:val="single" w:color="auto"/>
                  <w:color w:val="0000FF"/>
                </w:rPr>
                <w:t>152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39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Annual Report on Form 10-K include, among other things, statements about:</w:t>
      </w:r>
    </w:p>
    <w:p>
      <w:pPr>
        <w:spacing w:after="0" w:line="198" w:lineRule="exact"/>
        <w:rPr>
          <w:sz w:val="20"/>
          <w:szCs w:val="20"/>
          <w:color w:val="auto"/>
        </w:rPr>
      </w:pPr>
    </w:p>
    <w:p>
      <w:pPr>
        <w:ind w:left="660" w:right="94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to develop our therapeutic and gene therapy product candidates and pursue our collaborative gene therapy sponsored research programs;</w:t>
      </w:r>
    </w:p>
    <w:p>
      <w:pPr>
        <w:spacing w:after="0" w:line="89" w:lineRule="exact"/>
        <w:rPr>
          <w:rFonts w:ascii="Arial" w:cs="Arial" w:eastAsia="Arial" w:hAnsi="Arial"/>
          <w:sz w:val="18"/>
          <w:szCs w:val="18"/>
          <w:color w:val="auto"/>
        </w:rPr>
      </w:pPr>
    </w:p>
    <w:p>
      <w:pPr>
        <w:ind w:left="660" w:right="220" w:hanging="328"/>
        <w:spacing w:after="0" w:line="342" w:lineRule="auto"/>
        <w:tabs>
          <w:tab w:leader="none" w:pos="65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actual and expected effects of the COVID-19 pandemic and related response measures on our business and operations, including the timing, costs, conduct and outcome of our research and development programs, the work and well-being of our employees, and our financial position;</w:t>
      </w:r>
    </w:p>
    <w:p>
      <w:pPr>
        <w:spacing w:after="0" w:line="123" w:lineRule="exact"/>
        <w:rPr>
          <w:rFonts w:ascii="Arial" w:cs="Arial" w:eastAsia="Arial" w:hAnsi="Arial"/>
          <w:sz w:val="16"/>
          <w:szCs w:val="16"/>
          <w:color w:val="auto"/>
        </w:rPr>
      </w:pPr>
    </w:p>
    <w:p>
      <w:pPr>
        <w:ind w:left="660" w:right="14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impact of results from GATHER1, our completed Phase 3 clinical trial evaluating Zimura for the treatment of geographic atrophy secondary to age-related macular degeneration, on our business and regulatory strategy, including our plans to pursue further development of Zimura;</w:t>
      </w:r>
    </w:p>
    <w:p>
      <w:pPr>
        <w:spacing w:after="0" w:line="183" w:lineRule="exact"/>
        <w:rPr>
          <w:rFonts w:ascii="Arial" w:cs="Arial" w:eastAsia="Arial" w:hAnsi="Arial"/>
          <w:sz w:val="18"/>
          <w:szCs w:val="18"/>
          <w:color w:val="auto"/>
        </w:rPr>
      </w:pPr>
    </w:p>
    <w:p>
      <w:pPr>
        <w:ind w:left="660" w:hanging="328"/>
        <w:spacing w:after="0" w:line="279" w:lineRule="auto"/>
        <w:tabs>
          <w:tab w:leader="none" w:pos="65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timing, costs, conduct and outcome of GATHER2, our ongoing Phase 3 clinical trial evaluating Zimura for the treatment of geographic atrophy secondary to age-related macular degeneration, and expectations regarding the potential for Zimura to receive regulatory approval for the treatment of geographic atrophy secondary to age-related macular degeneration based on the clinical trial results we have received to date and future results from the GATHER2 clinical trial and any other trials we or a potential collaborator may conduct;</w:t>
      </w:r>
    </w:p>
    <w:p>
      <w:pPr>
        <w:spacing w:after="0" w:line="171"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conduct and outcome of STAR, our ongoing Phase 2b screening trial evaluating Zimura for the treatment of autosomal recessive Stargardt disease, including expectations regarding the recruitment of additional patients for this trial;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and expectations for developing Zimura in other indications and pursuing lifecycle improvement programs for Zimura;</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and capabilities for the manufacture of our therapeutics and gene therapy product candidates, including scale up and validation of the manufacturing process for Zimura drug substance and securing the supply of Zimura drug product and the polyethylene glycol starting material for our expected needs;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related to our use of available cash;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plans and ability to consummate business development transactions, including potential collaboration or out-licensing opportunities for further development and potential commercialization of our product candidates, and in-licenses or other opportunities to acquire rights to additional product candidates or technologies to treat retinal diseases;</w:t>
      </w:r>
    </w:p>
    <w:p>
      <w:pPr>
        <w:spacing w:after="0" w:line="183"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170" w:lineRule="exact"/>
        <w:rPr>
          <w:rFonts w:ascii="Arial" w:cs="Arial" w:eastAsia="Arial" w:hAnsi="Arial"/>
          <w:sz w:val="18"/>
          <w:szCs w:val="18"/>
          <w:color w:val="auto"/>
        </w:rPr>
      </w:pPr>
    </w:p>
    <w:p>
      <w:pPr>
        <w:ind w:left="660" w:right="48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 including the advantages and limitations of inhibition of complement factor C5 and HtrA1, including our hypotheses regarding complement inhibition as a mechanism of action to treat geographic atrophy, and of gene therapy, including the use of minigenes;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estimates regarding the number of patients affected by the diseases our product candidates and development programs are intended to treat;</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personnel and human capital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under the section "Summary of Principal Risk Factors" below and the risk factors detailed further in Item 1A, "Risk Factors" of Part I of this report and in our Securities and Exchange Commission reports filed after this report,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27" w:lineRule="exact"/>
        <w:rPr>
          <w:sz w:val="20"/>
          <w:szCs w:val="20"/>
          <w:color w:val="auto"/>
        </w:rPr>
      </w:pPr>
    </w:p>
    <w:p>
      <w:pPr>
        <w:ind w:firstLine="445"/>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90" w:lineRule="exact"/>
        <w:rPr>
          <w:sz w:val="20"/>
          <w:szCs w:val="20"/>
          <w:color w:val="auto"/>
        </w:rPr>
      </w:pPr>
    </w:p>
    <w:p>
      <w:pPr>
        <w:jc w:val="both"/>
        <w:ind w:right="120" w:firstLine="445"/>
        <w:spacing w:after="0" w:line="311" w:lineRule="auto"/>
        <w:rPr>
          <w:sz w:val="20"/>
          <w:szCs w:val="20"/>
          <w:color w:val="auto"/>
        </w:rPr>
      </w:pPr>
      <w:r>
        <w:rPr>
          <w:rFonts w:ascii="Arial" w:cs="Arial" w:eastAsia="Arial" w:hAnsi="Arial"/>
          <w:sz w:val="16"/>
          <w:szCs w:val="16"/>
          <w:color w:val="auto"/>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Principal Risk Factors</w:t>
      </w:r>
    </w:p>
    <w:p>
      <w:pPr>
        <w:spacing w:after="0" w:line="162"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i w:val="1"/>
          <w:iCs w:val="1"/>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Item 1A. Risk Factors section of this Annual Report on</w:t>
      </w:r>
    </w:p>
    <w:p>
      <w:pPr>
        <w:spacing w:after="0" w:line="2" w:lineRule="exact"/>
        <w:rPr>
          <w:sz w:val="20"/>
          <w:szCs w:val="20"/>
          <w:color w:val="auto"/>
        </w:rPr>
      </w:pPr>
    </w:p>
    <w:p>
      <w:pPr>
        <w:ind w:right="2080"/>
        <w:spacing w:after="0" w:line="295" w:lineRule="auto"/>
        <w:rPr>
          <w:sz w:val="20"/>
          <w:szCs w:val="20"/>
          <w:color w:val="auto"/>
        </w:rPr>
      </w:pPr>
      <w:r>
        <w:rPr>
          <w:rFonts w:ascii="Arial" w:cs="Arial" w:eastAsia="Arial" w:hAnsi="Arial"/>
          <w:sz w:val="16"/>
          <w:szCs w:val="16"/>
          <w:i w:val="1"/>
          <w:iCs w:val="1"/>
          <w:color w:val="auto"/>
        </w:rPr>
        <w:t>Form 10-K, and should be carefully considered, together with other information in this Annual Report on Form 10-K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88" w:lineRule="exact"/>
        <w:rPr>
          <w:sz w:val="20"/>
          <w:szCs w:val="20"/>
          <w:color w:val="auto"/>
        </w:rPr>
      </w:pPr>
    </w:p>
    <w:p>
      <w:pPr>
        <w:ind w:left="660" w:right="3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development-stage company without any approved products. The value of your investment is highly dependent on the success of our research and development programs, which carry numerous risks.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had a history of operating at significant losses and expect to continue to do so until we can successfully commercialize one or more of our product candidates, if ever. We may never achieve profitability.</w:t>
      </w:r>
    </w:p>
    <w:p>
      <w:pPr>
        <w:spacing w:after="0" w:line="197"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additional financing in order to finish developing and start commercializing one or more of our product candidates, if approved. Securing financing may be challenging and/or dilutive to our shareholders, and if we are unable to secure financing when needed, we may need to curtail our development programs.</w:t>
      </w:r>
    </w:p>
    <w:p>
      <w:pPr>
        <w:spacing w:after="0" w:line="210" w:lineRule="exact"/>
        <w:rPr>
          <w:rFonts w:ascii="Arial" w:cs="Arial" w:eastAsia="Arial" w:hAnsi="Arial"/>
          <w:sz w:val="18"/>
          <w:szCs w:val="18"/>
          <w:color w:val="auto"/>
        </w:rPr>
      </w:pPr>
    </w:p>
    <w:p>
      <w:pPr>
        <w:jc w:val="both"/>
        <w:ind w:left="660" w:right="8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has adversely affected our business, for example, by impacting the initiation and conduct of our clinical trials, the work of our academic collaborators and contract manufacturing organizations, and aspects of our supply chain. Because of the ongoing and fluid nature of the pandemic, it will continue to affect our business.</w:t>
      </w:r>
    </w:p>
    <w:p>
      <w:pPr>
        <w:spacing w:after="0" w:line="21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Drug development is inherently risky with numerous scientific, technical, regulatory and other challenges. A promising drug candidate can fail at any time and for any number of reasons.</w:t>
      </w:r>
    </w:p>
    <w:p>
      <w:pPr>
        <w:spacing w:after="0" w:line="197"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We are pursuing the development of our product candidates using novel mechanisms of action targeting indications for which there are no approved products. These include, for example, complement inhibition and inhibition of HtrA1 for GA; complement inhibition for autosomal recessive Stargardt disease; and gene therapy for RHO-adRP and </w:t>
      </w:r>
      <w:r>
        <w:rPr>
          <w:rFonts w:ascii="Arial" w:cs="Arial" w:eastAsia="Arial" w:hAnsi="Arial"/>
          <w:sz w:val="18"/>
          <w:szCs w:val="18"/>
          <w:i w:val="1"/>
          <w:iCs w:val="1"/>
          <w:color w:val="auto"/>
        </w:rPr>
        <w:t>BEST1-</w:t>
      </w:r>
      <w:r>
        <w:rPr>
          <w:rFonts w:ascii="Arial" w:cs="Arial" w:eastAsia="Arial" w:hAnsi="Arial"/>
          <w:sz w:val="18"/>
          <w:szCs w:val="18"/>
          <w:color w:val="auto"/>
        </w:rPr>
        <w:t>related IRDs. These approaches carry numerous scientific, regulatory and other risks.</w:t>
      </w:r>
    </w:p>
    <w:p>
      <w:pPr>
        <w:spacing w:after="0" w:line="213" w:lineRule="exact"/>
        <w:rPr>
          <w:rFonts w:ascii="Arial" w:cs="Arial" w:eastAsia="Arial" w:hAnsi="Arial"/>
          <w:sz w:val="18"/>
          <w:szCs w:val="18"/>
          <w:color w:val="auto"/>
        </w:rPr>
      </w:pPr>
    </w:p>
    <w:p>
      <w:pPr>
        <w:ind w:left="660" w:right="2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not had any formal meetings with the FDA or the EMA regarding the results of the GATHER1 trial or our regulatory pathway for Zimura following GATHER1, and regulatory authorities may disagree with the design of or our conclusions from the GATHER1 trial, including our belief that it may serve as one of the two Phase 3 clinical trials required for approval by the FDA and EMA. The results of the GATHER2 trial may not replicate the results of the GATHER1 trial. We may need to conduct additional clinical trials or nonclinical studies for Zimura in order to obtain marketing approval.</w:t>
      </w:r>
    </w:p>
    <w:p>
      <w:pPr>
        <w:spacing w:after="0" w:line="214"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 therapy is a novel area of disease treatment that is subject to numerous risks and uncertainties. We have no prior experience conducting clinical development of a gene therapy product.</w:t>
      </w:r>
    </w:p>
    <w:p>
      <w:pPr>
        <w:spacing w:after="0" w:line="197"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discover safety issues with our product candidates due to known and currently unknown factors, which could hamper their further development.</w:t>
      </w:r>
    </w:p>
    <w:p>
      <w:pPr>
        <w:spacing w:after="0" w:line="197"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 our product candidates, including our gene therapies, is technically complex, expensive and time consuming. We may face issues with scaling up and validating the manufacturing process for Zimura. Issues with manufacturing can derail the further development or commercialization of our product candidates.</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from large pharmaceutical companies, smaller biotech companies and others.</w:t>
      </w:r>
    </w:p>
    <w:p>
      <w:pPr>
        <w:spacing w:after="0" w:line="252" w:lineRule="exact"/>
        <w:rPr>
          <w:rFonts w:ascii="Arial" w:cs="Arial" w:eastAsia="Arial" w:hAnsi="Arial"/>
          <w:sz w:val="18"/>
          <w:szCs w:val="18"/>
          <w:color w:val="auto"/>
        </w:rPr>
      </w:pPr>
    </w:p>
    <w:p>
      <w:pPr>
        <w:jc w:val="both"/>
        <w:ind w:left="660" w:right="48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commercialize any of our product candidates, if approved, we will need to set up a sales and marketing infrastructure. The success of our commercialization efforts will depend in part on the degree of acceptance of our product candidates by patients, the medical community and payors.</w:t>
      </w:r>
    </w:p>
    <w:p>
      <w:pPr>
        <w:spacing w:after="0" w:line="210" w:lineRule="exact"/>
        <w:rPr>
          <w:rFonts w:ascii="Arial" w:cs="Arial" w:eastAsia="Arial" w:hAnsi="Arial"/>
          <w:sz w:val="18"/>
          <w:szCs w:val="18"/>
          <w:color w:val="auto"/>
        </w:rPr>
      </w:pPr>
    </w:p>
    <w:p>
      <w:pPr>
        <w:ind w:left="660" w:right="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do not have any internal manufacturing facilities and rely heavily on our third-party contract manufacturers. They may have different business priorities than we do and may fail to meet our expectations or follow regulatory requirements, including cGMP requirements.</w:t>
      </w:r>
    </w:p>
    <w:p>
      <w:pPr>
        <w:spacing w:after="0" w:line="173" w:lineRule="exact"/>
        <w:rPr>
          <w:rFonts w:ascii="Arial" w:cs="Arial" w:eastAsia="Arial" w:hAnsi="Arial"/>
          <w:sz w:val="17"/>
          <w:szCs w:val="17"/>
          <w:color w:val="auto"/>
        </w:rPr>
      </w:pPr>
    </w:p>
    <w:p>
      <w:pPr>
        <w:jc w:val="both"/>
        <w:ind w:left="660" w:right="24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have any internal laboratories and rely heavily on our third-party contract research organizations as well as our clinical trial sites and academic collaborators. They may have different priorities than we do and may fail to follow regulatory requirements, including GLP, GCP and other data integrity requirements.</w:t>
      </w:r>
    </w:p>
    <w:p>
      <w:pPr>
        <w:spacing w:after="0" w:line="210"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choose to pursue a collaboration for the further development and potential commercialization of any of our product candidates, we may not be able to enter into a collaboration on favorable terms, or at all. Even if we are able to do so, the collaboration may not be successful.</w:t>
      </w:r>
    </w:p>
    <w:p>
      <w:pPr>
        <w:spacing w:after="0" w:line="150" w:lineRule="exact"/>
        <w:rPr>
          <w:rFonts w:ascii="Arial" w:cs="Arial" w:eastAsia="Arial" w:hAnsi="Arial"/>
          <w:sz w:val="16"/>
          <w:szCs w:val="16"/>
          <w:color w:val="auto"/>
        </w:rPr>
      </w:pPr>
    </w:p>
    <w:p>
      <w:pPr>
        <w:ind w:left="660" w:right="1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patents to protect our proprietary position. We may not obtain the patent rights that we seek and/or we may not be able to exclude our competitors from relevant markets. We may be subject to litigation involving our patents or those of third parties.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660" w:right="56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highly dependent on our information security systems and those of third parties we work with. A cybersecurity incident may cause interruptions to the progress of our development programs and operations, financial or regulatory penalties and/or harm to our reputation.</w:t>
      </w:r>
    </w:p>
    <w:p>
      <w:pPr>
        <w:spacing w:after="0" w:line="150" w:lineRule="exact"/>
        <w:rPr>
          <w:rFonts w:ascii="Arial" w:cs="Arial" w:eastAsia="Arial" w:hAnsi="Arial"/>
          <w:sz w:val="16"/>
          <w:szCs w:val="16"/>
          <w:color w:val="auto"/>
        </w:rPr>
      </w:pPr>
    </w:p>
    <w:p>
      <w:pPr>
        <w:ind w:left="660" w:hanging="328"/>
        <w:spacing w:after="0" w:line="31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a limited number of employees to conduct our operations, including supervising our outside vendors. The skills needed to advance our research and development programs and plan for eventual commercialization of our product candidates are highly specialized. We plan to hire additional qualified personnel to support the growth of our business. Hiring these personnel and retaining existing employees may be challenging.</w:t>
      </w:r>
    </w:p>
    <w:p>
      <w:pPr>
        <w:spacing w:after="0" w:line="175" w:lineRule="exact"/>
        <w:rPr>
          <w:rFonts w:ascii="Arial" w:cs="Arial" w:eastAsia="Arial" w:hAnsi="Arial"/>
          <w:sz w:val="16"/>
          <w:szCs w:val="16"/>
          <w:color w:val="auto"/>
        </w:rPr>
      </w:pPr>
    </w:p>
    <w:p>
      <w:pPr>
        <w:ind w:left="660" w:right="4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need to satisfy numerous regulatory requirements in order to secure marketing approval and reimbursement approval, if applicable, for any of our product candidates. These requirements differ across jurisdictions. Failure to satisfy and maintain those requirements can preclude us from commercializing our products.</w:t>
      </w:r>
    </w:p>
    <w:p>
      <w:pPr>
        <w:spacing w:after="0" w:line="210" w:lineRule="exact"/>
        <w:rPr>
          <w:rFonts w:ascii="Arial" w:cs="Arial" w:eastAsia="Arial" w:hAnsi="Arial"/>
          <w:sz w:val="18"/>
          <w:szCs w:val="18"/>
          <w:color w:val="auto"/>
        </w:rPr>
      </w:pPr>
    </w:p>
    <w:p>
      <w:pPr>
        <w:ind w:left="660" w:right="56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and any commercialization partners are subject to numerous healthcare laws and regulations governing our relationships with patients, healthcare professionals and third-party payors. Failure to comply with these requirements may adversely affect our business.</w:t>
      </w:r>
    </w:p>
    <w:p>
      <w:pPr>
        <w:spacing w:after="0" w:line="150" w:lineRule="exact"/>
        <w:rPr>
          <w:rFonts w:ascii="Arial" w:cs="Arial" w:eastAsia="Arial" w:hAnsi="Arial"/>
          <w:sz w:val="16"/>
          <w:szCs w:val="16"/>
          <w:color w:val="auto"/>
        </w:rPr>
      </w:pPr>
    </w:p>
    <w:p>
      <w:pPr>
        <w:ind w:left="660" w:right="54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reimbursement and payment regime for pharmaceutical products in the United States remains in flux, including as a result of the implementation of and litigation involving the Affordable Care Act. There are ongoing, and often bipartisan, efforts to reduce the prices of pharmaceutical products.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TRADEMARKS</w:t>
      </w:r>
    </w:p>
    <w:p>
      <w:pPr>
        <w:spacing w:after="0" w:line="148" w:lineRule="exact"/>
        <w:rPr>
          <w:sz w:val="20"/>
          <w:szCs w:val="20"/>
          <w:color w:val="auto"/>
        </w:rPr>
      </w:pPr>
    </w:p>
    <w:p>
      <w:pPr>
        <w:ind w:right="200" w:firstLine="177"/>
        <w:spacing w:after="0" w:line="263" w:lineRule="auto"/>
        <w:rPr>
          <w:sz w:val="20"/>
          <w:szCs w:val="20"/>
          <w:color w:val="auto"/>
        </w:rPr>
      </w:pPr>
      <w:r>
        <w:rPr>
          <w:rFonts w:ascii="Arial" w:cs="Arial" w:eastAsia="Arial" w:hAnsi="Arial"/>
          <w:sz w:val="18"/>
          <w:szCs w:val="18"/>
          <w:color w:val="212529"/>
        </w:rPr>
        <w:t xml:space="preserve">The trademarks, trade names and service marks appearing in this Annual Report on Form 10-K are the property of their respective owners. </w:t>
      </w:r>
      <w:r>
        <w:rPr>
          <w:rFonts w:ascii="Arial" w:cs="Arial" w:eastAsia="Arial" w:hAnsi="Arial"/>
          <w:sz w:val="18"/>
          <w:szCs w:val="18"/>
          <w:color w:val="000000"/>
        </w:rPr>
        <w:t>We have</w:t>
      </w:r>
      <w:r>
        <w:rPr>
          <w:rFonts w:ascii="Arial" w:cs="Arial" w:eastAsia="Arial" w:hAnsi="Arial"/>
          <w:sz w:val="18"/>
          <w:szCs w:val="18"/>
          <w:color w:val="212529"/>
        </w:rPr>
        <w:t xml:space="preserve"> </w:t>
      </w:r>
      <w:r>
        <w:rPr>
          <w:rFonts w:ascii="Arial" w:cs="Arial" w:eastAsia="Arial" w:hAnsi="Arial"/>
          <w:sz w:val="18"/>
          <w:szCs w:val="18"/>
          <w:color w:val="000000"/>
        </w:rPr>
        <w:t>omitted the ® and ™ designations, as applicable, for the trademarks named in this Annual Report on Form 10-K after their first reference in this Annual Report on Form 10-K.</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Our Strategy</w:t>
      </w:r>
    </w:p>
    <w:p>
      <w:pPr>
        <w:spacing w:after="0" w:line="229" w:lineRule="exact"/>
        <w:rPr>
          <w:sz w:val="20"/>
          <w:szCs w:val="20"/>
          <w:color w:val="auto"/>
        </w:rPr>
      </w:pPr>
    </w:p>
    <w:p>
      <w:pPr>
        <w:ind w:firstLine="177"/>
        <w:spacing w:after="0" w:line="259" w:lineRule="auto"/>
        <w:rPr>
          <w:sz w:val="20"/>
          <w:szCs w:val="20"/>
          <w:color w:val="auto"/>
        </w:rPr>
      </w:pPr>
      <w:r>
        <w:rPr>
          <w:rFonts w:ascii="Arial" w:cs="Arial" w:eastAsia="Arial" w:hAnsi="Arial"/>
          <w:sz w:val="18"/>
          <w:szCs w:val="18"/>
          <w:color w:val="auto"/>
        </w:rPr>
        <w:t>We are a science-driven biopharmaceutical company focused on the discovery and development of novel treatment options for retinal diseases with significant unmet medical needs. We are currently developing both therapeutic product candidates for age-related retinal diseases and gene therapy product candidates for orphan inherited retinal diseases, or IRDs. We believe that both therapeutics and gene therapy serve important roles in drug development and providing potential treatment options for patients suffering from retinal diseases.</w:t>
      </w:r>
    </w:p>
    <w:p>
      <w:pPr>
        <w:spacing w:after="0" w:line="187" w:lineRule="exact"/>
        <w:rPr>
          <w:sz w:val="20"/>
          <w:szCs w:val="20"/>
          <w:color w:val="auto"/>
        </w:rPr>
      </w:pPr>
    </w:p>
    <w:p>
      <w:pPr>
        <w:ind w:right="40" w:firstLine="180"/>
        <w:spacing w:after="0" w:line="263" w:lineRule="auto"/>
        <w:rPr>
          <w:sz w:val="20"/>
          <w:szCs w:val="20"/>
          <w:color w:val="auto"/>
        </w:rPr>
      </w:pPr>
      <w:r>
        <w:rPr>
          <w:rFonts w:ascii="Arial" w:cs="Arial" w:eastAsia="Arial" w:hAnsi="Arial"/>
          <w:sz w:val="18"/>
          <w:szCs w:val="18"/>
          <w:color w:val="auto"/>
        </w:rPr>
        <w:t>Our therapeutics portfolio consists of our clinical stage product candidate Zimura® (avacincaptad pegol), a complement C5 inhibitor, and our preclinical product candidate IC-500, a High temperature requirement A serine peptidase 1 protein, or HtrA1, inhibitor. We are currently targeting the following diseases with Zimura:</w:t>
      </w:r>
    </w:p>
    <w:p>
      <w:pPr>
        <w:spacing w:after="0" w:line="184" w:lineRule="exact"/>
        <w:rPr>
          <w:sz w:val="20"/>
          <w:szCs w:val="20"/>
          <w:color w:val="auto"/>
        </w:rPr>
      </w:pPr>
    </w:p>
    <w:p>
      <w:pPr>
        <w:ind w:left="660" w:right="4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age-related macular degeneration, or AMD, and is characterized by marked thinning or atrophy of retinal tissue, leading to irreversible loss of vision; and</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developing IC-500 for GA secondary to AMD and potentially other age-related retinal diseases.</w:t>
      </w:r>
    </w:p>
    <w:p>
      <w:pPr>
        <w:spacing w:after="0" w:line="225" w:lineRule="exact"/>
        <w:rPr>
          <w:sz w:val="20"/>
          <w:szCs w:val="20"/>
          <w:color w:val="auto"/>
        </w:rPr>
      </w:pPr>
    </w:p>
    <w:p>
      <w:pPr>
        <w:ind w:right="460" w:firstLine="180"/>
        <w:spacing w:after="0" w:line="263" w:lineRule="auto"/>
        <w:rPr>
          <w:sz w:val="20"/>
          <w:szCs w:val="20"/>
          <w:color w:val="auto"/>
        </w:rPr>
      </w:pPr>
      <w:r>
        <w:rPr>
          <w:rFonts w:ascii="Arial" w:cs="Arial" w:eastAsia="Arial" w:hAnsi="Arial"/>
          <w:sz w:val="18"/>
          <w:szCs w:val="18"/>
          <w:color w:val="auto"/>
        </w:rPr>
        <w:t>Our gene therapy portfolio consists of two product candidates in preclinical development (IC-100 and IC-200) and several ongoing collaborative sponsored research programs, each of which uses adeno-associated virus, or AAV, for gene delivery. These AAV mediated gene therapy programs are targeting the following orphan IRDs:</w:t>
      </w:r>
    </w:p>
    <w:p>
      <w:pPr>
        <w:spacing w:after="0" w:line="184" w:lineRule="exact"/>
        <w:rPr>
          <w:sz w:val="20"/>
          <w:szCs w:val="20"/>
          <w:color w:val="auto"/>
        </w:rPr>
      </w:pPr>
    </w:p>
    <w:p>
      <w:pPr>
        <w:ind w:left="660" w:right="300" w:hanging="328"/>
        <w:spacing w:after="0" w:line="277"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70" w:lineRule="exact"/>
        <w:rPr>
          <w:rFonts w:ascii="Arial" w:cs="Arial" w:eastAsia="Arial" w:hAnsi="Arial"/>
          <w:sz w:val="18"/>
          <w:szCs w:val="18"/>
          <w:b w:val="1"/>
          <w:bCs w:val="1"/>
          <w:i w:val="1"/>
          <w:iCs w:val="1"/>
          <w:color w:val="auto"/>
        </w:rPr>
      </w:pPr>
    </w:p>
    <w:p>
      <w:pPr>
        <w:ind w:left="660" w:hanging="328"/>
        <w:spacing w:after="0" w:line="277"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including Best vitelliform macular dystrophy, or Best disease, which is generally characterized by bilateral egg yolk-like lesions in the macula, which, over time, progress to atrophy and loss of vision;</w:t>
      </w:r>
    </w:p>
    <w:p>
      <w:pPr>
        <w:spacing w:after="0" w:line="170"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225"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color w:val="auto"/>
        </w:rPr>
        <w:t>autosomal recessive Stargardt disease; and</w:t>
      </w:r>
    </w:p>
    <w:p>
      <w:pPr>
        <w:spacing w:after="0" w:line="225" w:lineRule="exact"/>
        <w:rPr>
          <w:rFonts w:ascii="Arial" w:cs="Arial" w:eastAsia="Arial" w:hAnsi="Arial"/>
          <w:sz w:val="18"/>
          <w:szCs w:val="18"/>
          <w:b w:val="1"/>
          <w:bCs w:val="1"/>
          <w:i w:val="1"/>
          <w:iCs w:val="1"/>
          <w:color w:val="auto"/>
        </w:rPr>
      </w:pPr>
    </w:p>
    <w:p>
      <w:pPr>
        <w:ind w:left="660" w:right="40" w:hanging="328"/>
        <w:spacing w:after="0" w:line="277"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include Usher syndrome type 2A, or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developing IC-100 for RHO-adRP and IC-200 for </w:t>
      </w:r>
      <w:r>
        <w:rPr>
          <w:rFonts w:ascii="Arial" w:cs="Arial" w:eastAsia="Arial" w:hAnsi="Arial"/>
          <w:sz w:val="18"/>
          <w:szCs w:val="18"/>
          <w:i w:val="1"/>
          <w:iCs w:val="1"/>
          <w:color w:val="auto"/>
        </w:rPr>
        <w:t>BEST1</w:t>
      </w:r>
      <w:r>
        <w:rPr>
          <w:rFonts w:ascii="Arial" w:cs="Arial" w:eastAsia="Arial" w:hAnsi="Arial"/>
          <w:sz w:val="18"/>
          <w:szCs w:val="18"/>
          <w:color w:val="auto"/>
        </w:rPr>
        <w:t>-related IRDs.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5863590" cy="2459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359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*We have an option to exclusively in-license intellectual property resulting from ongoing sponsored research.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Highlights and Our Strengths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2020, we achieved a number of significant company milestones, including the following:</w:t>
      </w:r>
    </w:p>
    <w:p>
      <w:pPr>
        <w:spacing w:after="0" w:line="225" w:lineRule="exact"/>
        <w:rPr>
          <w:sz w:val="20"/>
          <w:szCs w:val="20"/>
          <w:color w:val="auto"/>
        </w:rPr>
      </w:pPr>
    </w:p>
    <w:p>
      <w:pPr>
        <w:ind w:left="660" w:hanging="328"/>
        <w:spacing w:after="0" w:line="283"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June 2020, we completed and announced 18-month data from GATHER1, also known as OPH2003, an international, randomized, double-masked, sham controlled, multi-center clinical trial assessing the safety and efficacy of Zimura for the treatment of GA secondary to AMD. The 18-month data supported the previously announced 12-month data from this trial, which confirmed that Zimura met the prespecified primary endpoint in the trial in reducing the rate of GA growth in patients. The reduction in the mean rate of GA growth over 12 months using the square root transformation was 0.110 mm (p-value = 0.0072) for the Zimura 2 mg group as compared to the corresponding sham control group and 0.124 mm (p-value = 0.0051) for the Zimura 4 mg group as compared to the corresponding sham control group, indicating an approximate 27% relative reduction in the mean rate of GA growth over 12 months when compared with sham for both dose groups. This data was statistically significant. GATHER1 was designed to be a Phase 2b screening trial, with the potential to qualify as a pivotal trial depending on the magnitude and statistical significance of the potential benefit observed. Based on the 12-month data, we believe that the GATHER1 trial qualifies as the first of two Phase 3 trials typically required by the U.S. Food and Drug Administration, or FDA, for marketing approval of a pharmaceutical product. In light of the</w:t>
      </w:r>
    </w:p>
    <w:p>
      <w:pPr>
        <w:spacing w:after="0" w:line="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12-month data, we changed the phase designation of the GATHER1 trial to a Phase 2/3 trial and we believe it qualifies as a Phase 3 clinical trial.</w:t>
      </w:r>
    </w:p>
    <w:p>
      <w:pPr>
        <w:spacing w:after="0" w:line="233" w:lineRule="exact"/>
        <w:rPr>
          <w:rFonts w:ascii="Arial" w:cs="Arial" w:eastAsia="Arial" w:hAnsi="Arial"/>
          <w:sz w:val="16"/>
          <w:szCs w:val="16"/>
          <w:color w:val="auto"/>
        </w:rPr>
      </w:pPr>
    </w:p>
    <w:p>
      <w:pPr>
        <w:ind w:left="660" w:right="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June 2020, we dosed the first patient in GATHER2, also known as ISEE2008, an international, randomized, double-masked, sham controlled, multi-center Phase 3 clinical trial assessing the safety and efficacy of Zimura for the treatment of GA secondary to AMD. We plan to enroll approximately 400 patients in this trial. We are continuing to recruit and enroll patients and expect to complete patient enrollment during the third quarter of 2021.</w:t>
      </w:r>
    </w:p>
    <w:p>
      <w:pPr>
        <w:spacing w:after="0" w:line="186" w:lineRule="exact"/>
        <w:rPr>
          <w:rFonts w:ascii="Arial" w:cs="Arial" w:eastAsia="Arial" w:hAnsi="Arial"/>
          <w:sz w:val="18"/>
          <w:szCs w:val="18"/>
          <w:color w:val="auto"/>
        </w:rPr>
      </w:pPr>
    </w:p>
    <w:p>
      <w:pPr>
        <w:ind w:left="660" w:right="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June 2020, we closed an underwritten public offering in which we sold 28,503,220 shares of our common stock and pre-funded warrants to purchase 1,914,280 shares of our common stock. Concurrently with the public offering, we sold 8,649,453 shares of our common stock in a private placement. The net proceeds from the public offering and private placement, after deducting underwriting discounts, placement agent fees and other offering expenses, was approximately $150.1 million.</w:t>
      </w:r>
    </w:p>
    <w:p>
      <w:pPr>
        <w:spacing w:after="0" w:line="186" w:lineRule="exact"/>
        <w:rPr>
          <w:rFonts w:ascii="Arial" w:cs="Arial" w:eastAsia="Arial" w:hAnsi="Arial"/>
          <w:sz w:val="18"/>
          <w:szCs w:val="18"/>
          <w:color w:val="auto"/>
        </w:rPr>
      </w:pPr>
    </w:p>
    <w:p>
      <w:pPr>
        <w:ind w:left="660" w:right="12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continued to hire strategically to support key areas of our business, such as manufacturing, quality assurance and supply chain management, with a total of 22 full-time employees joining our team over the course of 2020. In response to the global COVID-19 pandemic and other current events, we increased our efforts to support the health and well-being and productivity of our employees and to undertake diversity, equity and inclusion initiatives.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40" w:firstLine="177"/>
        <w:spacing w:after="0" w:line="277" w:lineRule="auto"/>
        <w:rPr>
          <w:sz w:val="20"/>
          <w:szCs w:val="20"/>
          <w:color w:val="auto"/>
        </w:rPr>
      </w:pPr>
      <w:r>
        <w:rPr>
          <w:rFonts w:ascii="Arial" w:cs="Arial" w:eastAsia="Arial" w:hAnsi="Arial"/>
          <w:sz w:val="18"/>
          <w:szCs w:val="18"/>
          <w:color w:val="auto"/>
        </w:rPr>
        <w:t>We believe a number of factors provide us a competitive advantage in retinal drug development for therapeutics and gene therapies. These factors include:</w:t>
      </w:r>
    </w:p>
    <w:p>
      <w:pPr>
        <w:spacing w:after="0" w:line="166" w:lineRule="exact"/>
        <w:rPr>
          <w:sz w:val="20"/>
          <w:szCs w:val="20"/>
          <w:color w:val="auto"/>
        </w:rPr>
      </w:pPr>
    </w:p>
    <w:p>
      <w:pPr>
        <w:ind w:left="660" w:right="20" w:hanging="328"/>
        <w:spacing w:after="0" w:line="303"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Broad and deep portfolio of product candidates and development programs. </w:t>
      </w:r>
      <w:r>
        <w:rPr>
          <w:rFonts w:ascii="Arial" w:cs="Arial" w:eastAsia="Arial" w:hAnsi="Arial"/>
          <w:sz w:val="16"/>
          <w:szCs w:val="16"/>
          <w:color w:val="auto"/>
        </w:rPr>
        <w:t>We have built a broad and deep portfolio of therapeutic and gene</w:t>
      </w:r>
      <w:r>
        <w:rPr>
          <w:rFonts w:ascii="Arial" w:cs="Arial" w:eastAsia="Arial" w:hAnsi="Arial"/>
          <w:sz w:val="16"/>
          <w:szCs w:val="16"/>
          <w:b w:val="1"/>
          <w:bCs w:val="1"/>
          <w:color w:val="auto"/>
        </w:rPr>
        <w:t xml:space="preserve"> </w:t>
      </w:r>
      <w:r>
        <w:rPr>
          <w:rFonts w:ascii="Arial" w:cs="Arial" w:eastAsia="Arial" w:hAnsi="Arial"/>
          <w:sz w:val="16"/>
          <w:szCs w:val="16"/>
          <w:color w:val="auto"/>
        </w:rPr>
        <w:t>therapy product candidates and programs that we believe are scientifically compelling, target diseases for which there are high unmet medical needs, and provide significant market opportunities. For our gene therapies, we are focused on using AAV for gene delivery, which we believe is generally safe for the eye and holds tremendous promise for treating a number of IRDs for which there are no currently approved treatments.</w:t>
      </w:r>
    </w:p>
    <w:p>
      <w:pPr>
        <w:spacing w:after="0" w:line="150" w:lineRule="exact"/>
        <w:rPr>
          <w:rFonts w:ascii="Arial" w:cs="Arial" w:eastAsia="Arial" w:hAnsi="Arial"/>
          <w:sz w:val="16"/>
          <w:szCs w:val="16"/>
          <w:color w:val="auto"/>
        </w:rPr>
      </w:pPr>
    </w:p>
    <w:p>
      <w:pPr>
        <w:ind w:left="660" w:right="140" w:hanging="328"/>
        <w:spacing w:after="0" w:line="258" w:lineRule="auto"/>
        <w:tabs>
          <w:tab w:leader="none" w:pos="6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Collaborative relationships with global clinical trial sites, leading academic institutions and key leaders in the ophthalmic field. </w:t>
      </w:r>
      <w:r>
        <w:rPr>
          <w:rFonts w:ascii="Arial" w:cs="Arial" w:eastAsia="Arial" w:hAnsi="Arial"/>
          <w:sz w:val="18"/>
          <w:szCs w:val="18"/>
          <w:color w:val="auto"/>
        </w:rPr>
        <w:t>We have</w:t>
      </w:r>
      <w:r>
        <w:rPr>
          <w:rFonts w:ascii="Arial" w:cs="Arial" w:eastAsia="Arial" w:hAnsi="Arial"/>
          <w:sz w:val="18"/>
          <w:szCs w:val="18"/>
          <w:b w:val="1"/>
          <w:bCs w:val="1"/>
          <w:color w:val="auto"/>
        </w:rPr>
        <w:t xml:space="preserve"> </w:t>
      </w:r>
      <w:r>
        <w:rPr>
          <w:rFonts w:ascii="Arial" w:cs="Arial" w:eastAsia="Arial" w:hAnsi="Arial"/>
          <w:sz w:val="18"/>
          <w:szCs w:val="18"/>
          <w:color w:val="auto"/>
        </w:rPr>
        <w:t>an extensive network of over 300 ophthalmic clinical trial sites worldwide with which we have worked. We have deep relationships with global retina thought leaders. We have developed collaborative relationships with several leading academic institutions in gene therapy research, including the University of Massachusetts Medical School, or UMMS, the University of Pennsylvania, or Penn, and the University of Florida, or UF.</w:t>
      </w:r>
    </w:p>
    <w:p>
      <w:pPr>
        <w:spacing w:after="0" w:line="183" w:lineRule="exact"/>
        <w:rPr>
          <w:rFonts w:ascii="Arial" w:cs="Arial" w:eastAsia="Arial" w:hAnsi="Arial"/>
          <w:sz w:val="18"/>
          <w:szCs w:val="18"/>
          <w:b w:val="1"/>
          <w:bCs w:val="1"/>
          <w:color w:val="auto"/>
        </w:rPr>
      </w:pPr>
    </w:p>
    <w:p>
      <w:pPr>
        <w:ind w:left="660" w:right="100" w:hanging="328"/>
        <w:spacing w:after="0" w:line="281"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Our clinical experience and growing capabilities. </w:t>
      </w:r>
      <w:r>
        <w:rPr>
          <w:rFonts w:ascii="Arial" w:cs="Arial" w:eastAsia="Arial" w:hAnsi="Arial"/>
          <w:sz w:val="17"/>
          <w:szCs w:val="17"/>
          <w:color w:val="auto"/>
        </w:rPr>
        <w:t>Our team has significant experience in the efficient execution of large-scale clinical trials for</w:t>
      </w:r>
      <w:r>
        <w:rPr>
          <w:rFonts w:ascii="Arial" w:cs="Arial" w:eastAsia="Arial" w:hAnsi="Arial"/>
          <w:sz w:val="17"/>
          <w:szCs w:val="17"/>
          <w:b w:val="1"/>
          <w:bCs w:val="1"/>
          <w:color w:val="auto"/>
        </w:rPr>
        <w:t xml:space="preserve"> </w:t>
      </w:r>
      <w:r>
        <w:rPr>
          <w:rFonts w:ascii="Arial" w:cs="Arial" w:eastAsia="Arial" w:hAnsi="Arial"/>
          <w:sz w:val="17"/>
          <w:szCs w:val="17"/>
          <w:color w:val="auto"/>
        </w:rPr>
        <w:t>retinal diseases, and we are leveraging that experience as we conduct GATHER2 and prepare for the potential clinical development of our gene therapy product candidates. We have built and are continuing to build our internal and external capabilities in various areas, such as manufacturing, analytical development, quality assurance and control, preclinical research and regulatory affairs.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Beginning in 2017, we pursued a business development strategy focused on evaluating various available technologies to treat ophthalmic diseases, particularly those in the back of the eye, and exploring opportunities to obtain rights to additional products and product candidates employing these technologies. Our efforts resulted in the expansion of our research and development pipeline, including the addition of IC-100, IC-200 and IC-500 and a number of collaborative gene therapy sponsored research programs.</w:t>
      </w:r>
    </w:p>
    <w:p>
      <w:pPr>
        <w:spacing w:after="0" w:line="187"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As we continue the development of our product candidates and programs and evaluate our overall strategic priorities, we will continue to pursue selective business development and financing opportunities that advance us toward our strategic goals. We continue to explore potential collaboration and out-licensing opportunities for the future development and potential commercialization of our product candidates. In addition, we plan to continue to evaluate, on a selective and targeted basis, opportunities to potentially obtain rights to additional product candidates and technologies for retinal diseases, including technologies that may complement our existing product candidates and other strategic lifecycle initiatives.</w:t>
      </w:r>
    </w:p>
    <w:p>
      <w:pPr>
        <w:spacing w:after="0" w:line="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For information about our follow-on public offerings that we completed in December 2019 and June 2020, please see the Liquidity and Capital Resources section of Management' s Discussion and Analysis of Financial Condition and Results of Operations set forth in Part I, Item 7 </w:t>
      </w:r>
      <w:r>
        <w:rPr>
          <w:rFonts w:ascii="Arial" w:cs="Arial" w:eastAsia="Arial" w:hAnsi="Arial"/>
          <w:sz w:val="18"/>
          <w:szCs w:val="18"/>
          <w:color w:val="212529"/>
        </w:rPr>
        <w:t>of this Annual</w:t>
      </w:r>
      <w:r>
        <w:rPr>
          <w:rFonts w:ascii="Arial" w:cs="Arial" w:eastAsia="Arial" w:hAnsi="Arial"/>
          <w:sz w:val="18"/>
          <w:szCs w:val="18"/>
          <w:color w:val="auto"/>
        </w:rPr>
        <w:t xml:space="preserve"> </w:t>
      </w:r>
      <w:r>
        <w:rPr>
          <w:rFonts w:ascii="Arial" w:cs="Arial" w:eastAsia="Arial" w:hAnsi="Arial"/>
          <w:sz w:val="18"/>
          <w:szCs w:val="18"/>
          <w:color w:val="212529"/>
        </w:rPr>
        <w:t>Report on Form 10-K</w:t>
      </w:r>
      <w:r>
        <w:rPr>
          <w:rFonts w:ascii="Arial" w:cs="Arial" w:eastAsia="Arial" w:hAnsi="Arial"/>
          <w:sz w:val="18"/>
          <w:szCs w:val="18"/>
          <w:color w:val="000000"/>
        </w:rPr>
        <w:t>. We expect to continue to pursue capital raising transactions when they are available on terms favorable to us and if the opportunity</w:t>
      </w:r>
      <w:r>
        <w:rPr>
          <w:rFonts w:ascii="Arial" w:cs="Arial" w:eastAsia="Arial" w:hAnsi="Arial"/>
          <w:sz w:val="18"/>
          <w:szCs w:val="18"/>
          <w:color w:val="212529"/>
        </w:rPr>
        <w:t xml:space="preserve"> </w:t>
      </w:r>
      <w:r>
        <w:rPr>
          <w:rFonts w:ascii="Arial" w:cs="Arial" w:eastAsia="Arial" w:hAnsi="Arial"/>
          <w:sz w:val="18"/>
          <w:szCs w:val="18"/>
          <w:color w:val="000000"/>
        </w:rPr>
        <w:t>advances our strategic goals.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Beginning in March 2020, the COVID-19 pandemic and measures taken to contain it have affected various aspects of our business and operations, including our clinical trials, our supply chain, our workforce and the work of our third-party contract manufacturers and academic collaborators. For example, in March 2020, we decided to delay the initiation of patient enrollment in our GATHER2 trial. Although we began patient enrollment for GATHER2 in June 2020, we and our clinical trial sites have implemented a number of changes to our clinical trial operations to protect the health and safety of our clinical trial participants and site staff. Additionally, many of our third-party contract manufacturers, academic research collaborators and contract research organizations have limited their operations and staff, which has resulted in delays to some of our manufacturing and research and development activities. In addition, shortages, delays and governmental restrictions arising from the COVID-19 pandemic have disrupted and may continue to disrupt the ability of our contract manufacturers and contract research organizations to source needed materials.</w:t>
      </w:r>
    </w:p>
    <w:p>
      <w:pPr>
        <w:spacing w:after="0" w:line="11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March 2020, as a result of the COVID-19 pandemic, we instituted company-wide remote working and we expect to continue working remotely for the foreseeable future. We are continuing to monitor and support the health and well-being of our employees and their productivity as remote working continues.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firstLine="180"/>
        <w:spacing w:after="0" w:line="263" w:lineRule="auto"/>
        <w:rPr>
          <w:sz w:val="20"/>
          <w:szCs w:val="20"/>
          <w:color w:val="auto"/>
        </w:rPr>
      </w:pPr>
      <w:r>
        <w:rPr>
          <w:rFonts w:ascii="Arial" w:cs="Arial" w:eastAsia="Arial" w:hAnsi="Arial"/>
          <w:sz w:val="18"/>
          <w:szCs w:val="18"/>
          <w:color w:val="212529"/>
        </w:rPr>
        <w:t>For a more detailed discussion of the actual and potential impacts to us as a result of the COVID-19 pandemic, see the other sections of this Annual Report on Form 10-K, including Management's Discussion and Analysis of Results of Operations and Financial Position set forth in Part I, Item 7 and the Risk Factors set forth in Part I, Item 1A.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Eye Diseases</w:t>
      </w:r>
    </w:p>
    <w:p>
      <w:pPr>
        <w:spacing w:after="0" w:line="229" w:lineRule="exact"/>
        <w:rPr>
          <w:sz w:val="20"/>
          <w:szCs w:val="20"/>
          <w:color w:val="auto"/>
        </w:rPr>
      </w:pPr>
    </w:p>
    <w:p>
      <w:pPr>
        <w:ind w:right="100" w:firstLine="180"/>
        <w:spacing w:after="0" w:line="289" w:lineRule="auto"/>
        <w:rPr>
          <w:sz w:val="20"/>
          <w:szCs w:val="20"/>
          <w:color w:val="auto"/>
        </w:rPr>
      </w:pPr>
      <w:r>
        <w:rPr>
          <w:rFonts w:ascii="Arial" w:cs="Arial" w:eastAsia="Arial" w:hAnsi="Arial"/>
          <w:sz w:val="16"/>
          <w:szCs w:val="16"/>
          <w:color w:val="auto"/>
        </w:rPr>
        <w:t>Eye diseases can be caused by many factors and can affect both the front or back of the eye. In more severe cases, eye diseases can result in total loss of vision. In the developed world, the most common eye diseases that can result in total loss of vision are those affecting the retina and optic nerve, including AMD, diabetic retinopathy and glaucoma. These diseases deprive patients of their sight and, as a result, impair their ability to live independently and perform daily activities. Any improvement in vision, or even a slowing of the rate of progression of vision loss, has a tremendous impact on the quality of life of people with impaired vision. There are many other eye diseases that are less common but still represent an unmet medical need, particularly orphan IRDs that are associated with mutations in a single gene, referred to as monogenic, that lead to retinal degeneration and vision loss, generally in younger patients. We believe that these disease areas present several potential opportunities for ophthalmic drug development. A 2014 report from Prevent Blindness, a patient advocacy group, estimated that the total real annual costs in the United States related to eye diseases and vision problems expressed in constant 2014 dollars would increase from $145 billion in 2014 to $376 billion by 2050.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 Related Macular Degeneration and Geographic Atrophy</w:t>
      </w:r>
    </w:p>
    <w:p>
      <w:pPr>
        <w:spacing w:after="0" w:line="252" w:lineRule="exact"/>
        <w:rPr>
          <w:sz w:val="20"/>
          <w:szCs w:val="20"/>
          <w:color w:val="auto"/>
        </w:rPr>
      </w:pPr>
    </w:p>
    <w:p>
      <w:pPr>
        <w:ind w:right="20" w:firstLine="170"/>
        <w:spacing w:after="0" w:line="271" w:lineRule="auto"/>
        <w:rPr>
          <w:sz w:val="20"/>
          <w:szCs w:val="20"/>
          <w:color w:val="auto"/>
        </w:rPr>
      </w:pPr>
      <w:r>
        <w:rPr>
          <w:rFonts w:ascii="Arial" w:cs="Arial" w:eastAsia="Arial" w:hAnsi="Arial"/>
          <w:sz w:val="17"/>
          <w:szCs w:val="17"/>
          <w:color w:val="auto"/>
        </w:rPr>
        <w:t xml:space="preserve">AMD is an age-related disease characterized by progressive degenerative abnormalities in the macula, a small area in the central portion of the retina responsible for central vision. AMD is characteristically a disease of the elderly and is the leading cause of visual loss in individuals over 50 years of age in developed countries. Based on a 2016 epidemiology paper published in </w:t>
      </w:r>
      <w:r>
        <w:rPr>
          <w:rFonts w:ascii="Arial" w:cs="Arial" w:eastAsia="Arial" w:hAnsi="Arial"/>
          <w:sz w:val="17"/>
          <w:szCs w:val="17"/>
          <w:i w:val="1"/>
          <w:iCs w:val="1"/>
          <w:color w:val="auto"/>
        </w:rPr>
        <w:t>Eye and Vision</w:t>
      </w:r>
      <w:r>
        <w:rPr>
          <w:rFonts w:ascii="Arial" w:cs="Arial" w:eastAsia="Arial" w:hAnsi="Arial"/>
          <w:sz w:val="17"/>
          <w:szCs w:val="17"/>
          <w:color w:val="auto"/>
        </w:rPr>
        <w:t>, we estimate that currently approximately 11 million individuals in the United States and 170 million individuals worldwide have a form of AMD. Because of increasing life expectancy in developed and developing countries, the elderly population is expected to grow significantly in coming decades. Projections based on U.S. Census Bureau data suggest that the number of Americans over the age of 65 will more than double to approximately 80 million by the middle of this century. In the absence of adequate prevention or treatment measures, the number of cases of AMD with visual loss is expected to grow in parallel with the aging population, leading to a major public health challenge with significant socioeconomic implications.</w:t>
      </w:r>
    </w:p>
    <w:p>
      <w:pPr>
        <w:spacing w:after="0" w:line="205" w:lineRule="exact"/>
        <w:rPr>
          <w:sz w:val="20"/>
          <w:szCs w:val="20"/>
          <w:color w:val="auto"/>
        </w:rPr>
      </w:pPr>
    </w:p>
    <w:p>
      <w:pPr>
        <w:ind w:firstLine="170"/>
        <w:spacing w:after="0" w:line="288" w:lineRule="auto"/>
        <w:rPr>
          <w:sz w:val="20"/>
          <w:szCs w:val="20"/>
          <w:color w:val="auto"/>
        </w:rPr>
      </w:pPr>
      <w:r>
        <w:rPr>
          <w:rFonts w:ascii="Arial" w:cs="Arial" w:eastAsia="Arial" w:hAnsi="Arial"/>
          <w:sz w:val="16"/>
          <w:szCs w:val="16"/>
          <w:color w:val="auto"/>
        </w:rPr>
        <w:t>AMD, at its early stages, presents with abnormalities in the retinal pigment epithelium, or the RPE, and yellow-white deposits under the RPE known as drusen, which generally become larger and more numerous as AMD progresses. The RPE is a layer of cells within the retina on which photoreceptors, the cells in the retina that are responsible for capturing light and converting it to electrochemical signals to the brain, are dependent for nutrients, waste disposal and other needs. As the disease progresses with age to the advanced stage, it generally progresses as either the non-neovascular or dry form of AMD or the neovascular or wet form of the disease. In the dry form of AMD, the eventual loss of photoreceptors, RPE cells and associated capillary blood vessels in the macula results in marked thinning and/or atrophy of retinal tissue. This advanced stage of dry AMD is called GA. In the wet form of AMD, abnormal new blood vessels originate beneath the retina, in a layer called the choroid, and invade into the overlying retinal layers, through a process called choroidal neovascularization, or CNV. The macula of patients diagnosed with the wet form of AMD, who are usually treated with currently approved standard of care anti-vascular endothelial growth factor, or anti-VEGF, therapies, can continue to atrophy resulting in GA, which suggests that in many AMD patients, regardless of whether they have the dry or the wet form, the final anatomic outcome leading to loss of vision is GA.</w:t>
      </w:r>
    </w:p>
    <w:p>
      <w:pPr>
        <w:spacing w:after="0" w:line="195" w:lineRule="exact"/>
        <w:rPr>
          <w:sz w:val="20"/>
          <w:szCs w:val="20"/>
          <w:color w:val="auto"/>
        </w:rPr>
      </w:pPr>
    </w:p>
    <w:p>
      <w:pPr>
        <w:ind w:right="60" w:firstLine="180"/>
        <w:spacing w:after="0" w:line="254" w:lineRule="auto"/>
        <w:rPr>
          <w:sz w:val="20"/>
          <w:szCs w:val="20"/>
          <w:color w:val="auto"/>
        </w:rPr>
      </w:pPr>
      <w:r>
        <w:rPr>
          <w:rFonts w:ascii="Arial" w:cs="Arial" w:eastAsia="Arial" w:hAnsi="Arial"/>
          <w:sz w:val="18"/>
          <w:szCs w:val="18"/>
          <w:color w:val="auto"/>
        </w:rPr>
        <w:t xml:space="preserve">GA is a significant cause of bilateral, irreversible and severe loss of functional vision. Many individuals with GA experience dark spots in their field of vision, referred to as scotoma, even if their central vision remains normal. As a result, GA has a major impact on the functional vision, quality of life, and independence of affected individuals. The median time for development of central GA from the time of diagnosis is two and a half years with the condition expected to develop in the fellow eye within approximately seven years. Based on a comprehensive epidemiology study published in 2004 in </w:t>
      </w:r>
      <w:r>
        <w:rPr>
          <w:rFonts w:ascii="Arial" w:cs="Arial" w:eastAsia="Arial" w:hAnsi="Arial"/>
          <w:sz w:val="18"/>
          <w:szCs w:val="18"/>
          <w:i w:val="1"/>
          <w:iCs w:val="1"/>
          <w:color w:val="auto"/>
        </w:rPr>
        <w:t>Archives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Ophthalmology, </w:t>
      </w:r>
      <w:r>
        <w:rPr>
          <w:rFonts w:ascii="Arial" w:cs="Arial" w:eastAsia="Arial" w:hAnsi="Arial"/>
          <w:sz w:val="18"/>
          <w:szCs w:val="18"/>
          <w:color w:val="auto"/>
        </w:rPr>
        <w:t>we estimate that there are currently approximately 1.5 million people in the United States with GA. Furthermore, based on a study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published in 2015 in the </w:t>
      </w:r>
      <w:r>
        <w:rPr>
          <w:rFonts w:ascii="Arial" w:cs="Arial" w:eastAsia="Arial" w:hAnsi="Arial"/>
          <w:sz w:val="18"/>
          <w:szCs w:val="18"/>
          <w:i w:val="1"/>
          <w:iCs w:val="1"/>
          <w:color w:val="auto"/>
        </w:rPr>
        <w:t>American Journal of Ophthalmology,</w:t>
      </w:r>
      <w:r>
        <w:rPr>
          <w:rFonts w:ascii="Arial" w:cs="Arial" w:eastAsia="Arial" w:hAnsi="Arial"/>
          <w:sz w:val="18"/>
          <w:szCs w:val="18"/>
          <w:color w:val="auto"/>
        </w:rPr>
        <w:t xml:space="preserve"> we estimate that approximately 159,000 people in the United States develop GA each year. Although anti-VEGF therapy is available for treatment of wet AMD, no FDA or European Medicines Agency, or EMA, approved treatment is currently available for GA.</w:t>
      </w:r>
    </w:p>
    <w:p>
      <w:pPr>
        <w:spacing w:after="0" w:line="219" w:lineRule="exact"/>
        <w:rPr>
          <w:sz w:val="20"/>
          <w:szCs w:val="20"/>
          <w:color w:val="auto"/>
        </w:rPr>
      </w:pPr>
    </w:p>
    <w:p>
      <w:pPr>
        <w:ind w:right="400" w:firstLine="177"/>
        <w:spacing w:after="0" w:line="277" w:lineRule="auto"/>
        <w:rPr>
          <w:sz w:val="20"/>
          <w:szCs w:val="20"/>
          <w:color w:val="auto"/>
        </w:rPr>
      </w:pPr>
      <w:r>
        <w:rPr>
          <w:rFonts w:ascii="Arial" w:cs="Arial" w:eastAsia="Arial" w:hAnsi="Arial"/>
          <w:sz w:val="18"/>
          <w:szCs w:val="18"/>
          <w:color w:val="auto"/>
        </w:rPr>
        <w:t>The absence of treatment options for GA and many other stages of AMD represents an area of urgent unmet medical need and a major public health concern for the expanding elderly population.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Inherited Retinal Diseases</w:t>
      </w:r>
    </w:p>
    <w:p>
      <w:pPr>
        <w:spacing w:after="0" w:line="131"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IRDs are a group of eye disorders caused by one or more inherited gene mutations that result in lack of functional proteins necessary for normal vision. Generally, IRDs are severe and progressive and will result in vision loss or blindness, either at birth or in early childhood, or gradually over time. IRDs are generally orphan diseases, meaning that these diseases affect fewer than 200,000 individuals in the United States. Partially due to their orphan nature, there are no approved treatment options available for most IRDs. Recently, gene therapies have emerged as potential therapies for monogenic IRDs, where a mutation to a single gene has been identified as the cause.</w:t>
      </w:r>
    </w:p>
    <w:p>
      <w:pPr>
        <w:spacing w:after="0" w:line="120" w:lineRule="exact"/>
        <w:rPr>
          <w:sz w:val="20"/>
          <w:szCs w:val="20"/>
          <w:color w:val="auto"/>
        </w:rPr>
      </w:pPr>
    </w:p>
    <w:p>
      <w:pPr>
        <w:ind w:right="20" w:firstLine="180"/>
        <w:spacing w:after="0" w:line="254" w:lineRule="auto"/>
        <w:rPr>
          <w:sz w:val="20"/>
          <w:szCs w:val="20"/>
          <w:color w:val="auto"/>
        </w:rPr>
      </w:pPr>
      <w:r>
        <w:rPr>
          <w:rFonts w:ascii="Arial" w:cs="Arial" w:eastAsia="Arial" w:hAnsi="Arial"/>
          <w:sz w:val="18"/>
          <w:szCs w:val="18"/>
          <w:color w:val="auto"/>
        </w:rPr>
        <w:t>Humans generally inherit a complete set of genes from each of their parents, and therefore have two copies, or alleles, for each gene, either of which may carry a mutation, and either, or both, of which may be expressed in particular cells throughout the body. An inherited condition is referred to as autosomal recessive when the subject must inherit mutated alleles from each parent for the condition to manifest. An inherited condition is referred to as autosomal dominant when the subject must only inherit one mutated allele from either parent for the condition to manifest. The predominant or standard, non-mutated form of a gene is referred to as the wildtype form, and the protein resulting from expression of the wildtype gene is referred to as wildtype protein. In autosomal recessive conditions, because both alleles for a particular gene carry a mutation, the subject cannot produce any wildtype protein, and instead the proteins that are expressed, if any, have either limited or no function. In autosomal dominant conditions, a number of factors may contribute to the condition:</w:t>
      </w:r>
    </w:p>
    <w:p>
      <w:pPr>
        <w:spacing w:after="0" w:line="124" w:lineRule="exact"/>
        <w:rPr>
          <w:sz w:val="20"/>
          <w:szCs w:val="20"/>
          <w:color w:val="auto"/>
        </w:rPr>
      </w:pPr>
    </w:p>
    <w:p>
      <w:pPr>
        <w:ind w:left="660" w:right="4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subject may express only the mutant allele and not the wildtype allele, resulting in production of only protein with limited or no function and not the wildtype protein;</w:t>
      </w:r>
    </w:p>
    <w:p>
      <w:pPr>
        <w:spacing w:after="0" w:line="8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subject may be expressing both alleles, but because of the mutation on one of the alleles, the amount of functional protein may not be sufficient; or</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protein expressed by the mutant allele may be toxic to the cells in which it is produced.</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Stargardt Disease</w:t>
      </w:r>
    </w:p>
    <w:p>
      <w:pPr>
        <w:spacing w:after="0" w:line="144" w:lineRule="exact"/>
        <w:rPr>
          <w:sz w:val="20"/>
          <w:szCs w:val="20"/>
          <w:color w:val="auto"/>
        </w:rPr>
      </w:pPr>
    </w:p>
    <w:p>
      <w:pPr>
        <w:ind w:right="220" w:firstLine="180"/>
        <w:spacing w:after="0" w:line="286" w:lineRule="auto"/>
        <w:rPr>
          <w:sz w:val="20"/>
          <w:szCs w:val="20"/>
          <w:color w:val="auto"/>
        </w:rPr>
      </w:pPr>
      <w:r>
        <w:rPr>
          <w:rFonts w:ascii="Arial" w:cs="Arial" w:eastAsia="Arial" w:hAnsi="Arial"/>
          <w:sz w:val="17"/>
          <w:szCs w:val="17"/>
          <w:color w:val="auto"/>
        </w:rPr>
        <w:t xml:space="preserve">Stargardt disease is an IRD that causes progressive damage to the macula and retina, leading to loss of vision in children and adolescents. The most common form of Stargardt disease is STGD1, the autosomal recessive form. STGD1 is caused by mutations in the </w:t>
      </w:r>
      <w:r>
        <w:rPr>
          <w:rFonts w:ascii="Arial" w:cs="Arial" w:eastAsia="Arial" w:hAnsi="Arial"/>
          <w:sz w:val="17"/>
          <w:szCs w:val="17"/>
          <w:i w:val="1"/>
          <w:iCs w:val="1"/>
          <w:color w:val="auto"/>
        </w:rPr>
        <w:t>ABCA4</w:t>
      </w:r>
      <w:r>
        <w:rPr>
          <w:rFonts w:ascii="Arial" w:cs="Arial" w:eastAsia="Arial" w:hAnsi="Arial"/>
          <w:sz w:val="17"/>
          <w:szCs w:val="17"/>
          <w:color w:val="auto"/>
        </w:rPr>
        <w:t xml:space="preserve"> gene, which is responsible for making a protein that helps to clear byproducts resulting from the visual cycle from inside photoreceptor cells in the eye.</w:t>
      </w:r>
    </w:p>
    <w:p>
      <w:pPr>
        <w:spacing w:after="0" w:line="192" w:lineRule="exact"/>
        <w:rPr>
          <w:sz w:val="20"/>
          <w:szCs w:val="20"/>
          <w:color w:val="auto"/>
        </w:rPr>
      </w:pPr>
    </w:p>
    <w:p>
      <w:pPr>
        <w:ind w:right="240" w:firstLine="180"/>
        <w:spacing w:after="0" w:line="255" w:lineRule="auto"/>
        <w:rPr>
          <w:sz w:val="20"/>
          <w:szCs w:val="20"/>
          <w:color w:val="auto"/>
        </w:rPr>
      </w:pPr>
      <w:r>
        <w:rPr>
          <w:rFonts w:ascii="Arial" w:cs="Arial" w:eastAsia="Arial" w:hAnsi="Arial"/>
          <w:sz w:val="18"/>
          <w:szCs w:val="18"/>
          <w:color w:val="auto"/>
        </w:rPr>
        <w:t>Multiple sources, including the National Eye Institute and Genetics Home Reference, both of which are affiliated with the U.S. National Institutes of Health, or NIH, estimate the prevalence of Stargardt disease to be between 1 in 8,000 and 1 in 10,000, implying that in the United States and the EU5, which consists of France, Germany, Italy, Spain and the United Kingdom, the five major market countries for pharmaceutical treatments in Western Europe, on a combined basis there are currently a total of 62,000 to 77,000 affected persons. There are currently no therapies approved by the FDA or EMA to treat Stargardt disease. The FDA has recognized Stargardt disease as an orphan disease, with several treatments in development having received orphan drug designation from the FDA.</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Rhodopsin-Mediated Autosomal Dominant Retinitis Pigmentosa</w:t>
      </w:r>
    </w:p>
    <w:p>
      <w:pPr>
        <w:spacing w:after="0" w:line="252" w:lineRule="exact"/>
        <w:rPr>
          <w:sz w:val="20"/>
          <w:szCs w:val="20"/>
          <w:color w:val="auto"/>
        </w:rPr>
      </w:pPr>
    </w:p>
    <w:p>
      <w:pPr>
        <w:ind w:right="20" w:firstLine="180"/>
        <w:spacing w:after="0" w:line="257" w:lineRule="auto"/>
        <w:rPr>
          <w:sz w:val="20"/>
          <w:szCs w:val="20"/>
          <w:color w:val="auto"/>
        </w:rPr>
      </w:pPr>
      <w:r>
        <w:rPr>
          <w:rFonts w:ascii="Arial" w:cs="Arial" w:eastAsia="Arial" w:hAnsi="Arial"/>
          <w:sz w:val="18"/>
          <w:szCs w:val="18"/>
          <w:color w:val="auto"/>
        </w:rPr>
        <w:t>RHO-adRP is a form of retinitis pigmentosa, or RP. RP is the most prevalent IRD and is typically characterized by the initial degeneration of the rod photoreceptors, which are responsible for low light vision and peripheral vision. The degeneration of the rod photoreceptors over time leads to the degeneration of the cone photoreceptors, which are the photoreceptors in the central part of the retina that are responsible for color and sharp vision. This degeneration causes night blindness and severe and progressive visual impairment. Although often diagnosed during adolescence or young adulthood, most RP patients become legally blind by age 40.</w:t>
      </w:r>
    </w:p>
    <w:p>
      <w:pPr>
        <w:spacing w:after="0" w:line="215" w:lineRule="exact"/>
        <w:rPr>
          <w:sz w:val="20"/>
          <w:szCs w:val="20"/>
          <w:color w:val="auto"/>
        </w:rPr>
      </w:pPr>
    </w:p>
    <w:p>
      <w:pPr>
        <w:ind w:right="40" w:firstLine="180"/>
        <w:spacing w:after="0" w:line="263" w:lineRule="auto"/>
        <w:rPr>
          <w:sz w:val="20"/>
          <w:szCs w:val="20"/>
          <w:color w:val="auto"/>
        </w:rPr>
      </w:pPr>
      <w:r>
        <w:rPr>
          <w:rFonts w:ascii="Arial" w:cs="Arial" w:eastAsia="Arial" w:hAnsi="Arial"/>
          <w:sz w:val="18"/>
          <w:szCs w:val="18"/>
          <w:color w:val="auto"/>
        </w:rPr>
        <w:t xml:space="preserve">Rhodopsin is a biological pigment found in the rod photoreceptors that is extremely sensitive to light and thus is crucial for low light vision. There are more than 150 identified mutations in </w:t>
      </w:r>
      <w:r>
        <w:rPr>
          <w:rFonts w:ascii="Arial" w:cs="Arial" w:eastAsia="Arial" w:hAnsi="Arial"/>
          <w:sz w:val="18"/>
          <w:szCs w:val="18"/>
          <w:i w:val="1"/>
          <w:iCs w:val="1"/>
          <w:color w:val="auto"/>
        </w:rPr>
        <w:t>RHO</w:t>
      </w:r>
      <w:r>
        <w:rPr>
          <w:rFonts w:ascii="Arial" w:cs="Arial" w:eastAsia="Arial" w:hAnsi="Arial"/>
          <w:sz w:val="18"/>
          <w:szCs w:val="18"/>
          <w:color w:val="auto"/>
        </w:rPr>
        <w:t xml:space="preserve">, the gene that encodes for rhodopsin. The presence of a mutated </w:t>
      </w:r>
      <w:r>
        <w:rPr>
          <w:rFonts w:ascii="Arial" w:cs="Arial" w:eastAsia="Arial" w:hAnsi="Arial"/>
          <w:sz w:val="18"/>
          <w:szCs w:val="18"/>
          <w:i w:val="1"/>
          <w:iCs w:val="1"/>
          <w:color w:val="auto"/>
        </w:rPr>
        <w:t>RHO</w:t>
      </w:r>
      <w:r>
        <w:rPr>
          <w:rFonts w:ascii="Arial" w:cs="Arial" w:eastAsia="Arial" w:hAnsi="Arial"/>
          <w:sz w:val="18"/>
          <w:szCs w:val="18"/>
          <w:color w:val="auto"/>
        </w:rPr>
        <w:t xml:space="preserve"> gene is linked to the occurrence of RHO-adRP.</w:t>
      </w:r>
    </w:p>
    <w:p>
      <w:pPr>
        <w:spacing w:after="0" w:line="211" w:lineRule="exact"/>
        <w:rPr>
          <w:sz w:val="20"/>
          <w:szCs w:val="20"/>
          <w:color w:val="auto"/>
        </w:rPr>
      </w:pPr>
    </w:p>
    <w:p>
      <w:pPr>
        <w:ind w:firstLine="180"/>
        <w:spacing w:after="0" w:line="263" w:lineRule="auto"/>
        <w:rPr>
          <w:sz w:val="20"/>
          <w:szCs w:val="20"/>
          <w:color w:val="auto"/>
        </w:rPr>
      </w:pPr>
      <w:r>
        <w:rPr>
          <w:rFonts w:ascii="Arial" w:cs="Arial" w:eastAsia="Arial" w:hAnsi="Arial"/>
          <w:sz w:val="18"/>
          <w:szCs w:val="18"/>
          <w:color w:val="auto"/>
        </w:rPr>
        <w:t xml:space="preserve">Based on disease prevalence rates contained in a study published in the </w:t>
      </w:r>
      <w:r>
        <w:rPr>
          <w:rFonts w:ascii="Arial" w:cs="Arial" w:eastAsia="Arial" w:hAnsi="Arial"/>
          <w:sz w:val="18"/>
          <w:szCs w:val="18"/>
          <w:i w:val="1"/>
          <w:iCs w:val="1"/>
          <w:color w:val="auto"/>
        </w:rPr>
        <w:t>Archives of Ophthalmology</w:t>
      </w:r>
      <w:r>
        <w:rPr>
          <w:rFonts w:ascii="Arial" w:cs="Arial" w:eastAsia="Arial" w:hAnsi="Arial"/>
          <w:sz w:val="18"/>
          <w:szCs w:val="18"/>
          <w:color w:val="auto"/>
        </w:rPr>
        <w:t xml:space="preserve"> in 2007, we estimate that in the United States and EU5 on a combined basis, there are a total of approximately 11,000 affected persons with RHO-adRP. There is currently no FDA or EMA approved therapy to treat RHO-adRP.</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BEST1-Related IRDs</w:t>
      </w:r>
    </w:p>
    <w:p>
      <w:pPr>
        <w:spacing w:after="0" w:line="252" w:lineRule="exact"/>
        <w:rPr>
          <w:sz w:val="20"/>
          <w:szCs w:val="20"/>
          <w:color w:val="auto"/>
        </w:rPr>
      </w:pPr>
    </w:p>
    <w:p>
      <w:pPr>
        <w:ind w:right="20" w:firstLine="180"/>
        <w:spacing w:after="0" w:line="29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BEST1</w:t>
      </w:r>
      <w:r>
        <w:rPr>
          <w:rFonts w:ascii="Arial" w:cs="Arial" w:eastAsia="Arial" w:hAnsi="Arial"/>
          <w:sz w:val="16"/>
          <w:szCs w:val="16"/>
          <w:color w:val="auto"/>
        </w:rPr>
        <w:t xml:space="preserve"> gene encodes for a multifunctional protein known as bestrophin-1, or BEST1, which regulates chemical transport and signaling in RPE cells and helps maintain homeostasis in the subretinal space, the space between the photoreceptors and the RPE. The most common </w:t>
      </w:r>
      <w:r>
        <w:rPr>
          <w:rFonts w:ascii="Arial" w:cs="Arial" w:eastAsia="Arial" w:hAnsi="Arial"/>
          <w:sz w:val="16"/>
          <w:szCs w:val="16"/>
          <w:i w:val="1"/>
          <w:iCs w:val="1"/>
          <w:color w:val="auto"/>
        </w:rPr>
        <w:t>BEST1</w:t>
      </w:r>
      <w:r>
        <w:rPr>
          <w:rFonts w:ascii="Arial" w:cs="Arial" w:eastAsia="Arial" w:hAnsi="Arial"/>
          <w:sz w:val="16"/>
          <w:szCs w:val="16"/>
          <w:color w:val="auto"/>
        </w:rPr>
        <w:t xml:space="preserve">-related IRD is Best disease, which is generally autosomal dominant and generally affects individuals in both eyes. In Best disease, the lack of functional BEST1 protein results in the formation of egg yolk-like lesions in the macula that, over time, progress to macular atrophy and permanent loss of vision. In addition, because there are over 200 known mutations in the </w:t>
      </w:r>
      <w:r>
        <w:rPr>
          <w:rFonts w:ascii="Arial" w:cs="Arial" w:eastAsia="Arial" w:hAnsi="Arial"/>
          <w:sz w:val="16"/>
          <w:szCs w:val="16"/>
          <w:i w:val="1"/>
          <w:iCs w:val="1"/>
          <w:color w:val="auto"/>
        </w:rPr>
        <w:t>BEST1</w:t>
      </w:r>
      <w:r>
        <w:rPr>
          <w:rFonts w:ascii="Arial" w:cs="Arial" w:eastAsia="Arial" w:hAnsi="Arial"/>
          <w:sz w:val="16"/>
          <w:szCs w:val="16"/>
          <w:color w:val="auto"/>
        </w:rPr>
        <w:t xml:space="preserve"> gene, there are other </w:t>
      </w:r>
      <w:r>
        <w:rPr>
          <w:rFonts w:ascii="Arial" w:cs="Arial" w:eastAsia="Arial" w:hAnsi="Arial"/>
          <w:sz w:val="16"/>
          <w:szCs w:val="16"/>
          <w:i w:val="1"/>
          <w:iCs w:val="1"/>
          <w:color w:val="auto"/>
        </w:rPr>
        <w:t>BEST1</w:t>
      </w:r>
      <w:r>
        <w:rPr>
          <w:rFonts w:ascii="Arial" w:cs="Arial" w:eastAsia="Arial" w:hAnsi="Arial"/>
          <w:sz w:val="16"/>
          <w:szCs w:val="16"/>
          <w:color w:val="auto"/>
        </w:rPr>
        <w:t>-related IRDs being studied, including autosomal recessive forms.</w:t>
      </w:r>
    </w:p>
    <w:p>
      <w:pPr>
        <w:spacing w:after="0" w:line="188" w:lineRule="exact"/>
        <w:rPr>
          <w:sz w:val="20"/>
          <w:szCs w:val="20"/>
          <w:color w:val="auto"/>
        </w:rPr>
      </w:pPr>
    </w:p>
    <w:p>
      <w:pPr>
        <w:ind w:right="240" w:firstLine="180"/>
        <w:spacing w:after="0" w:line="311" w:lineRule="auto"/>
        <w:rPr>
          <w:sz w:val="20"/>
          <w:szCs w:val="20"/>
          <w:color w:val="auto"/>
        </w:rPr>
      </w:pPr>
      <w:r>
        <w:rPr>
          <w:rFonts w:ascii="Arial" w:cs="Arial" w:eastAsia="Arial" w:hAnsi="Arial"/>
          <w:sz w:val="16"/>
          <w:szCs w:val="16"/>
          <w:color w:val="auto"/>
        </w:rPr>
        <w:t xml:space="preserve">Based on disease prevalence rates contained in a study published in </w:t>
      </w:r>
      <w:r>
        <w:rPr>
          <w:rFonts w:ascii="Arial" w:cs="Arial" w:eastAsia="Arial" w:hAnsi="Arial"/>
          <w:sz w:val="16"/>
          <w:szCs w:val="16"/>
          <w:i w:val="1"/>
          <w:iCs w:val="1"/>
          <w:color w:val="auto"/>
        </w:rPr>
        <w:t>Ophthalmic Genetics</w:t>
      </w:r>
      <w:r>
        <w:rPr>
          <w:rFonts w:ascii="Arial" w:cs="Arial" w:eastAsia="Arial" w:hAnsi="Arial"/>
          <w:sz w:val="16"/>
          <w:szCs w:val="16"/>
          <w:color w:val="auto"/>
        </w:rPr>
        <w:t xml:space="preserve"> in 2017, we estimate that in the United States and EU5 on a combined basis, there are a total of approximately 10,000 to 40,000 affected persons with </w:t>
      </w:r>
      <w:r>
        <w:rPr>
          <w:rFonts w:ascii="Arial" w:cs="Arial" w:eastAsia="Arial" w:hAnsi="Arial"/>
          <w:sz w:val="16"/>
          <w:szCs w:val="16"/>
          <w:i w:val="1"/>
          <w:iCs w:val="1"/>
          <w:color w:val="auto"/>
        </w:rPr>
        <w:t>BEST1</w:t>
      </w:r>
      <w:r>
        <w:rPr>
          <w:rFonts w:ascii="Arial" w:cs="Arial" w:eastAsia="Arial" w:hAnsi="Arial"/>
          <w:sz w:val="16"/>
          <w:szCs w:val="16"/>
          <w:color w:val="auto"/>
        </w:rPr>
        <w:t xml:space="preserve">-related IRDs, the substantial majority of whom we believe have the autosomal dominant form of Best disease. There are currently no FDA or EMA approved therapies to treat any </w:t>
      </w:r>
      <w:r>
        <w:rPr>
          <w:rFonts w:ascii="Arial" w:cs="Arial" w:eastAsia="Arial" w:hAnsi="Arial"/>
          <w:sz w:val="16"/>
          <w:szCs w:val="16"/>
          <w:i w:val="1"/>
          <w:iCs w:val="1"/>
          <w:color w:val="auto"/>
        </w:rPr>
        <w:t>BEST1</w:t>
      </w:r>
      <w:r>
        <w:rPr>
          <w:rFonts w:ascii="Arial" w:cs="Arial" w:eastAsia="Arial" w:hAnsi="Arial"/>
          <w:sz w:val="16"/>
          <w:szCs w:val="16"/>
          <w:color w:val="auto"/>
        </w:rPr>
        <w:t>-related IRD.</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Leber Congenital Amaurosis Type 10</w:t>
      </w:r>
    </w:p>
    <w:p>
      <w:pPr>
        <w:spacing w:after="0" w:line="252" w:lineRule="exact"/>
        <w:rPr>
          <w:sz w:val="20"/>
          <w:szCs w:val="20"/>
          <w:color w:val="auto"/>
        </w:rPr>
      </w:pPr>
    </w:p>
    <w:p>
      <w:pPr>
        <w:ind w:right="100" w:firstLine="180"/>
        <w:spacing w:after="0" w:line="301" w:lineRule="auto"/>
        <w:rPr>
          <w:sz w:val="20"/>
          <w:szCs w:val="20"/>
          <w:color w:val="auto"/>
        </w:rPr>
      </w:pPr>
      <w:r>
        <w:rPr>
          <w:rFonts w:ascii="Arial" w:cs="Arial" w:eastAsia="Arial" w:hAnsi="Arial"/>
          <w:sz w:val="16"/>
          <w:szCs w:val="16"/>
          <w:color w:val="auto"/>
        </w:rPr>
        <w:t xml:space="preserve">Leber Congenital Amaurosis, or LCA, is an IRD that manifests at birth or early in childhood. It is characterized by early onset of vision loss in children leading to blindness. Affected individuals often manifest symptoms such as roving eye movements, deep-set eyes and sensitivity to bright light. There are multiple types of LCA, which are associated with mutations in different genes. The most common type is LCA10, which is caused by mutations in the </w:t>
      </w:r>
      <w:r>
        <w:rPr>
          <w:rFonts w:ascii="Arial" w:cs="Arial" w:eastAsia="Arial" w:hAnsi="Arial"/>
          <w:sz w:val="16"/>
          <w:szCs w:val="16"/>
          <w:i w:val="1"/>
          <w:iCs w:val="1"/>
          <w:color w:val="auto"/>
        </w:rPr>
        <w:t xml:space="preserve">CEP290 </w:t>
      </w:r>
      <w:r>
        <w:rPr>
          <w:rFonts w:ascii="Arial" w:cs="Arial" w:eastAsia="Arial" w:hAnsi="Arial"/>
          <w:sz w:val="16"/>
          <w:szCs w:val="16"/>
          <w:color w:val="auto"/>
        </w:rPr>
        <w:t>gene. Mutations in the</w:t>
      </w:r>
      <w:r>
        <w:rPr>
          <w:rFonts w:ascii="Arial" w:cs="Arial" w:eastAsia="Arial" w:hAnsi="Arial"/>
          <w:sz w:val="16"/>
          <w:szCs w:val="16"/>
          <w:i w:val="1"/>
          <w:iCs w:val="1"/>
          <w:color w:val="auto"/>
        </w:rPr>
        <w:t xml:space="preserve"> CEP290 </w:t>
      </w:r>
      <w:r>
        <w:rPr>
          <w:rFonts w:ascii="Arial" w:cs="Arial" w:eastAsia="Arial" w:hAnsi="Arial"/>
          <w:sz w:val="16"/>
          <w:szCs w:val="16"/>
          <w:color w:val="auto"/>
        </w:rPr>
        <w:t>gene are believed to lead to the abnormal function and potentially loss of photoreceptor cells.</w:t>
      </w:r>
    </w:p>
    <w:p>
      <w:pPr>
        <w:spacing w:after="0" w:line="184" w:lineRule="exact"/>
        <w:rPr>
          <w:sz w:val="20"/>
          <w:szCs w:val="20"/>
          <w:color w:val="auto"/>
        </w:rPr>
      </w:pPr>
    </w:p>
    <w:p>
      <w:pPr>
        <w:jc w:val="both"/>
        <w:ind w:right="200" w:firstLine="180"/>
        <w:spacing w:after="0" w:line="263" w:lineRule="auto"/>
        <w:rPr>
          <w:sz w:val="20"/>
          <w:szCs w:val="20"/>
          <w:color w:val="auto"/>
        </w:rPr>
      </w:pPr>
      <w:r>
        <w:rPr>
          <w:rFonts w:ascii="Arial" w:cs="Arial" w:eastAsia="Arial" w:hAnsi="Arial"/>
          <w:sz w:val="18"/>
          <w:szCs w:val="18"/>
          <w:color w:val="auto"/>
        </w:rPr>
        <w:t xml:space="preserve">Based on disease prevalence rates contained in a study published in the </w:t>
      </w:r>
      <w:r>
        <w:rPr>
          <w:rFonts w:ascii="Arial" w:cs="Arial" w:eastAsia="Arial" w:hAnsi="Arial"/>
          <w:sz w:val="18"/>
          <w:szCs w:val="18"/>
          <w:i w:val="1"/>
          <w:iCs w:val="1"/>
          <w:color w:val="auto"/>
        </w:rPr>
        <w:t>American Journal of Human Genetics</w:t>
      </w:r>
      <w:r>
        <w:rPr>
          <w:rFonts w:ascii="Arial" w:cs="Arial" w:eastAsia="Arial" w:hAnsi="Arial"/>
          <w:sz w:val="18"/>
          <w:szCs w:val="18"/>
          <w:color w:val="auto"/>
        </w:rPr>
        <w:t xml:space="preserve"> in 2006, we estimate that in the United States and EU5 on a combined basis, there are a total of approximately 2,700 to 4,100 affected persons with LCA10. There is currently no FDA or EMA approved therapy to treat LCA10.</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USH2A-Related IRDs</w:t>
      </w:r>
    </w:p>
    <w:p>
      <w:pPr>
        <w:spacing w:after="0" w:line="252"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encodes for a protein called usherin. Usherin is believed to be important in the development and maintenance of cells in the retina and the inner ear. There are two principal 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Usher 2A and </w:t>
      </w:r>
      <w:r>
        <w:rPr>
          <w:rFonts w:ascii="Arial" w:cs="Arial" w:eastAsia="Arial" w:hAnsi="Arial"/>
          <w:sz w:val="18"/>
          <w:szCs w:val="18"/>
          <w:i w:val="1"/>
          <w:iCs w:val="1"/>
          <w:color w:val="auto"/>
        </w:rPr>
        <w:t>USH2A</w:t>
      </w:r>
      <w:r>
        <w:rPr>
          <w:rFonts w:ascii="Arial" w:cs="Arial" w:eastAsia="Arial" w:hAnsi="Arial"/>
          <w:sz w:val="18"/>
          <w:szCs w:val="18"/>
          <w:color w:val="auto"/>
        </w:rPr>
        <w:t xml:space="preserve">-associated nonsyndromatic autosomal recessive retinitis pigmentosa. Usher 2A is an autosomal recessive syndrome characterized by hearing loss from birth and progressive vision loss, due to RP, that begins in adolescence or adulthood.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nonsyndromatic autosomal recessive retinitis pigmentosa is a genetic condition that manifests as vision loss without associated hearing loss.</w:t>
      </w:r>
    </w:p>
    <w:p>
      <w:pPr>
        <w:spacing w:after="0" w:line="215" w:lineRule="exact"/>
        <w:rPr>
          <w:sz w:val="20"/>
          <w:szCs w:val="20"/>
          <w:color w:val="auto"/>
        </w:rPr>
      </w:pPr>
    </w:p>
    <w:p>
      <w:pPr>
        <w:jc w:val="both"/>
        <w:ind w:right="100" w:firstLine="180"/>
        <w:spacing w:after="0" w:line="263" w:lineRule="auto"/>
        <w:rPr>
          <w:sz w:val="20"/>
          <w:szCs w:val="20"/>
          <w:color w:val="auto"/>
        </w:rPr>
      </w:pPr>
      <w:r>
        <w:rPr>
          <w:rFonts w:ascii="Arial" w:cs="Arial" w:eastAsia="Arial" w:hAnsi="Arial"/>
          <w:sz w:val="18"/>
          <w:szCs w:val="18"/>
          <w:color w:val="auto"/>
        </w:rPr>
        <w:t xml:space="preserve">Based on a study published in </w:t>
      </w:r>
      <w:r>
        <w:rPr>
          <w:rFonts w:ascii="Arial" w:cs="Arial" w:eastAsia="Arial" w:hAnsi="Arial"/>
          <w:sz w:val="18"/>
          <w:szCs w:val="18"/>
          <w:i w:val="1"/>
          <w:iCs w:val="1"/>
          <w:color w:val="auto"/>
        </w:rPr>
        <w:t>Experimental Eye Research</w:t>
      </w:r>
      <w:r>
        <w:rPr>
          <w:rFonts w:ascii="Arial" w:cs="Arial" w:eastAsia="Arial" w:hAnsi="Arial"/>
          <w:sz w:val="18"/>
          <w:szCs w:val="18"/>
          <w:color w:val="auto"/>
        </w:rPr>
        <w:t xml:space="preserve"> in 2004, we estimate that in the United States and EU5 on a combined basis, there are a total of approximately 20,000 to 62,000 affected persons with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There are currently no FDA or EMA approved therapies to treat Usher 2A or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nonsyndromatic autosomal recessive retinitis pigmentosa.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Zimura</w:t>
      </w:r>
    </w:p>
    <w:p>
      <w:pPr>
        <w:spacing w:after="0" w:line="229" w:lineRule="exact"/>
        <w:rPr>
          <w:sz w:val="20"/>
          <w:szCs w:val="20"/>
          <w:color w:val="auto"/>
        </w:rPr>
      </w:pPr>
    </w:p>
    <w:p>
      <w:pPr>
        <w:ind w:firstLine="177"/>
        <w:spacing w:after="0" w:line="293" w:lineRule="auto"/>
        <w:rPr>
          <w:sz w:val="20"/>
          <w:szCs w:val="20"/>
          <w:color w:val="auto"/>
        </w:rPr>
      </w:pPr>
      <w:r>
        <w:rPr>
          <w:rFonts w:ascii="Arial" w:cs="Arial" w:eastAsia="Arial" w:hAnsi="Arial"/>
          <w:sz w:val="16"/>
          <w:szCs w:val="16"/>
          <w:color w:val="auto"/>
        </w:rPr>
        <w:t>We are currently developing our product candidate Zimura, a C5 complement inhibitor, for the treatment of two ophthalmic conditions: GA secondary to AMD and STGD1. In April 2020, we received fast track designation from the FDA for Zimura for the treatment of GA secondary to dry AMD. Zimura is a chemically-synthesized, pegylated RNA aptamer. Aptamers are short molecules made up of a single stranded nucleic acid sequence or an amino acid sequence. The specific three-dimensional structure of an aptamer, which results from its specific sequence, allows it to bind molecular targets with high selectivity and specificity. Zimura is a pegylated aptamer, which means that polyethylene glycol, or PEG, a common biochemical compound attached to drugs to increase their duration of action in the human body and to decrease immune response, is linked to the chemically-synthesized strand of RNA.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Complement System and Its Potential Role in AMD and STGD1</w:t>
      </w:r>
    </w:p>
    <w:p>
      <w:pPr>
        <w:spacing w:after="0" w:line="252" w:lineRule="exact"/>
        <w:rPr>
          <w:sz w:val="20"/>
          <w:szCs w:val="20"/>
          <w:color w:val="auto"/>
        </w:rPr>
      </w:pPr>
    </w:p>
    <w:p>
      <w:pPr>
        <w:ind w:right="20" w:firstLine="177"/>
        <w:spacing w:after="0" w:line="257" w:lineRule="auto"/>
        <w:rPr>
          <w:sz w:val="20"/>
          <w:szCs w:val="20"/>
          <w:color w:val="auto"/>
        </w:rPr>
      </w:pPr>
      <w:r>
        <w:rPr>
          <w:rFonts w:ascii="Arial" w:cs="Arial" w:eastAsia="Arial" w:hAnsi="Arial"/>
          <w:sz w:val="18"/>
          <w:szCs w:val="18"/>
          <w:color w:val="auto"/>
        </w:rPr>
        <w:t>The complement system consists of a series of proteins that are involved in the defense of the body against infectious agents, or pathogens, and other foreign proteins. The complement system modulates a variety of immune and inflammatory responses to these pathogens and foreign proteins. Under normal circumstances, complement proteins, together with antibodies and white blood cells, act beneficially to protect the body by removing the pathogens and foreign proteins, along with other cellular debris. The complement system is generally tightly regulated, achieving the proper balance of activation and inhibition</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depending on the body’s requirements. Poorly regulated or aberrant activation of the complement system, without a balanced or proportional inhibition of complement proteins, may result in a variety of pathological conditions. For example, in a study published in </w:t>
      </w:r>
      <w:r>
        <w:rPr>
          <w:rFonts w:ascii="Arial" w:cs="Arial" w:eastAsia="Arial" w:hAnsi="Arial"/>
          <w:sz w:val="16"/>
          <w:szCs w:val="16"/>
          <w:i w:val="1"/>
          <w:iCs w:val="1"/>
          <w:color w:val="auto"/>
        </w:rPr>
        <w:t>Histology and Histopathology</w:t>
      </w:r>
      <w:r>
        <w:rPr>
          <w:rFonts w:ascii="Arial" w:cs="Arial" w:eastAsia="Arial" w:hAnsi="Arial"/>
          <w:sz w:val="16"/>
          <w:szCs w:val="16"/>
          <w:color w:val="auto"/>
        </w:rPr>
        <w:t xml:space="preserve"> in 2012, researchers found that human retinal drusen deposits, which are the hallmark of AMD, contained components of complement proteins.</w:t>
      </w:r>
    </w:p>
    <w:p>
      <w:pPr>
        <w:spacing w:after="0" w:line="2" w:lineRule="exact"/>
        <w:rPr>
          <w:sz w:val="20"/>
          <w:szCs w:val="20"/>
          <w:color w:val="auto"/>
        </w:rPr>
      </w:pPr>
    </w:p>
    <w:p>
      <w:pPr>
        <w:ind w:firstLine="225"/>
        <w:spacing w:after="0" w:line="267" w:lineRule="auto"/>
        <w:rPr>
          <w:sz w:val="20"/>
          <w:szCs w:val="20"/>
          <w:color w:val="auto"/>
        </w:rPr>
      </w:pPr>
      <w:r>
        <w:rPr>
          <w:rFonts w:ascii="Arial" w:cs="Arial" w:eastAsia="Arial" w:hAnsi="Arial"/>
          <w:sz w:val="17"/>
          <w:szCs w:val="17"/>
          <w:color w:val="auto"/>
        </w:rPr>
        <w:t xml:space="preserve">The complement system is generally activated via one of three biological pathways commonly referred to as the classical pathway, the alternative pathway and the lectin pathway. These pathways eventually converge with the generation of an enzyme known as C3 convertase. C3 convertase cleaves, or separates, a serum protein called C3, into C3a and C3b. C3b is an important element of the body’s immune system, as it binds to pathogens and makes them susceptible to destruction by white blood cells. C3b also cleaves complement protein C5. The cleavage of C5 results in the formation of the terminal complement fragments C5a and C5b. A study published in the </w:t>
      </w:r>
      <w:r>
        <w:rPr>
          <w:rFonts w:ascii="Arial" w:cs="Arial" w:eastAsia="Arial" w:hAnsi="Arial"/>
          <w:sz w:val="17"/>
          <w:szCs w:val="17"/>
          <w:i w:val="1"/>
          <w:iCs w:val="1"/>
          <w:color w:val="auto"/>
        </w:rPr>
        <w:t>Journal of Biological Chemistry</w:t>
      </w:r>
      <w:r>
        <w:rPr>
          <w:rFonts w:ascii="Arial" w:cs="Arial" w:eastAsia="Arial" w:hAnsi="Arial"/>
          <w:sz w:val="17"/>
          <w:szCs w:val="17"/>
          <w:color w:val="auto"/>
        </w:rPr>
        <w:t xml:space="preserve"> in 2015 concluded that C5a primes RPE cells for inflammasome activation in the presence of waste products from the visual cycle. Inflammasomes are intracellular protein structures that lead to cell death. Other studies have shown the presence of inflammasomes inside the RPE cells of post-mortem eyes of patients with GA. Formation of C5b, in combination with serum proteins C6, C7, C8 and C9, leads to the generation of C5b-9, referred to as membrane attack complex, or MAC, which has been shown to cause cell death. In particular, various studies have shown that MAC, together with the presence of lipofuscin, a yellow-brown waste byproduct from the visual cycle that is commonly found in the RPE cells of AMD patients, interferes with the proper functioning of RPE cells, leading to their dysfunction and death.</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simplified illustration of the complement system and the relationships between the complement proteins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14605</wp:posOffset>
            </wp:positionV>
            <wp:extent cx="2691765" cy="3745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1765" cy="3745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170"/>
        <w:spacing w:after="0" w:line="291" w:lineRule="auto"/>
        <w:rPr>
          <w:sz w:val="20"/>
          <w:szCs w:val="20"/>
          <w:color w:val="auto"/>
        </w:rPr>
      </w:pPr>
      <w:r>
        <w:rPr>
          <w:rFonts w:ascii="Arial" w:cs="Arial" w:eastAsia="Arial" w:hAnsi="Arial"/>
          <w:sz w:val="16"/>
          <w:szCs w:val="16"/>
          <w:color w:val="auto"/>
        </w:rPr>
        <w:t xml:space="preserve">Although the causes of AMD are not completely understood—in addition to advanced age, there are environmental and genetic risk factors that contribute to the development of AMD including ocular pigmentation, dietary factors, a positive family history for AMD, high blood pressure and smoking —a body of recent scientific literature suggests that complement system activation may also contribute to the pathogenesis of AMD. A study published in the </w:t>
      </w:r>
      <w:r>
        <w:rPr>
          <w:rFonts w:ascii="Arial" w:cs="Arial" w:eastAsia="Arial" w:hAnsi="Arial"/>
          <w:sz w:val="16"/>
          <w:szCs w:val="16"/>
          <w:i w:val="1"/>
          <w:iCs w:val="1"/>
          <w:color w:val="auto"/>
        </w:rPr>
        <w:t>Journal of Immunology</w:t>
      </w:r>
      <w:r>
        <w:rPr>
          <w:rFonts w:ascii="Arial" w:cs="Arial" w:eastAsia="Arial" w:hAnsi="Arial"/>
          <w:sz w:val="16"/>
          <w:szCs w:val="16"/>
          <w:color w:val="auto"/>
        </w:rPr>
        <w:t xml:space="preserve"> in 2015 concluded that MAC accumulation in RPE cells leads to mitochondrial damage and cellular dysfunction, which we believe eventually leads to RPE cell death. Additionally, a study published in the </w:t>
      </w:r>
      <w:r>
        <w:rPr>
          <w:rFonts w:ascii="Arial" w:cs="Arial" w:eastAsia="Arial" w:hAnsi="Arial"/>
          <w:sz w:val="16"/>
          <w:szCs w:val="16"/>
          <w:i w:val="1"/>
          <w:iCs w:val="1"/>
          <w:color w:val="auto"/>
        </w:rPr>
        <w:t>American Journal of Ophthalmology</w:t>
      </w:r>
      <w:r>
        <w:rPr>
          <w:rFonts w:ascii="Arial" w:cs="Arial" w:eastAsia="Arial" w:hAnsi="Arial"/>
          <w:sz w:val="16"/>
          <w:szCs w:val="16"/>
          <w:color w:val="auto"/>
        </w:rPr>
        <w:t xml:space="preserve"> in 2002 described the presence of MAC in post-mortem human donor eyes with dry AMD and GA. We believe these findings suggest that inhibition of the complement system, especially an inhibitor that prevents the cleavage of C5 into C5a and C5b, could prevent RPE cell death and potentially other pathological causes of AMD.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177"/>
        <w:spacing w:after="0" w:line="272" w:lineRule="auto"/>
        <w:rPr>
          <w:sz w:val="20"/>
          <w:szCs w:val="20"/>
          <w:color w:val="auto"/>
        </w:rPr>
      </w:pPr>
      <w:r>
        <w:rPr>
          <w:rFonts w:ascii="Arial" w:cs="Arial" w:eastAsia="Arial" w:hAnsi="Arial"/>
          <w:sz w:val="17"/>
          <w:szCs w:val="17"/>
          <w:color w:val="auto"/>
        </w:rPr>
        <w:t xml:space="preserve">The pathogenesis of STGD1, which is caused by a mutation in the </w:t>
      </w:r>
      <w:r>
        <w:rPr>
          <w:rFonts w:ascii="Arial" w:cs="Arial" w:eastAsia="Arial" w:hAnsi="Arial"/>
          <w:sz w:val="17"/>
          <w:szCs w:val="17"/>
          <w:i w:val="1"/>
          <w:iCs w:val="1"/>
          <w:color w:val="auto"/>
        </w:rPr>
        <w:t>ABCA4</w:t>
      </w:r>
      <w:r>
        <w:rPr>
          <w:rFonts w:ascii="Arial" w:cs="Arial" w:eastAsia="Arial" w:hAnsi="Arial"/>
          <w:sz w:val="17"/>
          <w:szCs w:val="17"/>
          <w:color w:val="auto"/>
        </w:rPr>
        <w:t xml:space="preserve"> gene, also may involve activation of the complement system. With a defective copy of the ABCA4 protein, waste byproducts that a normal ABCA4 protein would otherwise help to clear accumulate in the RPE. Waste byproducts that accumulate in the RPE are referred to as bisretinoids. We believe that the accumulation of bisretinoids in RPE cells leads to activation of the complement system and the accumulation of MAC. In RPE cells, MAC is normally cleared by lysosomes, which are organelles within cells responsible for waste degradation and disposal. Bisretinoid accumulation leads to lysosomal dysfunction, potentially preventing the clearance of MAC. MAC accumulation also negatively impacts energy production by mitochondria inside RPE cells. Bisretinoid and MAC accumulation may lead to RPE cell deterioration and contribute to the subsequent loss of photoreceptor cells, leading to a decrease in vision over time.</w:t>
      </w:r>
    </w:p>
    <w:p>
      <w:pPr>
        <w:spacing w:after="0" w:line="177" w:lineRule="exact"/>
        <w:rPr>
          <w:sz w:val="20"/>
          <w:szCs w:val="20"/>
          <w:color w:val="auto"/>
        </w:rPr>
      </w:pPr>
    </w:p>
    <w:p>
      <w:pPr>
        <w:ind w:right="60" w:firstLine="180"/>
        <w:spacing w:after="0" w:line="289" w:lineRule="auto"/>
        <w:rPr>
          <w:sz w:val="20"/>
          <w:szCs w:val="20"/>
          <w:color w:val="auto"/>
        </w:rPr>
      </w:pPr>
      <w:r>
        <w:rPr>
          <w:rFonts w:ascii="Arial" w:cs="Arial" w:eastAsia="Arial" w:hAnsi="Arial"/>
          <w:sz w:val="16"/>
          <w:szCs w:val="16"/>
          <w:color w:val="auto"/>
        </w:rPr>
        <w:t xml:space="preserve">In April 2017, </w:t>
      </w:r>
      <w:r>
        <w:rPr>
          <w:rFonts w:ascii="Arial" w:cs="Arial" w:eastAsia="Arial" w:hAnsi="Arial"/>
          <w:sz w:val="16"/>
          <w:szCs w:val="16"/>
          <w:i w:val="1"/>
          <w:iCs w:val="1"/>
          <w:color w:val="auto"/>
        </w:rPr>
        <w:t>Proceedings of the National Academy of Sciences</w:t>
      </w:r>
      <w:r>
        <w:rPr>
          <w:rFonts w:ascii="Arial" w:cs="Arial" w:eastAsia="Arial" w:hAnsi="Arial"/>
          <w:sz w:val="16"/>
          <w:szCs w:val="16"/>
          <w:color w:val="auto"/>
        </w:rPr>
        <w:t xml:space="preserve">, or PNAS, published a study reporting on the effects of complement system modulation in the RPE of a mouse model of Stargardt disease. The researchers injected recombinant AAV containing the coding sequence for CRRY, a protein that inhibits complement system activation, into albino ABCA4 mutant mice, which led to a two-fold reduction in the accumulation of bisretinoids and a 30% increase in the number of photoreceptor nuclei at one year. The study findings indicate that the inhibition of complement activation in the albino ABCA4 mutant mice leads to healthier RPE cells as compared to RPE cells of untreated mice. Researchers at Duke University published a 2013 paper in </w:t>
      </w:r>
      <w:r>
        <w:rPr>
          <w:rFonts w:ascii="Arial" w:cs="Arial" w:eastAsia="Arial" w:hAnsi="Arial"/>
          <w:sz w:val="16"/>
          <w:szCs w:val="16"/>
          <w:i w:val="1"/>
          <w:iCs w:val="1"/>
          <w:color w:val="auto"/>
        </w:rPr>
        <w:t xml:space="preserve">Investigative Ophthalmology &amp; Visual Science, </w:t>
      </w:r>
      <w:r>
        <w:rPr>
          <w:rFonts w:ascii="Arial" w:cs="Arial" w:eastAsia="Arial" w:hAnsi="Arial"/>
          <w:sz w:val="16"/>
          <w:szCs w:val="16"/>
          <w:color w:val="auto"/>
        </w:rPr>
        <w:t>in which they found in an</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experiment that RPE cell damage resulting from the combination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complement system activation and visual cycle waste was more damaging than either component individually. When complement factor C5 was blocked, there was a significant improvement in RPE cell viability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Based on the data from these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we believe molecules involved in the inhibition or regulation of the complement system and MAC activation are prime targets for therapeutic intervention in STGD1.</w:t>
      </w:r>
    </w:p>
    <w:p>
      <w:pPr>
        <w:spacing w:after="0" w:line="193" w:lineRule="exact"/>
        <w:rPr>
          <w:sz w:val="20"/>
          <w:szCs w:val="20"/>
          <w:color w:val="auto"/>
        </w:rPr>
      </w:pPr>
    </w:p>
    <w:p>
      <w:pPr>
        <w:ind w:right="80" w:firstLine="180"/>
        <w:spacing w:after="0" w:line="259" w:lineRule="auto"/>
        <w:rPr>
          <w:sz w:val="20"/>
          <w:szCs w:val="20"/>
          <w:color w:val="auto"/>
        </w:rPr>
      </w:pPr>
      <w:r>
        <w:rPr>
          <w:rFonts w:ascii="Arial" w:cs="Arial" w:eastAsia="Arial" w:hAnsi="Arial"/>
          <w:sz w:val="18"/>
          <w:szCs w:val="18"/>
          <w:color w:val="auto"/>
        </w:rPr>
        <w:t>Zimura is designed to target and inhibit the cleavage of complement protein C5 and the formation of the terminal fragments, C5a and C5b. By inhibiting the formation of complement system terminal fragments, Zimura may decrease the activation of inflammasomes and decrease the formation of MAC, thereby potentially avoiding or slowing the degeneration of RPE cells and providing the rationale as a potential therapy for various stages of AMD and STGD1.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Zimura Clinical Programs</w:t>
      </w:r>
    </w:p>
    <w:p>
      <w:pPr>
        <w:spacing w:after="0" w:line="225" w:lineRule="exact"/>
        <w:rPr>
          <w:sz w:val="20"/>
          <w:szCs w:val="20"/>
          <w:color w:val="auto"/>
        </w:rPr>
      </w:pPr>
    </w:p>
    <w:p>
      <w:pPr>
        <w:ind w:right="320" w:firstLine="180"/>
        <w:spacing w:after="0" w:line="277" w:lineRule="auto"/>
        <w:rPr>
          <w:sz w:val="20"/>
          <w:szCs w:val="20"/>
          <w:color w:val="auto"/>
        </w:rPr>
      </w:pPr>
      <w:r>
        <w:rPr>
          <w:rFonts w:ascii="Arial" w:cs="Arial" w:eastAsia="Arial" w:hAnsi="Arial"/>
          <w:sz w:val="18"/>
          <w:szCs w:val="18"/>
          <w:color w:val="auto"/>
        </w:rPr>
        <w:t>In 2020, we completed the GATHER1 trial and we currently have two clinical trials for Zimura ongoing. The following is a brief description of these trials and their current status:</w:t>
      </w:r>
    </w:p>
    <w:p>
      <w:pPr>
        <w:spacing w:after="0" w:line="193" w:lineRule="exact"/>
        <w:rPr>
          <w:sz w:val="20"/>
          <w:szCs w:val="20"/>
          <w:color w:val="auto"/>
        </w:rPr>
      </w:pPr>
    </w:p>
    <w:p>
      <w:pPr>
        <w:ind w:left="660" w:right="20" w:hanging="328"/>
        <w:spacing w:after="0" w:line="273"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GATHER1 </w:t>
      </w:r>
      <w:r>
        <w:rPr>
          <w:rFonts w:ascii="Arial" w:cs="Arial" w:eastAsia="Arial" w:hAnsi="Arial"/>
          <w:sz w:val="17"/>
          <w:szCs w:val="17"/>
          <w:color w:val="auto"/>
        </w:rPr>
        <w:t>(GA secondary to AMD - completed): an international, randomized, double-masked, sham controlled, multi-center Phase 2/3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trial evaluating the safety and efficacy of Zimura for the treatment of GA secondary to AMD. We enrolled 286 patients in this trial across multiple treatment groups, including various Zimura doses and sham control groups, and patients were treated and followed for 18 months. In October 2019, we announced positive 12-month data from this trial and in June 2020, we completed this trial and announced 18-month data from this trial, which supported the 12-month data. In this trial, the treatment effect was observed as early as 6 months, with an increase in the absolute difference of the mean change in GA growth for treatment with either Zimura 2 mg or Zimura 4 mg, as compared to sham, at each subsequent time point, suggesting the progressive benefit of continuous treatment with Zimura.</w:t>
      </w:r>
    </w:p>
    <w:p>
      <w:pPr>
        <w:spacing w:after="0" w:line="198" w:lineRule="exact"/>
        <w:rPr>
          <w:rFonts w:ascii="Arial" w:cs="Arial" w:eastAsia="Arial" w:hAnsi="Arial"/>
          <w:sz w:val="17"/>
          <w:szCs w:val="17"/>
          <w:color w:val="auto"/>
        </w:rPr>
      </w:pPr>
    </w:p>
    <w:p>
      <w:pPr>
        <w:ind w:left="660" w:right="20" w:hanging="328"/>
        <w:spacing w:after="0" w:line="294"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GATHER2 </w:t>
      </w:r>
      <w:r>
        <w:rPr>
          <w:rFonts w:ascii="Arial" w:cs="Arial" w:eastAsia="Arial" w:hAnsi="Arial"/>
          <w:sz w:val="16"/>
          <w:szCs w:val="16"/>
          <w:color w:val="auto"/>
        </w:rPr>
        <w:t>(GA secondary to AMD - ongoing): an international, randomized, double-masked, sham controlled, multi-center Phase 3 clinical trial</w:t>
      </w:r>
      <w:r>
        <w:rPr>
          <w:rFonts w:ascii="Arial" w:cs="Arial" w:eastAsia="Arial" w:hAnsi="Arial"/>
          <w:sz w:val="16"/>
          <w:szCs w:val="16"/>
          <w:b w:val="1"/>
          <w:bCs w:val="1"/>
          <w:color w:val="auto"/>
        </w:rPr>
        <w:t xml:space="preserve"> </w:t>
      </w:r>
      <w:r>
        <w:rPr>
          <w:rFonts w:ascii="Arial" w:cs="Arial" w:eastAsia="Arial" w:hAnsi="Arial"/>
          <w:sz w:val="16"/>
          <w:szCs w:val="16"/>
          <w:color w:val="auto"/>
        </w:rPr>
        <w:t>evaluating the safety and efficacy of Zimura for the treatment of GA secondary to AMD. We plan to enroll approximately 400 patients in this trial, who will be randomized into Zimura 2 mg and sham control groups. The prespecified primary efficacy endpoint will be the mean rate of change in GA growth over 12 months, as measured by fundus autofluorescence based on readings at three time points: baseline, month 6 and month 12, calculated using the square root transformation of the GA area, which is the same as that for the GATHER1 trial. We plan to treat and follow all patients for 24 months. We are continuing to recruit and enroll patients and expect to complete patient enrollment during the third quarter of 2021.</w:t>
      </w:r>
    </w:p>
    <w:p>
      <w:pPr>
        <w:spacing w:after="0" w:line="186" w:lineRule="exact"/>
        <w:rPr>
          <w:rFonts w:ascii="Arial" w:cs="Arial" w:eastAsia="Arial" w:hAnsi="Arial"/>
          <w:sz w:val="16"/>
          <w:szCs w:val="16"/>
          <w:color w:val="auto"/>
        </w:rPr>
      </w:pPr>
    </w:p>
    <w:p>
      <w:pPr>
        <w:ind w:left="66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STAR (</w:t>
      </w:r>
      <w:r>
        <w:rPr>
          <w:rFonts w:ascii="Arial" w:cs="Arial" w:eastAsia="Arial" w:hAnsi="Arial"/>
          <w:sz w:val="18"/>
          <w:szCs w:val="18"/>
          <w:color w:val="auto"/>
        </w:rPr>
        <w:t>also known as OPH2005; STGD1 - ongoing): an international, randomized, double-masked, sham controlled, multi-center Phase 2b</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evaluating the safety and efficacy of Zimura for the treatment of STGD1. We initially enrolled 95 patients in the this trial, all of whom have completed their scheduled visits as of September 2020. In July 2020, we reopened enrollment in this trial in the United States. We plan to enroll approximately 25 additional patients, with the goal of enrolling a total of approximately 120 patients. We have been and will remain masked until results are analyzed for all the patients in this trial.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to the GATHER1 trial, we have completed multiple clinical trials evaluating various doses of Zimura in age-related retinal diseases, including:</w:t>
      </w:r>
    </w:p>
    <w:p>
      <w:pPr>
        <w:spacing w:after="0" w:line="1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OPH2001, a Phase 1/2a clinical trial of various doses of Zimura monotherapy for the treatment of GA, with a total of 47 patients enrolled;</w:t>
      </w:r>
    </w:p>
    <w:p>
      <w:pPr>
        <w:spacing w:after="0" w:line="263" w:lineRule="exact"/>
        <w:rPr>
          <w:rFonts w:ascii="Arial" w:cs="Arial" w:eastAsia="Arial" w:hAnsi="Arial"/>
          <w:sz w:val="17"/>
          <w:szCs w:val="17"/>
          <w:color w:val="auto"/>
        </w:rPr>
      </w:pPr>
    </w:p>
    <w:p>
      <w:pPr>
        <w:ind w:left="660" w:right="3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OPH2000: a Phase 1/2a clinical trial of various doses of Zimura administered in combination with Lucentis® (ranibizumab), an anti-vascular endothelial growth factor, or anti-VEGF, agent, for the treatment of wet AMD, with a total of 60 patients enrolled;</w:t>
      </w:r>
    </w:p>
    <w:p>
      <w:pPr>
        <w:spacing w:after="0" w:line="197"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OPH2007, a Phase 2a clinical trial of various doses of Zimura administered in combination with Lucentis for the treatment of wet AMD, with a total of 64 patients enrolled and treated; and</w:t>
      </w:r>
    </w:p>
    <w:p>
      <w:pPr>
        <w:spacing w:after="0" w:line="197"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OPH2002: a very small Phase 2a clinical trial of Zimura in combination with anti-VEGF agents for the treatment of idiopathic polypoidal choroidal vasculopathy, or IPCV, in patients for whom anti-VEGF monotherapy had failed.</w:t>
      </w:r>
    </w:p>
    <w:p>
      <w:pPr>
        <w:spacing w:after="0" w:line="19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Over 350 patients have been treated with Zimura in these completed clinical trials, with treatment durations extending up to 18 months. All doses of Zimura administered in these trials were well-tolerated, with only a single occurrence of an adverse event, mild subcapsular cataract, assessed to be drug-related by participating investigators.</w:t>
      </w:r>
    </w:p>
    <w:p>
      <w:pPr>
        <w:spacing w:after="0" w:line="21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Although we are currently not pursuing development of Zimura in wet AMD or IPCV, we may evaluate opportunities for further development of Zimura in these indications, earlier stages of AMD and other age-related retinal diseases.</w:t>
      </w:r>
    </w:p>
    <w:p>
      <w:pPr>
        <w:spacing w:after="0" w:line="197"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Zimura is administered by intravitreal injection. Patients receiving intravitreal injections typically receive topical numbing drops or injection of a numbing agent prior to the injection. The administering physician also typically rinses the ocular surface with an antiseptic solution. By injecting the active agent into the vitreous cavity, the physician delivers the agent in close vicinity to the active disease site while minimizing the risk for systemic exposure to non-ocular tissues.</w:t>
      </w:r>
    </w:p>
    <w:p>
      <w:pPr>
        <w:spacing w:after="0" w:line="214" w:lineRule="exact"/>
        <w:rPr>
          <w:sz w:val="20"/>
          <w:szCs w:val="20"/>
          <w:color w:val="auto"/>
        </w:rPr>
      </w:pPr>
    </w:p>
    <w:p>
      <w:pPr>
        <w:ind w:right="40" w:firstLine="170"/>
        <w:spacing w:after="0" w:line="279" w:lineRule="auto"/>
        <w:rPr>
          <w:sz w:val="20"/>
          <w:szCs w:val="20"/>
          <w:color w:val="auto"/>
        </w:rPr>
      </w:pPr>
      <w:r>
        <w:rPr>
          <w:rFonts w:ascii="Arial" w:cs="Arial" w:eastAsia="Arial" w:hAnsi="Arial"/>
          <w:sz w:val="17"/>
          <w:szCs w:val="17"/>
          <w:color w:val="auto"/>
        </w:rPr>
        <w:t>An intravitreal injection results in elevation of intraocular pressure, or IOP, which is usually transient. In our clinical trials, the IOP is monitored after each intravitreal injection. Certain of the dosing regimens we are evaluating in STAR involve multiple intravitreal injections administered on the same day. Based on our clinical experience to date, we have not seen any meaningful or sustained increase in IOP in clinical trials involving multiple intravitreal injections on the same day, and we believe that multiple intravitreal injections likely could be delivered safely on the same day.</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Zimura clinical experience to date, as well as our ongoing clinical trials for Zimura, are described in greater detail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GA and Dry AMD Trials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GATHER1: Completed Clinical Trial Assessing the Safety and Efficacy of Various Doses of Zimura for GA Secondary to AMD</w:t>
      </w:r>
    </w:p>
    <w:p>
      <w:pPr>
        <w:spacing w:after="0" w:line="158" w:lineRule="exact"/>
        <w:rPr>
          <w:sz w:val="20"/>
          <w:szCs w:val="20"/>
          <w:color w:val="auto"/>
        </w:rPr>
      </w:pPr>
    </w:p>
    <w:p>
      <w:pPr>
        <w:ind w:right="80" w:firstLine="180"/>
        <w:spacing w:after="0" w:line="301" w:lineRule="auto"/>
        <w:rPr>
          <w:sz w:val="20"/>
          <w:szCs w:val="20"/>
          <w:color w:val="auto"/>
        </w:rPr>
      </w:pPr>
      <w:r>
        <w:rPr>
          <w:rFonts w:ascii="Arial" w:cs="Arial" w:eastAsia="Arial" w:hAnsi="Arial"/>
          <w:sz w:val="16"/>
          <w:szCs w:val="16"/>
          <w:color w:val="auto"/>
        </w:rPr>
        <w:t>In October 2019, we announced 12-month data from the GATHER1 trial and in June 2020, we completed and announced 18-month data from this trial. The primary efficacy analysis was performed at the 12-month time point. Pursuant to the clinical trial protocol, patients continued to be treated and followed through month 18. We remained masked regarding the treatment group to which each individual patient was randomized throughout the duration of the trial. Following the conclusion of the trial, we have continued to review and analyze the unmasked, individual patient data from this trial.</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Trial Design and Enrollment</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total of 286 patients were enrolled across two parts of the trial.</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Part 1</w:t>
      </w:r>
      <w:r>
        <w:rPr>
          <w:rFonts w:ascii="Arial" w:cs="Arial" w:eastAsia="Arial" w:hAnsi="Arial"/>
          <w:sz w:val="18"/>
          <w:szCs w:val="18"/>
          <w:color w:val="auto"/>
        </w:rPr>
        <w:t>. In Part 1 of the trial, 77 patients were randomized into one of three treatment groups in a 1:1:1 ratio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Cohort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Zimura</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1 mg</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Zimura</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2 mg</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Sham</w:t>
            </w:r>
          </w:p>
        </w:tc>
      </w:tr>
      <w:tr>
        <w:trPr>
          <w:trHeight w:val="224"/>
        </w:trPr>
        <w:tc>
          <w:tcPr>
            <w:tcW w:w="21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Patients</w:t>
            </w:r>
          </w:p>
        </w:tc>
        <w:tc>
          <w:tcPr>
            <w:tcW w:w="1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26</w:t>
            </w:r>
          </w:p>
        </w:tc>
      </w:tr>
    </w:tbl>
    <w:p>
      <w:pPr>
        <w:spacing w:after="0" w:line="22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Part 1 of the trial, Zimura was administered by monthly intravitreal injections, while patients in the sham control group received monthly sham injections. In 2017, based on the announcement of positive data from a competitor studying a different complement inhibitor in a Phase 2 clinical trial in GA and following review of additional third-party clinical trial data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 statistical analysis, we modified the trial design to change the total number of patients to be enrolled, to change the primary efficacy endpoint from a vision endpoint to an anatomic endpoint, to shorten the time point for the primary efficacy analysis to month 12 and to include a Zimura 4 mg dose group. The patients who were enrolled in Part 1 remained in the trial following these modifications and we remained masked regarding the treatment group to which each patient was randomized.</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Part 2</w:t>
      </w:r>
      <w:r>
        <w:rPr>
          <w:rFonts w:ascii="Arial" w:cs="Arial" w:eastAsia="Arial" w:hAnsi="Arial"/>
          <w:sz w:val="17"/>
          <w:szCs w:val="17"/>
          <w:color w:val="auto"/>
        </w:rPr>
        <w:t>. In Part 2 of the trial, we enrolled 209 additional patients, who were randomized into one of three treatment groups in a 1:2:2 ratio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260" w:type="dxa"/>
            <w:vAlign w:val="bottom"/>
            <w:gridSpan w:val="2"/>
          </w:tcPr>
          <w:p>
            <w:pPr>
              <w:ind w:left="800"/>
              <w:spacing w:after="0"/>
              <w:rPr>
                <w:sz w:val="20"/>
                <w:szCs w:val="20"/>
                <w:color w:val="auto"/>
              </w:rPr>
            </w:pPr>
            <w:r>
              <w:rPr>
                <w:rFonts w:ascii="Arial" w:cs="Arial" w:eastAsia="Arial" w:hAnsi="Arial"/>
                <w:sz w:val="18"/>
                <w:szCs w:val="18"/>
                <w:b w:val="1"/>
                <w:bCs w:val="1"/>
                <w:color w:val="auto"/>
              </w:rPr>
              <w:t>Cohort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Zimura</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2 mg</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Zimura</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4 mg</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9"/>
              </w:rPr>
              <w:t>Sham</w:t>
            </w:r>
          </w:p>
        </w:tc>
      </w:tr>
      <w:tr>
        <w:trPr>
          <w:trHeight w:val="224"/>
        </w:trPr>
        <w:tc>
          <w:tcPr>
            <w:tcW w:w="21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Patients</w:t>
            </w:r>
          </w:p>
        </w:tc>
        <w:tc>
          <w:tcPr>
            <w:tcW w:w="12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84</w:t>
            </w:r>
          </w:p>
        </w:tc>
      </w:tr>
    </w:tbl>
    <w:p>
      <w:pPr>
        <w:spacing w:after="0" w:line="13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Part 2 of the trial, patients in the Zimura 2 mg group received one intravitreal injection of Zimura 2 mg and one sham injection at each monthly visit; patients in the Zimura 4 mg group received two intravitreal injections of Zimura 2 mg at each monthly visit; and patients in the sham control group received two sham injections at each monthly visit. In its current formulation, doses of Zimura above 2 mg would require more than one intravitreal injection.</w:t>
      </w:r>
    </w:p>
    <w:p>
      <w:pPr>
        <w:spacing w:after="0" w:line="106" w:lineRule="exact"/>
        <w:rPr>
          <w:sz w:val="20"/>
          <w:szCs w:val="20"/>
          <w:color w:val="auto"/>
        </w:rPr>
      </w:pPr>
    </w:p>
    <w:p>
      <w:pPr>
        <w:ind w:right="500" w:firstLine="177"/>
        <w:spacing w:after="0" w:line="277" w:lineRule="auto"/>
        <w:rPr>
          <w:sz w:val="20"/>
          <w:szCs w:val="20"/>
          <w:color w:val="auto"/>
        </w:rPr>
      </w:pPr>
      <w:r>
        <w:rPr>
          <w:rFonts w:ascii="Arial" w:cs="Arial" w:eastAsia="Arial" w:hAnsi="Arial"/>
          <w:sz w:val="18"/>
          <w:szCs w:val="18"/>
          <w:color w:val="auto"/>
        </w:rPr>
        <w:t>The primary efficacy endpoint was the mean rate of growth of GA over 12 months, while secondary efficacy endpoints evaluated mean changes in patients' visual acuity in different lighting conditions over the same period.</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Key Inclusion and Exclusion Criteria</w:t>
      </w:r>
    </w:p>
    <w:p>
      <w:pPr>
        <w:spacing w:after="0" w:line="158" w:lineRule="exact"/>
        <w:rPr>
          <w:sz w:val="20"/>
          <w:szCs w:val="20"/>
          <w:color w:val="auto"/>
        </w:rPr>
      </w:pPr>
    </w:p>
    <w:p>
      <w:pPr>
        <w:ind w:right="20" w:firstLine="180"/>
        <w:spacing w:after="0" w:line="301" w:lineRule="auto"/>
        <w:rPr>
          <w:sz w:val="20"/>
          <w:szCs w:val="20"/>
          <w:color w:val="auto"/>
        </w:rPr>
      </w:pPr>
      <w:r>
        <w:rPr>
          <w:rFonts w:ascii="Arial" w:cs="Arial" w:eastAsia="Arial" w:hAnsi="Arial"/>
          <w:sz w:val="16"/>
          <w:szCs w:val="16"/>
          <w:color w:val="auto"/>
        </w:rPr>
        <w:t>In order to determine eligibility to participate in the trial, the location and size of each patient’s GA was assessed using fundus autofluorescence, or FAF, images. FAF is a common imaging technique used by retina specialists for photographing and documenting the size of GA present in the back of the eye, or fundus. Autofluorescence refers to the natural emission of light by biological structures. In FAF images, areas of atrophy are characterized by lower autofluorescence. An independent masked reading center assessed FAF images throughout the trial, including at baseline to determine eligibility.</w:t>
      </w:r>
    </w:p>
    <w:p>
      <w:pPr>
        <w:spacing w:after="0" w:line="76" w:lineRule="exact"/>
        <w:rPr>
          <w:sz w:val="20"/>
          <w:szCs w:val="20"/>
          <w:color w:val="auto"/>
        </w:rPr>
      </w:pPr>
    </w:p>
    <w:p>
      <w:pPr>
        <w:ind w:right="20" w:firstLine="177"/>
        <w:spacing w:after="0" w:line="267" w:lineRule="auto"/>
        <w:rPr>
          <w:sz w:val="20"/>
          <w:szCs w:val="20"/>
          <w:color w:val="auto"/>
        </w:rPr>
      </w:pPr>
      <w:r>
        <w:rPr>
          <w:rFonts w:ascii="Arial" w:cs="Arial" w:eastAsia="Arial" w:hAnsi="Arial"/>
          <w:sz w:val="16"/>
          <w:szCs w:val="16"/>
          <w:color w:val="auto"/>
        </w:rPr>
        <w:t>The fovea is the central portion of the macula where visual acuity is the highest. We sought to enroll patients whose GA was located, in whole or in part, within 1500 microns of the foveal center but that did not enter the foveal center. A disc area is the size of the area of the retina where a standard sized optic nerve emerges, which is generally accepted to be 2.5 mm</w:t>
      </w:r>
      <w:r>
        <w:rPr>
          <w:rFonts w:ascii="Arial" w:cs="Arial" w:eastAsia="Arial" w:hAnsi="Arial"/>
          <w:sz w:val="20"/>
          <w:szCs w:val="20"/>
          <w:color w:val="auto"/>
          <w:vertAlign w:val="superscript"/>
        </w:rPr>
        <w:t>2</w:t>
      </w:r>
      <w:r>
        <w:rPr>
          <w:rFonts w:ascii="Arial" w:cs="Arial" w:eastAsia="Arial" w:hAnsi="Arial"/>
          <w:sz w:val="16"/>
          <w:szCs w:val="16"/>
          <w:color w:val="auto"/>
        </w:rPr>
        <w:t>. We sought to enroll patients with a total GA area of between 1 and 7 disc areas (or 2.5 mm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to 17.5 mm</w:t>
      </w:r>
      <w:r>
        <w:rPr>
          <w:rFonts w:ascii="Arial" w:cs="Arial" w:eastAsia="Arial" w:hAnsi="Arial"/>
          <w:sz w:val="20"/>
          <w:szCs w:val="20"/>
          <w:color w:val="auto"/>
          <w:vertAlign w:val="superscript"/>
        </w:rPr>
        <w:t>2</w:t>
      </w:r>
      <w:r>
        <w:rPr>
          <w:rFonts w:ascii="Arial" w:cs="Arial" w:eastAsia="Arial" w:hAnsi="Arial"/>
          <w:sz w:val="16"/>
          <w:szCs w:val="16"/>
          <w:color w:val="auto"/>
        </w:rPr>
        <w:t>) inclusive. If the GA was multifocal, meaning it was not continuous and had multiple locations, at least one focal lesion needed to measure at least 0.5 disc areas (or 1.25 mm</w:t>
      </w:r>
      <w:r>
        <w:rPr>
          <w:rFonts w:ascii="Arial" w:cs="Arial" w:eastAsia="Arial" w:hAnsi="Arial"/>
          <w:sz w:val="20"/>
          <w:szCs w:val="20"/>
          <w:color w:val="auto"/>
          <w:vertAlign w:val="superscript"/>
        </w:rPr>
        <w:t>2</w:t>
      </w:r>
      <w:r>
        <w:rPr>
          <w:rFonts w:ascii="Arial" w:cs="Arial" w:eastAsia="Arial" w:hAnsi="Arial"/>
          <w:sz w:val="16"/>
          <w:szCs w:val="16"/>
          <w:color w:val="auto"/>
        </w:rPr>
        <w:t>). Each patient's best corrected visual acuity, or BCVA, was also assessed using the Snellen equivalent scale, which equates the detail a patient can see at a distance of 20 feet with the detail an individual with 20/20 vision can see at a greater distance. For example, a patient with 20/50 vision sees at 20 feet what a person with 20/20 vision would see at 50 feet. To be eligible to participate in the trial, patients' BCVA in the study eye was initially required to be between 20/25 and 20/100 inclusive during Part 1 of the trial. As part of the modifications we made for Part 2 of the trial, we expanded the inclusion criteria to include patients whose BCVA in the study eye was between 20/25 and 20/320 inclusive. BCVA on the Snellen equivalent scale can be equated to a number of letters of vision on the Early Treatment of Diabetic Retinopathy Study, or ETDRS, chart. BCVAs of 20/25, 20/100 and 20/320 on the Snellen equivalent scale are equivalent to 80 ETDRS letters, 50 ETDRS letters and 25 ETDRS letters, respectively.</w:t>
      </w:r>
    </w:p>
    <w:p>
      <w:pPr>
        <w:spacing w:after="0" w:line="119" w:lineRule="exact"/>
        <w:rPr>
          <w:sz w:val="20"/>
          <w:szCs w:val="20"/>
          <w:color w:val="auto"/>
        </w:rPr>
      </w:pPr>
    </w:p>
    <w:p>
      <w:pPr>
        <w:ind w:right="20" w:firstLine="180"/>
        <w:spacing w:after="0" w:line="255" w:lineRule="auto"/>
        <w:rPr>
          <w:sz w:val="20"/>
          <w:szCs w:val="20"/>
          <w:color w:val="auto"/>
        </w:rPr>
      </w:pPr>
      <w:r>
        <w:rPr>
          <w:rFonts w:ascii="Arial" w:cs="Arial" w:eastAsia="Arial" w:hAnsi="Arial"/>
          <w:sz w:val="18"/>
          <w:szCs w:val="18"/>
          <w:color w:val="auto"/>
        </w:rPr>
        <w:t>Patients were stratified across treatment groups by baseline BCVA, baseline GA area and the baseline pattern of autofluorescence at the margins of the GA lesion, referred to as the junctional zone. Stratification for baseline characteristics is a method for allocating patients to treatment groups to ensure that there are approximately the same ratio of patients with a given baseline characteristic in each treatment group as the overall randomization ratio. For vision, patients were stratified based on whether their vision was above or below 50 ETDRS letters. For GA area, patients were stratified based on whether their GA area was above or below 4 disc areas. For autofluorescence pattern, patients were stratified based on several well-known patterns that have been described in the scientific literature.</w:t>
      </w:r>
    </w:p>
    <w:p>
      <w:pPr>
        <w:spacing w:after="0" w:line="125" w:lineRule="exact"/>
        <w:rPr>
          <w:sz w:val="20"/>
          <w:szCs w:val="20"/>
          <w:color w:val="auto"/>
        </w:rPr>
      </w:pPr>
    </w:p>
    <w:p>
      <w:pPr>
        <w:ind w:right="260" w:firstLine="170"/>
        <w:spacing w:after="0" w:line="286" w:lineRule="auto"/>
        <w:rPr>
          <w:sz w:val="20"/>
          <w:szCs w:val="20"/>
          <w:color w:val="auto"/>
        </w:rPr>
      </w:pPr>
      <w:r>
        <w:rPr>
          <w:rFonts w:ascii="Arial" w:cs="Arial" w:eastAsia="Arial" w:hAnsi="Arial"/>
          <w:sz w:val="17"/>
          <w:szCs w:val="17"/>
          <w:color w:val="auto"/>
        </w:rPr>
        <w:t>As part of the modifications for Part 2 of the trial, we amended the clinical trial protocol to provide that patients in any arm of the trial who developed CNV in the study eye would be removed from the trial and any future study treatments and assessments, since we did not believe, at the time of the modifications, that GA lesions for patients with CNV in the study eye could be reliably measured with FAF images.</w:t>
      </w:r>
    </w:p>
    <w:p>
      <w:pPr>
        <w:spacing w:after="0" w:line="84" w:lineRule="exact"/>
        <w:rPr>
          <w:sz w:val="20"/>
          <w:szCs w:val="20"/>
          <w:color w:val="auto"/>
        </w:rPr>
      </w:pPr>
    </w:p>
    <w:p>
      <w:pPr>
        <w:ind w:right="140" w:firstLine="170"/>
        <w:spacing w:after="0" w:line="277" w:lineRule="auto"/>
        <w:rPr>
          <w:sz w:val="20"/>
          <w:szCs w:val="20"/>
          <w:color w:val="auto"/>
        </w:rPr>
      </w:pPr>
      <w:r>
        <w:rPr>
          <w:rFonts w:ascii="Arial" w:cs="Arial" w:eastAsia="Arial" w:hAnsi="Arial"/>
          <w:sz w:val="18"/>
          <w:szCs w:val="18"/>
          <w:color w:val="auto"/>
        </w:rPr>
        <w:t>Additionally, patients who had a prior history of intravitreal treatment for any indication in either eye were excluded, as well as patients with any ocular condition in the study eye that could affect central vision or otherwise confound assessments.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Baseline Characteristics</w:t>
      </w:r>
    </w:p>
    <w:p>
      <w:pPr>
        <w:spacing w:after="0" w:line="158" w:lineRule="exact"/>
        <w:rPr>
          <w:sz w:val="20"/>
          <w:szCs w:val="20"/>
          <w:color w:val="auto"/>
        </w:rPr>
      </w:pPr>
    </w:p>
    <w:p>
      <w:pPr>
        <w:ind w:right="480" w:firstLine="177"/>
        <w:spacing w:after="0" w:line="279" w:lineRule="auto"/>
        <w:rPr>
          <w:sz w:val="20"/>
          <w:szCs w:val="20"/>
          <w:color w:val="auto"/>
        </w:rPr>
      </w:pPr>
      <w:r>
        <w:rPr>
          <w:rFonts w:ascii="Arial" w:cs="Arial" w:eastAsia="Arial" w:hAnsi="Arial"/>
          <w:sz w:val="18"/>
          <w:szCs w:val="18"/>
          <w:color w:val="auto"/>
        </w:rPr>
        <w:t>We collected baseline characteristics for all patients participating in the trial. GA area was measured based on the area of GA in square millimeters (mm</w:t>
      </w:r>
      <w:r>
        <w:rPr>
          <w:rFonts w:ascii="Arial" w:cs="Arial" w:eastAsia="Arial" w:hAnsi="Arial"/>
          <w:sz w:val="23"/>
          <w:szCs w:val="23"/>
          <w:color w:val="auto"/>
          <w:vertAlign w:val="superscript"/>
        </w:rPr>
        <w:t>2</w:t>
      </w:r>
      <w:r>
        <w:rPr>
          <w:rFonts w:ascii="Arial" w:cs="Arial" w:eastAsia="Arial" w:hAnsi="Arial"/>
          <w:sz w:val="18"/>
          <w:szCs w:val="18"/>
          <w:color w:val="auto"/>
        </w:rPr>
        <w:t>). Reported scientific literature indicates that the rate of GA growth may be dependent on the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baseline lesion size, with larger GA lesions generally growing faster than smaller lesions, subject to an overall plateau effect as the GA grows to consume almost the entire macula. For this reason, patients were stratified in this trial based on their baseline lesion size. To further mitigate for the impact of baseline lesion size on the growth of GA, a square root transformation was performed. It is reported in the scientific literature and accepted in the field that using the square root of the lesion size for calculating the mean change in size over time mitigates for the impact of the baseline lesion size. We used the square root transformation of GA area, measured in millimeters (mm), to perform the assessment of the primary efficacy endpoint in the GATHER1 trial.</w:t>
      </w:r>
    </w:p>
    <w:p>
      <w:pPr>
        <w:spacing w:after="0" w:line="80" w:lineRule="exact"/>
        <w:rPr>
          <w:sz w:val="20"/>
          <w:szCs w:val="20"/>
          <w:color w:val="auto"/>
        </w:rPr>
      </w:pPr>
    </w:p>
    <w:p>
      <w:pPr>
        <w:ind w:right="20" w:firstLine="170"/>
        <w:spacing w:after="0" w:line="269" w:lineRule="auto"/>
        <w:rPr>
          <w:sz w:val="20"/>
          <w:szCs w:val="20"/>
          <w:color w:val="auto"/>
        </w:rPr>
      </w:pPr>
      <w:r>
        <w:rPr>
          <w:rFonts w:ascii="Arial" w:cs="Arial" w:eastAsia="Arial" w:hAnsi="Arial"/>
          <w:sz w:val="17"/>
          <w:szCs w:val="17"/>
          <w:color w:val="auto"/>
        </w:rPr>
        <w:t>Although GA can be associated with profound and irreversible vision loss, the vision loss that patients experience is not necessarily linearly correlated to the progression of GA. The specific location of the GA within patients' retinas can affect patients' vision differently. In general, patients whose GA expands into the fovea experience vision loss that is disproportionate to the vision loss experienced by patients whose GA does not expand into the fovea. Further, patients with GA may demonstrate good visual acuity but poor functional vision if their GA results in dark spots, referred to as scotomas, in their central visual field. Patients with scotomas may be able to read a vision chart letter-by-letter, especially if their GA has not entered the fovea, but they may have trouble reading a paragraph of text or driving, as these activities of daily living draw upon a field of vision that is broader than a single point of focus. For this reason, and based on our prior interactions with the FDA, we believe the efficacy assessment that is most likely to demonstrate clinical relevance for an investigational product across a heterogeneous GA patient population is reduced rate of growth in GA. If an investigational product can slow the growth of GA, it has the potential to preserve, or slow the loss of, functional vision for patients whose GA is expanding into critical areas of their central visual field, which would be clinically meaningful.</w:t>
      </w:r>
    </w:p>
    <w:p>
      <w:pPr>
        <w:spacing w:after="0" w:line="118"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In addition to baseline GA area, it has been reported in the scientific literature that GA that is non-subfoveal, or that has not impacted the foveal center, is positively correlated with a higher rate of GA area progression and growth. We believe that once a GA lesion expands into the fovea, the rate of growth may be slowed. In addition, once GA expands to encompass the central fovea, additional progression can be limited in the central region of the retina, with any continued expansion occurring predominantly in the outer part of the retina.</w:t>
      </w:r>
    </w:p>
    <w:p>
      <w:pPr>
        <w:spacing w:after="0" w:line="119" w:lineRule="exact"/>
        <w:rPr>
          <w:sz w:val="20"/>
          <w:szCs w:val="20"/>
          <w:color w:val="auto"/>
        </w:rPr>
      </w:pPr>
    </w:p>
    <w:p>
      <w:pPr>
        <w:ind w:right="160" w:firstLine="180"/>
        <w:spacing w:after="0" w:line="257" w:lineRule="auto"/>
        <w:rPr>
          <w:sz w:val="20"/>
          <w:szCs w:val="20"/>
          <w:color w:val="auto"/>
        </w:rPr>
      </w:pPr>
      <w:r>
        <w:rPr>
          <w:rFonts w:ascii="Arial" w:cs="Arial" w:eastAsia="Arial" w:hAnsi="Arial"/>
          <w:sz w:val="18"/>
          <w:szCs w:val="18"/>
          <w:color w:val="auto"/>
        </w:rPr>
        <w:t>In addition to measuring the area of GA, we followed patients for changes in their vision (BCVA), as measured both at a standard light level, or luminance, and lower light level, or low luminance (LL BCVA), measured in each case by ETDRS letters. Testing for visual acuity serves as an important safety assessment to assure that the decrease in visual acuity in the Zimura treatment groups was not different from the sham control groups. Because we believe that BCVA is not the optimal assessment to evaluate the impact of GA on patients’ functional vision, we included vision in the prespecified statistical analysis as a secondary, and not as a primary, endpoint.</w:t>
      </w:r>
    </w:p>
    <w:p>
      <w:pPr>
        <w:spacing w:after="0" w:line="107" w:lineRule="exact"/>
        <w:rPr>
          <w:sz w:val="20"/>
          <w:szCs w:val="20"/>
          <w:color w:val="auto"/>
        </w:rPr>
      </w:pPr>
    </w:p>
    <w:p>
      <w:pPr>
        <w:jc w:val="both"/>
        <w:ind w:right="60" w:firstLine="180"/>
        <w:spacing w:after="0" w:line="263" w:lineRule="auto"/>
        <w:rPr>
          <w:sz w:val="20"/>
          <w:szCs w:val="20"/>
          <w:color w:val="auto"/>
        </w:rPr>
      </w:pPr>
      <w:r>
        <w:rPr>
          <w:rFonts w:ascii="Arial" w:cs="Arial" w:eastAsia="Arial" w:hAnsi="Arial"/>
          <w:sz w:val="18"/>
          <w:szCs w:val="18"/>
          <w:color w:val="auto"/>
        </w:rPr>
        <w:t>For patients within each treatment group, where a numerical measurement was collected, we calculated the mean and standard deviation, or SD, for each measurement. SD is a statistical measure of the variability of a particular measurement within a patient population. Generally, two-thirds of all patients fall within approximately one SD, plus or minus, of the mean for any particular measurement.</w:t>
      </w:r>
    </w:p>
    <w:p>
      <w:pPr>
        <w:spacing w:after="0" w:line="116" w:lineRule="exact"/>
        <w:rPr>
          <w:sz w:val="20"/>
          <w:szCs w:val="20"/>
          <w:color w:val="auto"/>
        </w:rPr>
      </w:pPr>
    </w:p>
    <w:p>
      <w:pPr>
        <w:ind w:right="320" w:firstLine="177"/>
        <w:spacing w:after="0" w:line="311" w:lineRule="auto"/>
        <w:rPr>
          <w:sz w:val="20"/>
          <w:szCs w:val="20"/>
          <w:color w:val="auto"/>
        </w:rPr>
      </w:pPr>
      <w:r>
        <w:rPr>
          <w:rFonts w:ascii="Arial" w:cs="Arial" w:eastAsia="Arial" w:hAnsi="Arial"/>
          <w:sz w:val="16"/>
          <w:szCs w:val="16"/>
          <w:color w:val="auto"/>
        </w:rPr>
        <w:t>The baseline characteristics are presented below for each treatment group in each Part of the trial. These baseline characteristics include the ITT, or intent-to-treat, population, which includes all patients who were randomized in the trial and who received at least one dose of study drug in the relevant treatment group. Based on these data, we believe that the baseline characteristics were generally balanced across the treatment groups.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80" w:type="dxa"/>
        <w:tblCellMar>
          <w:top w:w="0" w:type="dxa"/>
          <w:left w:w="0" w:type="dxa"/>
          <w:bottom w:w="0" w:type="dxa"/>
          <w:right w:w="0" w:type="dxa"/>
        </w:tblCellMar>
      </w:tblPr>
      <w:tr>
        <w:trPr>
          <w:trHeight w:val="213"/>
        </w:trPr>
        <w:tc>
          <w:tcPr>
            <w:tcW w:w="3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Part 2</w:t>
            </w: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189"/>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Zimura 1 mg</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4"/>
              </w:rPr>
              <w:t>Zimura 2 mg</w:t>
            </w:r>
          </w:p>
        </w:tc>
        <w:tc>
          <w:tcPr>
            <w:tcW w:w="400" w:type="dxa"/>
            <w:vAlign w:val="bottom"/>
          </w:tcPr>
          <w:p>
            <w:pPr>
              <w:spacing w:after="0"/>
              <w:rPr>
                <w:sz w:val="16"/>
                <w:szCs w:val="16"/>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87"/>
              </w:rPr>
              <w:t>Sham</w:t>
            </w:r>
          </w:p>
        </w:tc>
        <w:tc>
          <w:tcPr>
            <w:tcW w:w="1140" w:type="dxa"/>
            <w:vAlign w:val="bottom"/>
            <w:gridSpan w:val="4"/>
          </w:tcPr>
          <w:p>
            <w:pPr>
              <w:ind w:left="60"/>
              <w:spacing w:after="0"/>
              <w:rPr>
                <w:sz w:val="20"/>
                <w:szCs w:val="20"/>
                <w:color w:val="auto"/>
              </w:rPr>
            </w:pPr>
            <w:r>
              <w:rPr>
                <w:rFonts w:ascii="Arial" w:cs="Arial" w:eastAsia="Arial" w:hAnsi="Arial"/>
                <w:sz w:val="16"/>
                <w:szCs w:val="16"/>
                <w:b w:val="1"/>
                <w:bCs w:val="1"/>
                <w:color w:val="auto"/>
              </w:rPr>
              <w:t>Zimura 2 mg</w:t>
            </w:r>
          </w:p>
        </w:tc>
        <w:tc>
          <w:tcPr>
            <w:tcW w:w="1200" w:type="dxa"/>
            <w:vAlign w:val="bottom"/>
            <w:gridSpan w:val="3"/>
          </w:tcPr>
          <w:p>
            <w:pPr>
              <w:ind w:left="80"/>
              <w:spacing w:after="0"/>
              <w:rPr>
                <w:sz w:val="20"/>
                <w:szCs w:val="20"/>
                <w:color w:val="auto"/>
              </w:rPr>
            </w:pPr>
            <w:r>
              <w:rPr>
                <w:rFonts w:ascii="Arial" w:cs="Arial" w:eastAsia="Arial" w:hAnsi="Arial"/>
                <w:sz w:val="16"/>
                <w:szCs w:val="16"/>
                <w:b w:val="1"/>
                <w:bCs w:val="1"/>
                <w:color w:val="auto"/>
              </w:rPr>
              <w:t>Zimura 4 mg</w:t>
            </w:r>
          </w:p>
        </w:tc>
        <w:tc>
          <w:tcPr>
            <w:tcW w:w="1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Sham 4 mg</w:t>
            </w:r>
          </w:p>
        </w:tc>
      </w:tr>
      <w:tr>
        <w:trPr>
          <w:trHeight w:val="250"/>
        </w:trPr>
        <w:tc>
          <w:tcPr>
            <w:tcW w:w="382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Cohort</w:t>
            </w:r>
          </w:p>
        </w:tc>
        <w:tc>
          <w:tcPr>
            <w:tcW w:w="12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25)</w:t>
            </w:r>
          </w:p>
        </w:tc>
        <w:tc>
          <w:tcPr>
            <w:tcW w:w="11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(N = 26)</w:t>
            </w:r>
          </w:p>
        </w:tc>
        <w:tc>
          <w:tcPr>
            <w:tcW w:w="120" w:type="dxa"/>
            <w:vAlign w:val="bottom"/>
          </w:tcPr>
          <w:p>
            <w:pPr>
              <w:spacing w:after="0"/>
              <w:rPr>
                <w:sz w:val="21"/>
                <w:szCs w:val="21"/>
                <w:color w:val="auto"/>
              </w:rPr>
            </w:pPr>
          </w:p>
        </w:tc>
        <w:tc>
          <w:tcPr>
            <w:tcW w:w="104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color w:val="auto"/>
              </w:rPr>
              <w:t>(N = 42)</w:t>
            </w:r>
          </w:p>
        </w:tc>
        <w:tc>
          <w:tcPr>
            <w:tcW w:w="100" w:type="dxa"/>
            <w:vAlign w:val="bottom"/>
          </w:tcPr>
          <w:p>
            <w:pPr>
              <w:spacing w:after="0"/>
              <w:rPr>
                <w:sz w:val="21"/>
                <w:szCs w:val="21"/>
                <w:color w:val="auto"/>
              </w:rPr>
            </w:pPr>
          </w:p>
        </w:tc>
        <w:tc>
          <w:tcPr>
            <w:tcW w:w="110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(N = 83)</w:t>
            </w:r>
          </w:p>
        </w:tc>
        <w:tc>
          <w:tcPr>
            <w:tcW w:w="100" w:type="dxa"/>
            <w:vAlign w:val="bottom"/>
          </w:tcPr>
          <w:p>
            <w:pPr>
              <w:spacing w:after="0"/>
              <w:rPr>
                <w:sz w:val="21"/>
                <w:szCs w:val="21"/>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6"/>
              </w:rPr>
              <w:t>(N = 84)</w:t>
            </w:r>
          </w:p>
        </w:tc>
      </w:tr>
      <w:tr>
        <w:trPr>
          <w:trHeight w:val="20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age, years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73.8 (8.0)</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77.7 (9.6)</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0"/>
              </w:rPr>
              <w:t>78.1 (8.4)</w:t>
            </w:r>
          </w:p>
        </w:tc>
        <w:tc>
          <w:tcPr>
            <w:tcW w:w="120" w:type="dxa"/>
            <w:vAlign w:val="bottom"/>
          </w:tcPr>
          <w:p>
            <w:pPr>
              <w:spacing w:after="0"/>
              <w:rPr>
                <w:sz w:val="17"/>
                <w:szCs w:val="17"/>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79.4</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(10.7)</w:t>
            </w: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3"/>
              </w:rPr>
              <w:t>79.2 (8.3)</w:t>
            </w:r>
          </w:p>
        </w:tc>
        <w:tc>
          <w:tcPr>
            <w:tcW w:w="100" w:type="dxa"/>
            <w:vAlign w:val="bottom"/>
          </w:tcPr>
          <w:p>
            <w:pPr>
              <w:spacing w:after="0"/>
              <w:rPr>
                <w:sz w:val="17"/>
                <w:szCs w:val="17"/>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3"/>
              </w:rPr>
              <w:t>78.2 (9.0)</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Female gender,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15 (57.7%)</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18 (72.0%)</w:t>
            </w: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c>
          <w:tcPr>
            <w:tcW w:w="740" w:type="dxa"/>
            <w:vAlign w:val="bottom"/>
          </w:tcPr>
          <w:p>
            <w:pPr>
              <w:ind w:left="40"/>
              <w:spacing w:after="0"/>
              <w:rPr>
                <w:sz w:val="20"/>
                <w:szCs w:val="20"/>
                <w:color w:val="auto"/>
              </w:rPr>
            </w:pPr>
            <w:r>
              <w:rPr>
                <w:rFonts w:ascii="Arial" w:cs="Arial" w:eastAsia="Arial" w:hAnsi="Arial"/>
                <w:sz w:val="16"/>
                <w:szCs w:val="16"/>
                <w:color w:val="auto"/>
              </w:rPr>
              <w:t>(69.2%)</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27</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(64.3%)</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58</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(69.9%)</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61</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(72.6%)</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Active smokers,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6 (23.1%)</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10 (40.0%)</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5"/>
              </w:rPr>
              <w:t>7 (26.9%)</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15</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(35.7%)</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26</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(31.3%)</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29</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(34.5%)</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Caucasian race,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25 (96.2%)</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25 (100%)</w:t>
            </w: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740" w:type="dxa"/>
            <w:vAlign w:val="bottom"/>
          </w:tcPr>
          <w:p>
            <w:pPr>
              <w:ind w:left="40"/>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82</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(98.8%)</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82</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(97.6%)</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Iris color:</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6"/>
                <w:szCs w:val="16"/>
                <w:color w:val="auto"/>
              </w:rPr>
              <w:t>Light</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13 (50.0%)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16 (64.0%)</w:t>
            </w: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740" w:type="dxa"/>
            <w:vAlign w:val="bottom"/>
          </w:tcPr>
          <w:p>
            <w:pPr>
              <w:ind w:left="40"/>
              <w:spacing w:after="0"/>
              <w:rPr>
                <w:sz w:val="20"/>
                <w:szCs w:val="20"/>
                <w:color w:val="auto"/>
              </w:rPr>
            </w:pPr>
            <w:r>
              <w:rPr>
                <w:rFonts w:ascii="Arial" w:cs="Arial" w:eastAsia="Arial" w:hAnsi="Arial"/>
                <w:sz w:val="16"/>
                <w:szCs w:val="16"/>
                <w:color w:val="auto"/>
              </w:rPr>
              <w:t>(65.4%)</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29</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(69.0%)</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54</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(65.1%)</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57</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(67.9%)</w:t>
            </w: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6"/>
                <w:szCs w:val="16"/>
                <w:color w:val="auto"/>
              </w:rPr>
              <w:t>Medium</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7 (26.9%)</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5"/>
              </w:rPr>
              <w:t>6 (24.0%)</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5"/>
              </w:rPr>
              <w:t>7 (26.9%)</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5"/>
              </w:rPr>
              <w:t>9 (21.4%)</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22</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(26.5%)</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21</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(25.0%)</w:t>
            </w: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6"/>
                <w:szCs w:val="16"/>
                <w:color w:val="auto"/>
              </w:rPr>
              <w:t>Dark</w:t>
            </w:r>
          </w:p>
        </w:tc>
        <w:tc>
          <w:tcPr>
            <w:tcW w:w="1080" w:type="dxa"/>
            <w:vAlign w:val="bottom"/>
          </w:tcPr>
          <w:p>
            <w:pPr>
              <w:jc w:val="center"/>
              <w:spacing w:after="0"/>
              <w:rPr>
                <w:sz w:val="20"/>
                <w:szCs w:val="20"/>
                <w:color w:val="auto"/>
              </w:rPr>
            </w:pPr>
            <w:r>
              <w:rPr>
                <w:rFonts w:ascii="Arial" w:cs="Arial" w:eastAsia="Arial" w:hAnsi="Arial"/>
                <w:sz w:val="16"/>
                <w:szCs w:val="16"/>
                <w:color w:val="auto"/>
                <w:w w:val="95"/>
              </w:rPr>
              <w:t>6 (23.1%)</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5"/>
              </w:rPr>
              <w:t>3 (12.0%)</w:t>
            </w: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740" w:type="dxa"/>
            <w:vAlign w:val="bottom"/>
          </w:tcPr>
          <w:p>
            <w:pPr>
              <w:ind w:left="4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auto"/>
                <w:w w:val="89"/>
              </w:rPr>
              <w:t>4</w:t>
            </w:r>
          </w:p>
        </w:tc>
        <w:tc>
          <w:tcPr>
            <w:tcW w:w="720" w:type="dxa"/>
            <w:vAlign w:val="bottom"/>
            <w:gridSpan w:val="2"/>
          </w:tcPr>
          <w:p>
            <w:pPr>
              <w:jc w:val="right"/>
              <w:ind w:right="159"/>
              <w:spacing w:after="0"/>
              <w:rPr>
                <w:sz w:val="20"/>
                <w:szCs w:val="20"/>
                <w:color w:val="auto"/>
              </w:rPr>
            </w:pPr>
            <w:r>
              <w:rPr>
                <w:rFonts w:ascii="Arial" w:cs="Arial" w:eastAsia="Arial" w:hAnsi="Arial"/>
                <w:sz w:val="16"/>
                <w:szCs w:val="16"/>
                <w:color w:val="auto"/>
                <w:w w:val="97"/>
              </w:rPr>
              <w:t>(9.5%)</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760" w:type="dxa"/>
            <w:vAlign w:val="bottom"/>
          </w:tcPr>
          <w:p>
            <w:pPr>
              <w:jc w:val="right"/>
              <w:ind w:right="199"/>
              <w:spacing w:after="0"/>
              <w:rPr>
                <w:sz w:val="20"/>
                <w:szCs w:val="20"/>
                <w:color w:val="auto"/>
              </w:rPr>
            </w:pPr>
            <w:r>
              <w:rPr>
                <w:rFonts w:ascii="Arial" w:cs="Arial" w:eastAsia="Arial" w:hAnsi="Arial"/>
                <w:sz w:val="16"/>
                <w:szCs w:val="16"/>
                <w:color w:val="auto"/>
                <w:w w:val="97"/>
              </w:rPr>
              <w:t>(8.4%)</w:t>
            </w:r>
          </w:p>
        </w:tc>
        <w:tc>
          <w:tcPr>
            <w:tcW w:w="100" w:type="dxa"/>
            <w:vAlign w:val="bottom"/>
          </w:tcPr>
          <w:p>
            <w:pPr>
              <w:spacing w:after="0"/>
              <w:rPr>
                <w:sz w:val="18"/>
                <w:szCs w:val="18"/>
                <w:color w:val="auto"/>
              </w:rPr>
            </w:pPr>
          </w:p>
        </w:tc>
        <w:tc>
          <w:tcPr>
            <w:tcW w:w="360" w:type="dxa"/>
            <w:vAlign w:val="bottom"/>
          </w:tcPr>
          <w:p>
            <w:pPr>
              <w:ind w:left="260"/>
              <w:spacing w:after="0"/>
              <w:rPr>
                <w:sz w:val="20"/>
                <w:szCs w:val="20"/>
                <w:color w:val="auto"/>
              </w:rPr>
            </w:pPr>
            <w:r>
              <w:rPr>
                <w:rFonts w:ascii="Arial" w:cs="Arial" w:eastAsia="Arial" w:hAnsi="Arial"/>
                <w:sz w:val="16"/>
                <w:szCs w:val="16"/>
                <w:color w:val="auto"/>
                <w:w w:val="89"/>
              </w:rPr>
              <w:t>6</w:t>
            </w:r>
          </w:p>
        </w:tc>
        <w:tc>
          <w:tcPr>
            <w:tcW w:w="740" w:type="dxa"/>
            <w:vAlign w:val="bottom"/>
            <w:gridSpan w:val="2"/>
          </w:tcPr>
          <w:p>
            <w:pPr>
              <w:jc w:val="right"/>
              <w:ind w:right="199"/>
              <w:spacing w:after="0"/>
              <w:rPr>
                <w:sz w:val="20"/>
                <w:szCs w:val="20"/>
                <w:color w:val="auto"/>
              </w:rPr>
            </w:pPr>
            <w:r>
              <w:rPr>
                <w:rFonts w:ascii="Arial" w:cs="Arial" w:eastAsia="Arial" w:hAnsi="Arial"/>
                <w:sz w:val="16"/>
                <w:szCs w:val="16"/>
                <w:color w:val="auto"/>
                <w:w w:val="93"/>
              </w:rPr>
              <w:t>(7.1%)</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intraocular pressure, mmHg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15.0 (1.9)</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14.6 (2.6)</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0"/>
              </w:rPr>
              <w:t>14.5 (2.8)</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0"/>
              </w:rPr>
              <w:t>14.1 (2.4)</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3"/>
              </w:rPr>
              <w:t>15.2 (2.5)</w:t>
            </w:r>
          </w:p>
        </w:tc>
        <w:tc>
          <w:tcPr>
            <w:tcW w:w="10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3"/>
              </w:rPr>
              <w:t>14.9 (2.5)</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Non-subfoveal GA,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23 (88.5%)</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20 (80.0%)</w:t>
            </w:r>
          </w:p>
        </w:tc>
        <w:tc>
          <w:tcPr>
            <w:tcW w:w="400" w:type="dxa"/>
            <w:vAlign w:val="bottom"/>
          </w:tcPr>
          <w:p>
            <w:pPr>
              <w:jc w:val="right"/>
              <w:spacing w:after="0"/>
              <w:rPr>
                <w:sz w:val="20"/>
                <w:szCs w:val="20"/>
                <w:color w:val="auto"/>
              </w:rPr>
            </w:pPr>
            <w:r>
              <w:rPr>
                <w:rFonts w:ascii="Arial" w:cs="Arial" w:eastAsia="Arial" w:hAnsi="Arial"/>
                <w:sz w:val="16"/>
                <w:szCs w:val="16"/>
                <w:color w:val="auto"/>
              </w:rPr>
              <w:t>22</w:t>
            </w:r>
          </w:p>
        </w:tc>
        <w:tc>
          <w:tcPr>
            <w:tcW w:w="740" w:type="dxa"/>
            <w:vAlign w:val="bottom"/>
          </w:tcPr>
          <w:p>
            <w:pPr>
              <w:ind w:left="40"/>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81</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(97.6%)</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82</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(97.6%)</w:t>
            </w:r>
          </w:p>
        </w:tc>
      </w:tr>
      <w:tr>
        <w:trPr>
          <w:trHeight w:val="29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GA area, mm</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7.37 (4.32)</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6.60 (3.35)</w:t>
            </w:r>
          </w:p>
        </w:tc>
        <w:tc>
          <w:tcPr>
            <w:tcW w:w="1140" w:type="dxa"/>
            <w:vAlign w:val="bottom"/>
            <w:gridSpan w:val="2"/>
          </w:tcPr>
          <w:p>
            <w:pPr>
              <w:jc w:val="right"/>
              <w:ind w:right="259"/>
              <w:spacing w:after="0"/>
              <w:rPr>
                <w:sz w:val="20"/>
                <w:szCs w:val="20"/>
                <w:color w:val="auto"/>
              </w:rPr>
            </w:pPr>
            <w:r>
              <w:rPr>
                <w:rFonts w:ascii="Arial" w:cs="Arial" w:eastAsia="Arial" w:hAnsi="Arial"/>
                <w:sz w:val="16"/>
                <w:szCs w:val="16"/>
                <w:color w:val="auto"/>
              </w:rPr>
              <w:t>7.33 (3.73)</w:t>
            </w:r>
          </w:p>
        </w:tc>
        <w:tc>
          <w:tcPr>
            <w:tcW w:w="12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7.77</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(4.01)</w:t>
            </w:r>
          </w:p>
        </w:tc>
        <w:tc>
          <w:tcPr>
            <w:tcW w:w="100" w:type="dxa"/>
            <w:vAlign w:val="bottom"/>
          </w:tcPr>
          <w:p>
            <w:pPr>
              <w:spacing w:after="0"/>
              <w:rPr>
                <w:sz w:val="24"/>
                <w:szCs w:val="24"/>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7.90 (4.18)</w:t>
            </w:r>
          </w:p>
        </w:tc>
        <w:tc>
          <w:tcPr>
            <w:tcW w:w="100" w:type="dxa"/>
            <w:vAlign w:val="bottom"/>
          </w:tcPr>
          <w:p>
            <w:pPr>
              <w:spacing w:after="0"/>
              <w:rPr>
                <w:sz w:val="24"/>
                <w:szCs w:val="24"/>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7.45</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(3.89)</w:t>
            </w:r>
          </w:p>
        </w:tc>
      </w:tr>
      <w:tr>
        <w:trPr>
          <w:trHeight w:val="20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Sq. Root of GA area, mm (SD)</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2.591 (0.827)</w:t>
            </w: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2.471 (0.717)</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2.623 (0.687)</w:t>
            </w:r>
          </w:p>
        </w:tc>
        <w:tc>
          <w:tcPr>
            <w:tcW w:w="120" w:type="dxa"/>
            <w:vAlign w:val="bottom"/>
          </w:tcPr>
          <w:p>
            <w:pPr>
              <w:spacing w:after="0"/>
              <w:rPr>
                <w:sz w:val="17"/>
                <w:szCs w:val="17"/>
                <w:color w:val="auto"/>
              </w:rPr>
            </w:pPr>
          </w:p>
        </w:tc>
        <w:tc>
          <w:tcPr>
            <w:tcW w:w="460" w:type="dxa"/>
            <w:vAlign w:val="bottom"/>
            <w:gridSpan w:val="2"/>
          </w:tcPr>
          <w:p>
            <w:pPr>
              <w:ind w:left="60"/>
              <w:spacing w:after="0"/>
              <w:rPr>
                <w:sz w:val="20"/>
                <w:szCs w:val="20"/>
                <w:color w:val="auto"/>
              </w:rPr>
            </w:pPr>
            <w:r>
              <w:rPr>
                <w:rFonts w:ascii="Arial" w:cs="Arial" w:eastAsia="Arial" w:hAnsi="Arial"/>
                <w:sz w:val="16"/>
                <w:szCs w:val="16"/>
                <w:color w:val="auto"/>
                <w:w w:val="94"/>
              </w:rPr>
              <w:t>2.705</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0"/>
              </w:rPr>
              <w:t>(0.684)</w:t>
            </w: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2"/>
              </w:rPr>
              <w:t>2.715 (0.732)</w:t>
            </w:r>
          </w:p>
        </w:tc>
        <w:tc>
          <w:tcPr>
            <w:tcW w:w="100" w:type="dxa"/>
            <w:vAlign w:val="bottom"/>
          </w:tcPr>
          <w:p>
            <w:pPr>
              <w:spacing w:after="0"/>
              <w:rPr>
                <w:sz w:val="17"/>
                <w:szCs w:val="17"/>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w w:val="94"/>
              </w:rPr>
              <w:t>2.636</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w w:val="90"/>
              </w:rPr>
              <w:t>(0.709)</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Bilateral GA, number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26 (100%)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25 (100%)</w:t>
            </w: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740" w:type="dxa"/>
            <w:vAlign w:val="bottom"/>
          </w:tcPr>
          <w:p>
            <w:pPr>
              <w:ind w:left="40"/>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4"/>
              </w:rPr>
              <w:t>42 (100%)</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2"/>
              </w:rPr>
              <w:t>83 (100%)</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83</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(98.8%)</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BCVA, ETDRS letters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70.5 (8.0)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71.6 (7.5)</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0"/>
              </w:rPr>
              <w:t>71.3 (7.5)</w:t>
            </w:r>
          </w:p>
        </w:tc>
        <w:tc>
          <w:tcPr>
            <w:tcW w:w="1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69.4</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(11.3)</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3"/>
              </w:rPr>
              <w:t>69.5 (9.8)</w:t>
            </w:r>
          </w:p>
        </w:tc>
        <w:tc>
          <w:tcPr>
            <w:tcW w:w="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68.3</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(11.0)</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Mean LL BCVA, ETDRS letters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38.1 (22.7)</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43.0 (19.7)</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36.7 (21.2)</w:t>
            </w:r>
          </w:p>
        </w:tc>
        <w:tc>
          <w:tcPr>
            <w:tcW w:w="1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33.1</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(21.3)</w:t>
            </w:r>
          </w:p>
        </w:tc>
        <w:tc>
          <w:tcPr>
            <w:tcW w:w="100" w:type="dxa"/>
            <w:vAlign w:val="bottom"/>
          </w:tcPr>
          <w:p>
            <w:pPr>
              <w:spacing w:after="0"/>
              <w:rPr>
                <w:sz w:val="18"/>
                <w:szCs w:val="18"/>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36.8 (20.9)</w:t>
            </w:r>
          </w:p>
        </w:tc>
        <w:tc>
          <w:tcPr>
            <w:tcW w:w="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33.9</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(18.8)</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Patients with Hyperautofluorscence (%)</w:t>
            </w:r>
          </w:p>
        </w:tc>
        <w:tc>
          <w:tcPr>
            <w:tcW w:w="1080" w:type="dxa"/>
            <w:vAlign w:val="bottom"/>
          </w:tcPr>
          <w:p>
            <w:pPr>
              <w:jc w:val="center"/>
              <w:spacing w:after="0"/>
              <w:rPr>
                <w:sz w:val="20"/>
                <w:szCs w:val="20"/>
                <w:color w:val="auto"/>
              </w:rPr>
            </w:pPr>
            <w:r>
              <w:rPr>
                <w:rFonts w:ascii="Arial" w:cs="Arial" w:eastAsia="Arial" w:hAnsi="Arial"/>
                <w:sz w:val="16"/>
                <w:szCs w:val="16"/>
                <w:color w:val="auto"/>
                <w:w w:val="94"/>
              </w:rPr>
              <w:t>25 (96.2%)</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4"/>
              </w:rPr>
              <w:t>25 (100%)</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4"/>
              </w:rPr>
              <w:t>26 (100%)</w:t>
            </w:r>
          </w:p>
        </w:tc>
        <w:tc>
          <w:tcPr>
            <w:tcW w:w="12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auto"/>
                <w:w w:val="89"/>
              </w:rPr>
              <w:t>41</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w w:val="96"/>
              </w:rPr>
              <w:t>(97.6%)</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82</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w w:val="96"/>
              </w:rPr>
              <w:t>(98.8%)</w:t>
            </w:r>
          </w:p>
        </w:tc>
        <w:tc>
          <w:tcPr>
            <w:tcW w:w="10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89"/>
              </w:rPr>
              <w:t>83</w:t>
            </w:r>
          </w:p>
        </w:tc>
        <w:tc>
          <w:tcPr>
            <w:tcW w:w="740" w:type="dxa"/>
            <w:vAlign w:val="bottom"/>
            <w:gridSpan w:val="2"/>
          </w:tcPr>
          <w:p>
            <w:pPr>
              <w:jc w:val="right"/>
              <w:ind w:right="119"/>
              <w:spacing w:after="0"/>
              <w:rPr>
                <w:sz w:val="20"/>
                <w:szCs w:val="20"/>
                <w:color w:val="auto"/>
              </w:rPr>
            </w:pPr>
            <w:r>
              <w:rPr>
                <w:rFonts w:ascii="Arial" w:cs="Arial" w:eastAsia="Arial" w:hAnsi="Arial"/>
                <w:sz w:val="16"/>
                <w:szCs w:val="16"/>
                <w:color w:val="auto"/>
                <w:w w:val="92"/>
              </w:rPr>
              <w:t>(98.8%)</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Height, cm (SD)</w:t>
            </w:r>
          </w:p>
        </w:tc>
        <w:tc>
          <w:tcPr>
            <w:tcW w:w="1080" w:type="dxa"/>
            <w:vAlign w:val="bottom"/>
          </w:tcPr>
          <w:p>
            <w:pPr>
              <w:jc w:val="center"/>
              <w:spacing w:after="0"/>
              <w:rPr>
                <w:sz w:val="20"/>
                <w:szCs w:val="20"/>
                <w:color w:val="auto"/>
              </w:rPr>
            </w:pPr>
            <w:r>
              <w:rPr>
                <w:rFonts w:ascii="Arial" w:cs="Arial" w:eastAsia="Arial" w:hAnsi="Arial"/>
                <w:sz w:val="16"/>
                <w:szCs w:val="16"/>
                <w:color w:val="auto"/>
                <w:w w:val="92"/>
              </w:rPr>
              <w:t>168.7 (12.0)</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165.9 (8.6)</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164.9 (12.1)</w:t>
            </w:r>
          </w:p>
        </w:tc>
        <w:tc>
          <w:tcPr>
            <w:tcW w:w="120" w:type="dxa"/>
            <w:vAlign w:val="bottom"/>
          </w:tcPr>
          <w:p>
            <w:pPr>
              <w:spacing w:after="0"/>
              <w:rPr>
                <w:sz w:val="18"/>
                <w:szCs w:val="18"/>
                <w:color w:val="auto"/>
              </w:rPr>
            </w:pPr>
          </w:p>
        </w:tc>
        <w:tc>
          <w:tcPr>
            <w:tcW w:w="1040" w:type="dxa"/>
            <w:vAlign w:val="bottom"/>
            <w:gridSpan w:val="3"/>
          </w:tcPr>
          <w:p>
            <w:pPr>
              <w:jc w:val="center"/>
              <w:spacing w:after="0"/>
              <w:rPr>
                <w:sz w:val="20"/>
                <w:szCs w:val="20"/>
                <w:color w:val="auto"/>
              </w:rPr>
            </w:pPr>
            <w:r>
              <w:rPr>
                <w:rFonts w:ascii="Arial" w:cs="Arial" w:eastAsia="Arial" w:hAnsi="Arial"/>
                <w:sz w:val="16"/>
                <w:szCs w:val="16"/>
                <w:color w:val="auto"/>
                <w:w w:val="90"/>
              </w:rPr>
              <w:t>164.9 (11.0)</w:t>
            </w:r>
          </w:p>
        </w:tc>
        <w:tc>
          <w:tcPr>
            <w:tcW w:w="1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2"/>
              </w:rPr>
              <w:t>163.7 (10.6)</w:t>
            </w:r>
          </w:p>
        </w:tc>
        <w:tc>
          <w:tcPr>
            <w:tcW w:w="100" w:type="dxa"/>
            <w:vAlign w:val="bottom"/>
          </w:tcPr>
          <w:p>
            <w:pPr>
              <w:spacing w:after="0"/>
              <w:rPr>
                <w:sz w:val="18"/>
                <w:szCs w:val="18"/>
                <w:color w:val="auto"/>
              </w:rPr>
            </w:pPr>
          </w:p>
        </w:tc>
        <w:tc>
          <w:tcPr>
            <w:tcW w:w="1100" w:type="dxa"/>
            <w:vAlign w:val="bottom"/>
            <w:gridSpan w:val="3"/>
          </w:tcPr>
          <w:p>
            <w:pPr>
              <w:jc w:val="right"/>
              <w:ind w:right="119"/>
              <w:spacing w:after="0"/>
              <w:rPr>
                <w:sz w:val="20"/>
                <w:szCs w:val="20"/>
                <w:color w:val="auto"/>
              </w:rPr>
            </w:pPr>
            <w:r>
              <w:rPr>
                <w:rFonts w:ascii="Arial" w:cs="Arial" w:eastAsia="Arial" w:hAnsi="Arial"/>
                <w:sz w:val="16"/>
                <w:szCs w:val="16"/>
                <w:color w:val="auto"/>
              </w:rPr>
              <w:t>163.7 (9.3)</w:t>
            </w:r>
          </w:p>
        </w:tc>
      </w:tr>
      <w:tr>
        <w:trPr>
          <w:trHeight w:val="216"/>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Weight, kg (SD)</w:t>
            </w:r>
          </w:p>
        </w:tc>
        <w:tc>
          <w:tcPr>
            <w:tcW w:w="1080" w:type="dxa"/>
            <w:vAlign w:val="bottom"/>
          </w:tcPr>
          <w:p>
            <w:pPr>
              <w:jc w:val="center"/>
              <w:spacing w:after="0"/>
              <w:rPr>
                <w:sz w:val="20"/>
                <w:szCs w:val="20"/>
                <w:color w:val="auto"/>
              </w:rPr>
            </w:pPr>
            <w:r>
              <w:rPr>
                <w:rFonts w:ascii="Arial" w:cs="Arial" w:eastAsia="Arial" w:hAnsi="Arial"/>
                <w:sz w:val="16"/>
                <w:szCs w:val="16"/>
                <w:color w:val="auto"/>
                <w:w w:val="90"/>
              </w:rPr>
              <w:t>81.9 (17.8)</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2"/>
              </w:rPr>
              <w:t>75.6 (14.9)</w:t>
            </w:r>
          </w:p>
        </w:tc>
        <w:tc>
          <w:tcPr>
            <w:tcW w:w="1140" w:type="dxa"/>
            <w:vAlign w:val="bottom"/>
            <w:gridSpan w:val="2"/>
          </w:tcPr>
          <w:p>
            <w:pPr>
              <w:jc w:val="center"/>
              <w:spacing w:after="0"/>
              <w:rPr>
                <w:sz w:val="20"/>
                <w:szCs w:val="20"/>
                <w:color w:val="auto"/>
              </w:rPr>
            </w:pPr>
            <w:r>
              <w:rPr>
                <w:rFonts w:ascii="Arial" w:cs="Arial" w:eastAsia="Arial" w:hAnsi="Arial"/>
                <w:sz w:val="16"/>
                <w:szCs w:val="16"/>
                <w:color w:val="auto"/>
                <w:w w:val="92"/>
              </w:rPr>
              <w:t>74.7 (15.6)</w:t>
            </w:r>
          </w:p>
        </w:tc>
        <w:tc>
          <w:tcPr>
            <w:tcW w:w="1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6"/>
                <w:szCs w:val="16"/>
                <w:color w:val="auto"/>
                <w:w w:val="89"/>
              </w:rPr>
              <w:t>80.8</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w w:val="90"/>
              </w:rPr>
              <w:t>(22.3)</w:t>
            </w:r>
          </w:p>
        </w:tc>
        <w:tc>
          <w:tcPr>
            <w:tcW w:w="100" w:type="dxa"/>
            <w:vAlign w:val="bottom"/>
          </w:tcPr>
          <w:p>
            <w:pPr>
              <w:spacing w:after="0"/>
              <w:rPr>
                <w:sz w:val="18"/>
                <w:szCs w:val="18"/>
                <w:color w:val="auto"/>
              </w:rPr>
            </w:pPr>
          </w:p>
        </w:tc>
        <w:tc>
          <w:tcPr>
            <w:tcW w:w="1100" w:type="dxa"/>
            <w:vAlign w:val="bottom"/>
            <w:gridSpan w:val="2"/>
          </w:tcPr>
          <w:p>
            <w:pPr>
              <w:jc w:val="right"/>
              <w:ind w:right="119"/>
              <w:spacing w:after="0"/>
              <w:rPr>
                <w:sz w:val="20"/>
                <w:szCs w:val="20"/>
                <w:color w:val="auto"/>
              </w:rPr>
            </w:pPr>
            <w:r>
              <w:rPr>
                <w:rFonts w:ascii="Arial" w:cs="Arial" w:eastAsia="Arial" w:hAnsi="Arial"/>
                <w:sz w:val="16"/>
                <w:szCs w:val="16"/>
                <w:color w:val="auto"/>
              </w:rPr>
              <w:t>76.2 (18.2)</w:t>
            </w:r>
          </w:p>
        </w:tc>
        <w:tc>
          <w:tcPr>
            <w:tcW w:w="10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w w:val="96"/>
              </w:rPr>
              <w:t>78.4</w:t>
            </w:r>
          </w:p>
        </w:tc>
        <w:tc>
          <w:tcPr>
            <w:tcW w:w="600" w:type="dxa"/>
            <w:vAlign w:val="bottom"/>
          </w:tcPr>
          <w:p>
            <w:pPr>
              <w:jc w:val="right"/>
              <w:ind w:right="119"/>
              <w:spacing w:after="0"/>
              <w:rPr>
                <w:sz w:val="20"/>
                <w:szCs w:val="20"/>
                <w:color w:val="auto"/>
              </w:rPr>
            </w:pPr>
            <w:r>
              <w:rPr>
                <w:rFonts w:ascii="Arial" w:cs="Arial" w:eastAsia="Arial" w:hAnsi="Arial"/>
                <w:sz w:val="16"/>
                <w:szCs w:val="16"/>
                <w:color w:val="auto"/>
                <w:w w:val="90"/>
              </w:rPr>
              <w:t>(17.8)</w:t>
            </w:r>
          </w:p>
        </w:tc>
      </w:tr>
    </w:tbl>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12-Month Data</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12-Month Safety Data</w:t>
      </w:r>
    </w:p>
    <w:p>
      <w:pPr>
        <w:spacing w:after="0" w:line="158" w:lineRule="exact"/>
        <w:rPr>
          <w:sz w:val="20"/>
          <w:szCs w:val="20"/>
          <w:color w:val="auto"/>
        </w:rPr>
      </w:pPr>
    </w:p>
    <w:p>
      <w:pPr>
        <w:jc w:val="both"/>
        <w:ind w:firstLine="180"/>
        <w:spacing w:after="0" w:line="301" w:lineRule="auto"/>
        <w:rPr>
          <w:sz w:val="20"/>
          <w:szCs w:val="20"/>
          <w:color w:val="auto"/>
        </w:rPr>
      </w:pPr>
      <w:r>
        <w:rPr>
          <w:rFonts w:ascii="Arial" w:cs="Arial" w:eastAsia="Arial" w:hAnsi="Arial"/>
          <w:sz w:val="16"/>
          <w:szCs w:val="16"/>
          <w:color w:val="auto"/>
        </w:rPr>
        <w:t>Based on our review of the safety data to date, Zimura was generally well tolerated after 12 months of administration. Over this 12-month time period, there were no investigator-reported ocular serious adverse events, no Zimura-related adverse events, no cases of Zimura-related intraocular inflammation, no cases of Zimura-related increased intraocular pressure, no cases of endophthalmitis, and no discontinuations attributed by investigators to Zimura in the trial. The numbers below are based on investigator-reported adverse events occurring up through the month 12 time point for all patients.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177"/>
        <w:spacing w:after="0" w:line="277" w:lineRule="auto"/>
        <w:rPr>
          <w:sz w:val="20"/>
          <w:szCs w:val="20"/>
          <w:color w:val="auto"/>
        </w:rPr>
      </w:pPr>
      <w:r>
        <w:rPr>
          <w:rFonts w:ascii="Arial" w:cs="Arial" w:eastAsia="Arial" w:hAnsi="Arial"/>
          <w:sz w:val="18"/>
          <w:szCs w:val="18"/>
          <w:color w:val="auto"/>
        </w:rPr>
        <w:t>The number of patients with one or more serious, systemic, treatment emergent adverse events, or TEAEs, organized by MedDRA system organ class, a standard method of reporting adverse events, are set forth in the table below:</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Patients with One or More Serious TEAEs in Any Organ Class</w:t>
      </w:r>
    </w:p>
    <w:p>
      <w:pPr>
        <w:spacing w:after="0" w:line="203"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Part 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Part 2</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Zimura 1</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5"/>
              </w:rPr>
              <w:t>Zimura 2</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Sham</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2</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Zimura 4</w:t>
            </w: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83"/>
              </w:rPr>
              <w:t>mg</w:t>
            </w:r>
          </w:p>
        </w:tc>
        <w:tc>
          <w:tcPr>
            <w:tcW w:w="980" w:type="dxa"/>
            <w:vAlign w:val="bottom"/>
            <w:gridSpan w:val="2"/>
            <w:vMerge w:val="continue"/>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26)</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26)</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83)</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Cardiac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Gastrointestinal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6 (7.1%)</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General disorders and administration site conditions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Hepatobiliary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Infections and infestations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6 (7.2%)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Injury, poisoning and procedural complications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Metabolism and nutrition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Musculoskeletal and connective tissue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172"/>
        </w:trPr>
        <w:tc>
          <w:tcPr>
            <w:tcW w:w="488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Benign, malignant and unspecified neoplasms (including cysts and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polyps)</w:t>
            </w: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Nervous system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Psychiatric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Respiratory, thoracic and mediastinal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firstLine="177"/>
        <w:spacing w:after="0" w:line="277" w:lineRule="auto"/>
        <w:rPr>
          <w:sz w:val="20"/>
          <w:szCs w:val="20"/>
          <w:color w:val="auto"/>
        </w:rPr>
      </w:pPr>
      <w:r>
        <w:rPr>
          <w:rFonts w:ascii="Arial" w:cs="Arial" w:eastAsia="Arial" w:hAnsi="Arial"/>
          <w:sz w:val="18"/>
          <w:szCs w:val="18"/>
          <w:color w:val="auto"/>
        </w:rPr>
        <w:t>The number of patients with one or more systemic TEAEs, including serious systemic TEAEs, identified by the investigator as related to the study drug (Zimura or sham) are set forth in the table below:</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Reported Systemic TEAEs Related to Zimura or Sham</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number of patients with one or more ocular TEAEs in the study eye are set forth in the table below:</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Reported Ocular TEAEs in Study Eyes</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1000" w:type="dxa"/>
            <w:vAlign w:val="bottom"/>
            <w:gridSpan w:val="2"/>
            <w:vMerge w:val="restart"/>
          </w:tcPr>
          <w:p>
            <w:pPr>
              <w:jc w:val="center"/>
              <w:ind w:right="4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88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100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880" w:type="dxa"/>
            <w:vAlign w:val="bottom"/>
          </w:tcPr>
          <w:p>
            <w:pPr>
              <w:jc w:val="center"/>
              <w:spacing w:after="0"/>
              <w:rPr>
                <w:sz w:val="20"/>
                <w:szCs w:val="20"/>
                <w:color w:val="auto"/>
              </w:rPr>
            </w:pPr>
            <w:r>
              <w:rPr>
                <w:rFonts w:ascii="Arial" w:cs="Arial" w:eastAsia="Arial" w:hAnsi="Arial"/>
                <w:sz w:val="16"/>
                <w:szCs w:val="16"/>
                <w:color w:val="auto"/>
                <w:w w:val="96"/>
              </w:rPr>
              <w:t>(N = 25)</w:t>
            </w:r>
          </w:p>
        </w:tc>
        <w:tc>
          <w:tcPr>
            <w:tcW w:w="1000" w:type="dxa"/>
            <w:vAlign w:val="bottom"/>
            <w:gridSpan w:val="2"/>
          </w:tcPr>
          <w:p>
            <w:pPr>
              <w:jc w:val="center"/>
              <w:ind w:right="4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12 (46.2%)</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5"/>
              </w:rPr>
              <w:t>8 (32.0%)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 (15.4%)</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24 (57.1%)</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50 (60.2%)</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33 (39.3%)</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 related to injection procedure</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 (11.5%)</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5"/>
              </w:rPr>
              <w:t>4 (16.0%)</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 (7.7%)</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14 (33.3%)</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36 (43.4%)</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23 (27.4%)</w:t>
            </w: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40" w:firstLine="162"/>
        <w:spacing w:after="0" w:line="308" w:lineRule="auto"/>
        <w:rPr>
          <w:sz w:val="20"/>
          <w:szCs w:val="20"/>
          <w:color w:val="auto"/>
        </w:rPr>
      </w:pPr>
      <w:r>
        <w:rPr>
          <w:rFonts w:ascii="Arial" w:cs="Arial" w:eastAsia="Arial" w:hAnsi="Arial"/>
          <w:sz w:val="17"/>
          <w:szCs w:val="17"/>
          <w:color w:val="auto"/>
        </w:rPr>
        <w:t>All of the above TEAEs that were not related to the injection procedure were also not related to the study drug. The number of patients with one or more ocular TEAEs in the study eye, identified by the investigator as related to the study drug (Zimura or sham) is set forth in the table below:</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Reported Ocular TEAEs in the Study Eye Related to Zimura or Sham</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i w:val="1"/>
          <w:iCs w:val="1"/>
          <w:color w:val="auto"/>
        </w:rPr>
        <w:t xml:space="preserve">Incidence of CNV. </w:t>
      </w:r>
      <w:r>
        <w:rPr>
          <w:rFonts w:ascii="Arial" w:cs="Arial" w:eastAsia="Arial" w:hAnsi="Arial"/>
          <w:sz w:val="18"/>
          <w:szCs w:val="18"/>
          <w:color w:val="auto"/>
        </w:rPr>
        <w:t>During the first 12 months of this trial, the incidence of investigator reported CNV in the untreated fellow eyes was 10 patients (3.5%)</w:t>
      </w:r>
      <w:r>
        <w:rPr>
          <w:rFonts w:ascii="Arial" w:cs="Arial" w:eastAsia="Arial" w:hAnsi="Arial"/>
          <w:sz w:val="18"/>
          <w:szCs w:val="18"/>
          <w:i w:val="1"/>
          <w:iCs w:val="1"/>
          <w:color w:val="auto"/>
        </w:rPr>
        <w:t xml:space="preserve"> </w:t>
      </w:r>
      <w:r>
        <w:rPr>
          <w:rFonts w:ascii="Arial" w:cs="Arial" w:eastAsia="Arial" w:hAnsi="Arial"/>
          <w:sz w:val="18"/>
          <w:szCs w:val="18"/>
          <w:color w:val="auto"/>
        </w:rPr>
        <w:t>and in the study eyes was 3 patients (2.7%) in the sham group, 1 patient (4.0%) in the Zimura 1 mg group, 6 patients (9.0%) in the Zimura 2 mg group, and 8 patients (9.6%) in the Zimura 4 mg group.</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Statistical Analysis for Efficacy Measures</w:t>
      </w:r>
    </w:p>
    <w:p>
      <w:pPr>
        <w:spacing w:after="0" w:line="158" w:lineRule="exact"/>
        <w:rPr>
          <w:sz w:val="20"/>
          <w:szCs w:val="20"/>
          <w:color w:val="auto"/>
        </w:rPr>
      </w:pPr>
    </w:p>
    <w:p>
      <w:pPr>
        <w:ind w:right="20" w:firstLine="180"/>
        <w:spacing w:after="0" w:line="296" w:lineRule="auto"/>
        <w:rPr>
          <w:sz w:val="20"/>
          <w:szCs w:val="20"/>
          <w:color w:val="auto"/>
        </w:rPr>
      </w:pPr>
      <w:r>
        <w:rPr>
          <w:rFonts w:ascii="Arial" w:cs="Arial" w:eastAsia="Arial" w:hAnsi="Arial"/>
          <w:sz w:val="16"/>
          <w:szCs w:val="16"/>
          <w:color w:val="auto"/>
        </w:rPr>
        <w:t xml:space="preserve">GATHER1 was designed as a Phase 2b screening trial based on the criteria described by Drs. Thomas Fleming and Barbara Richardson in their publication regarding clinical trial design in the context of microbicides for the prevention of HIV in the </w:t>
      </w:r>
      <w:r>
        <w:rPr>
          <w:rFonts w:ascii="Arial" w:cs="Arial" w:eastAsia="Arial" w:hAnsi="Arial"/>
          <w:sz w:val="16"/>
          <w:szCs w:val="16"/>
          <w:i w:val="1"/>
          <w:iCs w:val="1"/>
          <w:color w:val="auto"/>
        </w:rPr>
        <w:t>Journal of Infectious Disease</w:t>
      </w:r>
      <w:r>
        <w:rPr>
          <w:rFonts w:ascii="Arial" w:cs="Arial" w:eastAsia="Arial" w:hAnsi="Arial"/>
          <w:sz w:val="16"/>
          <w:szCs w:val="16"/>
          <w:color w:val="auto"/>
        </w:rPr>
        <w:t xml:space="preserve"> in 2004. A screening trial uses the same primary efficacy endpoint as an anticipated Phase 3 clinical trial that would be used to support potential marketing approval. However, screening trials generally have a considerably smaller sample size than the anticipated Phase 3 clinical trial. Because it is particularly important to avoid false negative outcomes in a screening trial, screening trials may have higher false positive error rates than would typically be allowed in a Phase 3 trial.</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Phase 2b screening trial has three possible outcomes:</w:t>
      </w:r>
    </w:p>
    <w:p>
      <w:pPr>
        <w:spacing w:after="0" w:line="158" w:lineRule="exact"/>
        <w:rPr>
          <w:sz w:val="20"/>
          <w:szCs w:val="20"/>
          <w:color w:val="auto"/>
        </w:rPr>
      </w:pPr>
    </w:p>
    <w:p>
      <w:pPr>
        <w:ind w:left="660" w:right="2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estimated effect size indicates low levels of benefit, the experimental intervention would be judged as not plausibly more efficacious than the sham control, and should be discarded in its current dosage in the indication evaluated;</w:t>
      </w:r>
    </w:p>
    <w:p>
      <w:pPr>
        <w:spacing w:after="0" w:line="102"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estimated effect size is moderate but clinically relevant, with a relatively low likelihood of being achieved (for example, a probability of less than 10%) if there truly were no effect, the experimental intervention would be judged as plausibly more efficacious than the sham control and should be evaluated definitively in subsequent Phase 3 clinical trials; or</w:t>
      </w:r>
    </w:p>
    <w:p>
      <w:pPr>
        <w:spacing w:after="0" w:line="102"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estimated effect size is clinically relevant and reaches the traditional threshold for statistical significance, as was the case in the GATHER1 trial for both the Zimura 2 mg and Zimura 4 mg dose groups as compared to the corresponding sham control groups, the trial could potentially serve as one of the two pivotal trials typically required for marketing approval.</w:t>
      </w:r>
    </w:p>
    <w:p>
      <w:pPr>
        <w:spacing w:after="0" w:line="11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properly designed Phase 2b screening trial has a considerable likelihood of ruling out ineffective or harmful interventions, while providing encouraging (or even statistically significant) evidence of benefit that likely would require confirmation by one additional, independent Phase 3 trial.</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For the primary and secondary efficacy analyses we evaluated the ITT population in accordance with a prespecified statistical analysis plan.</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statistical evidence from the GATHER1 trial regarding the comparison of Zimura 2 mg to sham control is provided by data from both Part 1, with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 randomization ratio of patients receiving Zimura 2 mg (25 patients) and sham (26 patients), as well as data from Part 2, with a 1:2 randomization ratio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patients receiving Zimura 2 mg (42 patients) and sham (84 patients), for a total of 67 patients receiving Zimura 2 mg and 110 patients receiving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sham. While we believe it is appropriate to use the aggregate data from Parts 1 and 2 in the analysis of the relative effects of Zimura 2 mg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sham, it would not be appropriate to simply pool the data from patients in both Parts 1 and 2, in particular, because the randomization fraction differs across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two parts of the trial. However, based on the randomization procedures used in each part of the trial, for purposes of statistical comparisons, within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 1 of the trial, the 25 patients receiving Zimura 2 mg should be comparable to the 26 patients receiving sham. Similarly, for purposes of statistical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comparisons, within Part 2 of the trial, the 42 patients receiving Zimura 2 mg should be comparable to the 84 patients receiving sham. The efficacy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Zimura 2 mg was therefore evaluated through an analysis which included a regression factor by trial part. The statistical analysis for the Zimura 4 mg group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compared to sham compares data for patients from Part 2 of the trial only. Data from patients receiving Zimura 1 mg in Part 1 of the trial was not part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prespecified statistical analysis for the efficacy endpoints.</w:t>
      </w:r>
    </w:p>
    <w:p>
      <w:pPr>
        <w:spacing w:after="0" w:line="143" w:lineRule="exact"/>
        <w:rPr>
          <w:sz w:val="20"/>
          <w:szCs w:val="20"/>
          <w:color w:val="auto"/>
        </w:rPr>
      </w:pPr>
    </w:p>
    <w:p>
      <w:pPr>
        <w:ind w:right="40" w:firstLine="177"/>
        <w:spacing w:after="0" w:line="268" w:lineRule="auto"/>
        <w:rPr>
          <w:sz w:val="20"/>
          <w:szCs w:val="20"/>
          <w:color w:val="auto"/>
        </w:rPr>
      </w:pPr>
      <w:r>
        <w:rPr>
          <w:rFonts w:ascii="Arial" w:cs="Arial" w:eastAsia="Arial" w:hAnsi="Arial"/>
          <w:sz w:val="17"/>
          <w:szCs w:val="17"/>
          <w:color w:val="auto"/>
        </w:rPr>
        <w:t>The prespecified statistical analysis plan for the primary and secondary endpoints of this trial used the mixed-effects repeated measures model, or MRM, to compare data for the Zimura 2 mg and Zimura 4 mg groups to the corresponding sham groups. Repeated measures models are often used when the same outcome is measured at several time points for each patient. These models make use of all available data points to estimate the measurement of interest, the mean rate of change of GA growth, without making overly restrictive assumptions. In addition, these models are generally robust to missing data under the assumption that data are missing at random. During the course of a clinical trial, patients may withdraw from the clinical trial because their condition is asymptomatic, because patients believe that continued participation in the trial is not justified based on the time commitment or treatment burden, such as receiving monthly intravitreal injections, at the recommendation of the investigator or because the protocol requires it. Additionally, patients may not come to a scheduled visit at which key assessments are scheduled to be taken or patient data may not be evaluable because of poor image quality or data recording errors. Early withdrawal, missed visits and unevaluable data all result in data missing from the final data set for a clinical trial. Although the protocol called for collection of FAF images of GA at baseline, at month 6 and at month 12, for patients who withdrew from the trial before month 12, the study protocol required the collection of an FAF image to provide a measurement of GA at the time of withdrawal, which was included in the primary analysis so long as it was taken within the month prior to either the month 6 or month 12 time point. Because the MRM model would only need measurements from at least two different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time points for analysis purposes, one of which must be the baseline, we were able to include in the primary analysis all patients who had GA measurements at baseline and within the month prior to either month 6 or month 12, or both.</w:t>
      </w:r>
    </w:p>
    <w:p>
      <w:pPr>
        <w:spacing w:after="0" w:line="89" w:lineRule="exact"/>
        <w:rPr>
          <w:sz w:val="20"/>
          <w:szCs w:val="20"/>
          <w:color w:val="auto"/>
        </w:rPr>
      </w:pPr>
    </w:p>
    <w:p>
      <w:pPr>
        <w:ind w:right="100" w:firstLine="177"/>
        <w:spacing w:after="0" w:line="263" w:lineRule="auto"/>
        <w:rPr>
          <w:sz w:val="20"/>
          <w:szCs w:val="20"/>
          <w:color w:val="auto"/>
        </w:rPr>
      </w:pPr>
      <w:r>
        <w:rPr>
          <w:rFonts w:ascii="Arial" w:cs="Arial" w:eastAsia="Arial" w:hAnsi="Arial"/>
          <w:sz w:val="18"/>
          <w:szCs w:val="18"/>
          <w:color w:val="auto"/>
        </w:rPr>
        <w:t>The following table sets forth for the data in the primary statistical analysis the number of patients for whom GA measurements were missing for purposes of performing this analysis. Patients whose GA measurements were missing at baseline, or at both month 6 and month 12, could not be included in the primary analysis. All other patients were included in the primary analysis.</w:t>
      </w:r>
    </w:p>
    <w:p>
      <w:pPr>
        <w:spacing w:after="0" w:line="139"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3860" w:type="dxa"/>
            <w:vAlign w:val="bottom"/>
            <w:vMerge w:val="restart"/>
          </w:tcPr>
          <w:p>
            <w:pPr>
              <w:ind w:left="1680"/>
              <w:spacing w:after="0"/>
              <w:rPr>
                <w:sz w:val="20"/>
                <w:szCs w:val="20"/>
                <w:color w:val="auto"/>
              </w:rPr>
            </w:pPr>
            <w:r>
              <w:rPr>
                <w:rFonts w:ascii="Arial" w:cs="Arial" w:eastAsia="Arial" w:hAnsi="Arial"/>
                <w:sz w:val="16"/>
                <w:szCs w:val="16"/>
                <w:b w:val="1"/>
                <w:bCs w:val="1"/>
                <w:color w:val="auto"/>
              </w:rPr>
              <w:t>Cohort</w:t>
            </w:r>
          </w:p>
        </w:tc>
        <w:tc>
          <w:tcPr>
            <w:tcW w:w="120" w:type="dxa"/>
            <w:vAlign w:val="bottom"/>
            <w:vMerge w:val="restart"/>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color w:val="auto"/>
                <w:w w:val="93"/>
              </w:rPr>
              <w:t>Zimura 2 mg</w:t>
            </w:r>
          </w:p>
        </w:tc>
        <w:tc>
          <w:tcPr>
            <w:tcW w:w="1300" w:type="dxa"/>
            <w:vAlign w:val="bottom"/>
            <w:gridSpan w:val="4"/>
          </w:tcPr>
          <w:p>
            <w:pPr>
              <w:jc w:val="center"/>
              <w:ind w:right="120"/>
              <w:spacing w:after="0"/>
              <w:rPr>
                <w:sz w:val="20"/>
                <w:szCs w:val="20"/>
                <w:color w:val="auto"/>
              </w:rPr>
            </w:pPr>
            <w:r>
              <w:rPr>
                <w:rFonts w:ascii="Arial" w:cs="Arial" w:eastAsia="Arial" w:hAnsi="Arial"/>
                <w:sz w:val="16"/>
                <w:szCs w:val="16"/>
                <w:color w:val="auto"/>
                <w:w w:val="90"/>
              </w:rPr>
              <w:t>Sham 2 mg</w:t>
            </w: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color w:val="auto"/>
                <w:w w:val="95"/>
              </w:rPr>
              <w:t>Zimura 4 mg</w:t>
            </w: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0"/>
              </w:rPr>
              <w:t>Sham 4 mg</w:t>
            </w:r>
          </w:p>
        </w:tc>
        <w:tc>
          <w:tcPr>
            <w:tcW w:w="0" w:type="dxa"/>
            <w:vAlign w:val="bottom"/>
          </w:tcPr>
          <w:p>
            <w:pPr>
              <w:spacing w:after="0"/>
              <w:rPr>
                <w:sz w:val="1"/>
                <w:szCs w:val="1"/>
                <w:color w:val="auto"/>
              </w:rPr>
            </w:pPr>
          </w:p>
        </w:tc>
      </w:tr>
      <w:tr>
        <w:trPr>
          <w:trHeight w:val="209"/>
        </w:trPr>
        <w:tc>
          <w:tcPr>
            <w:tcW w:w="38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6"/>
              </w:rPr>
              <w:t>(N = 67)</w:t>
            </w:r>
          </w:p>
        </w:tc>
        <w:tc>
          <w:tcPr>
            <w:tcW w:w="100" w:type="dxa"/>
            <w:vAlign w:val="bottom"/>
          </w:tcPr>
          <w:p>
            <w:pPr>
              <w:spacing w:after="0"/>
              <w:rPr>
                <w:sz w:val="18"/>
                <w:szCs w:val="18"/>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5"/>
              </w:rPr>
              <w:t>(N = 110)</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(N = 83)</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207"/>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BL, M6 and M12</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3"/>
              </w:rPr>
              <w:t>0 (0%)</w:t>
            </w:r>
          </w:p>
        </w:tc>
        <w:tc>
          <w:tcPr>
            <w:tcW w:w="10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720" w:type="dxa"/>
            <w:vAlign w:val="bottom"/>
          </w:tcPr>
          <w:p>
            <w:pPr>
              <w:ind w:left="2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7"/>
              </w:rPr>
              <w:t>0 (0%)</w:t>
            </w: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color w:val="auto"/>
                <w:w w:val="97"/>
              </w:rPr>
              <w:t>0 (0%)</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M6 and M12 only</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2"/>
              </w:rPr>
              <w:t>8 (11.9%)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780" w:type="dxa"/>
            <w:vAlign w:val="bottom"/>
            <w:gridSpan w:val="2"/>
          </w:tcPr>
          <w:p>
            <w:pPr>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800" w:type="dxa"/>
            <w:vAlign w:val="bottom"/>
          </w:tcPr>
          <w:p>
            <w:pPr>
              <w:ind w:left="20"/>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780" w:type="dxa"/>
            <w:vAlign w:val="bottom"/>
          </w:tcPr>
          <w:p>
            <w:pPr>
              <w:ind w:lef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BL only</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3"/>
              </w:rPr>
              <w:t>0 (0%)</w:t>
            </w:r>
          </w:p>
        </w:tc>
        <w:tc>
          <w:tcPr>
            <w:tcW w:w="100" w:type="dxa"/>
            <w:vAlign w:val="bottom"/>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0</w:t>
            </w: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7"/>
              </w:rPr>
              <w:t>0 (0%)</w:t>
            </w:r>
          </w:p>
        </w:tc>
        <w:tc>
          <w:tcPr>
            <w:tcW w:w="0" w:type="dxa"/>
            <w:vAlign w:val="bottom"/>
          </w:tcPr>
          <w:p>
            <w:pPr>
              <w:spacing w:after="0"/>
              <w:rPr>
                <w:sz w:val="1"/>
                <w:szCs w:val="1"/>
                <w:color w:val="auto"/>
              </w:rPr>
            </w:pPr>
          </w:p>
        </w:tc>
      </w:tr>
      <w:tr>
        <w:trPr>
          <w:trHeight w:val="210"/>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Total patients excluded from MRM analysis</w:t>
            </w:r>
          </w:p>
        </w:tc>
        <w:tc>
          <w:tcPr>
            <w:tcW w:w="1180" w:type="dxa"/>
            <w:vAlign w:val="bottom"/>
            <w:gridSpan w:val="2"/>
          </w:tcPr>
          <w:p>
            <w:pPr>
              <w:jc w:val="center"/>
              <w:spacing w:after="0"/>
              <w:rPr>
                <w:sz w:val="20"/>
                <w:szCs w:val="20"/>
                <w:color w:val="auto"/>
              </w:rPr>
            </w:pPr>
            <w:r>
              <w:rPr>
                <w:rFonts w:ascii="Arial" w:cs="Arial" w:eastAsia="Arial" w:hAnsi="Arial"/>
                <w:sz w:val="16"/>
                <w:szCs w:val="16"/>
                <w:color w:val="auto"/>
                <w:w w:val="92"/>
              </w:rPr>
              <w:t>8 (11.9%)</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720" w:type="dxa"/>
            <w:vAlign w:val="bottom"/>
          </w:tcPr>
          <w:p>
            <w:pPr>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c>
          <w:tcPr>
            <w:tcW w:w="800" w:type="dxa"/>
            <w:vAlign w:val="bottom"/>
          </w:tcPr>
          <w:p>
            <w:pPr>
              <w:ind w:left="20"/>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w:t>
            </w:r>
          </w:p>
        </w:tc>
        <w:tc>
          <w:tcPr>
            <w:tcW w:w="780" w:type="dxa"/>
            <w:vAlign w:val="bottom"/>
          </w:tcPr>
          <w:p>
            <w:pPr>
              <w:ind w:lef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M6 only</w:t>
            </w: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ind w:lef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800" w:type="dxa"/>
            <w:vAlign w:val="bottom"/>
          </w:tcPr>
          <w:p>
            <w:pPr>
              <w:ind w:left="2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780" w:type="dxa"/>
            <w:vAlign w:val="bottom"/>
          </w:tcPr>
          <w:p>
            <w:pPr>
              <w:ind w:left="2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6"/>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Missing GA measurement at M12 only</w:t>
            </w: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780" w:type="dxa"/>
            <w:vAlign w:val="bottom"/>
          </w:tcPr>
          <w:p>
            <w:pPr>
              <w:ind w:left="20"/>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w:t>
            </w: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11</w:t>
            </w:r>
          </w:p>
        </w:tc>
        <w:tc>
          <w:tcPr>
            <w:tcW w:w="800" w:type="dxa"/>
            <w:vAlign w:val="bottom"/>
          </w:tcPr>
          <w:p>
            <w:pPr>
              <w:ind w:left="20"/>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w:t>
            </w:r>
          </w:p>
        </w:tc>
        <w:tc>
          <w:tcPr>
            <w:tcW w:w="780" w:type="dxa"/>
            <w:vAlign w:val="bottom"/>
          </w:tcPr>
          <w:p>
            <w:pPr>
              <w:ind w:left="2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22"/>
        </w:trPr>
        <w:tc>
          <w:tcPr>
            <w:tcW w:w="3980" w:type="dxa"/>
            <w:vAlign w:val="bottom"/>
            <w:gridSpan w:val="2"/>
          </w:tcPr>
          <w:p>
            <w:pPr>
              <w:ind w:left="20"/>
              <w:spacing w:after="0" w:line="222" w:lineRule="exact"/>
              <w:rPr>
                <w:sz w:val="20"/>
                <w:szCs w:val="20"/>
                <w:color w:val="auto"/>
              </w:rPr>
            </w:pPr>
            <w:r>
              <w:rPr>
                <w:rFonts w:ascii="Arial" w:cs="Arial" w:eastAsia="Arial" w:hAnsi="Arial"/>
                <w:sz w:val="16"/>
                <w:szCs w:val="16"/>
                <w:color w:val="auto"/>
              </w:rPr>
              <w:t>No missing GA measurements</w:t>
            </w:r>
            <w:r>
              <w:rPr>
                <w:rFonts w:ascii="Arial" w:cs="Arial" w:eastAsia="Arial" w:hAnsi="Arial"/>
                <w:sz w:val="21"/>
                <w:szCs w:val="21"/>
                <w:color w:val="auto"/>
                <w:vertAlign w:val="superscript"/>
              </w:rPr>
              <w:t>(a)</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Total patients included in MRM analysis</w:t>
            </w:r>
          </w:p>
        </w:tc>
        <w:tc>
          <w:tcPr>
            <w:tcW w:w="400" w:type="dxa"/>
            <w:vAlign w:val="bottom"/>
          </w:tcPr>
          <w:p>
            <w:pPr>
              <w:jc w:val="right"/>
              <w:spacing w:after="0"/>
              <w:rPr>
                <w:sz w:val="20"/>
                <w:szCs w:val="20"/>
                <w:color w:val="auto"/>
              </w:rPr>
            </w:pPr>
            <w:r>
              <w:rPr>
                <w:rFonts w:ascii="Arial" w:cs="Arial" w:eastAsia="Arial" w:hAnsi="Arial"/>
                <w:sz w:val="16"/>
                <w:szCs w:val="16"/>
                <w:color w:val="auto"/>
              </w:rPr>
              <w:t>59</w:t>
            </w:r>
          </w:p>
        </w:tc>
        <w:tc>
          <w:tcPr>
            <w:tcW w:w="780" w:type="dxa"/>
            <w:vAlign w:val="bottom"/>
          </w:tcPr>
          <w:p>
            <w:pPr>
              <w:ind w:left="20"/>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99</w:t>
            </w: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65</w:t>
            </w:r>
          </w:p>
        </w:tc>
        <w:tc>
          <w:tcPr>
            <w:tcW w:w="800" w:type="dxa"/>
            <w:vAlign w:val="bottom"/>
          </w:tcPr>
          <w:p>
            <w:pPr>
              <w:ind w:left="20"/>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79</w:t>
            </w:r>
          </w:p>
        </w:tc>
        <w:tc>
          <w:tcPr>
            <w:tcW w:w="780" w:type="dxa"/>
            <w:vAlign w:val="bottom"/>
          </w:tcPr>
          <w:p>
            <w:pPr>
              <w:ind w:left="20"/>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BL = Baseline; M6 = Month 6; M12 = Month 12</w:t>
      </w:r>
    </w:p>
    <w:p>
      <w:pPr>
        <w:spacing w:after="0" w:line="55"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(a) = complete observations</w:t>
      </w:r>
    </w:p>
    <w:p>
      <w:pPr>
        <w:spacing w:after="0" w:line="154" w:lineRule="exact"/>
        <w:rPr>
          <w:sz w:val="20"/>
          <w:szCs w:val="20"/>
          <w:color w:val="auto"/>
        </w:rPr>
      </w:pPr>
    </w:p>
    <w:p>
      <w:pPr>
        <w:ind w:firstLine="198"/>
        <w:spacing w:after="0" w:line="301" w:lineRule="auto"/>
        <w:rPr>
          <w:sz w:val="20"/>
          <w:szCs w:val="20"/>
          <w:color w:val="auto"/>
        </w:rPr>
      </w:pPr>
      <w:r>
        <w:rPr>
          <w:rFonts w:ascii="Arial" w:cs="Arial" w:eastAsia="Arial" w:hAnsi="Arial"/>
          <w:sz w:val="16"/>
          <w:szCs w:val="16"/>
          <w:color w:val="auto"/>
        </w:rPr>
        <w:t>In total, 53 (18.5%) patients withdrew from the trial during the first 12 months. Of the patients who withdrew during the first 12 months, 2 patients were from the Zimura 1 mg group (7.7% withdrawals), 12 patients were from the combined Zimura 2 mg group (17.9% withdrawals), 25 patients were from the Zimura 4 mg group (30.1% withdrawals) and 14 patients were from the combined sham group (12.7% withdrawals). GA measurements for patients who withdrew from the study prior to the 12 month time point may have been included in the MRM analysis, as detailed in the table above.</w:t>
      </w:r>
    </w:p>
    <w:p>
      <w:pPr>
        <w:spacing w:after="0" w:line="90" w:lineRule="exact"/>
        <w:rPr>
          <w:sz w:val="20"/>
          <w:szCs w:val="20"/>
          <w:color w:val="auto"/>
        </w:rPr>
      </w:pPr>
    </w:p>
    <w:p>
      <w:pPr>
        <w:ind w:firstLine="180"/>
        <w:spacing w:after="0" w:line="273" w:lineRule="auto"/>
        <w:rPr>
          <w:sz w:val="20"/>
          <w:szCs w:val="20"/>
          <w:color w:val="auto"/>
        </w:rPr>
      </w:pPr>
      <w:r>
        <w:rPr>
          <w:rFonts w:ascii="Arial" w:cs="Arial" w:eastAsia="Arial" w:hAnsi="Arial"/>
          <w:sz w:val="17"/>
          <w:szCs w:val="17"/>
          <w:i w:val="1"/>
          <w:iCs w:val="1"/>
          <w:color w:val="auto"/>
        </w:rPr>
        <w:t>Sensitivity analyses</w:t>
      </w:r>
      <w:r>
        <w:rPr>
          <w:rFonts w:ascii="Arial" w:cs="Arial" w:eastAsia="Arial" w:hAnsi="Arial"/>
          <w:sz w:val="17"/>
          <w:szCs w:val="17"/>
          <w:color w:val="auto"/>
        </w:rPr>
        <w:t>. We performed several sensitivity analyses to assess the impact of missing data on the robustness of the GATHER1 trial results. The</w:t>
      </w:r>
      <w:r>
        <w:rPr>
          <w:rFonts w:ascii="Arial" w:cs="Arial" w:eastAsia="Arial" w:hAnsi="Arial"/>
          <w:sz w:val="17"/>
          <w:szCs w:val="17"/>
          <w:i w:val="1"/>
          <w:iCs w:val="1"/>
          <w:color w:val="auto"/>
        </w:rPr>
        <w:t xml:space="preserve"> </w:t>
      </w:r>
      <w:r>
        <w:rPr>
          <w:rFonts w:ascii="Arial" w:cs="Arial" w:eastAsia="Arial" w:hAnsi="Arial"/>
          <w:sz w:val="17"/>
          <w:szCs w:val="17"/>
          <w:color w:val="auto"/>
        </w:rPr>
        <w:t>analyses we performed were based on approaches that the FDA generally recommends sponsors of investigational products use to evaluate their clinical data. Based on these analyses, and accounting for the data missing from our data set because of patient withdrawals or for other reasons, the statistical analysis for the 12 month data from the GATHER1 trial appear to be robust. Descriptions of these sensitivity analyses and their outcomes are summarized below. For a description of the thresholds we used to determine statistical significance on the primary efficacy endpoint, see the paragraph below the tables below under "Primary Efficacy Endpoint Data."</w:t>
      </w:r>
    </w:p>
    <w:p>
      <w:pPr>
        <w:spacing w:after="0" w:line="110" w:lineRule="exact"/>
        <w:rPr>
          <w:sz w:val="20"/>
          <w:szCs w:val="20"/>
          <w:color w:val="auto"/>
        </w:rPr>
      </w:pPr>
    </w:p>
    <w:p>
      <w:pPr>
        <w:ind w:left="660" w:right="20" w:hanging="328"/>
        <w:spacing w:after="0" w:line="25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"shift imputation" approach, in which missing data are imputed, or replaced, by values calculated from similar patients with observed values, plus a defined shift. The analysis is repeated assuming a progressively larger shift with each iteration. The analysis becomes increasingly conservative as the shift increases (because missing values are replaced by worse values than would have been observed, had the values not been missing). The shift is increased until a tipping point is reached and statistical significance is lost. If significance is lost for smaller shift values, the results of the analyses are sensitive to missing data, whereas if significance is lost for larger shift values, the results of the analyses are robust to missing data.</w:t>
      </w:r>
    </w:p>
    <w:p>
      <w:pPr>
        <w:spacing w:after="0" w:line="111"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A shift of at least 0.05 mm in terms of square root of GA growth was required to lose statistical significance for both the Zimura 2 mg and Zimura 4 mg groups. The difference between the Zimura treatment groups and the corresponding sham groups, in terms of mean change of square root of GA growth, was 0.11 mm for the Zimura 2 mg group and 0.12 mm for the Zimura 4 mg group, so a shift of 0.05 mm represents more than 40% of the observed treatment effect, which is large.</w:t>
      </w:r>
    </w:p>
    <w:p>
      <w:pPr>
        <w:spacing w:after="0" w:line="11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Arbitrary imputation approaches, in which missing data are replaced by:</w:t>
      </w:r>
    </w:p>
    <w:p>
      <w:pPr>
        <w:spacing w:after="0" w:line="157" w:lineRule="exact"/>
        <w:rPr>
          <w:rFonts w:ascii="Arial" w:cs="Arial" w:eastAsia="Arial" w:hAnsi="Arial"/>
          <w:sz w:val="18"/>
          <w:szCs w:val="18"/>
          <w:color w:val="auto"/>
        </w:rPr>
      </w:pPr>
    </w:p>
    <w:p>
      <w:pPr>
        <w:ind w:left="980" w:right="140" w:hanging="324"/>
        <w:spacing w:after="0" w:line="277"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mean value of the same treatment group, which seems a reasonable imputation approach since it replaces missing values by the mean of all observed values in the same treatment group;</w:t>
      </w:r>
    </w:p>
    <w:p>
      <w:pPr>
        <w:spacing w:after="0" w:line="89" w:lineRule="exact"/>
        <w:rPr>
          <w:rFonts w:ascii="Arial" w:cs="Arial" w:eastAsia="Arial" w:hAnsi="Arial"/>
          <w:sz w:val="18"/>
          <w:szCs w:val="18"/>
          <w:color w:val="auto"/>
        </w:rPr>
      </w:pPr>
    </w:p>
    <w:p>
      <w:pPr>
        <w:ind w:left="980" w:hanging="324"/>
        <w:spacing w:after="0" w:line="263" w:lineRule="auto"/>
        <w:tabs>
          <w:tab w:leader="none" w:pos="976"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mean value of the comparator treatment group, which is a very conservative approach. If there is a treatment effect, missing values in the sham control group are replaced by better values, on average, from the Zimura treatment group, while missing values in the Zimura treatment group are replaced by worse values, on average, from the sham control group;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mean value of both treatment groups, which is a conservative approach because it assumes no treatment effect for missing values; and</w:t>
      </w:r>
    </w:p>
    <w:p>
      <w:pPr>
        <w:spacing w:after="0" w:line="180" w:lineRule="exact"/>
        <w:rPr>
          <w:rFonts w:ascii="Arial" w:cs="Arial" w:eastAsia="Arial" w:hAnsi="Arial"/>
          <w:sz w:val="16"/>
          <w:szCs w:val="16"/>
          <w:color w:val="auto"/>
        </w:rPr>
      </w:pPr>
    </w:p>
    <w:p>
      <w:pPr>
        <w:ind w:left="980" w:right="400" w:hanging="324"/>
        <w:spacing w:after="0" w:line="277" w:lineRule="auto"/>
        <w:tabs>
          <w:tab w:leader="none" w:pos="9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mean value of the sham control group, which is also a conservative approach because it draws only upon data from the sham control group, which by definition did not have any treatment benefit.</w:t>
      </w:r>
    </w:p>
    <w:p>
      <w:pPr>
        <w:spacing w:after="0" w:line="89" w:lineRule="exact"/>
        <w:rPr>
          <w:sz w:val="20"/>
          <w:szCs w:val="20"/>
          <w:color w:val="auto"/>
        </w:rPr>
      </w:pPr>
    </w:p>
    <w:p>
      <w:pPr>
        <w:ind w:left="660" w:right="920"/>
        <w:spacing w:after="0" w:line="277" w:lineRule="auto"/>
        <w:rPr>
          <w:sz w:val="20"/>
          <w:szCs w:val="20"/>
          <w:color w:val="auto"/>
        </w:rPr>
      </w:pPr>
      <w:r>
        <w:rPr>
          <w:rFonts w:ascii="Arial" w:cs="Arial" w:eastAsia="Arial" w:hAnsi="Arial"/>
          <w:sz w:val="18"/>
          <w:szCs w:val="18"/>
          <w:color w:val="auto"/>
        </w:rPr>
        <w:t>Statistical significance for the reduction in mean rate of GA growth for the Zimura 2 mg and Zimura 4 mg groups as compared to the corresponding sham groups was retained for all arbitrary imputation approaches.</w:t>
      </w:r>
    </w:p>
    <w:p>
      <w:pPr>
        <w:spacing w:after="0" w:line="103" w:lineRule="exact"/>
        <w:rPr>
          <w:sz w:val="20"/>
          <w:szCs w:val="20"/>
          <w:color w:val="auto"/>
        </w:rPr>
      </w:pPr>
    </w:p>
    <w:p>
      <w:pPr>
        <w:ind w:left="660" w:right="3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“pattern mixture model imputation” approach, which is a technically complex model and is especially useful when data are suspected to be missing “not at random”.</w:t>
      </w:r>
    </w:p>
    <w:p>
      <w:pPr>
        <w:spacing w:after="0" w:line="103"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Statistical significance for the reduction in mean rate of GA growth for the Zimura 2 mg and Zimura 4 mg groups as compared to the corresponding sham groups was retained for the pattern mixture model imputation approach, which suggests again that the results of the analyses are robust to missing data, even if these data had been missing not at random.</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our sensitivity analyses, and accounting for the data missing from our data set because of patient withdrawals or for other reasons, we believe the statistical analysis for the 12 month data from the GATHER1 trial is robust.</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Primary Efficacy Endpoint Data</w:t>
      </w:r>
    </w:p>
    <w:p>
      <w:pPr>
        <w:spacing w:after="0" w:line="158" w:lineRule="exact"/>
        <w:rPr>
          <w:sz w:val="20"/>
          <w:szCs w:val="20"/>
          <w:color w:val="auto"/>
        </w:rPr>
      </w:pPr>
    </w:p>
    <w:p>
      <w:pPr>
        <w:ind w:right="20" w:firstLine="177"/>
        <w:spacing w:after="0" w:line="286" w:lineRule="auto"/>
        <w:rPr>
          <w:sz w:val="20"/>
          <w:szCs w:val="20"/>
          <w:color w:val="auto"/>
        </w:rPr>
      </w:pPr>
      <w:r>
        <w:rPr>
          <w:rFonts w:ascii="Arial" w:cs="Arial" w:eastAsia="Arial" w:hAnsi="Arial"/>
          <w:sz w:val="17"/>
          <w:szCs w:val="17"/>
          <w:color w:val="auto"/>
        </w:rPr>
        <w:t>The prespecified primary efficacy endpoint was an anatomic endpoint, the mean change in rate of GA growth over 12 months, as measured by FAF based on readings at three time points: baseline, month 6 and month 12, calculated using the square root transformation of the GA area. The readings were performed by an independent masked reading center. The primary efficacy endpoint data are summarized in the following table:</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Mean Rate of Change in GA Area from Baseline to Month 12</w:t>
      </w:r>
    </w:p>
    <w:p>
      <w:pPr>
        <w:spacing w:after="0" w:line="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(MRM Analysis) (Square Root Transformation)</w:t>
      </w:r>
    </w:p>
    <w:p>
      <w:pPr>
        <w:spacing w:after="0" w:line="15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76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Cohort</w:t>
            </w:r>
          </w:p>
        </w:tc>
        <w:tc>
          <w:tcPr>
            <w:tcW w:w="100" w:type="dxa"/>
            <w:vAlign w:val="bottom"/>
            <w:vMerge w:val="restart"/>
          </w:tcPr>
          <w:p>
            <w:pPr>
              <w:spacing w:after="0"/>
              <w:rPr>
                <w:sz w:val="17"/>
                <w:szCs w:val="17"/>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Zimura 2 mg</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Sham 2 mg</w:t>
            </w:r>
          </w:p>
        </w:tc>
        <w:tc>
          <w:tcPr>
            <w:tcW w:w="142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90"/>
              </w:rPr>
              <w:t>Difference</w:t>
            </w:r>
          </w:p>
        </w:tc>
        <w:tc>
          <w:tcPr>
            <w:tcW w:w="100" w:type="dxa"/>
            <w:vAlign w:val="bottom"/>
            <w:gridSpan w:val="2"/>
            <w:vMerge w:val="restart"/>
          </w:tcPr>
          <w:p>
            <w:pPr>
              <w:spacing w:after="0"/>
              <w:rPr>
                <w:sz w:val="17"/>
                <w:szCs w:val="17"/>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P-value</w:t>
            </w:r>
          </w:p>
        </w:tc>
        <w:tc>
          <w:tcPr>
            <w:tcW w:w="100" w:type="dxa"/>
            <w:vAlign w:val="bottom"/>
            <w:vMerge w:val="restart"/>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(N = 67)</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 = 110)</w:t>
            </w:r>
          </w:p>
        </w:tc>
        <w:tc>
          <w:tcPr>
            <w:tcW w:w="120" w:type="dxa"/>
            <w:vAlign w:val="bottom"/>
            <w:gridSpan w:val="2"/>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142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color w:val="auto"/>
                <w:w w:val="84"/>
              </w:rPr>
              <w:t>0.292</w:t>
            </w:r>
            <w:r>
              <w:rPr>
                <w:rFonts w:ascii="Arial" w:cs="Arial" w:eastAsia="Arial" w:hAnsi="Arial"/>
                <w:sz w:val="23"/>
                <w:szCs w:val="23"/>
                <w:color w:val="auto"/>
                <w:w w:val="84"/>
                <w:vertAlign w:val="superscript"/>
              </w:rPr>
              <w:t>(b)</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color w:val="auto"/>
                <w:w w:val="84"/>
              </w:rPr>
              <w:t>0.402</w:t>
            </w:r>
            <w:r>
              <w:rPr>
                <w:rFonts w:ascii="Arial" w:cs="Arial" w:eastAsia="Arial" w:hAnsi="Arial"/>
                <w:sz w:val="23"/>
                <w:szCs w:val="23"/>
                <w:color w:val="auto"/>
                <w:w w:val="84"/>
                <w:vertAlign w:val="superscript"/>
              </w:rPr>
              <w:t>(b)</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0.11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0.0072</w:t>
            </w:r>
            <w:r>
              <w:rPr>
                <w:rFonts w:ascii="Arial" w:cs="Arial" w:eastAsia="Arial" w:hAnsi="Arial"/>
                <w:sz w:val="23"/>
                <w:szCs w:val="23"/>
                <w:color w:val="auto"/>
                <w:w w:val="87"/>
                <w:vertAlign w:val="superscript"/>
              </w:rPr>
              <w:t>(c)</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27.38%</w:t>
            </w:r>
          </w:p>
        </w:tc>
        <w:tc>
          <w:tcPr>
            <w:tcW w:w="0" w:type="dxa"/>
            <w:vAlign w:val="bottom"/>
          </w:tcPr>
          <w:p>
            <w:pPr>
              <w:spacing w:after="0"/>
              <w:rPr>
                <w:sz w:val="1"/>
                <w:szCs w:val="1"/>
                <w:color w:val="auto"/>
              </w:rPr>
            </w:pPr>
          </w:p>
        </w:tc>
      </w:tr>
      <w:tr>
        <w:trPr>
          <w:trHeight w:val="242"/>
        </w:trPr>
        <w:tc>
          <w:tcPr>
            <w:tcW w:w="276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Cohort</w:t>
            </w:r>
          </w:p>
        </w:tc>
        <w:tc>
          <w:tcPr>
            <w:tcW w:w="100" w:type="dxa"/>
            <w:vAlign w:val="bottom"/>
            <w:vMerge w:val="restart"/>
          </w:tcPr>
          <w:p>
            <w:pPr>
              <w:spacing w:after="0"/>
              <w:rPr>
                <w:sz w:val="21"/>
                <w:szCs w:val="21"/>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Zimura 4 mg</w:t>
            </w:r>
          </w:p>
        </w:tc>
        <w:tc>
          <w:tcPr>
            <w:tcW w:w="15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Sham 4 mg</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00" w:type="dxa"/>
            <w:vAlign w:val="bottom"/>
            <w:gridSpan w:val="2"/>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P-value</w:t>
            </w:r>
          </w:p>
        </w:tc>
        <w:tc>
          <w:tcPr>
            <w:tcW w:w="120" w:type="dxa"/>
            <w:vAlign w:val="bottom"/>
            <w:gridSpan w:val="2"/>
            <w:vMerge w:val="restart"/>
          </w:tcPr>
          <w:p>
            <w:pPr>
              <w:spacing w:after="0"/>
              <w:rPr>
                <w:sz w:val="21"/>
                <w:szCs w:val="21"/>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83)</w:t>
            </w:r>
          </w:p>
        </w:tc>
        <w:tc>
          <w:tcPr>
            <w:tcW w:w="120" w:type="dxa"/>
            <w:vAlign w:val="bottom"/>
            <w:gridSpan w:val="2"/>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0" w:type="dxa"/>
            <w:vAlign w:val="bottom"/>
            <w:gridSpan w:val="2"/>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0.321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0.444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0.124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jc w:val="center"/>
              <w:ind w:right="140"/>
              <w:spacing w:after="0"/>
              <w:rPr>
                <w:sz w:val="20"/>
                <w:szCs w:val="20"/>
                <w:color w:val="auto"/>
              </w:rPr>
            </w:pPr>
            <w:r>
              <w:rPr>
                <w:rFonts w:ascii="Arial" w:cs="Arial" w:eastAsia="Arial" w:hAnsi="Arial"/>
                <w:sz w:val="18"/>
                <w:szCs w:val="18"/>
                <w:color w:val="auto"/>
                <w:w w:val="84"/>
              </w:rPr>
              <w:t>0.0051</w:t>
            </w:r>
            <w:r>
              <w:rPr>
                <w:rFonts w:ascii="Arial" w:cs="Arial" w:eastAsia="Arial" w:hAnsi="Arial"/>
                <w:sz w:val="23"/>
                <w:szCs w:val="23"/>
                <w:color w:val="auto"/>
                <w:w w:val="84"/>
                <w:vertAlign w:val="superscript"/>
              </w:rPr>
              <w:t>(c)</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27.81%</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80" w:hanging="328"/>
        <w:spacing w:after="0"/>
        <w:tabs>
          <w:tab w:leader="none" w:pos="2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220" w:hanging="328"/>
        <w:spacing w:after="0" w:line="241" w:lineRule="auto"/>
        <w:tabs>
          <w:tab w:leader="none" w:pos="2272"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ind w:left="2280" w:hanging="328"/>
        <w:spacing w:after="0"/>
        <w:tabs>
          <w:tab w:leader="none" w:pos="2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Reflects statistically significant p-value; Hochberg procedure was used for significance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177"/>
        <w:spacing w:after="0" w:line="263" w:lineRule="auto"/>
        <w:rPr>
          <w:sz w:val="20"/>
          <w:szCs w:val="20"/>
          <w:color w:val="auto"/>
        </w:rPr>
      </w:pPr>
      <w:r>
        <w:rPr>
          <w:rFonts w:ascii="Arial" w:cs="Arial" w:eastAsia="Arial" w:hAnsi="Arial"/>
          <w:sz w:val="18"/>
          <w:szCs w:val="18"/>
          <w:color w:val="auto"/>
        </w:rPr>
        <w:t>The analysis of the mean change in GA growth for Zimura 2 mg as compared to Sham 2 mg was adjusted for the fact that this dose of Zimura was tested in the two parts of the trial, which had different randomization ratios. The least squares mean changes in GA in Part 1 and Part 2 are shown separately in the following table: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GA Area from Baseline to Month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(Square Root Transformation)</w:t>
      </w:r>
    </w:p>
    <w:p>
      <w:pPr>
        <w:spacing w:after="0" w:line="15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Cohort</w:t>
            </w:r>
          </w:p>
        </w:tc>
        <w:tc>
          <w:tcPr>
            <w:tcW w:w="100" w:type="dxa"/>
            <w:vAlign w:val="bottom"/>
            <w:vMerge w:val="restart"/>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Zimura 2 mg</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13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25)</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2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44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Part 1</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Mean Change in GA</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0.329</w:t>
            </w:r>
          </w:p>
        </w:tc>
        <w:tc>
          <w:tcPr>
            <w:tcW w:w="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0.42249</w:t>
            </w:r>
          </w:p>
        </w:tc>
        <w:tc>
          <w:tcPr>
            <w:tcW w:w="120" w:type="dxa"/>
            <w:vAlign w:val="bottom"/>
          </w:tcPr>
          <w:p>
            <w:pPr>
              <w:spacing w:after="0"/>
              <w:rPr>
                <w:sz w:val="24"/>
                <w:szCs w:val="24"/>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0.093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80" w:hanging="328"/>
        <w:spacing w:after="0"/>
        <w:tabs>
          <w:tab w:leader="none" w:pos="22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23"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1340" w:type="dxa"/>
            <w:vAlign w:val="bottom"/>
            <w:vMerge w:val="restart"/>
          </w:tcPr>
          <w:p>
            <w:pPr>
              <w:ind w:left="40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Zimura 2 mg</w:t>
            </w: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13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42)</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2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1440" w:type="dxa"/>
            <w:vAlign w:val="bottom"/>
            <w:gridSpan w:val="2"/>
          </w:tcPr>
          <w:p>
            <w:pPr>
              <w:ind w:left="320"/>
              <w:spacing w:after="0"/>
              <w:rPr>
                <w:sz w:val="20"/>
                <w:szCs w:val="20"/>
                <w:color w:val="auto"/>
              </w:rPr>
            </w:pPr>
            <w:r>
              <w:rPr>
                <w:rFonts w:ascii="Arial" w:cs="Arial" w:eastAsia="Arial" w:hAnsi="Arial"/>
                <w:sz w:val="16"/>
                <w:szCs w:val="16"/>
                <w:color w:val="auto"/>
              </w:rPr>
              <w:t>Part 2</w:t>
            </w:r>
          </w:p>
        </w:tc>
        <w:tc>
          <w:tcPr>
            <w:tcW w:w="3180" w:type="dxa"/>
            <w:vAlign w:val="bottom"/>
            <w:gridSpan w:val="2"/>
          </w:tcPr>
          <w:p>
            <w:pPr>
              <w:ind w:left="20"/>
              <w:spacing w:after="0"/>
              <w:rPr>
                <w:sz w:val="20"/>
                <w:szCs w:val="20"/>
                <w:color w:val="auto"/>
              </w:rPr>
            </w:pPr>
            <w:r>
              <w:rPr>
                <w:rFonts w:ascii="Arial" w:cs="Arial" w:eastAsia="Arial" w:hAnsi="Arial"/>
                <w:sz w:val="16"/>
                <w:szCs w:val="16"/>
                <w:color w:val="auto"/>
              </w:rPr>
              <w:t>Mean Change in GA</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0.308</w:t>
            </w:r>
          </w:p>
        </w:tc>
        <w:tc>
          <w:tcPr>
            <w:tcW w:w="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0.42245</w:t>
            </w:r>
          </w:p>
        </w:tc>
        <w:tc>
          <w:tcPr>
            <w:tcW w:w="120" w:type="dxa"/>
            <w:vAlign w:val="bottom"/>
          </w:tcPr>
          <w:p>
            <w:pPr>
              <w:spacing w:after="0"/>
              <w:rPr>
                <w:sz w:val="24"/>
                <w:szCs w:val="24"/>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0.114</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280" w:hanging="328"/>
        <w:spacing w:after="0"/>
        <w:tabs>
          <w:tab w:leader="none" w:pos="2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the least squares means from the MRM model.</w:t>
      </w:r>
    </w:p>
    <w:p>
      <w:pPr>
        <w:spacing w:after="0" w:line="140" w:lineRule="exact"/>
        <w:rPr>
          <w:sz w:val="20"/>
          <w:szCs w:val="20"/>
          <w:color w:val="auto"/>
        </w:rPr>
      </w:pPr>
    </w:p>
    <w:p>
      <w:pPr>
        <w:ind w:right="100" w:firstLine="177"/>
        <w:spacing w:after="0" w:line="308" w:lineRule="auto"/>
        <w:rPr>
          <w:sz w:val="20"/>
          <w:szCs w:val="20"/>
          <w:color w:val="auto"/>
        </w:rPr>
      </w:pPr>
      <w:r>
        <w:rPr>
          <w:rFonts w:ascii="Arial" w:cs="Arial" w:eastAsia="Arial" w:hAnsi="Arial"/>
          <w:sz w:val="17"/>
          <w:szCs w:val="17"/>
          <w:color w:val="auto"/>
        </w:rPr>
        <w:t>When the data from the Zimura 2 mg comparisons from each Part of the trial are analyzed using the MRM model, which includes a regression factor by part, the mean difference in GA growth over 12 months between the Zimura 2 mg and sham control groups is 0.110 mm.</w:t>
      </w:r>
    </w:p>
    <w:p>
      <w:pPr>
        <w:spacing w:after="0" w:line="79" w:lineRule="exact"/>
        <w:rPr>
          <w:sz w:val="20"/>
          <w:szCs w:val="20"/>
          <w:color w:val="auto"/>
        </w:rPr>
      </w:pPr>
    </w:p>
    <w:p>
      <w:pPr>
        <w:ind w:firstLine="180"/>
        <w:spacing w:after="0" w:line="270" w:lineRule="auto"/>
        <w:rPr>
          <w:sz w:val="20"/>
          <w:szCs w:val="20"/>
          <w:color w:val="auto"/>
        </w:rPr>
      </w:pPr>
      <w:r>
        <w:rPr>
          <w:rFonts w:ascii="Arial" w:cs="Arial" w:eastAsia="Arial" w:hAnsi="Arial"/>
          <w:sz w:val="17"/>
          <w:szCs w:val="17"/>
          <w:color w:val="auto"/>
        </w:rPr>
        <w:t>Statistical significance is established by performing statistical analysis on a data set to assess the degree to which an observed outcome is likely to be associated with variability in the studied patient population or chance as compared to the impact of the investigational product being studied. A higher degree of statistical significance is associated with a lower p-value. Typically, a two-sided p-value of 0.05 or less represents statistical significance when performing only a single prespecified primary analysis for a single primary endpoint. However, when multiple doses of a drug are tested, a more stringent statistical method that accounts for multiple comparisons must be applied. For this purpose, we used the Hochberg multiple comparison procedure to assess the statistical significance of the results observed in the GATHER1 trial. Under the Hochberg procedure, it is necessary to use a stricter standard for statistical significance (a two-sided p-value of 0.025 or less) for any particular dose. For GATHER1, the results for the primary efficacy endpoint observed for both the Zimura 2 mg and Zimura 4 mg groups, as compared to the corresponding sham group, achieved p-values of 0.0072 and 0.0051, respectively, both of which are less than 0.025, indicating that both results were statistically significant.</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Observed GA Data (non-square root transformation)</w:t>
      </w:r>
    </w:p>
    <w:p>
      <w:pPr>
        <w:spacing w:after="0" w:line="144" w:lineRule="exact"/>
        <w:rPr>
          <w:sz w:val="20"/>
          <w:szCs w:val="20"/>
          <w:color w:val="auto"/>
        </w:rPr>
      </w:pPr>
    </w:p>
    <w:p>
      <w:pPr>
        <w:ind w:right="120" w:firstLine="180"/>
        <w:spacing w:after="0"/>
        <w:rPr>
          <w:sz w:val="20"/>
          <w:szCs w:val="20"/>
          <w:color w:val="auto"/>
        </w:rPr>
      </w:pPr>
      <w:r>
        <w:rPr>
          <w:rFonts w:ascii="Arial" w:cs="Arial" w:eastAsia="Arial" w:hAnsi="Arial"/>
          <w:sz w:val="18"/>
          <w:szCs w:val="18"/>
          <w:color w:val="auto"/>
        </w:rPr>
        <w:t>In addition to analyzing the mean rate of change in GA area at month 12 using the square root transformation of the GA area (measured in millimeters (mm)), we also analyzed the mean rate of change in GA area using the observed GA area (without the square root transformation, measured in square millimeters (mm</w:t>
      </w:r>
      <w:r>
        <w:rPr>
          <w:rFonts w:ascii="Arial" w:cs="Arial" w:eastAsia="Arial" w:hAnsi="Arial"/>
          <w:sz w:val="23"/>
          <w:szCs w:val="23"/>
          <w:color w:val="auto"/>
          <w:vertAlign w:val="superscript"/>
        </w:rPr>
        <w:t>2</w:t>
      </w:r>
      <w:r>
        <w:rPr>
          <w:rFonts w:ascii="Arial" w:cs="Arial" w:eastAsia="Arial" w:hAnsi="Arial"/>
          <w:sz w:val="18"/>
          <w:szCs w:val="18"/>
          <w:color w:val="auto"/>
        </w:rPr>
        <w:t>)), with the MRM model. This descriptive analysis was also part of the prespecified statistical analysis plan for this trial. The observed mean GA area data for the Zimura 2 mg and Zimura 4 mg groups as compared to the corresponding sham control groups are summarized in the following table: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GA Area from Baseline to Month 12</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(Observed)</w:t>
      </w:r>
    </w:p>
    <w:p>
      <w:pPr>
        <w:spacing w:after="0" w:line="140"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76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vMerge w:val="restart"/>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2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Sham 2</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18"/>
                <w:szCs w:val="18"/>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67)</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 = 110)</w:t>
            </w: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1.592</w:t>
            </w:r>
            <w:r>
              <w:rPr>
                <w:rFonts w:ascii="Arial" w:cs="Arial" w:eastAsia="Arial" w:hAnsi="Arial"/>
                <w:sz w:val="23"/>
                <w:szCs w:val="23"/>
                <w:color w:val="auto"/>
                <w:w w:val="84"/>
                <w:vertAlign w:val="superscript"/>
              </w:rPr>
              <w:t>(b)</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2.290</w:t>
            </w:r>
            <w:r>
              <w:rPr>
                <w:rFonts w:ascii="Arial" w:cs="Arial" w:eastAsia="Arial" w:hAnsi="Arial"/>
                <w:sz w:val="23"/>
                <w:szCs w:val="23"/>
                <w:color w:val="auto"/>
                <w:w w:val="84"/>
                <w:vertAlign w:val="superscript"/>
              </w:rPr>
              <w:t>(b)</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0.697</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30.45%</w:t>
            </w:r>
          </w:p>
        </w:tc>
        <w:tc>
          <w:tcPr>
            <w:tcW w:w="0" w:type="dxa"/>
            <w:vAlign w:val="bottom"/>
          </w:tcPr>
          <w:p>
            <w:pPr>
              <w:spacing w:after="0"/>
              <w:rPr>
                <w:sz w:val="1"/>
                <w:szCs w:val="1"/>
                <w:color w:val="auto"/>
              </w:rPr>
            </w:pPr>
          </w:p>
        </w:tc>
      </w:tr>
      <w:tr>
        <w:trPr>
          <w:trHeight w:val="255"/>
        </w:trPr>
        <w:tc>
          <w:tcPr>
            <w:tcW w:w="276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vMerge w:val="restart"/>
          </w:tcPr>
          <w:p>
            <w:pPr>
              <w:spacing w:after="0"/>
              <w:rPr>
                <w:sz w:val="22"/>
                <w:szCs w:val="22"/>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4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Sham</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22"/>
                <w:szCs w:val="22"/>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83)</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2.061</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2.77</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0.709</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25.59%</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80" w:hanging="328"/>
        <w:spacing w:after="0"/>
        <w:tabs>
          <w:tab w:leader="none" w:pos="2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280" w:hanging="328"/>
        <w:spacing w:after="0" w:line="255" w:lineRule="auto"/>
        <w:tabs>
          <w:tab w:leader="none" w:pos="227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Secondary Efficacy Endpoints Data</w:t>
      </w:r>
    </w:p>
    <w:p>
      <w:pPr>
        <w:spacing w:after="0" w:line="171" w:lineRule="exact"/>
        <w:rPr>
          <w:sz w:val="20"/>
          <w:szCs w:val="20"/>
          <w:color w:val="auto"/>
        </w:rPr>
      </w:pPr>
    </w:p>
    <w:p>
      <w:pPr>
        <w:ind w:right="140" w:firstLine="198"/>
        <w:spacing w:after="0" w:line="263" w:lineRule="auto"/>
        <w:rPr>
          <w:sz w:val="20"/>
          <w:szCs w:val="20"/>
          <w:color w:val="auto"/>
        </w:rPr>
      </w:pPr>
      <w:r>
        <w:rPr>
          <w:rFonts w:ascii="Arial" w:cs="Arial" w:eastAsia="Arial" w:hAnsi="Arial"/>
          <w:sz w:val="18"/>
          <w:szCs w:val="18"/>
          <w:color w:val="auto"/>
        </w:rPr>
        <w:t>The prespecified secondary endpoints in this trial were the mean change in BCVA from baseline to month 12 and the mean change in LL BCVA from baseline to month 12, both as measured by ETDRS letters. Testing for visual acuity serves as an important safety assessment to assure that the decrease in visual acuity in the Zimura treatment groups was not different</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the sham control groups. Because we believe that BCVA is not the optimal assessment to evaluate the impact of GA on patients’ functional vision, we included vision in the prespecified statistical analysis as a secondary, and not as a primary, endpoint.</w:t>
      </w:r>
    </w:p>
    <w:p>
      <w:pPr>
        <w:spacing w:after="0" w:line="89" w:lineRule="exact"/>
        <w:rPr>
          <w:sz w:val="20"/>
          <w:szCs w:val="20"/>
          <w:color w:val="auto"/>
        </w:rPr>
      </w:pPr>
    </w:p>
    <w:p>
      <w:pPr>
        <w:ind w:right="280" w:firstLine="177"/>
        <w:spacing w:after="0" w:line="277" w:lineRule="auto"/>
        <w:rPr>
          <w:sz w:val="20"/>
          <w:szCs w:val="20"/>
          <w:color w:val="auto"/>
        </w:rPr>
      </w:pPr>
      <w:r>
        <w:rPr>
          <w:rFonts w:ascii="Arial" w:cs="Arial" w:eastAsia="Arial" w:hAnsi="Arial"/>
          <w:sz w:val="18"/>
          <w:szCs w:val="18"/>
          <w:color w:val="auto"/>
        </w:rPr>
        <w:t>The GATHER1 trial was not designed to reliably assess differences in mean changes in BCVA or LL BCVA with statistical significance. Data for the secondary endpoints are summarized in the following tables: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Change in BCVA from Baseline to Month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(ETDRS letters)</w:t>
      </w:r>
    </w:p>
    <w:p>
      <w:pPr>
        <w:spacing w:after="0" w:line="112"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88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2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6"/>
        </w:trPr>
        <w:tc>
          <w:tcPr>
            <w:tcW w:w="288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67)</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(N = 110)</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0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-7.90</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-9.29</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5"/>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4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4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-3.79</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-3.51</w:t>
            </w:r>
          </w:p>
        </w:tc>
        <w:tc>
          <w:tcPr>
            <w:tcW w:w="100" w:type="dxa"/>
            <w:vAlign w:val="bottom"/>
          </w:tcPr>
          <w:p>
            <w:pPr>
              <w:spacing w:after="0"/>
              <w:rPr>
                <w:sz w:val="23"/>
                <w:szCs w:val="23"/>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300" w:hanging="348"/>
        <w:spacing w:after="0"/>
        <w:tabs>
          <w:tab w:leader="none" w:pos="2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280" w:hanging="328"/>
        <w:spacing w:after="0" w:line="255" w:lineRule="auto"/>
        <w:tabs>
          <w:tab w:leader="none" w:pos="2265"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Change in LL BCVA from Baseline to Month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(ETDRS letters)</w:t>
      </w:r>
    </w:p>
    <w:p>
      <w:pPr>
        <w:spacing w:after="0" w:line="112"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88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2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2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6"/>
        </w:trPr>
        <w:tc>
          <w:tcPr>
            <w:tcW w:w="288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67)</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(N = 110)</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2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0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-1.03</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6"/>
              </w:rPr>
              <w:t>-1.41</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0.38</w:t>
            </w:r>
          </w:p>
        </w:tc>
        <w:tc>
          <w:tcPr>
            <w:tcW w:w="0" w:type="dxa"/>
            <w:vAlign w:val="bottom"/>
          </w:tcPr>
          <w:p>
            <w:pPr>
              <w:spacing w:after="0"/>
              <w:rPr>
                <w:sz w:val="1"/>
                <w:szCs w:val="1"/>
                <w:color w:val="auto"/>
              </w:rPr>
            </w:pPr>
          </w:p>
        </w:tc>
      </w:tr>
      <w:tr>
        <w:trPr>
          <w:trHeight w:val="185"/>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4 mg</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Sham 4 mg</w:t>
            </w:r>
          </w:p>
        </w:tc>
        <w:tc>
          <w:tcPr>
            <w:tcW w:w="142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1.53</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2.97</w:t>
            </w:r>
          </w:p>
        </w:tc>
        <w:tc>
          <w:tcPr>
            <w:tcW w:w="100" w:type="dxa"/>
            <w:vAlign w:val="bottom"/>
          </w:tcPr>
          <w:p>
            <w:pPr>
              <w:spacing w:after="0"/>
              <w:rPr>
                <w:sz w:val="23"/>
                <w:szCs w:val="23"/>
                <w:color w:val="auto"/>
              </w:rPr>
            </w:pPr>
          </w:p>
        </w:tc>
        <w:tc>
          <w:tcPr>
            <w:tcW w:w="1420" w:type="dxa"/>
            <w:vAlign w:val="bottom"/>
          </w:tcPr>
          <w:p>
            <w:pPr>
              <w:jc w:val="right"/>
              <w:ind w:right="45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300" w:hanging="348"/>
        <w:spacing w:after="0"/>
        <w:tabs>
          <w:tab w:leader="none" w:pos="23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20" w:hanging="328"/>
        <w:spacing w:after="0" w:line="255" w:lineRule="auto"/>
        <w:tabs>
          <w:tab w:leader="none" w:pos="21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Zimura 1 mg 12-Month Efficacy Data</w:t>
      </w:r>
    </w:p>
    <w:p>
      <w:pPr>
        <w:spacing w:after="0" w:line="158" w:lineRule="exact"/>
        <w:rPr>
          <w:sz w:val="20"/>
          <w:szCs w:val="20"/>
          <w:color w:val="auto"/>
        </w:rPr>
      </w:pPr>
    </w:p>
    <w:p>
      <w:pPr>
        <w:ind w:right="40" w:firstLine="180"/>
        <w:spacing w:after="0" w:line="257" w:lineRule="auto"/>
        <w:rPr>
          <w:sz w:val="20"/>
          <w:szCs w:val="20"/>
          <w:color w:val="auto"/>
        </w:rPr>
      </w:pPr>
      <w:r>
        <w:rPr>
          <w:rFonts w:ascii="Arial" w:cs="Arial" w:eastAsia="Arial" w:hAnsi="Arial"/>
          <w:sz w:val="18"/>
          <w:szCs w:val="18"/>
          <w:color w:val="auto"/>
        </w:rPr>
        <w:t>Efficacy data from patients receiving Zimura 1 mg was not part of the prespecified statistical analysis. The total number of patients randomized to the Zimura 1 mg group (26 patients) is relatively small, and the trial was not powered to reliably assess differences in outcomes for these patients as compared to patients in the sham control group in Part 1 (26 patients). However, we performed descriptive analyses on the 12 month data for patients in the Zimura 1 mg as compared to the patients in the sham control group in Part 1 of the trial to aid our assessment of whether a dose response relationship was present across treatment groups included in the clinical trial.</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 area data for the Zimura 1 mg group and the sham group from Part 1 of the trial are summarized in the following tables: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GA Area (mm) and Mean Percentage Change from Baseline to Month 12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(Square Root Transformation)</w:t>
      </w:r>
    </w:p>
    <w:p>
      <w:pPr>
        <w:spacing w:after="0" w:line="112"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000" w:type="dxa"/>
            <w:vAlign w:val="bottom"/>
            <w:vMerge w:val="restart"/>
          </w:tcPr>
          <w:p>
            <w:pPr>
              <w:ind w:left="17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1 mg</w:t>
            </w:r>
          </w:p>
        </w:tc>
        <w:tc>
          <w:tcPr>
            <w:tcW w:w="1660" w:type="dxa"/>
            <w:vAlign w:val="bottom"/>
          </w:tcPr>
          <w:p>
            <w:pPr>
              <w:jc w:val="center"/>
              <w:spacing w:after="0"/>
              <w:rPr>
                <w:sz w:val="20"/>
                <w:szCs w:val="20"/>
                <w:color w:val="auto"/>
              </w:rPr>
            </w:pPr>
            <w:r>
              <w:rPr>
                <w:rFonts w:ascii="Arial" w:cs="Arial" w:eastAsia="Arial" w:hAnsi="Arial"/>
                <w:sz w:val="16"/>
                <w:szCs w:val="16"/>
                <w:color w:val="auto"/>
                <w:w w:val="87"/>
              </w:rPr>
              <w:t>Sham Part 1</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0" w:type="dxa"/>
            <w:vAlign w:val="bottom"/>
          </w:tcPr>
          <w:p>
            <w:pPr>
              <w:spacing w:after="0"/>
              <w:rPr>
                <w:sz w:val="1"/>
                <w:szCs w:val="1"/>
                <w:color w:val="auto"/>
              </w:rPr>
            </w:pPr>
          </w:p>
        </w:tc>
      </w:tr>
      <w:tr>
        <w:trPr>
          <w:trHeight w:val="20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BL, mm (SD)</w:t>
            </w: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2.591 (0.827)</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2.623 (0.687)</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M12, mm (SD)</w:t>
            </w: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3.055 (0.604)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3.021 (0.722)</w:t>
            </w:r>
          </w:p>
        </w:tc>
        <w:tc>
          <w:tcPr>
            <w:tcW w:w="0" w:type="dxa"/>
            <w:vAlign w:val="bottom"/>
          </w:tcPr>
          <w:p>
            <w:pPr>
              <w:spacing w:after="0"/>
              <w:rPr>
                <w:sz w:val="1"/>
                <w:szCs w:val="1"/>
                <w:color w:val="auto"/>
              </w:rPr>
            </w:pPr>
          </w:p>
        </w:tc>
      </w:tr>
      <w:tr>
        <w:trPr>
          <w:trHeight w:val="215"/>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Difference</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0.464</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0.398</w:t>
            </w:r>
          </w:p>
        </w:tc>
        <w:tc>
          <w:tcPr>
            <w:tcW w:w="0" w:type="dxa"/>
            <w:vAlign w:val="bottom"/>
          </w:tcPr>
          <w:p>
            <w:pPr>
              <w:spacing w:after="0"/>
              <w:rPr>
                <w:sz w:val="1"/>
                <w:szCs w:val="1"/>
                <w:color w:val="auto"/>
              </w:rPr>
            </w:pPr>
          </w:p>
        </w:tc>
      </w:tr>
      <w:tr>
        <w:trPr>
          <w:trHeight w:val="273"/>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 Change</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(SD)</w:t>
            </w:r>
          </w:p>
        </w:tc>
        <w:tc>
          <w:tcPr>
            <w:tcW w:w="1640" w:type="dxa"/>
            <w:vAlign w:val="bottom"/>
          </w:tcPr>
          <w:p>
            <w:pPr>
              <w:jc w:val="center"/>
              <w:spacing w:after="0"/>
              <w:rPr>
                <w:sz w:val="20"/>
                <w:szCs w:val="20"/>
                <w:color w:val="auto"/>
              </w:rPr>
            </w:pPr>
            <w:r>
              <w:rPr>
                <w:rFonts w:ascii="Arial" w:cs="Arial" w:eastAsia="Arial" w:hAnsi="Arial"/>
                <w:sz w:val="16"/>
                <w:szCs w:val="16"/>
                <w:color w:val="auto"/>
                <w:w w:val="94"/>
              </w:rPr>
              <w:t>14.48% (8.2%)</w:t>
            </w:r>
          </w:p>
        </w:tc>
        <w:tc>
          <w:tcPr>
            <w:tcW w:w="100" w:type="dxa"/>
            <w:vAlign w:val="bottom"/>
          </w:tcPr>
          <w:p>
            <w:pPr>
              <w:spacing w:after="0"/>
              <w:rPr>
                <w:sz w:val="23"/>
                <w:szCs w:val="23"/>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16.49% (7.2%)</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BL = Baseline; M12 = Month 12</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(a) Mean % Change in GA area is an average of the percentage change in GA area observed for each patient.</w:t>
      </w:r>
    </w:p>
    <w:p>
      <w:pPr>
        <w:spacing w:after="0" w:line="142" w:lineRule="exact"/>
        <w:rPr>
          <w:sz w:val="20"/>
          <w:szCs w:val="20"/>
          <w:color w:val="auto"/>
        </w:rPr>
      </w:pPr>
    </w:p>
    <w:p>
      <w:pPr>
        <w:ind w:right="60" w:firstLine="170"/>
        <w:spacing w:after="0" w:line="277" w:lineRule="auto"/>
        <w:rPr>
          <w:sz w:val="20"/>
          <w:szCs w:val="20"/>
          <w:color w:val="auto"/>
        </w:rPr>
      </w:pPr>
      <w:r>
        <w:rPr>
          <w:rFonts w:ascii="Arial" w:cs="Arial" w:eastAsia="Arial" w:hAnsi="Arial"/>
          <w:sz w:val="18"/>
          <w:szCs w:val="18"/>
          <w:color w:val="auto"/>
        </w:rPr>
        <w:t>Although the sample size for the Zimura 1 mg group is small, we believe the apparent reduction in mean percentage change in GA area from baseline to month 12 in the Zimura 1 mg group as compared to the sham control group in Part 1, when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combined with the statistically significant results observed for the primary efficacy endpoint for the Zimura 2 mg and Zimura 4 mg groups as compared to their corresponding sham control groups, suggest a potential dose response relationship across treatment groups.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18-Month Data</w:t>
      </w:r>
    </w:p>
    <w:p>
      <w:pPr>
        <w:spacing w:after="0" w:line="144" w:lineRule="exact"/>
        <w:rPr>
          <w:sz w:val="20"/>
          <w:szCs w:val="20"/>
          <w:color w:val="auto"/>
        </w:rPr>
      </w:pPr>
    </w:p>
    <w:p>
      <w:pPr>
        <w:ind w:firstLine="177"/>
        <w:spacing w:after="0" w:line="255" w:lineRule="auto"/>
        <w:rPr>
          <w:sz w:val="20"/>
          <w:szCs w:val="20"/>
          <w:color w:val="auto"/>
        </w:rPr>
      </w:pPr>
      <w:r>
        <w:rPr>
          <w:rFonts w:ascii="Arial" w:cs="Arial" w:eastAsia="Arial" w:hAnsi="Arial"/>
          <w:sz w:val="18"/>
          <w:szCs w:val="18"/>
          <w:color w:val="auto"/>
        </w:rPr>
        <w:t>The primary purpose of the 18 month time point was to gather additional safety data. This trial was not designed to assess, and the prespecified statistical analysis plan for the trial did not include assessing, the statistical significance of the 18 month efficacy data for the treatment groups as compared to the corresponding sham control groups. The reduction in the mean rate of GA growth over 18 months was 28.11% for the Zimura 2 mg group as compared to the corresponding sham control group and 29.97% for the Zimura 4 mg group as compared to the corresponding sham control group. The descriptive p-values for the treatment effects at month 18 were p=0.0014 for the Zimura 2 mg group and p=0.0021 for the Zimura 4 mg group. The analysis of the 18-month efficacy data is descriptive only.</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 Growth Data over 18 Months</w:t>
      </w:r>
    </w:p>
    <w:p>
      <w:pPr>
        <w:spacing w:after="0" w:line="15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mean rate of change in GA growth over 18 months was measured by FAF based on readings at four time points (baseline, month 6, month 12 and month 18) and was calculated using the square root transformation of the GA area. The FAF images were assessed by an independent masked reading center. The prespecified statistical analysis plan used MRM to compare data for the Zimura 2 mg and Zimura 4 mg groups to the corresponding sham groups. Detailed data are shown below (the p-values for the 18 month statistical analyses are descriptive in nature):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Geographic Atrophy (GA) Area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(Square Root Transformation)</w:t>
      </w:r>
    </w:p>
    <w:p>
      <w:pPr>
        <w:spacing w:after="0" w:line="86"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Cohort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Zimura 2 mg</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9"/>
              </w:rPr>
              <w:t>Sham</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P-Value</w:t>
            </w:r>
          </w:p>
        </w:tc>
        <w:tc>
          <w:tcPr>
            <w:tcW w:w="0" w:type="dxa"/>
            <w:vAlign w:val="bottom"/>
          </w:tcPr>
          <w:p>
            <w:pPr>
              <w:spacing w:after="0"/>
              <w:rPr>
                <w:sz w:val="1"/>
                <w:szCs w:val="1"/>
                <w:color w:val="auto"/>
              </w:rPr>
            </w:pPr>
          </w:p>
        </w:tc>
      </w:tr>
      <w:tr>
        <w:trPr>
          <w:trHeight w:val="135"/>
        </w:trPr>
        <w:tc>
          <w:tcPr>
            <w:tcW w:w="2600" w:type="dxa"/>
            <w:vAlign w:val="bottom"/>
            <w:vMerge w:val="continue"/>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 = 67)</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(N = 110)</w:t>
            </w:r>
          </w:p>
        </w:tc>
        <w:tc>
          <w:tcPr>
            <w:tcW w:w="14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(Descriptive)</w:t>
            </w:r>
          </w:p>
        </w:tc>
        <w:tc>
          <w:tcPr>
            <w:tcW w:w="0" w:type="dxa"/>
            <w:vAlign w:val="bottom"/>
          </w:tcPr>
          <w:p>
            <w:pPr>
              <w:spacing w:after="0"/>
              <w:rPr>
                <w:sz w:val="1"/>
                <w:szCs w:val="1"/>
                <w:color w:val="auto"/>
              </w:rPr>
            </w:pPr>
          </w:p>
        </w:tc>
      </w:tr>
      <w:tr>
        <w:trPr>
          <w:trHeight w:val="94"/>
        </w:trPr>
        <w:tc>
          <w:tcPr>
            <w:tcW w:w="26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vMerge w:val="continue"/>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2600" w:type="dxa"/>
            <w:vAlign w:val="bottom"/>
          </w:tcPr>
          <w:p>
            <w:pPr>
              <w:jc w:val="center"/>
              <w:spacing w:after="0"/>
              <w:rPr>
                <w:sz w:val="20"/>
                <w:szCs w:val="20"/>
                <w:color w:val="auto"/>
              </w:rPr>
            </w:pPr>
            <w:r>
              <w:rPr>
                <w:rFonts w:ascii="Arial" w:cs="Arial" w:eastAsia="Arial" w:hAnsi="Arial"/>
                <w:sz w:val="18"/>
                <w:szCs w:val="18"/>
                <w:color w:val="auto"/>
                <w:w w:val="90"/>
              </w:rPr>
              <w:t>Mean Change in GA</w:t>
            </w:r>
            <w:r>
              <w:rPr>
                <w:rFonts w:ascii="Arial" w:cs="Arial" w:eastAsia="Arial" w:hAnsi="Arial"/>
                <w:sz w:val="23"/>
                <w:szCs w:val="23"/>
                <w:color w:val="auto"/>
                <w:w w:val="90"/>
                <w:vertAlign w:val="superscript"/>
              </w:rPr>
              <w:t>(a)</w:t>
            </w:r>
            <w:r>
              <w:rPr>
                <w:rFonts w:ascii="Arial" w:cs="Arial" w:eastAsia="Arial" w:hAnsi="Arial"/>
                <w:sz w:val="18"/>
                <w:szCs w:val="18"/>
                <w:color w:val="auto"/>
                <w:w w:val="90"/>
              </w:rPr>
              <w:t xml:space="preserve"> (mm)</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0.430</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0.599</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0.168</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28.11%</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0.0014</w:t>
            </w:r>
          </w:p>
        </w:tc>
        <w:tc>
          <w:tcPr>
            <w:tcW w:w="0" w:type="dxa"/>
            <w:vAlign w:val="bottom"/>
          </w:tcPr>
          <w:p>
            <w:pPr>
              <w:spacing w:after="0"/>
              <w:rPr>
                <w:sz w:val="1"/>
                <w:szCs w:val="1"/>
                <w:color w:val="auto"/>
              </w:rPr>
            </w:pPr>
          </w:p>
        </w:tc>
      </w:tr>
      <w:tr>
        <w:trPr>
          <w:trHeight w:val="201"/>
        </w:trPr>
        <w:tc>
          <w:tcPr>
            <w:tcW w:w="2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Cohort</w:t>
            </w:r>
          </w:p>
        </w:tc>
        <w:tc>
          <w:tcPr>
            <w:tcW w:w="16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3"/>
              </w:rPr>
              <w:t>Zimura 4 mg</w:t>
            </w:r>
          </w:p>
        </w:tc>
        <w:tc>
          <w:tcPr>
            <w:tcW w:w="14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Sham</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15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0"/>
              </w:rPr>
              <w:t>P-Value</w:t>
            </w:r>
          </w:p>
        </w:tc>
        <w:tc>
          <w:tcPr>
            <w:tcW w:w="0" w:type="dxa"/>
            <w:vAlign w:val="bottom"/>
          </w:tcPr>
          <w:p>
            <w:pPr>
              <w:spacing w:after="0"/>
              <w:rPr>
                <w:sz w:val="1"/>
                <w:szCs w:val="1"/>
                <w:color w:val="auto"/>
              </w:rPr>
            </w:pPr>
          </w:p>
        </w:tc>
      </w:tr>
      <w:tr>
        <w:trPr>
          <w:trHeight w:val="135"/>
        </w:trPr>
        <w:tc>
          <w:tcPr>
            <w:tcW w:w="2600" w:type="dxa"/>
            <w:vAlign w:val="bottom"/>
            <w:vMerge w:val="continue"/>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 = 83)</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 = 84)</w:t>
            </w:r>
          </w:p>
        </w:tc>
        <w:tc>
          <w:tcPr>
            <w:tcW w:w="14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(Descriptive)</w:t>
            </w:r>
          </w:p>
        </w:tc>
        <w:tc>
          <w:tcPr>
            <w:tcW w:w="0" w:type="dxa"/>
            <w:vAlign w:val="bottom"/>
          </w:tcPr>
          <w:p>
            <w:pPr>
              <w:spacing w:after="0"/>
              <w:rPr>
                <w:sz w:val="1"/>
                <w:szCs w:val="1"/>
                <w:color w:val="auto"/>
              </w:rPr>
            </w:pPr>
          </w:p>
        </w:tc>
      </w:tr>
      <w:tr>
        <w:trPr>
          <w:trHeight w:val="94"/>
        </w:trPr>
        <w:tc>
          <w:tcPr>
            <w:tcW w:w="26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vMerge w:val="continue"/>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2600" w:type="dxa"/>
            <w:vAlign w:val="bottom"/>
          </w:tcPr>
          <w:p>
            <w:pPr>
              <w:jc w:val="center"/>
              <w:spacing w:after="0"/>
              <w:rPr>
                <w:sz w:val="20"/>
                <w:szCs w:val="20"/>
                <w:color w:val="auto"/>
              </w:rPr>
            </w:pPr>
            <w:r>
              <w:rPr>
                <w:rFonts w:ascii="Arial" w:cs="Arial" w:eastAsia="Arial" w:hAnsi="Arial"/>
                <w:sz w:val="18"/>
                <w:szCs w:val="18"/>
                <w:color w:val="auto"/>
                <w:w w:val="90"/>
              </w:rPr>
              <w:t>Mean Change in GA</w:t>
            </w:r>
            <w:r>
              <w:rPr>
                <w:rFonts w:ascii="Arial" w:cs="Arial" w:eastAsia="Arial" w:hAnsi="Arial"/>
                <w:sz w:val="23"/>
                <w:szCs w:val="23"/>
                <w:color w:val="auto"/>
                <w:w w:val="90"/>
                <w:vertAlign w:val="superscript"/>
              </w:rPr>
              <w:t>(b)</w:t>
            </w:r>
            <w:r>
              <w:rPr>
                <w:rFonts w:ascii="Arial" w:cs="Arial" w:eastAsia="Arial" w:hAnsi="Arial"/>
                <w:sz w:val="18"/>
                <w:szCs w:val="18"/>
                <w:color w:val="auto"/>
                <w:w w:val="90"/>
              </w:rPr>
              <w:t xml:space="preserve"> (mm)</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0.391</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0.559</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0.167</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29.97%</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0.0021</w:t>
            </w:r>
          </w:p>
        </w:tc>
        <w:tc>
          <w:tcPr>
            <w:tcW w:w="0" w:type="dxa"/>
            <w:vAlign w:val="bottom"/>
          </w:tcPr>
          <w:p>
            <w:pPr>
              <w:spacing w:after="0"/>
              <w:rPr>
                <w:sz w:val="1"/>
                <w:szCs w:val="1"/>
                <w:color w:val="auto"/>
              </w:rPr>
            </w:pPr>
          </w:p>
        </w:tc>
      </w:tr>
    </w:tbl>
    <w:p>
      <w:pPr>
        <w:spacing w:after="0" w:line="385" w:lineRule="exact"/>
        <w:rPr>
          <w:sz w:val="20"/>
          <w:szCs w:val="20"/>
          <w:color w:val="auto"/>
        </w:rPr>
      </w:pPr>
    </w:p>
    <w:p>
      <w:pPr>
        <w:ind w:left="2280" w:right="520" w:hanging="328"/>
        <w:spacing w:after="0" w:line="250" w:lineRule="auto"/>
        <w:tabs>
          <w:tab w:leader="none" w:pos="2152"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least squares means from MRM model, drawing on all available data at the month 18 time point, including data from groups with different randomization ratios in Part 1 and Part 2, and should not be interpreted as directly observed data.</w:t>
      </w:r>
    </w:p>
    <w:p>
      <w:pPr>
        <w:ind w:left="2160" w:hanging="208"/>
        <w:spacing w:after="0"/>
        <w:tabs>
          <w:tab w:leader="none" w:pos="21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These least squares means are estimates of the MRM model, drawing on all available data, at the month 18 time point.</w:t>
      </w:r>
    </w:p>
    <w:p>
      <w:pPr>
        <w:spacing w:after="0" w:line="23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graphs below illustrate the difference in mean rate of GA growth between each of the Zimura 2 mg and Zimura 4 mg treatment groups and their corresponding sham control groups based on the MRM analysis at both 12 months and 18 months.</w:t>
      </w:r>
    </w:p>
    <w:p>
      <w:pPr>
        <w:spacing w:after="0" w:line="35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120" w:type="dxa"/>
            <w:vAlign w:val="bottom"/>
          </w:tcPr>
          <w:p>
            <w:pPr>
              <w:jc w:val="center"/>
              <w:ind w:right="530"/>
              <w:spacing w:after="0"/>
              <w:rPr>
                <w:sz w:val="20"/>
                <w:szCs w:val="20"/>
                <w:color w:val="auto"/>
              </w:rPr>
            </w:pPr>
            <w:r>
              <w:rPr>
                <w:rFonts w:ascii="Arial" w:cs="Arial" w:eastAsia="Arial" w:hAnsi="Arial"/>
                <w:sz w:val="18"/>
                <w:szCs w:val="18"/>
                <w:b w:val="1"/>
                <w:bCs w:val="1"/>
                <w:color w:val="auto"/>
                <w:w w:val="93"/>
              </w:rPr>
              <w:t>Primary Efficacy Endpoint Met at 12 Months</w:t>
            </w:r>
          </w:p>
        </w:tc>
        <w:tc>
          <w:tcPr>
            <w:tcW w:w="372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Decrease in GA Growth Over 18 Months</w:t>
            </w:r>
          </w:p>
        </w:tc>
      </w:tr>
      <w:tr>
        <w:trPr>
          <w:trHeight w:val="270"/>
        </w:trPr>
        <w:tc>
          <w:tcPr>
            <w:tcW w:w="4120" w:type="dxa"/>
            <w:vAlign w:val="bottom"/>
          </w:tcPr>
          <w:p>
            <w:pPr>
              <w:jc w:val="center"/>
              <w:ind w:right="510"/>
              <w:spacing w:after="0"/>
              <w:rPr>
                <w:sz w:val="20"/>
                <w:szCs w:val="20"/>
                <w:color w:val="auto"/>
              </w:rPr>
            </w:pPr>
            <w:r>
              <w:rPr>
                <w:rFonts w:ascii="Arial" w:cs="Arial" w:eastAsia="Arial" w:hAnsi="Arial"/>
                <w:sz w:val="18"/>
                <w:szCs w:val="18"/>
                <w:color w:val="auto"/>
                <w:w w:val="90"/>
              </w:rPr>
              <w:t>Zimura 2 mg vs Sham</w:t>
            </w:r>
          </w:p>
        </w:tc>
        <w:tc>
          <w:tcPr>
            <w:tcW w:w="3720" w:type="dxa"/>
            <w:vAlign w:val="bottom"/>
          </w:tcPr>
          <w:p>
            <w:pPr>
              <w:jc w:val="center"/>
              <w:ind w:left="510"/>
              <w:spacing w:after="0"/>
              <w:rPr>
                <w:sz w:val="20"/>
                <w:szCs w:val="20"/>
                <w:color w:val="auto"/>
              </w:rPr>
            </w:pPr>
            <w:r>
              <w:rPr>
                <w:rFonts w:ascii="Arial" w:cs="Arial" w:eastAsia="Arial" w:hAnsi="Arial"/>
                <w:sz w:val="18"/>
                <w:szCs w:val="18"/>
                <w:color w:val="auto"/>
                <w:w w:val="90"/>
              </w:rPr>
              <w:t>Zimura 2 mg vs Sham</w:t>
            </w:r>
          </w:p>
        </w:tc>
      </w:tr>
      <w:tr>
        <w:trPr>
          <w:trHeight w:val="270"/>
        </w:trPr>
        <w:tc>
          <w:tcPr>
            <w:tcW w:w="4120" w:type="dxa"/>
            <w:vAlign w:val="bottom"/>
          </w:tcPr>
          <w:p>
            <w:pPr>
              <w:jc w:val="center"/>
              <w:ind w:right="510"/>
              <w:spacing w:after="0"/>
              <w:rPr>
                <w:sz w:val="20"/>
                <w:szCs w:val="20"/>
                <w:color w:val="auto"/>
              </w:rPr>
            </w:pPr>
            <w:r>
              <w:rPr>
                <w:rFonts w:ascii="Arial" w:cs="Arial" w:eastAsia="Arial" w:hAnsi="Arial"/>
                <w:sz w:val="18"/>
                <w:szCs w:val="18"/>
                <w:color w:val="auto"/>
                <w:w w:val="90"/>
              </w:rPr>
              <w:t>(Square Root Transformation)</w:t>
            </w:r>
          </w:p>
        </w:tc>
        <w:tc>
          <w:tcPr>
            <w:tcW w:w="3720" w:type="dxa"/>
            <w:vAlign w:val="bottom"/>
          </w:tcPr>
          <w:p>
            <w:pPr>
              <w:jc w:val="center"/>
              <w:ind w:left="510"/>
              <w:spacing w:after="0"/>
              <w:rPr>
                <w:sz w:val="20"/>
                <w:szCs w:val="20"/>
                <w:color w:val="auto"/>
              </w:rPr>
            </w:pPr>
            <w:r>
              <w:rPr>
                <w:rFonts w:ascii="Arial" w:cs="Arial" w:eastAsia="Arial" w:hAnsi="Arial"/>
                <w:sz w:val="18"/>
                <w:szCs w:val="18"/>
                <w:color w:val="auto"/>
                <w:w w:val="90"/>
              </w:rPr>
              <w:t>(Square Root Transformation)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829300" cy="1448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930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312" w:lineRule="auto"/>
        <w:rPr>
          <w:sz w:val="20"/>
          <w:szCs w:val="20"/>
          <w:color w:val="auto"/>
        </w:rPr>
      </w:pPr>
      <w:r>
        <w:rPr>
          <w:rFonts w:ascii="Arial" w:cs="Arial" w:eastAsia="Arial" w:hAnsi="Arial"/>
          <w:sz w:val="13"/>
          <w:szCs w:val="13"/>
          <w:color w:val="auto"/>
        </w:rPr>
        <w:t>ITT Population; Based on the least squares means from MRM model drawing on all available data at the respective 12 month and 18 month analysis time points, including data from groups with different randomization ratios in Part 1 and Part 2, and should not be interpreted as directly observed data; Hochberg procedure used for significance testing for 12 month data.</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600" w:type="dxa"/>
        <w:tblCellMar>
          <w:top w:w="0" w:type="dxa"/>
          <w:left w:w="0" w:type="dxa"/>
          <w:bottom w:w="0" w:type="dxa"/>
          <w:right w:w="0" w:type="dxa"/>
        </w:tblCellMar>
      </w:tblPr>
      <w:tr>
        <w:trPr>
          <w:trHeight w:val="234"/>
        </w:trPr>
        <w:tc>
          <w:tcPr>
            <w:tcW w:w="410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Primary Efficacy Endpoint Met at 12 Months</w:t>
            </w:r>
          </w:p>
        </w:tc>
        <w:tc>
          <w:tcPr>
            <w:tcW w:w="37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Decrease in GA Growth Over 18 Months</w:t>
            </w:r>
          </w:p>
        </w:tc>
      </w:tr>
      <w:tr>
        <w:trPr>
          <w:trHeight w:val="270"/>
        </w:trPr>
        <w:tc>
          <w:tcPr>
            <w:tcW w:w="4100" w:type="dxa"/>
            <w:vAlign w:val="bottom"/>
          </w:tcPr>
          <w:p>
            <w:pPr>
              <w:jc w:val="center"/>
              <w:ind w:right="490"/>
              <w:spacing w:after="0"/>
              <w:rPr>
                <w:sz w:val="20"/>
                <w:szCs w:val="20"/>
                <w:color w:val="auto"/>
              </w:rPr>
            </w:pPr>
            <w:r>
              <w:rPr>
                <w:rFonts w:ascii="Arial" w:cs="Arial" w:eastAsia="Arial" w:hAnsi="Arial"/>
                <w:sz w:val="18"/>
                <w:szCs w:val="18"/>
                <w:color w:val="auto"/>
                <w:w w:val="90"/>
              </w:rPr>
              <w:t>Zimura 4 mg vs Sham</w:t>
            </w:r>
          </w:p>
        </w:tc>
        <w:tc>
          <w:tcPr>
            <w:tcW w:w="3740" w:type="dxa"/>
            <w:vAlign w:val="bottom"/>
          </w:tcPr>
          <w:p>
            <w:pPr>
              <w:jc w:val="center"/>
              <w:ind w:left="530"/>
              <w:spacing w:after="0"/>
              <w:rPr>
                <w:sz w:val="20"/>
                <w:szCs w:val="20"/>
                <w:color w:val="auto"/>
              </w:rPr>
            </w:pPr>
            <w:r>
              <w:rPr>
                <w:rFonts w:ascii="Arial" w:cs="Arial" w:eastAsia="Arial" w:hAnsi="Arial"/>
                <w:sz w:val="18"/>
                <w:szCs w:val="18"/>
                <w:color w:val="auto"/>
                <w:w w:val="90"/>
              </w:rPr>
              <w:t>Zimura 4 mg vs Sham</w:t>
            </w:r>
          </w:p>
        </w:tc>
      </w:tr>
      <w:tr>
        <w:trPr>
          <w:trHeight w:val="270"/>
        </w:trPr>
        <w:tc>
          <w:tcPr>
            <w:tcW w:w="4100" w:type="dxa"/>
            <w:vAlign w:val="bottom"/>
          </w:tcPr>
          <w:p>
            <w:pPr>
              <w:jc w:val="center"/>
              <w:ind w:right="510"/>
              <w:spacing w:after="0"/>
              <w:rPr>
                <w:sz w:val="20"/>
                <w:szCs w:val="20"/>
                <w:color w:val="auto"/>
              </w:rPr>
            </w:pPr>
            <w:r>
              <w:rPr>
                <w:rFonts w:ascii="Arial" w:cs="Arial" w:eastAsia="Arial" w:hAnsi="Arial"/>
                <w:sz w:val="18"/>
                <w:szCs w:val="18"/>
                <w:color w:val="auto"/>
                <w:w w:val="91"/>
              </w:rPr>
              <w:t>(Square Root Transformation)</w:t>
            </w:r>
          </w:p>
        </w:tc>
        <w:tc>
          <w:tcPr>
            <w:tcW w:w="3740" w:type="dxa"/>
            <w:vAlign w:val="bottom"/>
          </w:tcPr>
          <w:p>
            <w:pPr>
              <w:jc w:val="center"/>
              <w:ind w:left="530"/>
              <w:spacing w:after="0"/>
              <w:rPr>
                <w:sz w:val="20"/>
                <w:szCs w:val="20"/>
                <w:color w:val="auto"/>
              </w:rPr>
            </w:pPr>
            <w:r>
              <w:rPr>
                <w:rFonts w:ascii="Arial" w:cs="Arial" w:eastAsia="Arial" w:hAnsi="Arial"/>
                <w:sz w:val="18"/>
                <w:szCs w:val="18"/>
                <w:color w:val="auto"/>
                <w:w w:val="90"/>
              </w:rPr>
              <w:t>(Square Root Transformation)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589270" cy="1320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927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ITT Population; Based on the least squares means from the MRM model drawing on all available data at the respective 12 month and 18 month analysis time points; Hochberg procedure used for significance testing for 12 months data.</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18-Month Zimura 2 mg GA Data by Part</w:t>
      </w:r>
    </w:p>
    <w:p>
      <w:pPr>
        <w:spacing w:after="0" w:line="252" w:lineRule="exact"/>
        <w:rPr>
          <w:sz w:val="20"/>
          <w:szCs w:val="20"/>
          <w:color w:val="auto"/>
        </w:rPr>
      </w:pPr>
    </w:p>
    <w:p>
      <w:pPr>
        <w:ind w:right="80" w:firstLine="180"/>
        <w:spacing w:after="0" w:line="263" w:lineRule="auto"/>
        <w:rPr>
          <w:sz w:val="20"/>
          <w:szCs w:val="20"/>
          <w:color w:val="auto"/>
        </w:rPr>
      </w:pPr>
      <w:r>
        <w:rPr>
          <w:rFonts w:ascii="Arial" w:cs="Arial" w:eastAsia="Arial" w:hAnsi="Arial"/>
          <w:sz w:val="18"/>
          <w:szCs w:val="18"/>
          <w:color w:val="auto"/>
        </w:rPr>
        <w:t>Consistent with the analysis performed at 12 months, the analysis of the mean change in GA growth for Zimura 2 mg as compared to the corresponding sham control group over 18 months was adjusted for the fact that this dose of Zimura was tested in both Part 1 and Part 2 of the trial, each of which had different randomization ratios.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least squares mean changes in GA in Part 1 and Part 2 at month 18 are shown separately in the following table: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GA Area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(Square Root Transformation)</w:t>
      </w:r>
    </w:p>
    <w:p>
      <w:pPr>
        <w:spacing w:after="0" w:line="12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Cohort</w:t>
            </w:r>
          </w:p>
        </w:tc>
        <w:tc>
          <w:tcPr>
            <w:tcW w:w="1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2 mg</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Sham</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18"/>
                <w:szCs w:val="18"/>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25)</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26)</w:t>
            </w:r>
          </w:p>
        </w:tc>
        <w:tc>
          <w:tcPr>
            <w:tcW w:w="120" w:type="dxa"/>
            <w:vAlign w:val="bottom"/>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Part 1</w:t>
            </w: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0.464</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0.635</w:t>
            </w:r>
          </w:p>
        </w:tc>
        <w:tc>
          <w:tcPr>
            <w:tcW w:w="120" w:type="dxa"/>
            <w:vAlign w:val="bottom"/>
          </w:tcPr>
          <w:p>
            <w:pPr>
              <w:spacing w:after="0"/>
              <w:rPr>
                <w:sz w:val="24"/>
                <w:szCs w:val="24"/>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0.170</w:t>
            </w:r>
          </w:p>
        </w:tc>
        <w:tc>
          <w:tcPr>
            <w:tcW w:w="12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80" w:hanging="328"/>
        <w:spacing w:after="0"/>
        <w:tabs>
          <w:tab w:leader="none" w:pos="22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1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2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Cohort</w:t>
            </w:r>
          </w:p>
        </w:tc>
        <w:tc>
          <w:tcPr>
            <w:tcW w:w="1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2 mg</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Sham</w:t>
            </w:r>
          </w:p>
        </w:tc>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18"/>
                <w:szCs w:val="18"/>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42)</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20" w:type="dxa"/>
            <w:vAlign w:val="bottom"/>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360" w:type="dxa"/>
            <w:vAlign w:val="bottom"/>
            <w:gridSpan w:val="2"/>
          </w:tcPr>
          <w:p>
            <w:pPr>
              <w:ind w:left="340"/>
              <w:spacing w:after="0"/>
              <w:rPr>
                <w:sz w:val="20"/>
                <w:szCs w:val="20"/>
                <w:color w:val="auto"/>
              </w:rPr>
            </w:pPr>
            <w:r>
              <w:rPr>
                <w:rFonts w:ascii="Arial" w:cs="Arial" w:eastAsia="Arial" w:hAnsi="Arial"/>
                <w:sz w:val="18"/>
                <w:szCs w:val="18"/>
                <w:color w:val="auto"/>
              </w:rPr>
              <w:t>Part 2</w:t>
            </w:r>
          </w:p>
        </w:tc>
        <w:tc>
          <w:tcPr>
            <w:tcW w:w="2920" w:type="dxa"/>
            <w:vAlign w:val="bottom"/>
            <w:gridSpan w:val="2"/>
          </w:tcPr>
          <w:p>
            <w:pPr>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0.440</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0.608</w:t>
            </w:r>
          </w:p>
        </w:tc>
        <w:tc>
          <w:tcPr>
            <w:tcW w:w="120" w:type="dxa"/>
            <w:vAlign w:val="bottom"/>
          </w:tcPr>
          <w:p>
            <w:pPr>
              <w:spacing w:after="0"/>
              <w:rPr>
                <w:sz w:val="24"/>
                <w:szCs w:val="24"/>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color w:val="auto"/>
              </w:rPr>
              <w:t>0.168</w:t>
            </w:r>
          </w:p>
        </w:tc>
        <w:tc>
          <w:tcPr>
            <w:tcW w:w="120" w:type="dxa"/>
            <w:vAlign w:val="bottom"/>
          </w:tcPr>
          <w:p>
            <w:pPr>
              <w:spacing w:after="0"/>
              <w:rPr>
                <w:sz w:val="24"/>
                <w:szCs w:val="24"/>
                <w:color w:val="auto"/>
              </w:rPr>
            </w:pP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280" w:hanging="328"/>
        <w:spacing w:after="0"/>
        <w:tabs>
          <w:tab w:leader="none" w:pos="2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the least squares means from the MRM model.</w:t>
      </w:r>
    </w:p>
    <w:p>
      <w:pPr>
        <w:spacing w:after="0" w:line="154" w:lineRule="exact"/>
        <w:rPr>
          <w:sz w:val="20"/>
          <w:szCs w:val="20"/>
          <w:color w:val="auto"/>
        </w:rPr>
      </w:pPr>
    </w:p>
    <w:p>
      <w:pPr>
        <w:ind w:right="260" w:firstLine="177"/>
        <w:spacing w:after="0" w:line="311" w:lineRule="auto"/>
        <w:rPr>
          <w:sz w:val="20"/>
          <w:szCs w:val="20"/>
          <w:color w:val="auto"/>
        </w:rPr>
      </w:pPr>
      <w:r>
        <w:rPr>
          <w:rFonts w:ascii="Arial" w:cs="Arial" w:eastAsia="Arial" w:hAnsi="Arial"/>
          <w:sz w:val="16"/>
          <w:szCs w:val="16"/>
          <w:color w:val="auto"/>
        </w:rPr>
        <w:t>When the data for the Zimura 2 mg groups from each Part of the trial as compared to the corresponding sham control groups are analyzed using the MRM model, which includes a regression factor by part, the mean difference in GA growth over 18 months between the Zimura 2 mg and sham control groups is 0.168 mm, representing a 28.11% relative benefit in the Zimura 2 mg group as compared to the corresponding sham control group.</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Observed 18-Month GA Data (non-square root transformation)</w:t>
      </w:r>
    </w:p>
    <w:p>
      <w:pPr>
        <w:spacing w:after="0" w:line="144" w:lineRule="exact"/>
        <w:rPr>
          <w:sz w:val="20"/>
          <w:szCs w:val="20"/>
          <w:color w:val="auto"/>
        </w:rPr>
      </w:pPr>
    </w:p>
    <w:p>
      <w:pPr>
        <w:ind w:right="180" w:firstLine="180"/>
        <w:spacing w:after="0" w:line="273" w:lineRule="auto"/>
        <w:rPr>
          <w:sz w:val="20"/>
          <w:szCs w:val="20"/>
          <w:color w:val="auto"/>
        </w:rPr>
      </w:pPr>
      <w:r>
        <w:rPr>
          <w:rFonts w:ascii="Arial" w:cs="Arial" w:eastAsia="Arial" w:hAnsi="Arial"/>
          <w:sz w:val="18"/>
          <w:szCs w:val="18"/>
          <w:color w:val="auto"/>
        </w:rPr>
        <w:t>In addition to analyzing the mean rate of change in GA area at month 18 using the square root transformation of the GA area (measured in millimeters (mm)), we also analyzed the mean rate of change in GA area using the observed GA area (without the square root transformation, measured in square millimeters (mm</w:t>
      </w:r>
      <w:r>
        <w:rPr>
          <w:rFonts w:ascii="Arial" w:cs="Arial" w:eastAsia="Arial" w:hAnsi="Arial"/>
          <w:sz w:val="23"/>
          <w:szCs w:val="23"/>
          <w:color w:val="auto"/>
          <w:vertAlign w:val="superscript"/>
        </w:rPr>
        <w:t>2</w:t>
      </w:r>
      <w:r>
        <w:rPr>
          <w:rFonts w:ascii="Arial" w:cs="Arial" w:eastAsia="Arial" w:hAnsi="Arial"/>
          <w:sz w:val="18"/>
          <w:szCs w:val="18"/>
          <w:color w:val="auto"/>
        </w:rPr>
        <w:t>)), with the MRM model. This descriptive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analysis was also part of the prespecified statistical analysis plan for this trial. The observed mean GA area data for the Zimura 2 mg and Zimura 4 mg groups as compared to the corresponding sham control groups are summarized in the following table: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Rate of Change in GA Area from Baseline to Month 18</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(Observed)</w:t>
      </w:r>
    </w:p>
    <w:p>
      <w:pPr>
        <w:spacing w:after="0" w:line="154"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76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vMerge w:val="restart"/>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2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Sham 2</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67)</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 = 110)</w:t>
            </w: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2.431</w:t>
            </w:r>
            <w:r>
              <w:rPr>
                <w:rFonts w:ascii="Arial" w:cs="Arial" w:eastAsia="Arial" w:hAnsi="Arial"/>
                <w:sz w:val="23"/>
                <w:szCs w:val="23"/>
                <w:color w:val="auto"/>
                <w:w w:val="84"/>
                <w:vertAlign w:val="superscript"/>
              </w:rPr>
              <w:t>(b)</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3.587</w:t>
            </w:r>
            <w:r>
              <w:rPr>
                <w:rFonts w:ascii="Arial" w:cs="Arial" w:eastAsia="Arial" w:hAnsi="Arial"/>
                <w:sz w:val="23"/>
                <w:szCs w:val="23"/>
                <w:color w:val="auto"/>
                <w:w w:val="84"/>
                <w:vertAlign w:val="superscript"/>
              </w:rPr>
              <w:t>(b)</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1.156</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32.24%</w:t>
            </w:r>
          </w:p>
        </w:tc>
        <w:tc>
          <w:tcPr>
            <w:tcW w:w="0" w:type="dxa"/>
            <w:vAlign w:val="bottom"/>
          </w:tcPr>
          <w:p>
            <w:pPr>
              <w:spacing w:after="0"/>
              <w:rPr>
                <w:sz w:val="1"/>
                <w:szCs w:val="1"/>
                <w:color w:val="auto"/>
              </w:rPr>
            </w:pPr>
          </w:p>
        </w:tc>
      </w:tr>
      <w:tr>
        <w:trPr>
          <w:trHeight w:val="242"/>
        </w:trPr>
        <w:tc>
          <w:tcPr>
            <w:tcW w:w="2760" w:type="dxa"/>
            <w:vAlign w:val="bottom"/>
            <w:vMerge w:val="restart"/>
          </w:tcPr>
          <w:p>
            <w:pPr>
              <w:ind w:left="1120"/>
              <w:spacing w:after="0"/>
              <w:rPr>
                <w:sz w:val="20"/>
                <w:szCs w:val="20"/>
                <w:color w:val="auto"/>
              </w:rPr>
            </w:pPr>
            <w:r>
              <w:rPr>
                <w:rFonts w:ascii="Arial" w:cs="Arial" w:eastAsia="Arial" w:hAnsi="Arial"/>
                <w:sz w:val="18"/>
                <w:szCs w:val="18"/>
                <w:b w:val="1"/>
                <w:bCs w:val="1"/>
                <w:color w:val="auto"/>
              </w:rPr>
              <w:t>Cohort</w:t>
            </w:r>
          </w:p>
        </w:tc>
        <w:tc>
          <w:tcPr>
            <w:tcW w:w="120" w:type="dxa"/>
            <w:vAlign w:val="bottom"/>
            <w:vMerge w:val="restart"/>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Zimura 4 mg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Sham</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Difference</w:t>
            </w:r>
          </w:p>
        </w:tc>
        <w:tc>
          <w:tcPr>
            <w:tcW w:w="120" w:type="dxa"/>
            <w:vAlign w:val="bottom"/>
            <w:vMerge w:val="restart"/>
          </w:tcPr>
          <w:p>
            <w:pPr>
              <w:spacing w:after="0"/>
              <w:rPr>
                <w:sz w:val="21"/>
                <w:szCs w:val="21"/>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 Difference</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83)</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(N = 84)</w:t>
            </w:r>
          </w:p>
        </w:tc>
        <w:tc>
          <w:tcPr>
            <w:tcW w:w="100" w:type="dxa"/>
            <w:vAlign w:val="bottom"/>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Mean Change in GA</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(mm</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2.460</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3.486</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29.44%</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2280" w:hanging="328"/>
        <w:spacing w:after="0"/>
        <w:tabs>
          <w:tab w:leader="none" w:pos="22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280" w:hanging="328"/>
        <w:spacing w:after="0" w:line="255" w:lineRule="auto"/>
        <w:tabs>
          <w:tab w:leader="none" w:pos="2272"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3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18-Month Visual Acuity Data</w:t>
      </w:r>
    </w:p>
    <w:p>
      <w:pPr>
        <w:spacing w:after="0" w:line="158" w:lineRule="exact"/>
        <w:rPr>
          <w:sz w:val="20"/>
          <w:szCs w:val="20"/>
          <w:color w:val="auto"/>
        </w:rPr>
      </w:pPr>
    </w:p>
    <w:p>
      <w:pPr>
        <w:ind w:firstLine="198"/>
        <w:spacing w:after="0" w:line="311" w:lineRule="auto"/>
        <w:rPr>
          <w:sz w:val="20"/>
          <w:szCs w:val="20"/>
          <w:color w:val="auto"/>
        </w:rPr>
      </w:pPr>
      <w:r>
        <w:rPr>
          <w:rFonts w:ascii="Arial" w:cs="Arial" w:eastAsia="Arial" w:hAnsi="Arial"/>
          <w:sz w:val="16"/>
          <w:szCs w:val="16"/>
          <w:color w:val="auto"/>
        </w:rPr>
        <w:t>In addition to analyzing mean change in GA area, we also performed pre-specified analyses of the mean change in BCVA from baseline to month 18 and the mean change in LL BCVA from baseline to month 18, both as measured by ETDRS letters. Testing for visual acuity serves as an important safety assessment to assure that the decrease in visual acuity in the Zimura treatment groups was not clinically different from the sham control groups.</w:t>
      </w:r>
    </w:p>
    <w:p>
      <w:pPr>
        <w:spacing w:after="0" w:line="81" w:lineRule="exact"/>
        <w:rPr>
          <w:sz w:val="20"/>
          <w:szCs w:val="20"/>
          <w:color w:val="auto"/>
        </w:rPr>
      </w:pPr>
    </w:p>
    <w:p>
      <w:pPr>
        <w:ind w:right="300" w:firstLine="177"/>
        <w:spacing w:after="0" w:line="277" w:lineRule="auto"/>
        <w:rPr>
          <w:sz w:val="20"/>
          <w:szCs w:val="20"/>
          <w:color w:val="auto"/>
        </w:rPr>
      </w:pPr>
      <w:r>
        <w:rPr>
          <w:rFonts w:ascii="Arial" w:cs="Arial" w:eastAsia="Arial" w:hAnsi="Arial"/>
          <w:sz w:val="18"/>
          <w:szCs w:val="18"/>
          <w:color w:val="auto"/>
        </w:rPr>
        <w:t>The GATHER1 trial was not designed to reliably assess differences in mean changes in BCVA or LL BCVA with statistical significance. Data for the mean change in BCVA and LL BCVA at month 18 are summarized in the following tables: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Change in BCVA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(ETDRS letters)</w:t>
      </w:r>
    </w:p>
    <w:p>
      <w:pPr>
        <w:spacing w:after="0" w:line="99"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2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67)</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(N = 110)</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-12.7</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-15.1</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2.37</w:t>
            </w:r>
          </w:p>
        </w:tc>
        <w:tc>
          <w:tcPr>
            <w:tcW w:w="0" w:type="dxa"/>
            <w:vAlign w:val="bottom"/>
          </w:tcPr>
          <w:p>
            <w:pPr>
              <w:spacing w:after="0"/>
              <w:rPr>
                <w:sz w:val="1"/>
                <w:szCs w:val="1"/>
                <w:color w:val="auto"/>
              </w:rPr>
            </w:pPr>
          </w:p>
        </w:tc>
      </w:tr>
      <w:tr>
        <w:trPr>
          <w:trHeight w:val="199"/>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4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-4.27</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3"/>
              </w:rPr>
              <w:t>-7.07</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2.80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300" w:hanging="348"/>
        <w:spacing w:after="0"/>
        <w:tabs>
          <w:tab w:leader="none" w:pos="23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sz w:val="20"/>
          <w:szCs w:val="20"/>
          <w:color w:val="auto"/>
        </w:rPr>
      </w:pPr>
    </w:p>
    <w:p>
      <w:pPr>
        <w:ind w:left="2280" w:right="280" w:hanging="328"/>
        <w:spacing w:after="0" w:line="255" w:lineRule="auto"/>
        <w:tabs>
          <w:tab w:leader="none" w:pos="2277"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Mean Change in LL BCVA from Baseline to Month 18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(MRM Analysis) (ETDRS letters)</w:t>
      </w:r>
    </w:p>
    <w:p>
      <w:pPr>
        <w:spacing w:after="0" w:line="99" w:lineRule="exact"/>
        <w:rPr>
          <w:sz w:val="20"/>
          <w:szCs w:val="20"/>
          <w:color w:val="auto"/>
        </w:rPr>
      </w:pPr>
    </w:p>
    <w:tbl>
      <w:tblPr>
        <w:tblLayout w:type="fixed"/>
        <w:tblInd w:w="1940" w:type="dxa"/>
        <w:tblCellMar>
          <w:top w:w="0" w:type="dxa"/>
          <w:left w:w="0" w:type="dxa"/>
          <w:bottom w:w="0" w:type="dxa"/>
          <w:right w:w="0" w:type="dxa"/>
        </w:tblCellMar>
      </w:tblPr>
      <w:tr>
        <w:trPr>
          <w:trHeight w:val="184"/>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2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67)</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(N = 110)</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-2.72</w:t>
            </w:r>
            <w:r>
              <w:rPr>
                <w:rFonts w:ascii="Arial" w:cs="Arial" w:eastAsia="Arial" w:hAnsi="Arial"/>
                <w:sz w:val="23"/>
                <w:szCs w:val="23"/>
                <w:color w:val="auto"/>
                <w:w w:val="86"/>
                <w:vertAlign w:val="superscript"/>
              </w:rPr>
              <w:t>(b)</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6"/>
              </w:rPr>
              <w:t>-3.10</w:t>
            </w:r>
            <w:r>
              <w:rPr>
                <w:rFonts w:ascii="Arial" w:cs="Arial" w:eastAsia="Arial" w:hAnsi="Arial"/>
                <w:sz w:val="23"/>
                <w:szCs w:val="23"/>
                <w:color w:val="auto"/>
                <w:w w:val="86"/>
                <w:vertAlign w:val="superscript"/>
              </w:rPr>
              <w:t>(b)</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0.37</w:t>
            </w:r>
          </w:p>
        </w:tc>
        <w:tc>
          <w:tcPr>
            <w:tcW w:w="0" w:type="dxa"/>
            <w:vAlign w:val="bottom"/>
          </w:tcPr>
          <w:p>
            <w:pPr>
              <w:spacing w:after="0"/>
              <w:rPr>
                <w:sz w:val="1"/>
                <w:szCs w:val="1"/>
                <w:color w:val="auto"/>
              </w:rPr>
            </w:pPr>
          </w:p>
        </w:tc>
      </w:tr>
      <w:tr>
        <w:trPr>
          <w:trHeight w:val="199"/>
        </w:trPr>
        <w:tc>
          <w:tcPr>
            <w:tcW w:w="278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4 mg</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Sham</w:t>
            </w:r>
          </w:p>
        </w:tc>
        <w:tc>
          <w:tcPr>
            <w:tcW w:w="14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Difference</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84)</w:t>
            </w:r>
          </w:p>
        </w:tc>
        <w:tc>
          <w:tcPr>
            <w:tcW w:w="10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Mean Change in LL BCVA</w:t>
            </w:r>
            <w:r>
              <w:rPr>
                <w:rFonts w:ascii="Arial" w:cs="Arial" w:eastAsia="Arial" w:hAnsi="Arial"/>
                <w:sz w:val="21"/>
                <w:szCs w:val="21"/>
                <w:color w:val="auto"/>
                <w:vertAlign w:val="superscript"/>
              </w:rPr>
              <w:t>(a)</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2.85</w:t>
            </w: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1.68</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1.17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300" w:hanging="348"/>
        <w:spacing w:after="0"/>
        <w:tabs>
          <w:tab w:leader="none" w:pos="23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the least squares mean from the MRM model.</w:t>
      </w:r>
    </w:p>
    <w:p>
      <w:pPr>
        <w:spacing w:after="0" w:line="13" w:lineRule="exact"/>
        <w:rPr>
          <w:rFonts w:ascii="Arial" w:cs="Arial" w:eastAsia="Arial" w:hAnsi="Arial"/>
          <w:sz w:val="14"/>
          <w:szCs w:val="14"/>
          <w:color w:val="auto"/>
        </w:rPr>
      </w:pPr>
    </w:p>
    <w:p>
      <w:pPr>
        <w:ind w:left="2280" w:right="40" w:hanging="328"/>
        <w:spacing w:after="0" w:line="255" w:lineRule="auto"/>
        <w:tabs>
          <w:tab w:leader="none" w:pos="21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Zimura 1 mg 18-Month Efficacy Data</w:t>
      </w:r>
    </w:p>
    <w:p>
      <w:pPr>
        <w:spacing w:after="0" w:line="252" w:lineRule="exact"/>
        <w:rPr>
          <w:sz w:val="20"/>
          <w:szCs w:val="20"/>
          <w:color w:val="auto"/>
        </w:rPr>
      </w:pPr>
    </w:p>
    <w:p>
      <w:pPr>
        <w:ind w:right="140" w:firstLine="177"/>
        <w:spacing w:after="0" w:line="277" w:lineRule="auto"/>
        <w:rPr>
          <w:sz w:val="20"/>
          <w:szCs w:val="20"/>
          <w:color w:val="auto"/>
        </w:rPr>
      </w:pPr>
      <w:r>
        <w:rPr>
          <w:rFonts w:ascii="Arial" w:cs="Arial" w:eastAsia="Arial" w:hAnsi="Arial"/>
          <w:sz w:val="18"/>
          <w:szCs w:val="18"/>
          <w:color w:val="auto"/>
        </w:rPr>
        <w:t>We performed descriptive analyses on the 18 month data for patients in the Zimura 1 mg group as compared to the patients in the sham control group in Part 1 of the trial.</w:t>
      </w:r>
    </w:p>
    <w:p>
      <w:pPr>
        <w:spacing w:after="0" w:line="103" w:lineRule="exact"/>
        <w:rPr>
          <w:sz w:val="20"/>
          <w:szCs w:val="20"/>
          <w:color w:val="auto"/>
        </w:rPr>
      </w:pPr>
    </w:p>
    <w:p>
      <w:pPr>
        <w:ind w:right="20" w:firstLine="177"/>
        <w:spacing w:after="0" w:line="277" w:lineRule="auto"/>
        <w:rPr>
          <w:sz w:val="20"/>
          <w:szCs w:val="20"/>
          <w:color w:val="auto"/>
        </w:rPr>
      </w:pPr>
      <w:r>
        <w:rPr>
          <w:rFonts w:ascii="Arial" w:cs="Arial" w:eastAsia="Arial" w:hAnsi="Arial"/>
          <w:sz w:val="18"/>
          <w:szCs w:val="18"/>
          <w:color w:val="auto"/>
        </w:rPr>
        <w:t>The mean rate of change in GA area for the Zimura 1 mg group and the corresponding sham group from Part 1 of the trial over 18 months is summarized in the following table: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GA Area (mm) and Mean Percentage Change from Baseline to Month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(Square Root Transformation)</w:t>
      </w:r>
    </w:p>
    <w:p>
      <w:pPr>
        <w:spacing w:after="0" w:line="112" w:lineRule="exact"/>
        <w:rPr>
          <w:sz w:val="20"/>
          <w:szCs w:val="20"/>
          <w:color w:val="auto"/>
        </w:rPr>
      </w:pPr>
    </w:p>
    <w:tbl>
      <w:tblPr>
        <w:tblLayout w:type="fixed"/>
        <w:tblInd w:w="1880" w:type="dxa"/>
        <w:tblCellMar>
          <w:top w:w="0" w:type="dxa"/>
          <w:left w:w="0" w:type="dxa"/>
          <w:bottom w:w="0" w:type="dxa"/>
          <w:right w:w="0" w:type="dxa"/>
        </w:tblCellMar>
      </w:tblPr>
      <w:tr>
        <w:trPr>
          <w:trHeight w:val="184"/>
        </w:trPr>
        <w:tc>
          <w:tcPr>
            <w:tcW w:w="4000" w:type="dxa"/>
            <w:vAlign w:val="bottom"/>
            <w:vMerge w:val="restart"/>
          </w:tcPr>
          <w:p>
            <w:pPr>
              <w:ind w:left="1740"/>
              <w:spacing w:after="0"/>
              <w:rPr>
                <w:sz w:val="20"/>
                <w:szCs w:val="20"/>
                <w:color w:val="auto"/>
              </w:rPr>
            </w:pPr>
            <w:r>
              <w:rPr>
                <w:rFonts w:ascii="Arial" w:cs="Arial" w:eastAsia="Arial" w:hAnsi="Arial"/>
                <w:sz w:val="16"/>
                <w:szCs w:val="16"/>
                <w:b w:val="1"/>
                <w:bCs w:val="1"/>
                <w:color w:val="auto"/>
              </w:rPr>
              <w:t>Cohort</w:t>
            </w:r>
          </w:p>
        </w:tc>
        <w:tc>
          <w:tcPr>
            <w:tcW w:w="100" w:type="dxa"/>
            <w:vAlign w:val="bottom"/>
            <w:vMerge w:val="restart"/>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Zimura 1 mg</w:t>
            </w:r>
          </w:p>
        </w:tc>
        <w:tc>
          <w:tcPr>
            <w:tcW w:w="1660" w:type="dxa"/>
            <w:vAlign w:val="bottom"/>
          </w:tcPr>
          <w:p>
            <w:pPr>
              <w:jc w:val="center"/>
              <w:spacing w:after="0"/>
              <w:rPr>
                <w:sz w:val="20"/>
                <w:szCs w:val="20"/>
                <w:color w:val="auto"/>
              </w:rPr>
            </w:pPr>
            <w:r>
              <w:rPr>
                <w:rFonts w:ascii="Arial" w:cs="Arial" w:eastAsia="Arial" w:hAnsi="Arial"/>
                <w:sz w:val="16"/>
                <w:szCs w:val="16"/>
                <w:color w:val="auto"/>
                <w:w w:val="90"/>
              </w:rPr>
              <w:t>Sham</w:t>
            </w:r>
          </w:p>
        </w:tc>
        <w:tc>
          <w:tcPr>
            <w:tcW w:w="0" w:type="dxa"/>
            <w:vAlign w:val="bottom"/>
          </w:tcPr>
          <w:p>
            <w:pPr>
              <w:spacing w:after="0"/>
              <w:rPr>
                <w:sz w:val="1"/>
                <w:szCs w:val="1"/>
                <w:color w:val="auto"/>
              </w:rPr>
            </w:pPr>
          </w:p>
        </w:tc>
      </w:tr>
      <w:tr>
        <w:trPr>
          <w:trHeight w:val="209"/>
        </w:trPr>
        <w:tc>
          <w:tcPr>
            <w:tcW w:w="40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(N = 26)</w:t>
            </w:r>
          </w:p>
        </w:tc>
        <w:tc>
          <w:tcPr>
            <w:tcW w:w="0" w:type="dxa"/>
            <w:vAlign w:val="bottom"/>
          </w:tcPr>
          <w:p>
            <w:pPr>
              <w:spacing w:after="0"/>
              <w:rPr>
                <w:sz w:val="1"/>
                <w:szCs w:val="1"/>
                <w:color w:val="auto"/>
              </w:rPr>
            </w:pPr>
          </w:p>
        </w:tc>
      </w:tr>
      <w:tr>
        <w:trPr>
          <w:trHeight w:val="207"/>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BL, mm</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2.591</w:t>
            </w: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2.623</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Sq. Root of GA at M18, mm</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3.258</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3.230</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Difference</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0.667</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0.607</w:t>
            </w:r>
          </w:p>
        </w:tc>
        <w:tc>
          <w:tcPr>
            <w:tcW w:w="0" w:type="dxa"/>
            <w:vAlign w:val="bottom"/>
          </w:tcPr>
          <w:p>
            <w:pPr>
              <w:spacing w:after="0"/>
              <w:rPr>
                <w:sz w:val="1"/>
                <w:szCs w:val="1"/>
                <w:color w:val="auto"/>
              </w:rPr>
            </w:pPr>
          </w:p>
        </w:tc>
      </w:tr>
      <w:tr>
        <w:trPr>
          <w:trHeight w:val="285"/>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Mean % Change</w:t>
            </w:r>
            <w:r>
              <w:rPr>
                <w:rFonts w:ascii="Arial" w:cs="Arial" w:eastAsia="Arial" w:hAnsi="Arial"/>
                <w:sz w:val="21"/>
                <w:szCs w:val="21"/>
                <w:color w:val="auto"/>
                <w:vertAlign w:val="superscript"/>
              </w:rPr>
              <w:t>(a)</w:t>
            </w:r>
          </w:p>
        </w:tc>
        <w:tc>
          <w:tcPr>
            <w:tcW w:w="1640" w:type="dxa"/>
            <w:vAlign w:val="bottom"/>
          </w:tcPr>
          <w:p>
            <w:pPr>
              <w:jc w:val="center"/>
              <w:spacing w:after="0"/>
              <w:rPr>
                <w:sz w:val="20"/>
                <w:szCs w:val="20"/>
                <w:color w:val="auto"/>
              </w:rPr>
            </w:pPr>
            <w:r>
              <w:rPr>
                <w:rFonts w:ascii="Arial" w:cs="Arial" w:eastAsia="Arial" w:hAnsi="Arial"/>
                <w:sz w:val="16"/>
                <w:szCs w:val="16"/>
                <w:color w:val="auto"/>
                <w:w w:val="92"/>
              </w:rPr>
              <w:t>21.91%</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92"/>
              </w:rPr>
              <w:t>23.87%</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BL = Baseline; M18 = Month 18</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(a) Mean % change in GA area is an average of the percentage change in GA area observed for each patient.</w:t>
      </w:r>
    </w:p>
    <w:p>
      <w:pPr>
        <w:spacing w:after="0" w:line="142" w:lineRule="exact"/>
        <w:rPr>
          <w:sz w:val="20"/>
          <w:szCs w:val="20"/>
          <w:color w:val="auto"/>
        </w:rPr>
      </w:pPr>
    </w:p>
    <w:p>
      <w:pPr>
        <w:ind w:firstLine="170"/>
        <w:spacing w:after="0" w:line="311" w:lineRule="auto"/>
        <w:rPr>
          <w:sz w:val="20"/>
          <w:szCs w:val="20"/>
          <w:color w:val="auto"/>
        </w:rPr>
      </w:pPr>
      <w:r>
        <w:rPr>
          <w:rFonts w:ascii="Arial" w:cs="Arial" w:eastAsia="Arial" w:hAnsi="Arial"/>
          <w:sz w:val="16"/>
          <w:szCs w:val="16"/>
          <w:color w:val="auto"/>
        </w:rPr>
        <w:t>Although the sample size for the Zimura 1 mg group is small, we believe the apparent reduction in mean percentage change in GA area from baseline to month 18 in the Zimura 1 mg group as compared to the sham control group, when compared with the results observed in the Zimura 2 mg and Zimura 4 mg groups as compared to their corresponding sham control groups, may suggest a potential dose response relationship across treatment groups.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18-Month Safety Data</w:t>
      </w:r>
    </w:p>
    <w:p>
      <w:pPr>
        <w:spacing w:after="0" w:line="144" w:lineRule="exact"/>
        <w:rPr>
          <w:sz w:val="20"/>
          <w:szCs w:val="20"/>
          <w:color w:val="auto"/>
        </w:rPr>
      </w:pPr>
    </w:p>
    <w:p>
      <w:pPr>
        <w:ind w:right="20" w:firstLine="180"/>
        <w:spacing w:after="0" w:line="254" w:lineRule="auto"/>
        <w:rPr>
          <w:sz w:val="20"/>
          <w:szCs w:val="20"/>
          <w:color w:val="auto"/>
        </w:rPr>
      </w:pPr>
      <w:r>
        <w:rPr>
          <w:rFonts w:ascii="Arial" w:cs="Arial" w:eastAsia="Arial" w:hAnsi="Arial"/>
          <w:sz w:val="18"/>
          <w:szCs w:val="18"/>
          <w:color w:val="auto"/>
        </w:rPr>
        <w:t>Based on our review of the safety data in the trial, Zimura was generally well tolerated after 18 months of administration. During the trial, there were no investigator-reported Zimura-related adverse events, no Zimura-related intraocular inflammation, no Zimura-related increased intraocular pressure, no cases of endophthalmitis, and no discontinuations attributed by investigators to Zimura in the trial. Through month 18, the reported incidence of CNV in the untreated fellow eye was 11 patients (3.8%), and in the study eye was 3 patients (2.7%) in the sham control group, 2 patients (7.7%) in the Zimura 1 mg group, 8 patients (11.9%) in the Zimura 2 mg group, and 13 patients (15.7%) in the Zimura 4 mg group. The most frequently reported ocular adverse events were related to the injection procedure. The numbers below are based on investigator-reported adverse events occurring during the 18-month duration of the trial for all patients.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number of patients with one or more serious TEAEs organized by MedDRA system organ class are set forth in the table below:</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Patients with One or More Serious TEAEs in Any Organ Class</w:t>
      </w:r>
    </w:p>
    <w:p>
      <w:pPr>
        <w:spacing w:after="0" w:line="203"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Part 1</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340"/>
              <w:spacing w:after="0"/>
              <w:rPr>
                <w:sz w:val="20"/>
                <w:szCs w:val="20"/>
                <w:color w:val="auto"/>
              </w:rPr>
            </w:pPr>
            <w:r>
              <w:rPr>
                <w:rFonts w:ascii="Arial" w:cs="Arial" w:eastAsia="Arial" w:hAnsi="Arial"/>
                <w:sz w:val="16"/>
                <w:szCs w:val="16"/>
                <w:b w:val="1"/>
                <w:bCs w:val="1"/>
                <w:color w:val="auto"/>
              </w:rPr>
              <w:t>Part 2</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Zimura 1</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5"/>
              </w:rPr>
              <w:t>Zimura 2</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Sham</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2</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Zimura 4</w:t>
            </w:r>
          </w:p>
        </w:tc>
        <w:tc>
          <w:tcPr>
            <w:tcW w:w="1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83"/>
              </w:rPr>
              <w:t>mg</w:t>
            </w:r>
          </w:p>
        </w:tc>
        <w:tc>
          <w:tcPr>
            <w:tcW w:w="980" w:type="dxa"/>
            <w:vAlign w:val="bottom"/>
            <w:gridSpan w:val="2"/>
            <w:vMerge w:val="continue"/>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26)</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26)</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(N = 83)</w:t>
            </w:r>
          </w:p>
        </w:tc>
        <w:tc>
          <w:tcPr>
            <w:tcW w:w="11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Blood and lymphatic system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Cardiac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Eye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Gastrointestinal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 (7.7%)</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6 (7.1%)</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General disorders and administration site conditions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Hepatobiliary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Infections and infestations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2 (4.8%)</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8 (9.6%)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Injury, poisoning and procedural complications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Metabolism and nutrition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 (7.7%)</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Musculoskeletal and connective tissue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172"/>
        </w:trPr>
        <w:tc>
          <w:tcPr>
            <w:tcW w:w="488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Benign, malignant and unspecified neoplasms (including cysts and</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color w:val="auto"/>
                <w:w w:val="95"/>
              </w:rPr>
              <w:t>1 (2.4%)</w:t>
            </w:r>
          </w:p>
        </w:tc>
        <w:tc>
          <w:tcPr>
            <w:tcW w:w="12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w w:val="92"/>
              </w:rPr>
              <w:t>1 (1.2%)</w:t>
            </w:r>
          </w:p>
        </w:tc>
        <w:tc>
          <w:tcPr>
            <w:tcW w:w="10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2"/>
              </w:rPr>
              <w:t>3 (3.6%)</w:t>
            </w:r>
          </w:p>
        </w:tc>
        <w:tc>
          <w:tcPr>
            <w:tcW w:w="0" w:type="dxa"/>
            <w:vAlign w:val="bottom"/>
          </w:tcPr>
          <w:p>
            <w:pPr>
              <w:spacing w:after="0"/>
              <w:rPr>
                <w:sz w:val="1"/>
                <w:szCs w:val="1"/>
                <w:color w:val="auto"/>
              </w:rPr>
            </w:pPr>
          </w:p>
        </w:tc>
      </w:tr>
      <w:tr>
        <w:trPr>
          <w:trHeight w:val="20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polyps)</w:t>
            </w: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Nervous system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2 (7.7%)</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5"/>
              </w:rPr>
              <w:t>2 (4.8%)</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3 (3.6%)</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Psychiatric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92"/>
              </w:rPr>
              <w:t>1 (3.8%)</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Respiratory, thoracic and mediastinal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 (4.0%)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2"/>
              </w:rPr>
              <w:t>2 (2.4%)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5 (6.0%)</w:t>
            </w: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Vascular disorders</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86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 (1.2%)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Of the reported serious TEAEs that were eye disorders, one TEAE was an ischaemic optic neuropathy (in the Zimura 2 mg group) and one TEAE was a retinal detachment (in the Zimura 4 mg group). Neither of these TEAEs were reported as related to Zimura.</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number of patients with one or more TEAEs, including serious TEAEs, identified by the investigator as related to the study drug (Zimura or sham)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set forth in the table below:</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Reported TEAEs Related to Zimura or Sham</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46"/>
        </w:trPr>
        <w:tc>
          <w:tcPr>
            <w:tcW w:w="4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number of patients with one or more ocular TEAEs in the study eye are set forth in the table below:</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Reported Ocular TEAEs in Study Eyes</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w:t>
            </w:r>
          </w:p>
        </w:tc>
        <w:tc>
          <w:tcPr>
            <w:tcW w:w="820" w:type="dxa"/>
            <w:vAlign w:val="bottom"/>
          </w:tcPr>
          <w:p>
            <w:pPr>
              <w:jc w:val="right"/>
              <w:spacing w:after="0"/>
              <w:rPr>
                <w:sz w:val="20"/>
                <w:szCs w:val="20"/>
                <w:color w:val="auto"/>
              </w:rPr>
            </w:pPr>
            <w:r>
              <w:rPr>
                <w:rFonts w:ascii="Arial" w:cs="Arial" w:eastAsia="Arial" w:hAnsi="Arial"/>
                <w:sz w:val="16"/>
                <w:szCs w:val="16"/>
                <w:color w:val="auto"/>
                <w:w w:val="94"/>
              </w:rPr>
              <w:t>12 (46.2%)</w:t>
            </w:r>
          </w:p>
        </w:tc>
        <w:tc>
          <w:tcPr>
            <w:tcW w:w="1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w w:val="97"/>
              </w:rPr>
              <w:t>11 (44.0%)</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 (23.1%)</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28 (66.7%)</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61 (73.5%)</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39 (46.4%)</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6"/>
                <w:szCs w:val="16"/>
                <w:color w:val="auto"/>
              </w:rPr>
              <w:t>Eye disorders related to injection procedure</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 (15.4%)</w:t>
            </w:r>
          </w:p>
        </w:tc>
        <w:tc>
          <w:tcPr>
            <w:tcW w:w="1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 (20.0%)</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 (7.7%)</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1"/>
              </w:rPr>
              <w:t>18 (42.9%)</w:t>
            </w: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91"/>
              </w:rPr>
              <w:t>46 (55.4%)</w:t>
            </w: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24 (28.6%)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number of patients with one or more ocular TEAEs in the study eye, identified by the investigator as related to the study drug (Zimura or sham) is set forth in the table below:</w:t>
      </w:r>
    </w:p>
    <w:p>
      <w:pPr>
        <w:spacing w:after="0" w:line="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Reported Ocular TEAEs in the Study Eye Related to Zimura or Sham</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Part 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Part 2</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1</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8"/>
              </w:rPr>
              <w:t>Zimura 2</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1"/>
              </w:rPr>
              <w:t>Sham</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Zimura 2</w:t>
            </w:r>
          </w:p>
        </w:tc>
        <w:tc>
          <w:tcPr>
            <w:tcW w:w="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Zimura 4</w:t>
            </w:r>
          </w:p>
        </w:tc>
        <w:tc>
          <w:tcPr>
            <w:tcW w:w="9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Sham 4 mg</w:t>
            </w:r>
          </w:p>
        </w:tc>
        <w:tc>
          <w:tcPr>
            <w:tcW w:w="0" w:type="dxa"/>
            <w:vAlign w:val="bottom"/>
          </w:tcPr>
          <w:p>
            <w:pPr>
              <w:spacing w:after="0"/>
              <w:rPr>
                <w:sz w:val="1"/>
                <w:szCs w:val="1"/>
                <w:color w:val="auto"/>
              </w:rPr>
            </w:pPr>
          </w:p>
        </w:tc>
      </w:tr>
      <w:tr>
        <w:trPr>
          <w:trHeight w:val="166"/>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00" w:type="dxa"/>
            <w:vAlign w:val="bottom"/>
          </w:tcPr>
          <w:p>
            <w:pPr>
              <w:jc w:val="center"/>
              <w:spacing w:after="0" w:line="166" w:lineRule="exact"/>
              <w:rPr>
                <w:sz w:val="20"/>
                <w:szCs w:val="20"/>
                <w:color w:val="auto"/>
              </w:rPr>
            </w:pPr>
            <w:r>
              <w:rPr>
                <w:rFonts w:ascii="Arial" w:cs="Arial" w:eastAsia="Arial" w:hAnsi="Arial"/>
                <w:sz w:val="16"/>
                <w:szCs w:val="16"/>
                <w:b w:val="1"/>
                <w:bCs w:val="1"/>
                <w:color w:val="auto"/>
                <w:w w:val="91"/>
              </w:rPr>
              <w:t>mg</w:t>
            </w:r>
          </w:p>
        </w:tc>
        <w:tc>
          <w:tcPr>
            <w:tcW w:w="980" w:type="dxa"/>
            <w:vAlign w:val="bottom"/>
            <w:gridSpan w:val="2"/>
            <w:vMerge w:val="continue"/>
          </w:tcPr>
          <w:p>
            <w:pPr>
              <w:spacing w:after="0"/>
              <w:rPr>
                <w:sz w:val="14"/>
                <w:szCs w:val="14"/>
                <w:color w:val="auto"/>
              </w:rPr>
            </w:pPr>
          </w:p>
        </w:tc>
        <w:tc>
          <w:tcPr>
            <w:tcW w:w="96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83"/>
              </w:rPr>
              <w:t>mg</w:t>
            </w:r>
          </w:p>
        </w:tc>
        <w:tc>
          <w:tcPr>
            <w:tcW w:w="940" w:type="dxa"/>
            <w:vAlign w:val="bottom"/>
            <w:gridSpan w:val="2"/>
          </w:tcPr>
          <w:p>
            <w:pPr>
              <w:jc w:val="center"/>
              <w:ind w:right="120"/>
              <w:spacing w:after="0" w:line="166" w:lineRule="exact"/>
              <w:rPr>
                <w:sz w:val="20"/>
                <w:szCs w:val="20"/>
                <w:color w:val="auto"/>
              </w:rPr>
            </w:pPr>
            <w:r>
              <w:rPr>
                <w:rFonts w:ascii="Arial" w:cs="Arial" w:eastAsia="Arial" w:hAnsi="Arial"/>
                <w:sz w:val="16"/>
                <w:szCs w:val="16"/>
                <w:b w:val="1"/>
                <w:bCs w:val="1"/>
                <w:color w:val="auto"/>
                <w:w w:val="91"/>
              </w:rPr>
              <w:t>mg</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26)</w:t>
            </w: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96"/>
              </w:rPr>
              <w:t>(N = 25)</w:t>
            </w:r>
          </w:p>
        </w:tc>
        <w:tc>
          <w:tcPr>
            <w:tcW w:w="980" w:type="dxa"/>
            <w:vAlign w:val="bottom"/>
            <w:gridSpan w:val="2"/>
          </w:tcPr>
          <w:p>
            <w:pPr>
              <w:jc w:val="center"/>
              <w:ind w:right="60"/>
              <w:spacing w:after="0"/>
              <w:rPr>
                <w:sz w:val="20"/>
                <w:szCs w:val="20"/>
                <w:color w:val="auto"/>
              </w:rPr>
            </w:pPr>
            <w:r>
              <w:rPr>
                <w:rFonts w:ascii="Arial" w:cs="Arial" w:eastAsia="Arial" w:hAnsi="Arial"/>
                <w:sz w:val="16"/>
                <w:szCs w:val="16"/>
                <w:color w:val="auto"/>
                <w:w w:val="96"/>
              </w:rPr>
              <w:t>(N = 26)</w:t>
            </w:r>
          </w:p>
        </w:tc>
        <w:tc>
          <w:tcPr>
            <w:tcW w:w="9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 = 42)</w:t>
            </w:r>
          </w:p>
        </w:tc>
        <w:tc>
          <w:tcPr>
            <w:tcW w:w="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(N = 83)</w:t>
            </w:r>
          </w:p>
        </w:tc>
        <w:tc>
          <w:tcPr>
            <w:tcW w:w="920" w:type="dxa"/>
            <w:vAlign w:val="bottom"/>
          </w:tcPr>
          <w:p>
            <w:pPr>
              <w:jc w:val="center"/>
              <w:spacing w:after="0"/>
              <w:rPr>
                <w:sz w:val="20"/>
                <w:szCs w:val="20"/>
                <w:color w:val="auto"/>
              </w:rPr>
            </w:pPr>
            <w:r>
              <w:rPr>
                <w:rFonts w:ascii="Arial" w:cs="Arial" w:eastAsia="Arial" w:hAnsi="Arial"/>
                <w:sz w:val="16"/>
                <w:szCs w:val="16"/>
                <w:color w:val="auto"/>
                <w:w w:val="96"/>
              </w:rPr>
              <w:t>(N = 84)</w:t>
            </w:r>
          </w:p>
        </w:tc>
        <w:tc>
          <w:tcPr>
            <w:tcW w:w="0" w:type="dxa"/>
            <w:vAlign w:val="bottom"/>
          </w:tcPr>
          <w:p>
            <w:pPr>
              <w:spacing w:after="0"/>
              <w:rPr>
                <w:sz w:val="1"/>
                <w:szCs w:val="1"/>
                <w:color w:val="auto"/>
              </w:rPr>
            </w:pPr>
          </w:p>
        </w:tc>
      </w:tr>
      <w:tr>
        <w:trPr>
          <w:trHeight w:val="33"/>
        </w:trPr>
        <w:tc>
          <w:tcPr>
            <w:tcW w:w="4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6"/>
                <w:szCs w:val="16"/>
                <w:color w:val="auto"/>
              </w:rPr>
              <w:t>Subjects with at least one TEAE</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Arial" w:cs="Arial" w:eastAsia="Arial" w:hAnsi="Arial"/>
                <w:sz w:val="16"/>
                <w:szCs w:val="16"/>
                <w:color w:val="auto"/>
                <w:w w:val="89"/>
              </w:rPr>
              <w:t>0</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1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125" w:right="45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180"/>
        <w:spacing w:after="0" w:line="253" w:lineRule="auto"/>
        <w:rPr>
          <w:sz w:val="20"/>
          <w:szCs w:val="20"/>
          <w:color w:val="auto"/>
        </w:rPr>
      </w:pPr>
      <w:r>
        <w:rPr>
          <w:rFonts w:ascii="Arial" w:cs="Arial" w:eastAsia="Arial" w:hAnsi="Arial"/>
          <w:sz w:val="18"/>
          <w:szCs w:val="18"/>
          <w:color w:val="auto"/>
        </w:rPr>
        <w:t>In addition to us collecting investigator-reported adverse events, the independent masked reading center performed multi-modal imaging analysis. Multi-modal imaging analysis is a process used to assess patient retinal findings by reviewing different image types, in this case optical coherence tomography, or OCT, images and fluorescein angiography, to provide a more comprehensive view of the patient's retinal tissue. OCT is an ultra-high resolution imaging technology commonly used to visualize the retinal tissue. OCT is capable of rendering images in multiple dimensions and from multiple perspectives, and is an imaging technique commonly used by retinal specialists to diagnose, treat and follow patients with CNV. Fluorescein angiography is a technique that involves injection of a fluorescent dye into the systemic circulation and capturing images showing the circulating dye during transit through the retinal circulation using a specialized camera. In this trial, the reading center's multi-modal imaging analysis identified one additional case of macular CNV for a patient in the Zimura 4 mg group at month 12. Because this patient's investigator did not detect the CNV, the patient remained in the trial through month 18.</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Requirements for Regulatory Approval of Zimura in GA</w:t>
      </w:r>
    </w:p>
    <w:p>
      <w:pPr>
        <w:spacing w:after="0" w:line="158" w:lineRule="exact"/>
        <w:rPr>
          <w:sz w:val="20"/>
          <w:szCs w:val="20"/>
          <w:color w:val="auto"/>
        </w:rPr>
      </w:pPr>
    </w:p>
    <w:p>
      <w:pPr>
        <w:ind w:right="20" w:firstLine="177"/>
        <w:spacing w:after="0" w:line="253" w:lineRule="auto"/>
        <w:rPr>
          <w:sz w:val="20"/>
          <w:szCs w:val="20"/>
          <w:color w:val="auto"/>
        </w:rPr>
      </w:pPr>
      <w:r>
        <w:rPr>
          <w:rFonts w:ascii="Arial" w:cs="Arial" w:eastAsia="Arial" w:hAnsi="Arial"/>
          <w:sz w:val="18"/>
          <w:szCs w:val="18"/>
          <w:color w:val="auto"/>
        </w:rPr>
        <w:t>To obtain regulatory approval for Zimura for the treatment of GA secondary to AMD, we expect that we will need to obtain favorable results from a total of two independent, adequate and well-controlled pivotal clinical trials, demonstrating the safety and efficacy of Zimura in this indication. To establish efficacy, we believe it would be sufficient to demonstrate robust, statistically significant results showing a clinically relevant reduction in the rate of growth of GA over 12 months, based on measurements over three time points (baseline, month 6 and month 12) in two independent trials. We selected this measure as the primary endpoint for the GATHER1 trial based on prior formal interactions with the FDA, as well as our understanding of clinical trials for other investigational products in development for the treatment of GA. We designed the GATHER1 trial as a well-controlled screening trial such that, in the event that the prespecified primary efficacy endpoint results were statistically significant, the trial could potentially serve as one of the two pivotal clinical trials typically required for marketing approval. Based on the results we have received, the statistical analysis that we have performed and informal discussions we have had with the FDA, we believe that the safety and efficacy results from the GATHER1 trial could potentially satisfy the FDA’s requirements as one of the two pivotal clinical trials typically required for marketing approval. In the paragraphs that follow, we describe in detail the basis for our belief.</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Requirements for Safety Data</w:t>
      </w:r>
    </w:p>
    <w:p>
      <w:pPr>
        <w:spacing w:after="0" w:line="158"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Zimura has generally been well tolerated in our clinical trials to date. In the GATHER1 trial, there were no investigator reported ocular serious adverse events, Zimura-related adverse events, cases of Zimura-related intraocular inflammation, cases of Zimura-related increased intraocular pressure, cases of endophthalmitis, or discontinuations attributed by investigators to Zimura. We believe the investigator reported CNV rate in the study eye for patients receiving Zimura as compared to sham and the untreated fellow eyes during the trial is within an acceptable range when compared to published clinical trial data for another complement inhibitor currently in development for GA. The most frequently reported ocular adverse events in the GATHER1 trial were related to the injection procedure.</w:t>
      </w:r>
    </w:p>
    <w:p>
      <w:pPr>
        <w:spacing w:after="0" w:line="125" w:lineRule="exact"/>
        <w:rPr>
          <w:sz w:val="20"/>
          <w:szCs w:val="20"/>
          <w:color w:val="auto"/>
        </w:rPr>
      </w:pPr>
    </w:p>
    <w:p>
      <w:pPr>
        <w:ind w:right="100" w:firstLine="177"/>
        <w:spacing w:after="0" w:line="290" w:lineRule="auto"/>
        <w:rPr>
          <w:sz w:val="20"/>
          <w:szCs w:val="20"/>
          <w:color w:val="auto"/>
        </w:rPr>
      </w:pPr>
      <w:r>
        <w:rPr>
          <w:rFonts w:ascii="Arial" w:cs="Arial" w:eastAsia="Arial" w:hAnsi="Arial"/>
          <w:sz w:val="16"/>
          <w:szCs w:val="16"/>
          <w:color w:val="auto"/>
        </w:rPr>
        <w:t>To demonstrate the safety of Zimura to a degree sufficient to support marketing approval, we believe that the FDA and EMA would require data from a minimum of 300 patients having received the dose of Zimura for which we are seeking approval, or a higher Zimura dose, independent of indication, for a minimum of 12 months, with 24-month safety data available for some portion, but not all, of these 300 patients. Including patients randomized to the Zimura 4 mg group in the STAR trial of Zimura for STDG1, we believe that we currently have 12-month safety data for approximately 140 patients who have received either monthly Zimura 2 mg or Zimura 4 mg for 12 months or more. Based on the safety profile of Zimura observed to date in these patients and the number of patients treated, we believe that the remaining minimum safety requirements could potentially be satisfied through a single additional, pivotal clinical trial providing for monthly administrations of Zimura 2 mg over 12 months, at which point the primary efficacy analysis would be performed, with treatment extending to 24 months for the overall safety analysis, with the potential for less frequent dosing after month 12.</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Requirements for Efficacy Data</w:t>
      </w:r>
    </w:p>
    <w:p>
      <w:pPr>
        <w:spacing w:after="0" w:line="158" w:lineRule="exact"/>
        <w:rPr>
          <w:sz w:val="20"/>
          <w:szCs w:val="20"/>
          <w:color w:val="auto"/>
        </w:rPr>
      </w:pPr>
    </w:p>
    <w:p>
      <w:pPr>
        <w:jc w:val="both"/>
        <w:ind w:right="100" w:firstLine="170"/>
        <w:spacing w:after="0" w:line="286" w:lineRule="auto"/>
        <w:rPr>
          <w:sz w:val="20"/>
          <w:szCs w:val="20"/>
          <w:color w:val="auto"/>
        </w:rPr>
      </w:pPr>
      <w:r>
        <w:rPr>
          <w:rFonts w:ascii="Arial" w:cs="Arial" w:eastAsia="Arial" w:hAnsi="Arial"/>
          <w:sz w:val="17"/>
          <w:szCs w:val="17"/>
          <w:color w:val="auto"/>
        </w:rPr>
        <w:t>As described above, we believe that reduction in the rate of GA growth over 12 months, based on measurements over three time points (baseline, month 6 and month 12) is an efficacy endpoint that the FDA and EMA would likely accept in considering Zimura for approval for the treatment of GA secondary to AMD. The measurements for this endpoint are performed by a masked independent reading center to minimize the potential for bias.</w:t>
      </w:r>
    </w:p>
    <w:p>
      <w:pPr>
        <w:spacing w:after="0" w:line="98" w:lineRule="exact"/>
        <w:rPr>
          <w:sz w:val="20"/>
          <w:szCs w:val="20"/>
          <w:color w:val="auto"/>
        </w:rPr>
      </w:pPr>
    </w:p>
    <w:p>
      <w:pPr>
        <w:ind w:right="60" w:firstLine="180"/>
        <w:spacing w:after="0" w:line="275" w:lineRule="auto"/>
        <w:rPr>
          <w:sz w:val="20"/>
          <w:szCs w:val="20"/>
          <w:color w:val="auto"/>
        </w:rPr>
      </w:pPr>
      <w:r>
        <w:rPr>
          <w:rFonts w:ascii="Arial" w:cs="Arial" w:eastAsia="Arial" w:hAnsi="Arial"/>
          <w:sz w:val="17"/>
          <w:szCs w:val="17"/>
          <w:i w:val="1"/>
          <w:iCs w:val="1"/>
          <w:color w:val="auto"/>
        </w:rPr>
        <w:t>Statistical Significance</w:t>
      </w:r>
      <w:r>
        <w:rPr>
          <w:rFonts w:ascii="Arial" w:cs="Arial" w:eastAsia="Arial" w:hAnsi="Arial"/>
          <w:sz w:val="17"/>
          <w:szCs w:val="17"/>
          <w:color w:val="auto"/>
        </w:rPr>
        <w:t>. In our GATHER1 trial, the reduction in the mean rate of GA growth over 12 months using the square root transformation was</w:t>
      </w:r>
      <w:r>
        <w:rPr>
          <w:rFonts w:ascii="Arial" w:cs="Arial" w:eastAsia="Arial" w:hAnsi="Arial"/>
          <w:sz w:val="17"/>
          <w:szCs w:val="17"/>
          <w:i w:val="1"/>
          <w:iCs w:val="1"/>
          <w:color w:val="auto"/>
        </w:rPr>
        <w:t xml:space="preserve"> </w:t>
      </w:r>
      <w:r>
        <w:rPr>
          <w:rFonts w:ascii="Arial" w:cs="Arial" w:eastAsia="Arial" w:hAnsi="Arial"/>
          <w:sz w:val="17"/>
          <w:szCs w:val="17"/>
          <w:color w:val="auto"/>
        </w:rPr>
        <w:t>0.110 mm (p-value = 0.0072) for the Zimura 2 mg group as compared to the corresponding sham control group and 0.124 mm (p-value = 0.0051) for the Zimura 4 mg group as compared to the corresponding sham control group, corresponding to an approximate 27% relative reduction in the mean rate of GA growth over 12 months when compared with sham. These data for both dose groups were statistically significant. See above under “Primary Efficacy Endpoint Data” for a discussion of the procedures we used to confirm the statistical significance of these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180"/>
        <w:spacing w:after="0" w:line="269" w:lineRule="auto"/>
        <w:rPr>
          <w:sz w:val="20"/>
          <w:szCs w:val="20"/>
          <w:color w:val="auto"/>
        </w:rPr>
      </w:pPr>
      <w:r>
        <w:rPr>
          <w:rFonts w:ascii="Arial" w:cs="Arial" w:eastAsia="Arial" w:hAnsi="Arial"/>
          <w:sz w:val="17"/>
          <w:szCs w:val="17"/>
          <w:i w:val="1"/>
          <w:iCs w:val="1"/>
          <w:color w:val="auto"/>
        </w:rPr>
        <w:t>Clinical Relevance</w:t>
      </w:r>
      <w:r>
        <w:rPr>
          <w:rFonts w:ascii="Arial" w:cs="Arial" w:eastAsia="Arial" w:hAnsi="Arial"/>
          <w:sz w:val="17"/>
          <w:szCs w:val="17"/>
          <w:color w:val="auto"/>
        </w:rPr>
        <w:t>. Clinical relevance refers to an assessment of how meaningful the observed outcome is or would be for patients. The FDA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authorities consult with clinicians in the field of study to advise on the relevance of an observed outcome for patients. Although there are no FDA or EMA approved therapies for the treatment of GA secondary to AMD, we understand that based on recent FDA guidance on human gene therapy products for retinal disorders, the FDA considers best curve fit analyses, such as an MRM model, that demonstrates a statistically significant reduction in the rate of photoreceptor loss, as determined based on FAF images, in a manner that includes measurements at baseline, month 6 and month 12, to be clinically meaningful. Our MRM uses a straight line analysis, which we believe satisfies the FDA's requirement for a best curve fit analysis. We also believe that our anatomic endpoint, reduction in the mean rate of GA growth, is an endpoint that the FDA would consider as a clinically relevant indicator of a reduced rate of photoreceptor loss. Since established literature and clinical experience indicates that patients' functional vision is impacted by the growth of the GA over time, which ultimately leads to severe vision loss, we believe that reduction of GA growth would have a meaningful impact on the patients’ well-being and quality of life and therefore is clinically relevant.</w:t>
      </w:r>
    </w:p>
    <w:p>
      <w:pPr>
        <w:spacing w:after="0" w:line="118" w:lineRule="exact"/>
        <w:rPr>
          <w:sz w:val="20"/>
          <w:szCs w:val="20"/>
          <w:color w:val="auto"/>
        </w:rPr>
      </w:pPr>
    </w:p>
    <w:p>
      <w:pPr>
        <w:ind w:right="60" w:firstLine="180"/>
        <w:spacing w:after="0" w:line="290" w:lineRule="auto"/>
        <w:rPr>
          <w:sz w:val="20"/>
          <w:szCs w:val="20"/>
          <w:color w:val="auto"/>
        </w:rPr>
      </w:pPr>
      <w:r>
        <w:rPr>
          <w:rFonts w:ascii="Arial" w:cs="Arial" w:eastAsia="Arial" w:hAnsi="Arial"/>
          <w:sz w:val="16"/>
          <w:szCs w:val="16"/>
          <w:i w:val="1"/>
          <w:iCs w:val="1"/>
          <w:color w:val="auto"/>
        </w:rPr>
        <w:t>Robustness</w:t>
      </w:r>
      <w:r>
        <w:rPr>
          <w:rFonts w:ascii="Arial" w:cs="Arial" w:eastAsia="Arial" w:hAnsi="Arial"/>
          <w:sz w:val="16"/>
          <w:szCs w:val="16"/>
          <w:color w:val="auto"/>
        </w:rPr>
        <w:t>. In addition to statistical significance and clinical relevance, data from pivotal clinical trials must be robust. The International Conference on</w:t>
      </w:r>
      <w:r>
        <w:rPr>
          <w:rFonts w:ascii="Arial" w:cs="Arial" w:eastAsia="Arial" w:hAnsi="Arial"/>
          <w:sz w:val="16"/>
          <w:szCs w:val="16"/>
          <w:i w:val="1"/>
          <w:iCs w:val="1"/>
          <w:color w:val="auto"/>
        </w:rPr>
        <w:t xml:space="preserve"> </w:t>
      </w:r>
      <w:r>
        <w:rPr>
          <w:rFonts w:ascii="Arial" w:cs="Arial" w:eastAsia="Arial" w:hAnsi="Arial"/>
          <w:sz w:val="16"/>
          <w:szCs w:val="16"/>
          <w:color w:val="auto"/>
        </w:rPr>
        <w:t>Harmonization of Technical Requirements for Registration of Pharmaceuticals for Human Use defines robustness as a concept that refers to the sensitivity of the overall conclusions to various limitations of the data, assumptions, and analytic approaches to data analysis. GATHER1 is an international, randomized, double-masked, sham controlled, multi-center clinical trial. The primary endpoint, the statistical analysis of which was prespecified, is an objective anatomic endpoint based on measurements performed by a masked independent reading center. The images are analyzed by two experienced image readers, with any discrepancy of greater than 10% arbitrated by the reading center director, who is a recognized expert in the field of GA. The patients, investigators, independent reading center and we as the sponsor each remain masked throughout the duration of the entire trial, which in the case of the GATHER1 trial, means each of us remained masked until after the 18-month time-point.</w:t>
      </w:r>
    </w:p>
    <w:p>
      <w:pPr>
        <w:spacing w:after="0" w:line="84" w:lineRule="exact"/>
        <w:rPr>
          <w:sz w:val="20"/>
          <w:szCs w:val="20"/>
          <w:color w:val="auto"/>
        </w:rPr>
      </w:pPr>
    </w:p>
    <w:p>
      <w:pPr>
        <w:ind w:right="20" w:firstLine="180"/>
        <w:spacing w:after="0" w:line="275" w:lineRule="auto"/>
        <w:rPr>
          <w:sz w:val="20"/>
          <w:szCs w:val="20"/>
          <w:color w:val="auto"/>
        </w:rPr>
      </w:pPr>
      <w:r>
        <w:rPr>
          <w:rFonts w:ascii="Arial" w:cs="Arial" w:eastAsia="Arial" w:hAnsi="Arial"/>
          <w:sz w:val="17"/>
          <w:szCs w:val="17"/>
          <w:color w:val="auto"/>
        </w:rPr>
        <w:t>In clinical trials, it is common for data for some number of subjects to be missing for assessments performed throughout the trial. The degree of data that is missing from a clinical data set can impact the robustness of the data. See above under “Statistical Analysis for Efficacy Measures” for information regarding the GA measurement data that was missing from the analysis of the primary efficacy endpoint in the GATHER1 trial, as well as a description of the sensitivity analyses we have performed. Based on our sensitivity analyses, and accounting for the data missing from our data set because of patient withdrawals or for other reasons, we believe the statistical analysis for the 12 month data from the GATHER1 trial is robust.</w:t>
      </w:r>
    </w:p>
    <w:p>
      <w:pPr>
        <w:spacing w:after="0" w:line="109" w:lineRule="exact"/>
        <w:rPr>
          <w:sz w:val="20"/>
          <w:szCs w:val="20"/>
          <w:color w:val="auto"/>
        </w:rPr>
      </w:pPr>
    </w:p>
    <w:p>
      <w:pPr>
        <w:jc w:val="both"/>
        <w:ind w:firstLine="170"/>
        <w:spacing w:after="0" w:line="286" w:lineRule="auto"/>
        <w:rPr>
          <w:sz w:val="20"/>
          <w:szCs w:val="20"/>
          <w:color w:val="auto"/>
        </w:rPr>
      </w:pPr>
      <w:r>
        <w:rPr>
          <w:rFonts w:ascii="Arial" w:cs="Arial" w:eastAsia="Arial" w:hAnsi="Arial"/>
          <w:sz w:val="16"/>
          <w:szCs w:val="16"/>
          <w:color w:val="auto"/>
        </w:rPr>
        <w:t>Although we seek to apply our enrollment criteria consistently, there may be instances where an investigator proposes a patient to participate in the trial and the reading center determines that, although a patient may not meet all criteria precisely, participation in the trial is warranted based on the overall GA pattern and size. For example, this can result in the enrollment of patients with baseline GA area slightly below 1 disc area, as was the case with one patient in each of the Zimura 4 mg group and the Part 2 sham control group (which is part of the comparison for both the Zimura 2 mg and Zimura 4 mg groups).</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These patients have been included in the ITT analysis for our primary efficacy endpoint. The FDA, EMA or other regulatory authorities may not agree with the inclusion of these patients in our statistical analysis, which could impact the robustness of our conclusions.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Regulatory Pathway Following GATHER1</w:t>
      </w:r>
    </w:p>
    <w:p>
      <w:pPr>
        <w:spacing w:after="0" w:line="144"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Based on the foregoing, assuming that Zimura’s safety profile remains consistent with findings observed to date and subject to regulatory review of the robustness of the GATHER1 trial results, we believe that one additional international, randomized, double-masked, sham controlled, Phase 3 clinical trial is needed to demonstrate the safety and efficacy of Zimura in GA secondary to AMD in a manner sufficient to support an application for regulatory approval from the FDA and EMA in this indication. We designed the GATHER2 trial in accordance with this belief and understanding. Our belief and understanding of the remaining clinical requirements to demonstrate the safety and efficacy of Zimura for the treatment of GA secondary to AMD in a manner sufficient to support an application for regulatory approval from the FDA and EMA is based on our review of the data from the GATHER1 trial as well as informal discussions with the FDA. We have not had a formal interaction with the FDA or any interactions with the EMA regarding the GATHER1 data. It is possible that unexpected or inconsistent findings could emerge as we continue to evaluate the unmasked, individual patient data, which could cause us to evaluate and change our conclusions about this data. Our expectations regarding the minimum clinical requirements to demonstrate the safety and efficacy of Zimura for GA may change as new regulatory or third party information becomes available. Ultimately, for the GATHER1 trial to be accepted as a pivotal trial, the FDA, EMA and other regulatory authorities would need to agree that the overall data package from the GATHER1 trial and a subsequent pivotal clinical trial, such as GATHER2, meet the applicable requirements and are sufficiently robust to demonstrate an acceptable safety profile, together with a clinically relevant efficacy outcome with statistical significance, and that the data support an overall favorable benefit-to-risk determination.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GATHER2: Ongoing Phase 3 Clinical Trial Assessing Safety and Efficacy of Zimura 2 mg for GA Secondary to AMD</w:t>
      </w:r>
    </w:p>
    <w:p>
      <w:pPr>
        <w:spacing w:after="0" w:line="15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this trial, we plan to enroll approximately 400 patients, who will be randomized into two groups: a first group receiving monthly administrations of Zimura 2 mg for 12 months, and a second group receiving monthly administrations of sham. The prespecified primary endpoint will be the mean rate of change in GA growth over 12 months, as measured by FAF based on readings at three time points: baseline, month 6 and month 12, calculated using the square root transformation of the GA area, which is the same primary efficacy endpoint we used for the GATHER1 trial. At month 12, we plan to re-randomize patients in the Zimura 2 mg arm to receive either monthly or every other month administrations of Zimura 2 mg, and all patients receiving monthly administrations of sham will continue to receive monthly administrations of sham. We plan to treat and follow all patients for 24 months.</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key ophthalmic inclusion criteria for GATHER2 include the following:</w:t>
      </w:r>
    </w:p>
    <w:p>
      <w:pPr>
        <w:spacing w:after="0" w:line="15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non-foveal GA secondary to dry AMD;</w:t>
      </w:r>
    </w:p>
    <w:p>
      <w:pPr>
        <w:spacing w:after="0" w:line="152"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GA area between 2.5 mm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17.5 mm</w:t>
      </w:r>
      <w:r>
        <w:rPr>
          <w:rFonts w:ascii="Arial" w:cs="Arial" w:eastAsia="Arial" w:hAnsi="Arial"/>
          <w:sz w:val="23"/>
          <w:szCs w:val="23"/>
          <w:color w:val="auto"/>
          <w:vertAlign w:val="superscript"/>
        </w:rPr>
        <w:t>2</w:t>
      </w:r>
      <w:r>
        <w:rPr>
          <w:rFonts w:ascii="Arial" w:cs="Arial" w:eastAsia="Arial" w:hAnsi="Arial"/>
          <w:sz w:val="18"/>
          <w:szCs w:val="18"/>
          <w:color w:val="auto"/>
        </w:rPr>
        <w:t>, inclusive;</w:t>
      </w:r>
    </w:p>
    <w:p>
      <w:pPr>
        <w:spacing w:after="0" w:line="9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GA is multifocal, at least one focal lesion should measure 1.25 mm</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greater;</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 in part within 1500 microns from the foveal center;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Snellen equivalent BVCA in the study eye between 20/25 and 20/320, inclusive.</w:t>
      </w:r>
    </w:p>
    <w:p>
      <w:pPr>
        <w:spacing w:after="0" w:line="144" w:lineRule="exact"/>
        <w:rPr>
          <w:sz w:val="20"/>
          <w:szCs w:val="20"/>
          <w:color w:val="auto"/>
        </w:rPr>
      </w:pPr>
    </w:p>
    <w:p>
      <w:pPr>
        <w:ind w:right="40" w:firstLine="170"/>
        <w:spacing w:after="0" w:line="269" w:lineRule="auto"/>
        <w:rPr>
          <w:sz w:val="20"/>
          <w:szCs w:val="20"/>
          <w:color w:val="auto"/>
        </w:rPr>
      </w:pPr>
      <w:r>
        <w:rPr>
          <w:rFonts w:ascii="Arial" w:cs="Arial" w:eastAsia="Arial" w:hAnsi="Arial"/>
          <w:sz w:val="17"/>
          <w:szCs w:val="17"/>
          <w:color w:val="auto"/>
        </w:rPr>
        <w:t>As discussed above, when we initiated the GATHER1 trial, we did not believe that reliable measurements of GA by FAF images for patients with CNV in the study eye could be performed. Therefore, in the clinical trial protocol for the GATHER1 trial, we indicated that patients in any arm of the trial who developed CNV in the study eye, as observed by the investigator, would be removed from the trial and any future study treatments and assessments. Based on third-party clinical data published since the GATHER1 trial commenced and discussions with our independent reading center, we believe that GA for patients developing CNV in the study eye who receive standard of care anti-VEGF treatment for the CNV, could potentially be assessed by FAF. Based on the foregoing, the protocol for GATHER2 provides that patients will undergo monthly OCT imaging, and if an investigator suspects that a patient has CNV or if a patient experiences a decrease in visual acuity, as measured by a loss of more than five ETDRS letters between a visit and the immediately prior visit, the independent masked reading center will confirm whether the patient has CNV using multi-modal imaging. In the event a CNV case is confirmed, the investigator will treat the CNV with one of two anti-VEGF agents, Lucentis or Eylea® (aflibercept), in accordance with the label for that anti-VEGF agent. These patients will remain in the trial and measurements of these patients' GA will be included in the primary efficacy analysis if their FAF images can be assessed by the masked reading center.</w:t>
      </w:r>
    </w:p>
    <w:p>
      <w:pPr>
        <w:spacing w:after="0" w:line="11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June 2020, we dosed the first patient in GATHER2. We are continuing to recruit and enroll patients in this trial and expect to complete patient enrollment during the third quarter of 2021. Meanwhile, we continue to monitor the COVID-19 pandemic closely and may need to slow down or stop patient enrollment in certain geographies depending on the local situation. We have added sites to this trial due to the ongoing and variable nature of the COVID-19 pandemic and its potential impact on patient recruitment and retention.</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OPH2001: Completed Phase 1/2a Clinical Trial of Zimura for GA Secondary to Dry AMD</w:t>
      </w:r>
    </w:p>
    <w:p>
      <w:pPr>
        <w:spacing w:after="0" w:line="252" w:lineRule="exact"/>
        <w:rPr>
          <w:sz w:val="20"/>
          <w:szCs w:val="20"/>
          <w:color w:val="auto"/>
        </w:rPr>
      </w:pPr>
    </w:p>
    <w:p>
      <w:pPr>
        <w:ind w:right="40" w:firstLine="180"/>
        <w:spacing w:after="0" w:line="279" w:lineRule="auto"/>
        <w:rPr>
          <w:sz w:val="20"/>
          <w:szCs w:val="20"/>
          <w:color w:val="auto"/>
        </w:rPr>
      </w:pPr>
      <w:r>
        <w:rPr>
          <w:rFonts w:ascii="Arial" w:cs="Arial" w:eastAsia="Arial" w:hAnsi="Arial"/>
          <w:sz w:val="17"/>
          <w:szCs w:val="17"/>
          <w:color w:val="auto"/>
        </w:rPr>
        <w:t>In 2011, we completed a multicenter, uncontrolled, open label Phase 1/2a clinical trial to evaluate the safety and tolerability of Zimura administered as a monotherapy in patients with GA. We enrolled 47 patients in this trial. We randomly assigned patients in this trial to one of two dose groups. Patients received a total of five intravitreal injections of either 0.3 mg or 1 mg of Zimura over a 36-week treatment period. Patients received an intravitreal injection of Zimura at day 0, week 4, week 8, week 24 and week 36 of the trial, with a final follow-up visit at week 48.</w:t>
      </w:r>
    </w:p>
    <w:p>
      <w:pPr>
        <w:spacing w:after="0" w:line="198" w:lineRule="exact"/>
        <w:rPr>
          <w:sz w:val="20"/>
          <w:szCs w:val="20"/>
          <w:color w:val="auto"/>
        </w:rPr>
      </w:pPr>
    </w:p>
    <w:p>
      <w:pPr>
        <w:ind w:right="80" w:firstLine="180"/>
        <w:spacing w:after="0" w:line="263" w:lineRule="auto"/>
        <w:rPr>
          <w:sz w:val="20"/>
          <w:szCs w:val="20"/>
          <w:color w:val="auto"/>
        </w:rPr>
      </w:pPr>
      <w:r>
        <w:rPr>
          <w:rFonts w:ascii="Arial" w:cs="Arial" w:eastAsia="Arial" w:hAnsi="Arial"/>
          <w:sz w:val="18"/>
          <w:szCs w:val="18"/>
          <w:color w:val="auto"/>
        </w:rPr>
        <w:t>Zimura was generally well-tolerated in this trial. We did not observe any evidence of drug related adverse events. We also did not observe any incidence of conversion to wet AMD in eyes treated with Zimura. Adverse events were primarily ocular adverse events in the study eye which were related to the injection procedure.</w:t>
      </w:r>
    </w:p>
    <w:p>
      <w:pPr>
        <w:spacing w:after="0" w:line="211" w:lineRule="exact"/>
        <w:rPr>
          <w:sz w:val="20"/>
          <w:szCs w:val="20"/>
          <w:color w:val="auto"/>
        </w:rPr>
      </w:pPr>
    </w:p>
    <w:p>
      <w:pPr>
        <w:ind w:right="120" w:firstLine="180"/>
        <w:spacing w:after="0" w:line="342" w:lineRule="auto"/>
        <w:rPr>
          <w:sz w:val="20"/>
          <w:szCs w:val="20"/>
          <w:color w:val="auto"/>
        </w:rPr>
      </w:pPr>
      <w:r>
        <w:rPr>
          <w:rFonts w:ascii="Arial" w:cs="Arial" w:eastAsia="Arial" w:hAnsi="Arial"/>
          <w:sz w:val="16"/>
          <w:szCs w:val="16"/>
          <w:color w:val="auto"/>
        </w:rPr>
        <w:t>In addition, we performed assessments of visual acuity to detect any potential decrease in vision associated with intravitreal injections, the administered drug or natural progression of the disease if left untreated. We did not identify any drug related safety issues through measurements of visual acuity.</w:t>
      </w:r>
    </w:p>
    <w:p>
      <w:pPr>
        <w:spacing w:after="0" w:line="151" w:lineRule="exact"/>
        <w:rPr>
          <w:sz w:val="20"/>
          <w:szCs w:val="20"/>
          <w:color w:val="auto"/>
        </w:rPr>
      </w:pPr>
    </w:p>
    <w:p>
      <w:pPr>
        <w:ind w:right="20" w:firstLine="180"/>
        <w:spacing w:after="0" w:line="277" w:lineRule="auto"/>
        <w:rPr>
          <w:sz w:val="20"/>
          <w:szCs w:val="20"/>
          <w:color w:val="auto"/>
        </w:rPr>
      </w:pPr>
      <w:r>
        <w:rPr>
          <w:rFonts w:ascii="Arial" w:cs="Arial" w:eastAsia="Arial" w:hAnsi="Arial"/>
          <w:sz w:val="18"/>
          <w:szCs w:val="18"/>
          <w:color w:val="auto"/>
        </w:rPr>
        <w:t>Our Phase 1/2a clinical trial was an uncontrolled study with a small sample size and was not powered to detect a difference between Zimura dose groups, or the efficacy of Zimura monotherapy, with statistical significance. The primary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purpose of the study was to assess safety and tolerability. However, during the more frequent dosing period, which is the first 24 weeks, we observed a trend, in favor of the higher of two dose groups, of a relative reduction in the mean growth of the GA lesion area, as measured by fundus autofluorescence images read by an independent reading center.</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mean growth from baseline in the GA lesion area during the first 24 weeks of the trial, when the injections were administered more regularly, was</w:t>
      </w:r>
    </w:p>
    <w:p>
      <w:pPr>
        <w:spacing w:after="0" w:line="3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1.00 mm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for the 24 patients receiving the 0.3 mg dose and 0.78 mm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for the 23 patients receiving the 1 mg dose. When the injections were administered on a reduced dosing schedule during the subsequent 24 weeks, this relative trend in reduced growth in GA lesion area was no longer present.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graph sets forth the mean change in GA lesion area from baseline for the two treatment groups over the course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22225</wp:posOffset>
            </wp:positionV>
            <wp:extent cx="4114800" cy="2811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480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believe this apparent trend in the relative reduction of mean growth in GA lesion area when Zimura was dosed more frequently, together with the relative loss of the benefit when Zimura was dosed less frequently, may suggest a possible drug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STGD1 Trials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STAR: Ongoing Phase 2b Clinical Trial of Zimura for STGD1</w:t>
      </w:r>
    </w:p>
    <w:p>
      <w:pPr>
        <w:spacing w:after="0" w:line="252" w:lineRule="exact"/>
        <w:rPr>
          <w:sz w:val="20"/>
          <w:szCs w:val="20"/>
          <w:color w:val="auto"/>
        </w:rPr>
      </w:pPr>
    </w:p>
    <w:p>
      <w:pPr>
        <w:ind w:right="20" w:firstLine="177"/>
        <w:spacing w:after="0" w:line="279" w:lineRule="auto"/>
        <w:rPr>
          <w:sz w:val="20"/>
          <w:szCs w:val="20"/>
          <w:color w:val="auto"/>
        </w:rPr>
      </w:pPr>
      <w:r>
        <w:rPr>
          <w:rFonts w:ascii="Arial" w:cs="Arial" w:eastAsia="Arial" w:hAnsi="Arial"/>
          <w:sz w:val="17"/>
          <w:szCs w:val="17"/>
          <w:color w:val="auto"/>
        </w:rPr>
        <w:t>We initially completed patient enrollment for this clinical trial in February 2019 with a total of 95 patients enrolled, all of whom have completed their scheduled visits as of September 2020. In July 2020, we reopened enrollment in this trial in the United States. We plan to enroll approximately 25 additional patients, with the goal of enrolling a total of approximately 120 patients. Similar to GATHER2, we continue to monitor the COVID-19 pandemic closely and may need to slow down or stop patient enrollment in certain geographies depending on the local situation.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initially enrolled patients were, and any newly enrolled patients are, randomized in a 1:1 ratio as follows:</w:t>
      </w:r>
    </w:p>
    <w:p>
      <w:pPr>
        <w:spacing w:after="0" w:line="252" w:lineRule="exact"/>
        <w:rPr>
          <w:sz w:val="20"/>
          <w:szCs w:val="20"/>
          <w:color w:val="auto"/>
        </w:rPr>
      </w:pPr>
    </w:p>
    <w:p>
      <w:pPr>
        <w:ind w:left="660" w:right="980" w:hanging="328"/>
        <w:spacing w:after="0" w:line="342"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Zimura 2 mg, followed by Zimura 2mg 14 days later, monthly for three months during an induction phase; followed by Zimura 4 mg, administered as two injections of Zimura 2 mg on the same day, monthly for 15 additional months during a maintenance phase; and</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sham injection, followed by a sham injection 14 days later, monthly for three months; followed by two sham injections on the same day, monthly for 15 months.</w:t>
      </w:r>
    </w:p>
    <w:p>
      <w:pPr>
        <w:spacing w:after="0" w:line="197" w:lineRule="exact"/>
        <w:rPr>
          <w:sz w:val="20"/>
          <w:szCs w:val="20"/>
          <w:color w:val="auto"/>
        </w:rPr>
      </w:pPr>
    </w:p>
    <w:p>
      <w:pPr>
        <w:ind w:right="40" w:firstLine="177"/>
        <w:spacing w:after="0" w:line="259" w:lineRule="auto"/>
        <w:rPr>
          <w:sz w:val="20"/>
          <w:szCs w:val="20"/>
          <w:color w:val="auto"/>
        </w:rPr>
      </w:pPr>
      <w:r>
        <w:rPr>
          <w:rFonts w:ascii="Arial" w:cs="Arial" w:eastAsia="Arial" w:hAnsi="Arial"/>
          <w:sz w:val="18"/>
          <w:szCs w:val="18"/>
          <w:color w:val="auto"/>
        </w:rPr>
        <w:t>We plan to evaluate the primary efficacy endpoint in this trial at 18 months. The primary efficacy endpoint is an anatomic endpoint, the mean rate of change in the area of ellipsoid zone defect, as measured by en-face OCT. OCT allows the demonstration of various layers of the retinal tissue, including the ellipsoid zone, which is a part of the photoreceptor cells. Scientific literature correlates defects in the ellipsoid zone with the loss of visual acuity and visual dysfunction. The ellipsoid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zone is rendered in OCT images as a defined layer of photoreceptor cell segments. Areas of defects in the ellipsoid zone can be detected and measured by en-face OCT, which shows an OCT image from the perspective of looking at the retina head-on.</w:t>
      </w:r>
    </w:p>
    <w:p>
      <w:pPr>
        <w:spacing w:after="0" w:line="197" w:lineRule="exact"/>
        <w:rPr>
          <w:sz w:val="20"/>
          <w:szCs w:val="20"/>
          <w:color w:val="auto"/>
        </w:rPr>
      </w:pPr>
    </w:p>
    <w:p>
      <w:pPr>
        <w:ind w:firstLine="177"/>
        <w:spacing w:after="0" w:line="293" w:lineRule="auto"/>
        <w:rPr>
          <w:sz w:val="20"/>
          <w:szCs w:val="20"/>
          <w:color w:val="auto"/>
        </w:rPr>
      </w:pPr>
      <w:r>
        <w:rPr>
          <w:rFonts w:ascii="Arial" w:cs="Arial" w:eastAsia="Arial" w:hAnsi="Arial"/>
          <w:sz w:val="16"/>
          <w:szCs w:val="16"/>
          <w:color w:val="auto"/>
        </w:rPr>
        <w:t>We have not previously studied Zimura in STGD1 patients and thus do not have any clinical data regarding the effect of Zimura in STGD1. We previously engaged the Foundation Fighting Blindness to provide us with data from the Foundation's publicly available ProgStar study, the largest natural history study on Stargardt disease to date. We have used this natural history data, as well as the perspectives of the key opinion leaders involved in the ProgStar study, as resources to assist in the design of the STAR trial. As STGD1 is an orphan indication, to our knowledge there is only very limited natural history data currently available regarding the variability of the planned primary efficacy endpoint in the STGD1 patient population we enrolled in this trial. Given the information above, this trial could be underpowered to demonstrate a potential clinical benefit for Zimura in this indication.</w:t>
      </w:r>
    </w:p>
    <w:p>
      <w:pPr>
        <w:spacing w:after="0" w:line="191" w:lineRule="exact"/>
        <w:rPr>
          <w:sz w:val="20"/>
          <w:szCs w:val="20"/>
          <w:color w:val="auto"/>
        </w:rPr>
      </w:pPr>
    </w:p>
    <w:p>
      <w:pPr>
        <w:ind w:right="140" w:firstLine="180"/>
        <w:spacing w:after="0" w:line="259" w:lineRule="auto"/>
        <w:rPr>
          <w:sz w:val="20"/>
          <w:szCs w:val="20"/>
          <w:color w:val="auto"/>
        </w:rPr>
      </w:pPr>
      <w:r>
        <w:rPr>
          <w:rFonts w:ascii="Arial" w:cs="Arial" w:eastAsia="Arial" w:hAnsi="Arial"/>
          <w:sz w:val="18"/>
          <w:szCs w:val="18"/>
          <w:color w:val="auto"/>
        </w:rPr>
        <w:t>Similar to GATHER1, STAR is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However, we have not yet engaged with the FDA or the EMA about this belief and expectation.</w:t>
      </w:r>
    </w:p>
    <w:p>
      <w:pPr>
        <w:spacing w:after="0" w:line="21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Even though we have reopened patient enrollment, we have been and plan to remain masked to the treatment condition of all patients in the trial. In addition, we have not reviewed and do not plan to review or analyze efficacy data for any patients in the trial, until the 18-month data has been collected and analyzed for all patients enrolled in the trial.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Wet AMD Trials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OPH2000: Completed Phase 1/2a Clinical Trial of Zimura for Wet AMD</w:t>
      </w:r>
    </w:p>
    <w:p>
      <w:pPr>
        <w:spacing w:after="0" w:line="252" w:lineRule="exact"/>
        <w:rPr>
          <w:sz w:val="20"/>
          <w:szCs w:val="20"/>
          <w:color w:val="auto"/>
        </w:rPr>
      </w:pPr>
    </w:p>
    <w:p>
      <w:pPr>
        <w:jc w:val="both"/>
        <w:ind w:right="60" w:firstLine="180"/>
        <w:spacing w:after="0" w:line="286" w:lineRule="auto"/>
        <w:rPr>
          <w:sz w:val="20"/>
          <w:szCs w:val="20"/>
          <w:color w:val="auto"/>
        </w:rPr>
      </w:pPr>
      <w:r>
        <w:rPr>
          <w:rFonts w:ascii="Arial" w:cs="Arial" w:eastAsia="Arial" w:hAnsi="Arial"/>
          <w:sz w:val="17"/>
          <w:szCs w:val="17"/>
          <w:color w:val="auto"/>
        </w:rPr>
        <w:t>In 2009, we completed a multicenter, uncontrolled, ascending dose and parallel group, open-label, first in human Phase 1/2a clinical trial to evaluate the safety and tolerability of multiple intravitreal injections of Zimura given in combination with multiple doses of Lucentis 0.5 mg in patients with wet AMD. We enrolled 60 patients in this trial, of which 58 were treatment-naïve patients, and two were treatment-experienced patients.</w:t>
      </w:r>
    </w:p>
    <w:p>
      <w:pPr>
        <w:spacing w:after="0" w:line="192" w:lineRule="exact"/>
        <w:rPr>
          <w:sz w:val="20"/>
          <w:szCs w:val="20"/>
          <w:color w:val="auto"/>
        </w:rPr>
      </w:pPr>
    </w:p>
    <w:p>
      <w:pPr>
        <w:ind w:right="80" w:firstLine="180"/>
        <w:spacing w:after="0" w:line="254" w:lineRule="auto"/>
        <w:rPr>
          <w:sz w:val="20"/>
          <w:szCs w:val="20"/>
          <w:color w:val="auto"/>
        </w:rPr>
      </w:pPr>
      <w:r>
        <w:rPr>
          <w:rFonts w:ascii="Arial" w:cs="Arial" w:eastAsia="Arial" w:hAnsi="Arial"/>
          <w:sz w:val="18"/>
          <w:szCs w:val="18"/>
          <w:color w:val="auto"/>
        </w:rPr>
        <w:t>Patients were treated at one of five Zimura dose levels: 0.03 mg, 0.3 mg, 1 mg, 2 mg and 3 mg. Zimura was generally well tolerated in this trial when tested in combination with Lucentis. None of the patients experienced any dose limiting toxicities at any of the dose levels tested. We observed only a single adverse event assessed by the investigators to be related to Zimura, mild subcapsular cataract in one patient in the group treated with Zimura 2 mg. Despite this event, this patient's visual acuity improved during the study. Adverse events were primarily ocular adverse events in the study eye which were related to the injection procedure. One patient from the 0.3 mg Zimura treatment group withdrew from the trial as a result of a serious adverse event of bacteremia unrelated to study drug or injection procedure, which resulted in a subsequent fatality. Another patient from the 0.3 mg treatment group withdrew from the trial due to the investigator's decision. Systemic adverse events in this trial were not frequently reported. No systemic adverse events were assessed as drug related.</w:t>
      </w:r>
    </w:p>
    <w:p>
      <w:pPr>
        <w:spacing w:after="0" w:line="219" w:lineRule="exact"/>
        <w:rPr>
          <w:sz w:val="20"/>
          <w:szCs w:val="20"/>
          <w:color w:val="auto"/>
        </w:rPr>
      </w:pPr>
    </w:p>
    <w:p>
      <w:pPr>
        <w:ind w:right="40" w:firstLine="180"/>
        <w:spacing w:after="0" w:line="289" w:lineRule="auto"/>
        <w:rPr>
          <w:sz w:val="20"/>
          <w:szCs w:val="20"/>
          <w:color w:val="auto"/>
        </w:rPr>
      </w:pPr>
      <w:r>
        <w:rPr>
          <w:rFonts w:ascii="Arial" w:cs="Arial" w:eastAsia="Arial" w:hAnsi="Arial"/>
          <w:sz w:val="16"/>
          <w:szCs w:val="16"/>
          <w:color w:val="auto"/>
        </w:rPr>
        <w:t>Our Phase 1/2a clinical trial was an uncontrolled study with a small sample size and was not powered to detect a difference between Zimura dose groups or the efficacy of Zimura combination therapy with statistical significance. The primary purpose of the study was to assess safety and tolerability. In addition to our safety assessment, however, we also performed assessments of visual acuity. There was a general trend towards an improvement in visual acuity seen in all treatment groups. We focused our assessment of vision outcomes on the subgroup of 43 treatment-naïve patients who had received all six Zimura injections at the same dosage. We observed a mean increase in visual acuity from baseline at all time points for these patients, based on the number of ETDRS letters the patient could read. For this subgroup, at week 24 of the trial, we noted improvements in mean visual acuity from baseline as follows: 13.6 letters for the 13 patients receiving the 0.3 mg dose, 11.7 letters for the 15 patients receiving the 1 mg dose and 15.3 letters for the 15 patients receiving the 2 mg dose. In this subgroup, 22 patients (51%) gained at least 15 ETDRS letters, defined as significant visual gain, consisting of six patients (46%) in the 0.3 mg dose group, seven patients (47%) in the 1 mg dose group and nine patients (60%) in the 2 mg dose group.</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OPH2004: Discontinued Phase 2a Trial of Zimura for Treatment-Experienced Wet AMD Patients</w:t>
      </w:r>
    </w:p>
    <w:p>
      <w:pPr>
        <w:spacing w:after="0" w:line="252" w:lineRule="exact"/>
        <w:rPr>
          <w:sz w:val="20"/>
          <w:szCs w:val="20"/>
          <w:color w:val="auto"/>
        </w:rPr>
      </w:pPr>
    </w:p>
    <w:p>
      <w:pPr>
        <w:ind w:right="20" w:firstLine="180"/>
        <w:spacing w:after="0" w:line="257" w:lineRule="auto"/>
        <w:rPr>
          <w:sz w:val="20"/>
          <w:szCs w:val="20"/>
          <w:color w:val="auto"/>
        </w:rPr>
      </w:pPr>
      <w:r>
        <w:rPr>
          <w:rFonts w:ascii="Arial" w:cs="Arial" w:eastAsia="Arial" w:hAnsi="Arial"/>
          <w:sz w:val="18"/>
          <w:szCs w:val="18"/>
          <w:color w:val="auto"/>
        </w:rPr>
        <w:t>During the fourth quarter of 2015, we initiated an open-label Phase 2a clinical trial to evaluate Zimura’s potential role when administered in combination with anti-VEGF therapy for the treatment of wet AMD in anti-VEGF treatment-experienced patients who did not respond adequately to anti-VEGF monotherapy. In 2017, following our reassessment of our Zimura development programs, we stopped enrolling patients in this trial as we determined that we would initiate a new Zimura wet AMD trial, the OPH2007 trial described below, for treatment-naïve patients. One patient continued to receive treatment in this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trial until the first half of 2018. This patient did not experience any drug-related adverse events and there were no unexpected safety issues.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OPH2007: Completed Phase 2a Clinical Trial of Zimura for Treatment-Naïve Wet AMD Patients</w:t>
      </w:r>
    </w:p>
    <w:p>
      <w:pPr>
        <w:spacing w:after="0" w:line="252" w:lineRule="exact"/>
        <w:rPr>
          <w:sz w:val="20"/>
          <w:szCs w:val="20"/>
          <w:color w:val="auto"/>
        </w:rPr>
      </w:pPr>
    </w:p>
    <w:p>
      <w:pPr>
        <w:ind w:right="20" w:firstLine="180"/>
        <w:spacing w:after="0" w:line="263" w:lineRule="auto"/>
        <w:rPr>
          <w:sz w:val="20"/>
          <w:szCs w:val="20"/>
          <w:color w:val="auto"/>
        </w:rPr>
      </w:pPr>
      <w:r>
        <w:rPr>
          <w:rFonts w:ascii="Arial" w:cs="Arial" w:eastAsia="Arial" w:hAnsi="Arial"/>
          <w:sz w:val="18"/>
          <w:szCs w:val="18"/>
          <w:color w:val="auto"/>
        </w:rPr>
        <w:t>In 2018, we completed a randomized, dose-ranging, open-label, multi-center Phase 2a clinical trial of Zimura in combination with Lucentis 0.5 mg to evaluate the safety of different dosing regimens of Zimura in combination with an anti-VEGF agent in treating wet AMD. We enrolled and treated a total of 64 treatment-naïve patients for this trial. We assigned patients in this trial to one of four groups:</w:t>
      </w:r>
    </w:p>
    <w:p>
      <w:pPr>
        <w:spacing w:after="0" w:line="211" w:lineRule="exact"/>
        <w:rPr>
          <w:sz w:val="20"/>
          <w:szCs w:val="20"/>
          <w:color w:val="auto"/>
        </w:rPr>
      </w:pPr>
    </w:p>
    <w:p>
      <w:pPr>
        <w:ind w:left="660" w:right="40" w:hanging="328"/>
        <w:spacing w:after="0" w:line="30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Groups 1 and 2, consisting of ten patients in each group, patients received monthly combination therapy consisting of Lucentis 0.5 mg followed by, in Group 1, Zimura 4 mg two days later and in Group 2, Zimura 2 mg on the same day as the Lucentis treatment;</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Groups 3 and 4, consisting of 22 patients in each group, patients received dosages in two phases, consisting of:</w:t>
      </w:r>
    </w:p>
    <w:p>
      <w:pPr>
        <w:spacing w:after="0" w:line="252" w:lineRule="exact"/>
        <w:rPr>
          <w:rFonts w:ascii="Arial" w:cs="Arial" w:eastAsia="Arial" w:hAnsi="Arial"/>
          <w:sz w:val="18"/>
          <w:szCs w:val="18"/>
          <w:color w:val="auto"/>
        </w:rPr>
      </w:pPr>
    </w:p>
    <w:p>
      <w:pPr>
        <w:ind w:left="1300" w:right="40" w:hanging="320"/>
        <w:spacing w:after="0" w:line="277" w:lineRule="auto"/>
        <w:tabs>
          <w:tab w:leader="none" w:pos="12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first, an induction phase from day one to the second month, during which the patients received Lucentis 0.5 mg followed by Zimura 2 mg on the same day, followed by Zimura 2 mg fourteen days later; and</w:t>
      </w:r>
    </w:p>
    <w:p>
      <w:pPr>
        <w:spacing w:after="0" w:line="197" w:lineRule="exact"/>
        <w:rPr>
          <w:rFonts w:ascii="Arial" w:cs="Arial" w:eastAsia="Arial" w:hAnsi="Arial"/>
          <w:sz w:val="18"/>
          <w:szCs w:val="18"/>
          <w:color w:val="auto"/>
        </w:rPr>
      </w:pPr>
    </w:p>
    <w:p>
      <w:pPr>
        <w:ind w:left="1300" w:right="80" w:hanging="320"/>
        <w:spacing w:after="0" w:line="342" w:lineRule="auto"/>
        <w:tabs>
          <w:tab w:leader="none" w:pos="1296" w:val="left"/>
        </w:tabs>
        <w:numPr>
          <w:ilvl w:val="1"/>
          <w:numId w:val="32"/>
        </w:numPr>
        <w:rPr>
          <w:rFonts w:ascii="Arial" w:cs="Arial" w:eastAsia="Arial" w:hAnsi="Arial"/>
          <w:sz w:val="16"/>
          <w:szCs w:val="16"/>
          <w:color w:val="auto"/>
        </w:rPr>
      </w:pPr>
      <w:r>
        <w:rPr>
          <w:rFonts w:ascii="Arial" w:cs="Arial" w:eastAsia="Arial" w:hAnsi="Arial"/>
          <w:sz w:val="16"/>
          <w:szCs w:val="16"/>
          <w:color w:val="auto"/>
        </w:rPr>
        <w:t>second, a maintenance phase from the third month to the fifth month, during which the patients received, in Group 3, Lucentis 0.5 mg followed by Zimura 2 mg on the same day and in Group 4, Zimura 2 mg followed two days later with Lucentis 0.5 mg and Zimura 2 mg.</w:t>
      </w:r>
    </w:p>
    <w:p>
      <w:pPr>
        <w:spacing w:after="0" w:line="151" w:lineRule="exact"/>
        <w:rPr>
          <w:sz w:val="20"/>
          <w:szCs w:val="20"/>
          <w:color w:val="auto"/>
        </w:rPr>
      </w:pPr>
    </w:p>
    <w:p>
      <w:pPr>
        <w:ind w:right="160" w:firstLine="180"/>
        <w:spacing w:after="0" w:line="342" w:lineRule="auto"/>
        <w:rPr>
          <w:sz w:val="20"/>
          <w:szCs w:val="20"/>
          <w:color w:val="auto"/>
        </w:rPr>
      </w:pPr>
      <w:r>
        <w:rPr>
          <w:rFonts w:ascii="Arial" w:cs="Arial" w:eastAsia="Arial" w:hAnsi="Arial"/>
          <w:sz w:val="16"/>
          <w:szCs w:val="16"/>
          <w:color w:val="auto"/>
        </w:rPr>
        <w:t>From a safety perspective, Zimura combination therapy with Lucentis was generally well tolerated after six months of treatment. The most frequently reported ocular adverse events were related to the injection procedure. We did not observe any adverse events attributable to Zimura combination therapy.</w:t>
      </w:r>
    </w:p>
    <w:p>
      <w:pPr>
        <w:spacing w:after="0" w:line="151"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auto"/>
        </w:rPr>
        <w:t>Our Phase 2a clinical trial was an uncontrolled trial with a small sample size designed to assess safety at different dosages and to detect a potential efficacy signal. This trial was not designed to detect a statistically significant difference between Zimura dose groups or to evaluate the efficacy of Zimura combination therapy with statistical significance.</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evaluated the mean change in BCVA at the six-month timepoint as compared to baseline. The data are summarized as follows:</w:t>
      </w:r>
    </w:p>
    <w:p>
      <w:pPr>
        <w:spacing w:after="0" w:line="252" w:lineRule="exact"/>
        <w:rPr>
          <w:sz w:val="20"/>
          <w:szCs w:val="20"/>
          <w:color w:val="auto"/>
        </w:rPr>
      </w:pPr>
    </w:p>
    <w:p>
      <w:pPr>
        <w:ind w:left="660" w:right="24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Group 1, the mean change in visual acuity was 9.0 ETDRS letters with a median of 7.0 letters, and 40% of the patients gained greater than or equal to three lines of vision, or 15 ETDRS letters, defined as significant visual gain;</w:t>
      </w:r>
    </w:p>
    <w:p>
      <w:pPr>
        <w:spacing w:after="0" w:line="19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Group 2, the mean change in visual acuity was 10.2 ETDRS letters with a median of 16.0 letters, and 60% of patients gained greater than or equal to 15 ETDRS letters;</w:t>
      </w:r>
    </w:p>
    <w:p>
      <w:pPr>
        <w:spacing w:after="0" w:line="197"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Group 3, the mean change in visual acuity was 10.7 ETDRS letters with a median of 10.0 letters, and 40.9% of patients gained greater than or equal to 15 ETDRS letters; and</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Group 4, the mean change in visual acuity was 9.9 ETDRS letters with a median of 11.0 letters, and 18.2% of patients gained greater than or equal to 15 ETDRS letters.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IPCV Trials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OPH2002: Completed Phase 2a Clinical Trial of Zimura for IPCV</w:t>
      </w:r>
    </w:p>
    <w:p>
      <w:pPr>
        <w:spacing w:after="0" w:line="225"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In late 2014, we initiated a very small, uncontrolled, open-label, Phase 2a clinical trial to evaluate Zimura’s potential role when administered in combination with anti-VEGF agents for the treatment of IPCV in treatment-experienced patients for whom anti-VEGF monotherapy failed. IPCV is an age-related disease that is similar to wet AMD and is commonly characterized by leakage under the RPE, subretinal hemorrhage and RPE detachment. We enrolled four patients in the trial. None of the patients had a greater than 15-ETDRS letter decrease in visual acuity, which is considered a significant loss in visual acuity, following treatment in this study. None of the patients experienced any drug-related adverse events and there were no unexpected safety issues from this trial.</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OPH2006: Discontinued Phase 2a Trial of Zimura for IPCV</w:t>
      </w:r>
    </w:p>
    <w:p>
      <w:pPr>
        <w:spacing w:after="0" w:line="252" w:lineRule="exact"/>
        <w:rPr>
          <w:sz w:val="20"/>
          <w:szCs w:val="20"/>
          <w:color w:val="auto"/>
        </w:rPr>
      </w:pPr>
    </w:p>
    <w:p>
      <w:pPr>
        <w:jc w:val="both"/>
        <w:ind w:right="220" w:firstLine="180"/>
        <w:spacing w:after="0" w:line="277" w:lineRule="auto"/>
        <w:rPr>
          <w:sz w:val="20"/>
          <w:szCs w:val="20"/>
          <w:color w:val="auto"/>
        </w:rPr>
      </w:pPr>
      <w:r>
        <w:rPr>
          <w:rFonts w:ascii="Arial" w:cs="Arial" w:eastAsia="Arial" w:hAnsi="Arial"/>
          <w:sz w:val="18"/>
          <w:szCs w:val="18"/>
          <w:color w:val="auto"/>
        </w:rPr>
        <w:t>In late 2017, we initiated a randomized, dose-ranging, open-label Phase 2a clinical trial of Zimura in combination with Eylea in treatment-experienced patients with IPCV. We did not enroll any patients in this clinical trial and decided to discontinue this clinical trial.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IC-500: HtrA1 Inhibitor Product Candidate</w:t>
      </w:r>
    </w:p>
    <w:p>
      <w:pPr>
        <w:spacing w:after="0" w:line="256" w:lineRule="exact"/>
        <w:rPr>
          <w:sz w:val="20"/>
          <w:szCs w:val="20"/>
          <w:color w:val="auto"/>
        </w:rPr>
      </w:pPr>
    </w:p>
    <w:p>
      <w:pPr>
        <w:jc w:val="both"/>
        <w:ind w:right="200" w:firstLine="180"/>
        <w:spacing w:after="0" w:line="301" w:lineRule="auto"/>
        <w:rPr>
          <w:sz w:val="20"/>
          <w:szCs w:val="20"/>
          <w:color w:val="auto"/>
        </w:rPr>
      </w:pPr>
      <w:r>
        <w:rPr>
          <w:rFonts w:ascii="Arial" w:cs="Arial" w:eastAsia="Arial" w:hAnsi="Arial"/>
          <w:sz w:val="16"/>
          <w:szCs w:val="16"/>
          <w:color w:val="auto"/>
        </w:rPr>
        <w:t>In October 2018, we acquired from funds controlled by Versant Ventures a number of HtrA1 inhibitors. In previous experiments conducted before the acquisition, these HtrA1 inhibitors showed high affinity and specificity for HtrA1 when tested in vitro. In 2020, we selected the lead compound from this group of HtrA1 inhibitors, which we call IC-500, for preclinical development. We are currently developing IC-500 for the treatment of GA secondary to AMD and evaluating HtrA1 inhibition as a potential treatment for other stages of AMD and potentially other age-related retinal diseases.</w:t>
      </w:r>
    </w:p>
    <w:p>
      <w:pPr>
        <w:spacing w:after="0" w:line="184" w:lineRule="exact"/>
        <w:rPr>
          <w:sz w:val="20"/>
          <w:szCs w:val="20"/>
          <w:color w:val="auto"/>
        </w:rPr>
      </w:pPr>
    </w:p>
    <w:p>
      <w:pPr>
        <w:ind w:firstLine="177"/>
        <w:spacing w:after="0" w:line="271"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HtrA1</w:t>
      </w:r>
      <w:r>
        <w:rPr>
          <w:rFonts w:ascii="Arial" w:cs="Arial" w:eastAsia="Arial" w:hAnsi="Arial"/>
          <w:sz w:val="17"/>
          <w:szCs w:val="17"/>
          <w:color w:val="auto"/>
        </w:rPr>
        <w:t xml:space="preserve"> gene encodes for an enzyme that may affect cellular structure, function and homeostasis, which is the dynamic equilibrium maintained in cells and tissue required for normal physiology. Genetic linkage studies, including a study published in </w:t>
      </w:r>
      <w:r>
        <w:rPr>
          <w:rFonts w:ascii="Arial" w:cs="Arial" w:eastAsia="Arial" w:hAnsi="Arial"/>
          <w:sz w:val="17"/>
          <w:szCs w:val="17"/>
          <w:i w:val="1"/>
          <w:iCs w:val="1"/>
          <w:color w:val="auto"/>
        </w:rPr>
        <w:t>Molecular Vision</w:t>
      </w:r>
      <w:r>
        <w:rPr>
          <w:rFonts w:ascii="Arial" w:cs="Arial" w:eastAsia="Arial" w:hAnsi="Arial"/>
          <w:sz w:val="17"/>
          <w:szCs w:val="17"/>
          <w:color w:val="auto"/>
        </w:rPr>
        <w:t xml:space="preserve"> in 2017, show a correlation between the expression of HtrA1 and a certain set of genes conferring risk for AMD. A study of post-mortem eyes from subjects with AMD published in </w:t>
      </w:r>
      <w:r>
        <w:rPr>
          <w:rFonts w:ascii="Arial" w:cs="Arial" w:eastAsia="Arial" w:hAnsi="Arial"/>
          <w:sz w:val="17"/>
          <w:szCs w:val="17"/>
          <w:i w:val="1"/>
          <w:iCs w:val="1"/>
          <w:color w:val="auto"/>
        </w:rPr>
        <w:t xml:space="preserve">EBioMedicine </w:t>
      </w:r>
      <w:r>
        <w:rPr>
          <w:rFonts w:ascii="Arial" w:cs="Arial" w:eastAsia="Arial" w:hAnsi="Arial"/>
          <w:sz w:val="17"/>
          <w:szCs w:val="17"/>
          <w:color w:val="auto"/>
        </w:rPr>
        <w:t>in 2018 found overexpression of HtrA1 in RPE cells as compared to the eyes of non-AMD subjects. Additionally, the overexpression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HtrA1 was found,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 published in the same article, to lead to alterations and disruptions in the morphology and function of RPE cells. Although the causal pathway between expression of HtrA1 and AMD is still not well understood, we believe that these findings suggest that HtrA1 overexpression may play a role in AMD and that molecules involved in the regulation and inhibition of HtrA1 may have therapeutic benefit in the treatment of GA secondary to AMD as well as other stages of AMD and potentially other age-related retinal diseases.</w:t>
      </w:r>
    </w:p>
    <w:p>
      <w:pPr>
        <w:spacing w:after="0" w:line="178" w:lineRule="exact"/>
        <w:rPr>
          <w:sz w:val="20"/>
          <w:szCs w:val="20"/>
          <w:color w:val="auto"/>
        </w:rPr>
      </w:pPr>
    </w:p>
    <w:p>
      <w:pPr>
        <w:ind w:right="60" w:firstLine="180"/>
        <w:spacing w:after="0" w:line="254" w:lineRule="auto"/>
        <w:rPr>
          <w:sz w:val="20"/>
          <w:szCs w:val="20"/>
          <w:color w:val="auto"/>
        </w:rPr>
      </w:pPr>
      <w:r>
        <w:rPr>
          <w:rFonts w:ascii="Arial" w:cs="Arial" w:eastAsia="Arial" w:hAnsi="Arial"/>
          <w:sz w:val="18"/>
          <w:szCs w:val="18"/>
          <w:color w:val="auto"/>
        </w:rPr>
        <w:t>In early 2021, we completed a review of our IC-500 development program, which we had previously designed to support monthly dosing in our planned first-in-human clinical trial. We believe that we may be able to establish, at an earlier stage of development, a dosing regimen for IC-500 with less frequent dosing than we had previously planned. As a result, we have revised our development plans and timelines for IC-500 with the goal of including both monthly dosing and a less frequent dosing regimen in our first-in-human clinical trial. Currently, we are planning to initiate a number of preclinical pharmacokinetic, tolerability and target engagement studies for IC-500. We are also conducting additional formulation development activities and planning for cGMP manufacturing activities for IC-500. Based on current timelines and subject to successful preclinical development and cGMP manufacturing, we expect to file an IND for IC-500 during the second half of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Therapy Research and Development Programs</w:t>
      </w:r>
    </w:p>
    <w:p>
      <w:pPr>
        <w:spacing w:after="0" w:line="229" w:lineRule="exact"/>
        <w:rPr>
          <w:sz w:val="20"/>
          <w:szCs w:val="20"/>
          <w:color w:val="auto"/>
        </w:rPr>
      </w:pPr>
    </w:p>
    <w:p>
      <w:pPr>
        <w:ind w:right="200" w:firstLine="180"/>
        <w:spacing w:after="0" w:line="255" w:lineRule="auto"/>
        <w:rPr>
          <w:sz w:val="20"/>
          <w:szCs w:val="20"/>
          <w:color w:val="auto"/>
        </w:rPr>
      </w:pPr>
      <w:r>
        <w:rPr>
          <w:rFonts w:ascii="Arial" w:cs="Arial" w:eastAsia="Arial" w:hAnsi="Arial"/>
          <w:sz w:val="18"/>
          <w:szCs w:val="18"/>
          <w:color w:val="auto"/>
        </w:rPr>
        <w:t>Since 2017, as we evaluated our strategic priorities and the market for orphan and age-related retinal diseases with unmet medical needs, as well as the available technologies in development to potentially address these needs, we have been particularly encouraged by the prospects for gene therapy as a potential treatment option for retinal diseases. We have in-licensed two gene therapy product candidates and established collaborative gene therapy sponsored research programs with three leading academic research institutions in the United States. These sponsored research programs are focused on generating data to support the preclinical development of our gene therapy product candidates and discovering and developing other novel gene therapy technologies to treat a number of orphan IRDs.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Potential of Gene Therapies for Retinal Diseases</w:t>
      </w:r>
    </w:p>
    <w:p>
      <w:pPr>
        <w:spacing w:after="0" w:line="225" w:lineRule="exact"/>
        <w:rPr>
          <w:sz w:val="20"/>
          <w:szCs w:val="20"/>
          <w:color w:val="auto"/>
        </w:rPr>
      </w:pPr>
    </w:p>
    <w:p>
      <w:pPr>
        <w:ind w:right="180" w:firstLine="180"/>
        <w:spacing w:after="0" w:line="289" w:lineRule="auto"/>
        <w:rPr>
          <w:sz w:val="20"/>
          <w:szCs w:val="20"/>
          <w:color w:val="auto"/>
        </w:rPr>
      </w:pPr>
      <w:r>
        <w:rPr>
          <w:rFonts w:ascii="Arial" w:cs="Arial" w:eastAsia="Arial" w:hAnsi="Arial"/>
          <w:sz w:val="16"/>
          <w:szCs w:val="16"/>
          <w:color w:val="auto"/>
        </w:rPr>
        <w:t>Gene therapy consists of delivering DNA encoding for a functional protein to a target tissue to facilitate protein synthesis using a recipient's existing cellular machinery. Gene therapy can be used to replace a non-functional protein produced innately by the subject as a result of a genetic mutation or as a means of producing and delivering a therapeutic protein that would not otherwise be produced within the body. Many IRDs are monogenic, meaning they are caused by mutations in a single gene, and therefore could potentially be addressed by a gene replacement approach. For genetic diseases where the mutant protein has toxic effect, we have been encouraged by the potential for a “knockdown” and “replace” approach in which gene therapy not only can introduce a wildtype version of the gene into the host body but also can suppress the expression of the mutant gene. Furthermore, because gene therapy may result in a lasting, or even permanent, addition to a host body's genetic code, gene therapy has potential for an extended treatment effect through a single administration. We therefore believe that gene therapy also holds promise as a potential treatment for age-related and other non-orphan retinal diseases, especially for diseases where patients might otherwise require chronic therapy over years, if not decades.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180"/>
        <w:spacing w:after="0" w:line="301" w:lineRule="auto"/>
        <w:rPr>
          <w:sz w:val="20"/>
          <w:szCs w:val="20"/>
          <w:color w:val="auto"/>
        </w:rPr>
      </w:pPr>
      <w:r>
        <w:rPr>
          <w:rFonts w:ascii="Arial" w:cs="Arial" w:eastAsia="Arial" w:hAnsi="Arial"/>
          <w:sz w:val="16"/>
          <w:szCs w:val="16"/>
          <w:color w:val="auto"/>
        </w:rPr>
        <w:t>Currently, most gene therapies for application in the eye are administered via subretinal injection. Subretinal injection is a surgical procedure in which the gene therapy vector is injected by a retinal surgeon into the potential space between the photoreceptors and the RPE and often as close as practicable to the site of desired protein expression. Once the vector is present in the target tissue area, the process by which the gene of interest is inserted into host cells by the delivery vehicle can begin. This process is referred to as transduction and the gene therapy delivery vehicle is referred to as a vector.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Products and AAV Vectors</w:t>
      </w:r>
    </w:p>
    <w:p>
      <w:pPr>
        <w:spacing w:after="0" w:line="225" w:lineRule="exact"/>
        <w:rPr>
          <w:sz w:val="20"/>
          <w:szCs w:val="20"/>
          <w:color w:val="auto"/>
        </w:rPr>
      </w:pPr>
    </w:p>
    <w:p>
      <w:pPr>
        <w:ind w:right="80" w:firstLine="170"/>
        <w:spacing w:after="0" w:line="275" w:lineRule="auto"/>
        <w:rPr>
          <w:sz w:val="20"/>
          <w:szCs w:val="20"/>
          <w:color w:val="auto"/>
        </w:rPr>
      </w:pPr>
      <w:r>
        <w:rPr>
          <w:rFonts w:ascii="Arial" w:cs="Arial" w:eastAsia="Arial" w:hAnsi="Arial"/>
          <w:sz w:val="17"/>
          <w:szCs w:val="17"/>
          <w:color w:val="auto"/>
        </w:rPr>
        <w:t>A gene therapy product typically includes the gene of interest, or transgene, together with a promoter sequence. The composition of the transgene may differ from that of the wildtype form of the gene—for example, the gene may be modified to increase the expression of the target protein. Promoters are DNA sequences that are linked to a gene and control the transcription of a gene into RNA in the host body's cells. There are cell-specific promoters, which tend to drive gene expression in particular cell or tissue types - for example, the RPE and photoreceptors. The choice of the specific promoter that is to be linked to a given transgene is an important consideration in constructing a gene therapy product.</w:t>
      </w:r>
    </w:p>
    <w:p>
      <w:pPr>
        <w:spacing w:after="0" w:line="176" w:lineRule="exact"/>
        <w:rPr>
          <w:sz w:val="20"/>
          <w:szCs w:val="20"/>
          <w:color w:val="auto"/>
        </w:rPr>
      </w:pPr>
    </w:p>
    <w:p>
      <w:pPr>
        <w:ind w:right="200" w:firstLine="177"/>
        <w:spacing w:after="0" w:line="257" w:lineRule="auto"/>
        <w:rPr>
          <w:sz w:val="20"/>
          <w:szCs w:val="20"/>
          <w:color w:val="auto"/>
        </w:rPr>
      </w:pPr>
      <w:r>
        <w:rPr>
          <w:rFonts w:ascii="Arial" w:cs="Arial" w:eastAsia="Arial" w:hAnsi="Arial"/>
          <w:sz w:val="18"/>
          <w:szCs w:val="18"/>
          <w:color w:val="auto"/>
        </w:rPr>
        <w:t>The promoter-transgene combination is packaged together into a delivery vehicle to facilitate localization within the relevant tissue within the body. Gene therapies are typically delivered via viral vectors and among those, AAV has become the most common choice for gene therapy applications inside the eye. AAV is a small, non-pathogenic virus. To create the vector, the DNA encoding the AAV viral genes is removed, disarming the virus, and is replaced with the therapeutic gene sequence. In addition to AAV, other gene delivery vehicles include vectors derived from lentivirus and non-viral based vectors.</w:t>
      </w:r>
    </w:p>
    <w:p>
      <w:pPr>
        <w:spacing w:after="0" w:line="188" w:lineRule="exact"/>
        <w:rPr>
          <w:sz w:val="20"/>
          <w:szCs w:val="20"/>
          <w:color w:val="auto"/>
        </w:rPr>
      </w:pPr>
    </w:p>
    <w:p>
      <w:pPr>
        <w:ind w:right="120" w:firstLine="177"/>
        <w:spacing w:after="0" w:line="255" w:lineRule="auto"/>
        <w:rPr>
          <w:sz w:val="20"/>
          <w:szCs w:val="20"/>
          <w:color w:val="auto"/>
        </w:rPr>
      </w:pPr>
      <w:r>
        <w:rPr>
          <w:rFonts w:ascii="Arial" w:cs="Arial" w:eastAsia="Arial" w:hAnsi="Arial"/>
          <w:sz w:val="18"/>
          <w:szCs w:val="18"/>
          <w:color w:val="auto"/>
        </w:rPr>
        <w:t>We are focused on AAV gene therapies, as AAV vectors have generally been found to transduce RPE, photoreceptors and other retinal cells at a high rate, and their safety profile in humans is relatively well-documented as compared to other delivery vehicles, such as lentiviral vectors. Gene editing approaches, such as CRISPR, in which the host DNA is modified, altered or removed via therapeutic intervention, are also emerging as a potential treatment options for genetic diseases. Unlike lentiviral vectors or gene editing approaches, with AAV gene therapy, the delivered genetic cargo does not incorporate into or alter the host cell's existing DNA and chromosomes, but rather remains separate in the host cell, where it can be transcribed by the host cell's existing machinery.</w:t>
      </w:r>
    </w:p>
    <w:p>
      <w:pPr>
        <w:spacing w:after="0" w:line="192" w:lineRule="exact"/>
        <w:rPr>
          <w:sz w:val="20"/>
          <w:szCs w:val="20"/>
          <w:color w:val="auto"/>
        </w:rPr>
      </w:pPr>
    </w:p>
    <w:p>
      <w:pPr>
        <w:ind w:right="60" w:firstLine="177"/>
        <w:spacing w:after="0" w:line="293" w:lineRule="auto"/>
        <w:rPr>
          <w:sz w:val="20"/>
          <w:szCs w:val="20"/>
          <w:color w:val="auto"/>
        </w:rPr>
      </w:pPr>
      <w:r>
        <w:rPr>
          <w:rFonts w:ascii="Arial" w:cs="Arial" w:eastAsia="Arial" w:hAnsi="Arial"/>
          <w:sz w:val="16"/>
          <w:szCs w:val="16"/>
          <w:color w:val="auto"/>
        </w:rPr>
        <w:t>There are several naturally-occurring serotypes of AAV, including AAV2, AAV5, AAV8 and AAV9, as well as countless synthetic AAV serotypes. The AAV genome consists of two genetic sequences: a "Rep" gene that encodes for certain viral life-cycle proteins, and a "Cap" gene that encodes for proteins that form the viral capsid, which is the outer shell of the AAV. Recombinant AAV vectors can be created by combining the Rep sequence for one AAV serotype with the Cap sequence for another AAV serotype. For example, a recombinant AAV 2/5 vector is produced using the AAV2 Rep sequence and the AAV5 Cap sequence to package the transgene inside an AAV5 capsid. Because different capsid proteins have different transduction capabilities within different types of cells, the selection of the capsid serotype is an important consideration in constructing an AAV gene therapy product.</w:t>
      </w:r>
    </w:p>
    <w:p>
      <w:pPr>
        <w:spacing w:after="0" w:line="164" w:lineRule="exact"/>
        <w:rPr>
          <w:sz w:val="20"/>
          <w:szCs w:val="20"/>
          <w:color w:val="auto"/>
        </w:rPr>
      </w:pPr>
    </w:p>
    <w:p>
      <w:pPr>
        <w:ind w:firstLine="180"/>
        <w:spacing w:after="0" w:line="289" w:lineRule="auto"/>
        <w:rPr>
          <w:sz w:val="20"/>
          <w:szCs w:val="20"/>
          <w:color w:val="auto"/>
        </w:rPr>
      </w:pPr>
      <w:r>
        <w:rPr>
          <w:rFonts w:ascii="Arial" w:cs="Arial" w:eastAsia="Arial" w:hAnsi="Arial"/>
          <w:sz w:val="16"/>
          <w:szCs w:val="16"/>
          <w:color w:val="auto"/>
        </w:rPr>
        <w:t xml:space="preserve">One of the primary limitations with AAV gene therapy is AAV's packaging capacity: an AAV vector can hold only up to approximately 4,700 base pairs of DNA, whereas the genes associated with a number of monogenic IRDs, such as the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gene associated with LCA10 and the </w:t>
      </w:r>
      <w:r>
        <w:rPr>
          <w:rFonts w:ascii="Arial" w:cs="Arial" w:eastAsia="Arial" w:hAnsi="Arial"/>
          <w:sz w:val="16"/>
          <w:szCs w:val="16"/>
          <w:i w:val="1"/>
          <w:iCs w:val="1"/>
          <w:color w:val="auto"/>
        </w:rPr>
        <w:t>ABCA4</w:t>
      </w:r>
      <w:r>
        <w:rPr>
          <w:rFonts w:ascii="Arial" w:cs="Arial" w:eastAsia="Arial" w:hAnsi="Arial"/>
          <w:sz w:val="16"/>
          <w:szCs w:val="16"/>
          <w:color w:val="auto"/>
        </w:rPr>
        <w:t xml:space="preserve"> gene associated with STGD1, exceed that size. A possible solution to the size limitation would be to develop a minigene form of transgene that would be small enough to fit within the packaging capacity of AAV, but large enough for the resulting protein to maintain its function. Another potential limitation for AAV and other viral vector gene therapies is the potential to trigger an immune response. Because many types of AAV are naturally occurring, gene therapy patients may have built up neutralizing antibodies to specific AAV serotypes prior to gene therapy administration, which may result in an inflammatory immune response and tissue damage. The safety profile of AAV, however, is well-documented, and furthermore, the relative isolation of the human eye and ocular immune system within the body may mitigate the potential immune response from the administration of AAV into the eye. Our current gene therapy programs, which are described in further detail below, use AAV vectors for delivery of the genetic cargo to cells within the retina.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IC-100: RHO-adRP Product Candidate</w:t>
      </w:r>
    </w:p>
    <w:p>
      <w:pPr>
        <w:spacing w:after="0" w:line="225" w:lineRule="exact"/>
        <w:rPr>
          <w:sz w:val="20"/>
          <w:szCs w:val="20"/>
          <w:color w:val="auto"/>
        </w:rPr>
      </w:pPr>
    </w:p>
    <w:p>
      <w:pPr>
        <w:ind w:right="20" w:firstLine="180"/>
        <w:spacing w:after="0" w:line="259" w:lineRule="auto"/>
        <w:rPr>
          <w:sz w:val="20"/>
          <w:szCs w:val="20"/>
          <w:color w:val="auto"/>
        </w:rPr>
      </w:pPr>
      <w:r>
        <w:rPr>
          <w:rFonts w:ascii="Arial" w:cs="Arial" w:eastAsia="Arial" w:hAnsi="Arial"/>
          <w:sz w:val="18"/>
          <w:szCs w:val="18"/>
          <w:color w:val="auto"/>
        </w:rPr>
        <w:t xml:space="preserve">In June 2018, we entered into an exclusive global license agreement with UFRF and Penn for rights to develop and commercialize IC-100, our novel AAV gene therapy product candidate for the treatment of RHO-adRP. There are over 150 known mutations in the </w:t>
      </w:r>
      <w:r>
        <w:rPr>
          <w:rFonts w:ascii="Arial" w:cs="Arial" w:eastAsia="Arial" w:hAnsi="Arial"/>
          <w:sz w:val="18"/>
          <w:szCs w:val="18"/>
          <w:i w:val="1"/>
          <w:iCs w:val="1"/>
          <w:color w:val="auto"/>
        </w:rPr>
        <w:t>RHO</w:t>
      </w:r>
      <w:r>
        <w:rPr>
          <w:rFonts w:ascii="Arial" w:cs="Arial" w:eastAsia="Arial" w:hAnsi="Arial"/>
          <w:sz w:val="18"/>
          <w:szCs w:val="18"/>
          <w:color w:val="auto"/>
        </w:rPr>
        <w:t xml:space="preserve"> gene that can result in RHO-adRP. In individuals with RHO-adRP, the rhodopsin that is produced by the mutant gene is toxic. The construct for our RHO-adRP product candidate combines in a single AAV2/5 vector: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4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transgene for a highly-efficient, novel short hairpin RNA, or shRNA, designed to target and "knockdown" expression of the subject's innate rhodopsin, regardless of the specific mutation a subject has, with</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transgene for a healthy rhodopsin protein that is resistant to the shRNA.</w:t>
      </w:r>
    </w:p>
    <w:p>
      <w:pPr>
        <w:spacing w:after="0" w:line="158" w:lineRule="exact"/>
        <w:rPr>
          <w:sz w:val="20"/>
          <w:szCs w:val="20"/>
          <w:color w:val="auto"/>
        </w:rPr>
      </w:pPr>
    </w:p>
    <w:p>
      <w:pPr>
        <w:ind w:right="140" w:firstLine="180"/>
        <w:spacing w:after="0" w:line="273" w:lineRule="auto"/>
        <w:rPr>
          <w:sz w:val="20"/>
          <w:szCs w:val="20"/>
          <w:color w:val="auto"/>
        </w:rPr>
      </w:pPr>
      <w:r>
        <w:rPr>
          <w:rFonts w:ascii="Arial" w:cs="Arial" w:eastAsia="Arial" w:hAnsi="Arial"/>
          <w:sz w:val="17"/>
          <w:szCs w:val="17"/>
          <w:color w:val="auto"/>
        </w:rPr>
        <w:t xml:space="preserve">Our RHO-adRP construct was tested by investigators at Penn in a naturally occurring canine model of RHO-adRP, resulting in long term, i.e., over 8 months, anatomic and functional preservation of the photoreceptors, which was demonstrated with histology and electrophysiology. The investigators had initially tested a dual vector construct in which the shRNA and the healthy </w:t>
      </w:r>
      <w:r>
        <w:rPr>
          <w:rFonts w:ascii="Arial" w:cs="Arial" w:eastAsia="Arial" w:hAnsi="Arial"/>
          <w:sz w:val="17"/>
          <w:szCs w:val="17"/>
          <w:i w:val="1"/>
          <w:iCs w:val="1"/>
          <w:color w:val="auto"/>
        </w:rPr>
        <w:t>RHO</w:t>
      </w:r>
      <w:r>
        <w:rPr>
          <w:rFonts w:ascii="Arial" w:cs="Arial" w:eastAsia="Arial" w:hAnsi="Arial"/>
          <w:sz w:val="17"/>
          <w:szCs w:val="17"/>
          <w:color w:val="auto"/>
        </w:rPr>
        <w:t xml:space="preserve"> transgenes were delivered by different AAV vectors. The investigators found, however, that the dual vector approach caused inflammation and other complications in the retina, leading the investigators to develop this single vector construct. The results from these experiments were published by scientists at Penn and UF in </w:t>
      </w:r>
      <w:r>
        <w:rPr>
          <w:rFonts w:ascii="Arial" w:cs="Arial" w:eastAsia="Arial" w:hAnsi="Arial"/>
          <w:sz w:val="17"/>
          <w:szCs w:val="17"/>
          <w:i w:val="1"/>
          <w:iCs w:val="1"/>
          <w:color w:val="auto"/>
        </w:rPr>
        <w:t>PNAS</w:t>
      </w:r>
      <w:r>
        <w:rPr>
          <w:rFonts w:ascii="Arial" w:cs="Arial" w:eastAsia="Arial" w:hAnsi="Arial"/>
          <w:sz w:val="17"/>
          <w:szCs w:val="17"/>
          <w:color w:val="auto"/>
        </w:rPr>
        <w:t xml:space="preserve"> in August 2018 in a paper titled: "Mutation-independent Rhodopsin Gene Therapy by Knockdown and Replacement with a Single AAV Vector."</w:t>
      </w:r>
    </w:p>
    <w:p>
      <w:pPr>
        <w:spacing w:after="0" w:line="110" w:lineRule="exact"/>
        <w:rPr>
          <w:sz w:val="20"/>
          <w:szCs w:val="20"/>
          <w:color w:val="auto"/>
        </w:rPr>
      </w:pPr>
    </w:p>
    <w:p>
      <w:pPr>
        <w:ind w:right="80" w:firstLine="180"/>
        <w:spacing w:after="0" w:line="263" w:lineRule="auto"/>
        <w:rPr>
          <w:sz w:val="20"/>
          <w:szCs w:val="20"/>
          <w:color w:val="auto"/>
        </w:rPr>
      </w:pPr>
      <w:r>
        <w:rPr>
          <w:rFonts w:ascii="Arial" w:cs="Arial" w:eastAsia="Arial" w:hAnsi="Arial"/>
          <w:sz w:val="18"/>
          <w:szCs w:val="18"/>
          <w:color w:val="auto"/>
        </w:rPr>
        <w:t>In addition to the exclusive license agreement, we also entered into a master sponsored research agreement with Penn, facilitated by the Penn Center for Innovation, or PCI, in June 2018, pursuant to which we, together with Penn, conducted a number of additional preclinical studies of IC-100 and a natural history study of RHO-adRP patients.</w:t>
      </w:r>
    </w:p>
    <w:p>
      <w:pPr>
        <w:spacing w:after="0" w:line="103" w:lineRule="exact"/>
        <w:rPr>
          <w:sz w:val="20"/>
          <w:szCs w:val="20"/>
          <w:color w:val="auto"/>
        </w:rPr>
      </w:pPr>
    </w:p>
    <w:p>
      <w:pPr>
        <w:ind w:right="240" w:firstLine="177"/>
        <w:spacing w:after="0" w:line="275" w:lineRule="auto"/>
        <w:rPr>
          <w:sz w:val="20"/>
          <w:szCs w:val="20"/>
          <w:color w:val="auto"/>
        </w:rPr>
      </w:pPr>
      <w:r>
        <w:rPr>
          <w:rFonts w:ascii="Arial" w:cs="Arial" w:eastAsia="Arial" w:hAnsi="Arial"/>
          <w:sz w:val="17"/>
          <w:szCs w:val="17"/>
          <w:color w:val="auto"/>
        </w:rPr>
        <w:t>We are working with a gene therapy CDMO for preclinical and Phase 1/2 clinical supply of IC-100. We are completing manufacturing activities for a cGMP batch of IC-100 produced by our CDMO. We completed toxicology studies of IC-100. We are planning for a Phase 1/2 clinical trial for IC-100, including site selection and other startup activities. We are planning to meet with the FDA to discuss our selected doses for a first-in-human clinical trial before we file an IND for IC-100. Based on current timelines and subject to feedback from the FDA, we plan to file an IND for IC-100 and subject to regulatory review, we expect to begin patient enrollment in a Phase 1/2 clinical trial in the second half of 2021.</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IC-200: Product Candidate for BEST1-Related IRDs</w:t>
      </w:r>
    </w:p>
    <w:p>
      <w:pPr>
        <w:spacing w:after="0" w:line="158" w:lineRule="exact"/>
        <w:rPr>
          <w:sz w:val="20"/>
          <w:szCs w:val="20"/>
          <w:color w:val="auto"/>
        </w:rPr>
      </w:pPr>
    </w:p>
    <w:p>
      <w:pPr>
        <w:ind w:right="40" w:firstLine="180"/>
        <w:spacing w:after="0" w:line="271" w:lineRule="auto"/>
        <w:rPr>
          <w:sz w:val="20"/>
          <w:szCs w:val="20"/>
          <w:color w:val="auto"/>
        </w:rPr>
      </w:pPr>
      <w:r>
        <w:rPr>
          <w:rFonts w:ascii="Arial" w:cs="Arial" w:eastAsia="Arial" w:hAnsi="Arial"/>
          <w:sz w:val="17"/>
          <w:szCs w:val="17"/>
          <w:color w:val="auto"/>
        </w:rPr>
        <w:t xml:space="preserve">In April 2019, we entered into an exclusive global license agreement with Penn and UFRF for rights to develop and commercialize IC-200, our novel AAV gene therapy product candidate for the treatment of Best disease and other </w:t>
      </w:r>
      <w:r>
        <w:rPr>
          <w:rFonts w:ascii="Arial" w:cs="Arial" w:eastAsia="Arial" w:hAnsi="Arial"/>
          <w:sz w:val="17"/>
          <w:szCs w:val="17"/>
          <w:i w:val="1"/>
          <w:iCs w:val="1"/>
          <w:color w:val="auto"/>
        </w:rPr>
        <w:t>BEST1</w:t>
      </w:r>
      <w:r>
        <w:rPr>
          <w:rFonts w:ascii="Arial" w:cs="Arial" w:eastAsia="Arial" w:hAnsi="Arial"/>
          <w:sz w:val="17"/>
          <w:szCs w:val="17"/>
          <w:color w:val="auto"/>
        </w:rPr>
        <w:t xml:space="preserve">-related IRDs. We started developing this product candidate in late 2018 after we entered into an exclusive option agreement with Penn and UFRF for these rights, which we exercised in April 2019 through the license agreement. Investigators at Penn and UFRF tested IC-200 in a naturally occurring autosomal recessive canine model for Best disease, resulting in the reversal of subretinal lesions and micro-detachments associated with the canine disease. The results of this work were published in </w:t>
      </w:r>
      <w:r>
        <w:rPr>
          <w:rFonts w:ascii="Arial" w:cs="Arial" w:eastAsia="Arial" w:hAnsi="Arial"/>
          <w:sz w:val="17"/>
          <w:szCs w:val="17"/>
          <w:i w:val="1"/>
          <w:iCs w:val="1"/>
          <w:color w:val="auto"/>
        </w:rPr>
        <w:t>PNAS</w:t>
      </w:r>
      <w:r>
        <w:rPr>
          <w:rFonts w:ascii="Arial" w:cs="Arial" w:eastAsia="Arial" w:hAnsi="Arial"/>
          <w:sz w:val="17"/>
          <w:szCs w:val="17"/>
          <w:color w:val="auto"/>
        </w:rPr>
        <w:t xml:space="preserve"> in February 2018 in a paper titled: "</w:t>
      </w:r>
      <w:r>
        <w:rPr>
          <w:rFonts w:ascii="Arial" w:cs="Arial" w:eastAsia="Arial" w:hAnsi="Arial"/>
          <w:sz w:val="17"/>
          <w:szCs w:val="17"/>
          <w:i w:val="1"/>
          <w:iCs w:val="1"/>
          <w:color w:val="auto"/>
        </w:rPr>
        <w:t>BEST1</w:t>
      </w:r>
      <w:r>
        <w:rPr>
          <w:rFonts w:ascii="Arial" w:cs="Arial" w:eastAsia="Arial" w:hAnsi="Arial"/>
          <w:sz w:val="17"/>
          <w:szCs w:val="17"/>
          <w:color w:val="auto"/>
        </w:rPr>
        <w:t xml:space="preserve"> gene therapy corrects a diffuse retina-wide microdetachment modulated by light exposure." We believe the results from these experiments in a naturally occurring canine disease model with distinct phenotypic similarities to human Best disease demonstrate the potential therapeutic benefit of IC-200 for </w:t>
      </w:r>
      <w:r>
        <w:rPr>
          <w:rFonts w:ascii="Arial" w:cs="Arial" w:eastAsia="Arial" w:hAnsi="Arial"/>
          <w:sz w:val="17"/>
          <w:szCs w:val="17"/>
          <w:i w:val="1"/>
          <w:iCs w:val="1"/>
          <w:color w:val="auto"/>
        </w:rPr>
        <w:t>BEST1</w:t>
      </w:r>
      <w:r>
        <w:rPr>
          <w:rFonts w:ascii="Arial" w:cs="Arial" w:eastAsia="Arial" w:hAnsi="Arial"/>
          <w:sz w:val="17"/>
          <w:szCs w:val="17"/>
          <w:color w:val="auto"/>
        </w:rPr>
        <w:t>-related IRDs.</w:t>
      </w:r>
    </w:p>
    <w:p>
      <w:pPr>
        <w:spacing w:after="0" w:line="178" w:lineRule="exact"/>
        <w:rPr>
          <w:sz w:val="20"/>
          <w:szCs w:val="20"/>
          <w:color w:val="auto"/>
        </w:rPr>
      </w:pPr>
    </w:p>
    <w:p>
      <w:pPr>
        <w:ind w:right="380" w:firstLine="180"/>
        <w:spacing w:after="0" w:line="286" w:lineRule="auto"/>
        <w:rPr>
          <w:sz w:val="20"/>
          <w:szCs w:val="20"/>
          <w:color w:val="auto"/>
        </w:rPr>
      </w:pPr>
      <w:r>
        <w:rPr>
          <w:rFonts w:ascii="Arial" w:cs="Arial" w:eastAsia="Arial" w:hAnsi="Arial"/>
          <w:sz w:val="17"/>
          <w:szCs w:val="17"/>
          <w:color w:val="auto"/>
        </w:rPr>
        <w:t xml:space="preserve">In October 2018, we also entered into a master sponsored research agreement with Penn (which is separate from the master sponsored research agreement for IC-100), facilitated by PCI, pursuant to which we, together with Penn, are conducting additional preclinical studies of IC-200 as well as natural history studies of patients with autosomal dominant and autosomal recessive forms of </w:t>
      </w:r>
      <w:r>
        <w:rPr>
          <w:rFonts w:ascii="Arial" w:cs="Arial" w:eastAsia="Arial" w:hAnsi="Arial"/>
          <w:sz w:val="17"/>
          <w:szCs w:val="17"/>
          <w:i w:val="1"/>
          <w:iCs w:val="1"/>
          <w:color w:val="auto"/>
        </w:rPr>
        <w:t>BEST1</w:t>
      </w:r>
      <w:r>
        <w:rPr>
          <w:rFonts w:ascii="Arial" w:cs="Arial" w:eastAsia="Arial" w:hAnsi="Arial"/>
          <w:sz w:val="17"/>
          <w:szCs w:val="17"/>
          <w:color w:val="auto"/>
        </w:rPr>
        <w:t>-related IRDs.</w:t>
      </w:r>
    </w:p>
    <w:p>
      <w:pPr>
        <w:spacing w:after="0" w:line="165" w:lineRule="exact"/>
        <w:rPr>
          <w:sz w:val="20"/>
          <w:szCs w:val="20"/>
          <w:color w:val="auto"/>
        </w:rPr>
      </w:pPr>
    </w:p>
    <w:p>
      <w:pPr>
        <w:ind w:firstLine="177"/>
        <w:spacing w:after="0" w:line="257" w:lineRule="auto"/>
        <w:rPr>
          <w:sz w:val="20"/>
          <w:szCs w:val="20"/>
          <w:color w:val="auto"/>
        </w:rPr>
      </w:pPr>
      <w:r>
        <w:rPr>
          <w:rFonts w:ascii="Arial" w:cs="Arial" w:eastAsia="Arial" w:hAnsi="Arial"/>
          <w:sz w:val="18"/>
          <w:szCs w:val="18"/>
          <w:color w:val="auto"/>
        </w:rPr>
        <w:t>We are working with a gene therapy CDMO for preclinical and Phase 1/2 clinical supply of IC-200. We are completing manufacturing activities for a cGMP batch of IC-200 produced by our CDMO. We are conducting other IND-enabling activities, including a toxicology study of IC-200. We are planning for a Phase 1/2 clinical trial for IC-200, including site selection and other startup activities. Based on current timelines and subject to successful completion of preclinical development, we plan to file an IND and subject to regulatory review, begin patient enrollment in a Phase 1/2 clinical trial for IC-200 in the second half of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Minigene Programs</w:t>
      </w:r>
    </w:p>
    <w:p>
      <w:pPr>
        <w:spacing w:after="0" w:line="225"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smaller than the naturally occurring protein, is nonetheless functional for purposes of treating the associated disease.</w:t>
      </w:r>
    </w:p>
    <w:p>
      <w:pPr>
        <w:spacing w:after="0" w:line="106" w:lineRule="exact"/>
        <w:rPr>
          <w:sz w:val="20"/>
          <w:szCs w:val="20"/>
          <w:color w:val="auto"/>
        </w:rPr>
      </w:pPr>
    </w:p>
    <w:p>
      <w:pPr>
        <w:ind w:right="80" w:firstLine="177"/>
        <w:spacing w:after="0" w:line="259" w:lineRule="auto"/>
        <w:rPr>
          <w:sz w:val="20"/>
          <w:szCs w:val="20"/>
          <w:color w:val="auto"/>
        </w:rPr>
      </w:pPr>
      <w:r>
        <w:rPr>
          <w:rFonts w:ascii="Arial" w:cs="Arial" w:eastAsia="Arial" w:hAnsi="Arial"/>
          <w:sz w:val="18"/>
          <w:szCs w:val="18"/>
          <w:color w:val="auto"/>
        </w:rPr>
        <w:t>We are funding several sponsored research programs at UMMS seeking to use a minigene approach to develop new gene therapies for orphan IRDs. We refer to each of these programs by reference to the transgene for which we are seeking to create a minigene therapy. We receive research results from these programs as they become available. UMMS has granted us an option to obtain an exclusive license to any patents or patent applications that result from these programs. We exercised our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option rights for the miniCEP290 program and in July 2019 entered into a license agreement with UMass for exclusive development and commercialization rights to patent rights and know-how for this program.</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miniCEP290 Program for LCA10</w:t>
      </w:r>
    </w:p>
    <w:p>
      <w:pPr>
        <w:spacing w:after="0" w:line="144"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 xml:space="preserve">Our miniCEP290 program is targeting LCA10, which is associated with mutations in 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The naturally occurring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is approximately 8,000 base pairs. In a 2018 publication in </w:t>
      </w:r>
      <w:r>
        <w:rPr>
          <w:rFonts w:ascii="Arial" w:cs="Arial" w:eastAsia="Arial" w:hAnsi="Arial"/>
          <w:sz w:val="18"/>
          <w:szCs w:val="18"/>
          <w:i w:val="1"/>
          <w:iCs w:val="1"/>
          <w:color w:val="auto"/>
        </w:rPr>
        <w:t>Human Gene Therapy</w:t>
      </w:r>
      <w:r>
        <w:rPr>
          <w:rFonts w:ascii="Arial" w:cs="Arial" w:eastAsia="Arial" w:hAnsi="Arial"/>
          <w:sz w:val="18"/>
          <w:szCs w:val="18"/>
          <w:color w:val="auto"/>
        </w:rPr>
        <w:t xml:space="preserve">, researchers at UMMS presented their findings that injection of a </w:t>
      </w:r>
      <w:r>
        <w:rPr>
          <w:rFonts w:ascii="Arial" w:cs="Arial" w:eastAsia="Arial" w:hAnsi="Arial"/>
          <w:sz w:val="18"/>
          <w:szCs w:val="18"/>
          <w:i w:val="1"/>
          <w:iCs w:val="1"/>
          <w:color w:val="auto"/>
        </w:rPr>
        <w:t>CEP290</w:t>
      </w:r>
      <w:r>
        <w:rPr>
          <w:rFonts w:ascii="Arial" w:cs="Arial" w:eastAsia="Arial" w:hAnsi="Arial"/>
          <w:sz w:val="18"/>
          <w:szCs w:val="18"/>
          <w:color w:val="auto"/>
        </w:rPr>
        <w:t xml:space="preserve"> minigene into a newborn mouse model for LCA10 resulted in rescue of photoreceptor cells, as evidenced by both anatomical and functional measures. The goal of this sponsored research is to create and evaluate other </w:t>
      </w:r>
      <w:r>
        <w:rPr>
          <w:rFonts w:ascii="Arial" w:cs="Arial" w:eastAsia="Arial" w:hAnsi="Arial"/>
          <w:sz w:val="18"/>
          <w:szCs w:val="18"/>
          <w:i w:val="1"/>
          <w:iCs w:val="1"/>
          <w:color w:val="auto"/>
        </w:rPr>
        <w:t>CEP290</w:t>
      </w:r>
      <w:r>
        <w:rPr>
          <w:rFonts w:ascii="Arial" w:cs="Arial" w:eastAsia="Arial" w:hAnsi="Arial"/>
          <w:sz w:val="18"/>
          <w:szCs w:val="18"/>
          <w:color w:val="auto"/>
        </w:rPr>
        <w:t xml:space="preserve"> minigene constructs in the mouse model and optimize the effect observed in that publication.</w:t>
      </w:r>
    </w:p>
    <w:p>
      <w:pPr>
        <w:spacing w:after="0" w:line="120" w:lineRule="exact"/>
        <w:rPr>
          <w:sz w:val="20"/>
          <w:szCs w:val="20"/>
          <w:color w:val="auto"/>
        </w:rPr>
      </w:pPr>
    </w:p>
    <w:p>
      <w:pPr>
        <w:ind w:right="40" w:firstLine="177"/>
        <w:spacing w:after="0" w:line="259" w:lineRule="auto"/>
        <w:rPr>
          <w:sz w:val="20"/>
          <w:szCs w:val="20"/>
          <w:color w:val="auto"/>
        </w:rPr>
      </w:pPr>
      <w:r>
        <w:rPr>
          <w:rFonts w:ascii="Arial" w:cs="Arial" w:eastAsia="Arial" w:hAnsi="Arial"/>
          <w:sz w:val="18"/>
          <w:szCs w:val="18"/>
          <w:color w:val="auto"/>
        </w:rPr>
        <w:t>We have been encouraged by the results of the sponsored research we have received to date. One of the new minigene constructs has shown five times longer duration of functional rescue of the photoreceptors as compared to what was observed in the 2018 publication. UMMS has continued experiments to optimize the constructs, which were delayed because of restrictions placed by UMMS on animal research activities as a result of the COVID-19 pandemic. We currently expect to identify a lead construct during the second quarter of 2021.</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miniABCA4 Program for STGD1</w:t>
      </w:r>
    </w:p>
    <w:p>
      <w:pPr>
        <w:spacing w:after="0" w:line="144" w:lineRule="exact"/>
        <w:rPr>
          <w:sz w:val="20"/>
          <w:szCs w:val="20"/>
          <w:color w:val="auto"/>
        </w:rPr>
      </w:pPr>
    </w:p>
    <w:p>
      <w:pPr>
        <w:ind w:right="40" w:firstLine="180"/>
        <w:spacing w:after="0" w:line="259" w:lineRule="auto"/>
        <w:rPr>
          <w:sz w:val="20"/>
          <w:szCs w:val="20"/>
          <w:color w:val="auto"/>
        </w:rPr>
      </w:pPr>
      <w:r>
        <w:rPr>
          <w:rFonts w:ascii="Arial" w:cs="Arial" w:eastAsia="Arial" w:hAnsi="Arial"/>
          <w:sz w:val="18"/>
          <w:szCs w:val="18"/>
          <w:color w:val="auto"/>
        </w:rPr>
        <w:t xml:space="preserve">Our miniABCA4 program is targeting STGD1, which is associated with mutations in the </w:t>
      </w:r>
      <w:r>
        <w:rPr>
          <w:rFonts w:ascii="Arial" w:cs="Arial" w:eastAsia="Arial" w:hAnsi="Arial"/>
          <w:sz w:val="18"/>
          <w:szCs w:val="18"/>
          <w:i w:val="1"/>
          <w:iCs w:val="1"/>
          <w:color w:val="auto"/>
        </w:rPr>
        <w:t>ABCA4</w:t>
      </w:r>
      <w:r>
        <w:rPr>
          <w:rFonts w:ascii="Arial" w:cs="Arial" w:eastAsia="Arial" w:hAnsi="Arial"/>
          <w:sz w:val="18"/>
          <w:szCs w:val="18"/>
          <w:color w:val="auto"/>
        </w:rPr>
        <w:t xml:space="preserve"> gene. The size of the naturally occurring </w:t>
      </w:r>
      <w:r>
        <w:rPr>
          <w:rFonts w:ascii="Arial" w:cs="Arial" w:eastAsia="Arial" w:hAnsi="Arial"/>
          <w:sz w:val="18"/>
          <w:szCs w:val="18"/>
          <w:i w:val="1"/>
          <w:iCs w:val="1"/>
          <w:color w:val="auto"/>
        </w:rPr>
        <w:t>ABCA4</w:t>
      </w:r>
      <w:r>
        <w:rPr>
          <w:rFonts w:ascii="Arial" w:cs="Arial" w:eastAsia="Arial" w:hAnsi="Arial"/>
          <w:sz w:val="18"/>
          <w:szCs w:val="18"/>
          <w:color w:val="auto"/>
        </w:rPr>
        <w:t xml:space="preserve"> gene is approximately 7,000 base pairs. UMMS generated and evaluated several </w:t>
      </w:r>
      <w:r>
        <w:rPr>
          <w:rFonts w:ascii="Arial" w:cs="Arial" w:eastAsia="Arial" w:hAnsi="Arial"/>
          <w:sz w:val="18"/>
          <w:szCs w:val="18"/>
          <w:i w:val="1"/>
          <w:iCs w:val="1"/>
          <w:color w:val="auto"/>
        </w:rPr>
        <w:t>ABCA4</w:t>
      </w:r>
      <w:r>
        <w:rPr>
          <w:rFonts w:ascii="Arial" w:cs="Arial" w:eastAsia="Arial" w:hAnsi="Arial"/>
          <w:sz w:val="18"/>
          <w:szCs w:val="18"/>
          <w:color w:val="auto"/>
        </w:rPr>
        <w:t xml:space="preserve"> minigene constructs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which yielded what we believe to be encouraging results. UMMS is conducting additional experiments to optimize the constructs. We expect to receive additional results from the miniABCA4 program during the first half of 2021.</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miniUSH2A Program for USH2A-Related IRDs</w:t>
      </w:r>
    </w:p>
    <w:p>
      <w:pPr>
        <w:spacing w:after="0" w:line="158" w:lineRule="exact"/>
        <w:rPr>
          <w:sz w:val="20"/>
          <w:szCs w:val="20"/>
          <w:color w:val="auto"/>
        </w:rPr>
      </w:pPr>
    </w:p>
    <w:p>
      <w:pPr>
        <w:ind w:right="140" w:firstLine="177"/>
        <w:spacing w:after="0" w:line="259" w:lineRule="auto"/>
        <w:rPr>
          <w:sz w:val="20"/>
          <w:szCs w:val="20"/>
          <w:color w:val="auto"/>
        </w:rPr>
      </w:pPr>
      <w:r>
        <w:rPr>
          <w:rFonts w:ascii="Arial" w:cs="Arial" w:eastAsia="Arial" w:hAnsi="Arial"/>
          <w:sz w:val="18"/>
          <w:szCs w:val="18"/>
          <w:color w:val="auto"/>
        </w:rPr>
        <w:t xml:space="preserve">The miniUSH2A program seeks to develop a mutation independent, minigene therapy for the vision loss associated with </w:t>
      </w:r>
      <w:r>
        <w:rPr>
          <w:rFonts w:ascii="Arial" w:cs="Arial" w:eastAsia="Arial" w:hAnsi="Arial"/>
          <w:sz w:val="18"/>
          <w:szCs w:val="18"/>
          <w:i w:val="1"/>
          <w:iCs w:val="1"/>
          <w:color w:val="auto"/>
        </w:rPr>
        <w:t>USH2A</w:t>
      </w:r>
      <w:r>
        <w:rPr>
          <w:rFonts w:ascii="Arial" w:cs="Arial" w:eastAsia="Arial" w:hAnsi="Arial"/>
          <w:sz w:val="18"/>
          <w:szCs w:val="18"/>
          <w:color w:val="auto"/>
        </w:rPr>
        <w:t xml:space="preserve"> mutations, including vision loss associated with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nonsyndromatic autosomal recessive retinitis pigmentosa. Some of the activities in this program were delayed as a result of the closure of UMMS animal research laboratories due to the COVID-19 pandemic. We expect to receive preliminary results from this program during the first half of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do not currently own or operate manufacturing facilities for the production of clinical or commercial quantities of Zimura, IC-500, IC-100, IC-200 or any other product candidate we may develop. Although we rely and intend to continue to rely upon third-party contract manufacturing organizations, or CMOs, to produce our products and product candidates, we have personnel with experience to manage the third-party CMOs that we have engaged or may engage to produce our product candidates.</w:t>
      </w:r>
    </w:p>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Manufacturing of pharmaceutical and biological products is a process that involves procurement of starting materials, chemical synthesis or cell culture processing in controlled environments, purification and post-production testing and analysis before the product can be released. Manufacturing processes can be complex and difficult to develop, especially for products such as oligonucleotides and gene therapies. Even when a manufacturing process is successfully developed, there are challenges associated with scaling up a manufacturing process to produce quantities sufficient for clinical trials or potential commercial sales and producing high-quality materials consistently using a clearly defined manufacturing process. The manufacture of pharmaceutical and biological products is subject to FDA review and oversight. Having a well-defined process that can be validated is crucial to obtaining FDA approval of any product candidate we may bring forward.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Manufacturing</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process for manufacturing Zimura consists of chemical synthesis, purification, pegylation, purification and finally freeze drying to form a powder, which is the active pharmaceutical ingredient, or API. Each of these steps involves relatively common unit operations. In a separate process that follows the freeze drying, the Zimura API is dissolved in a liquid solution that includes certain chemical buffers and then is aseptically filled into vials from which the intravitreal injection solution is drawn. This process of rendering the API into a liquid solution and placing it into vials is referred to as fill/finish services.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early 2017, we completed the small scale manufacture of multiple batches of Zimura drug substance that we are using to support clinical drug supply for the GATHER2 trial and the expanded STAR trial. We have initiated activities in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preparation for the scale-up and validation of the manufacturing process for Zimura drug substance with a new manufacturer, with the goal of assessing whether this manufacturer can produce Zimura drug substance at an adequate scale for future potential commercial use. If this manufacturer is successful, we intend for this manufacturer to be our primary supplier of Zimura drug substance. We also recently engaged our historical contract manufacturer for Zimura drug substance, Agilent Technologies, Inc., or Agilent, for scale-up and validation activities. Depending on the success of the scale-up activities by the new manufacturer, we may use either this new manufacturer, Agilent or both for future supply of Zimura drug substance. In addition, regardless of which manufacturer we use, we will need to demonstrate that the drug substance produced through the scaled-up process is analytically comparable to the drug substance we are currently using. We are continuing analytical method development and qualification with our contract manufacturers and laboratories.</w:t>
      </w:r>
    </w:p>
    <w:p>
      <w:pPr>
        <w:spacing w:after="0" w:line="19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2020, we engaged a contract manufacturer to provide us with additional supply of finished Zimura drug product to support our needs for the GATHER2 trial and the expanded STAR trial. We expect that this contract manufacturer will be able to supply sufficient finished Zimura drug product for these two clinical trials. In addition, we are planning to make a change to the existing vial used for Zimura drug product, which we believe may allow us to support a more efficient fill/finish operation at a commercial scale. We have been in discussions with our historical fill/finish manufacturer, Ajinomoto Bio-Pharma Services, or Ajinomoto, regarding its capacity to supply us with finished Zimura drug product with the new vial for potential commercial use.</w:t>
      </w:r>
    </w:p>
    <w:p>
      <w:pPr>
        <w:spacing w:after="0" w:line="16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order the PEG starting material used to make Zimura drug substance from a sole source third-party manufacturer outside the United States. We currently procure the supply on a purchase order basis and are planning to enter into a long-term supply agreement with this manufacturer for the PEG starting material. We are assessing this supplier's capacity to supply the PEG at the scale that we expect we will need for commercial manufacturing.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Manufacturing</w:t>
      </w:r>
    </w:p>
    <w:p>
      <w:pPr>
        <w:spacing w:after="0" w:line="225" w:lineRule="exact"/>
        <w:rPr>
          <w:sz w:val="20"/>
          <w:szCs w:val="20"/>
          <w:color w:val="auto"/>
        </w:rPr>
      </w:pPr>
    </w:p>
    <w:p>
      <w:pPr>
        <w:ind w:right="380" w:firstLine="177"/>
        <w:spacing w:after="0" w:line="311" w:lineRule="auto"/>
        <w:rPr>
          <w:sz w:val="20"/>
          <w:szCs w:val="20"/>
          <w:color w:val="auto"/>
        </w:rPr>
      </w:pPr>
      <w:r>
        <w:rPr>
          <w:rFonts w:ascii="Arial" w:cs="Arial" w:eastAsia="Arial" w:hAnsi="Arial"/>
          <w:sz w:val="16"/>
          <w:szCs w:val="16"/>
          <w:color w:val="auto"/>
        </w:rPr>
        <w:t>The manufacture of AAV gene therapies requires the use of high quality starting materials, such as plasmids and cells. Plasmids are circular double-stranded DNA sequences that exist separately from a cell's chromosomes and which can be engineered to encode for a specific promoter-transgene combination or a specific AAV Rep-Cap combination. The plasmids and cells are generally sourced from a limited number of qualified suppliers.</w:t>
      </w:r>
    </w:p>
    <w:p>
      <w:pPr>
        <w:spacing w:after="0" w:line="14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process for producing AAV vectors typically consists of growing the cells, transfection of the cells with appropriate plasmids and harvesting the viral vectors from the cell culture. The subsequent purification process is designed to capture, purify and concentrate the viral vector product while removing process and product-related impurities. The purified AAV vector is then formulated, filtered and filled into vials, from which the injection solution is drawn.</w:t>
      </w:r>
    </w:p>
    <w:p>
      <w:pPr>
        <w:spacing w:after="0" w:line="187" w:lineRule="exact"/>
        <w:rPr>
          <w:sz w:val="20"/>
          <w:szCs w:val="20"/>
          <w:color w:val="auto"/>
        </w:rPr>
      </w:pPr>
    </w:p>
    <w:p>
      <w:pPr>
        <w:jc w:val="both"/>
        <w:ind w:right="80" w:firstLine="720"/>
        <w:spacing w:after="0" w:line="279" w:lineRule="auto"/>
        <w:rPr>
          <w:sz w:val="20"/>
          <w:szCs w:val="20"/>
          <w:color w:val="auto"/>
        </w:rPr>
      </w:pPr>
      <w:r>
        <w:rPr>
          <w:rFonts w:ascii="Arial" w:cs="Arial" w:eastAsia="Arial" w:hAnsi="Arial"/>
          <w:sz w:val="17"/>
          <w:szCs w:val="17"/>
          <w:color w:val="auto"/>
        </w:rPr>
        <w:t>We obtain the plasmids that are used for IC-100 and IC-200 from a single third-party supplier on a purchase order basis. We are working with a gene therapy CDMO for preclinical and Phase 1/2 clinical supply of IC-100 and IC-200 drug substance and drug product. In 2020, this CDMO produced a cGMP batch of IC-100, which we believe will be sufficient for our expected needs for a Phase 1/2 clinical trial. In early 2021, this CDMO also produced a cGMP batch of IC-200, which we believe will be sufficient for our expected needs for a Phase 1/2 clinical trial.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Workforce</w:t>
      </w:r>
    </w:p>
    <w:p>
      <w:pPr>
        <w:spacing w:after="0" w:line="225" w:lineRule="exact"/>
        <w:rPr>
          <w:sz w:val="20"/>
          <w:szCs w:val="20"/>
          <w:color w:val="auto"/>
        </w:rPr>
      </w:pPr>
    </w:p>
    <w:p>
      <w:pPr>
        <w:ind w:right="40" w:firstLine="170"/>
        <w:spacing w:after="0" w:line="275" w:lineRule="auto"/>
        <w:rPr>
          <w:sz w:val="20"/>
          <w:szCs w:val="20"/>
          <w:color w:val="auto"/>
        </w:rPr>
      </w:pPr>
      <w:r>
        <w:rPr>
          <w:rFonts w:ascii="Arial" w:cs="Arial" w:eastAsia="Arial" w:hAnsi="Arial"/>
          <w:sz w:val="17"/>
          <w:szCs w:val="17"/>
          <w:color w:val="auto"/>
        </w:rPr>
        <w:t>As of January 31, 2021, we had 57 full-time employees, compared to 38 full-time employees as of January 31, 2020. These employees support key areas of our business and operations, including clinical operations, regulatory affairs, drug safety, data management, medical affairs, scientific research, process and analytical development, drug substance and drug product manufacturing, quality control, materials and supply chain management, and quality assurance, as well as our general and administrative functions and public company infrastructure. We plan to continue to hire strategically to support key areas of our business. The following are additional data about our full-time employees:</w:t>
      </w:r>
    </w:p>
    <w:p>
      <w:pPr>
        <w:spacing w:after="0" w:line="176"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45 are in research and development or related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12 have M.D. or Ph.D. degrees;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30 self-identify as women;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22 self-identify as racial or ethnic minorities; and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31 have been employed with us for four years or longer.</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to our full-time employees, we engage various consultants and advisors to support key areas of our business, including formulating our research and development, manufacturing, commercialization and lifecycle management strategies. Many of these consultants and advisors have specialized expertise that also makes them attractive for other companies. We generally engage them as independent contractors and they are generally free to work for other companies, subject to the terms of any non-compete arrangements that we enter into with them.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Initiatives</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the COVID-19 pandemic, we increased our efforts to support our employees and transitioned to full-time remote working in March 2020. We conducted numerous surveys over the course of the year to gauge employee sentiment and understand their needs. Early in the pandemic, we provided employees with technology and training sessions to support remote working. We took efforts to enhance company communication, such as holding weekly company meetings to provide business updates and provide a forum for guest speakers, including several offering education in best practices for remote working and general wellness. Our employees adopted various software tools to support virtual communication and collaboration. We continued to provide flexible work policies to support our employees and have engaged an outside vendor offering virtual fitness and wellness programs for our employees. We currently expect to continue working remotely for the foreseeable near future.</w:t>
      </w:r>
    </w:p>
    <w:p>
      <w:pPr>
        <w:spacing w:after="0" w:line="20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2020, we continued to develop our new employee integration and professional development programs. Most of our newly hired employees in 2020 joined us remotely, and we have revamped our new employee orientation program and instituted a buddy system for new employees. We provided training to our employees on our amended Code of Conduct and Business Ethics and other pertinent topics such as data privacy. We revised our year-end performance review and metrics system for employees during 2020. In 2021, we plan to offer additional training and leadership development opportunities for our employees.</w:t>
      </w:r>
    </w:p>
    <w:p>
      <w:pPr>
        <w:spacing w:after="0" w:line="21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mid-2020, we formed an employee committee on diversity, equity and inclusion, or CDEI, to assess issues of diversity, equity and inclusion among our workforce and provide recommendations. We engaged an academic consultant to help support this initiative, including by providing education and leading focus groups with our employees. In 2021, we are planning to implement a number of suggestions from the CDEI based on feedback from our employees and the consultant.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20" w:firstLine="177"/>
        <w:spacing w:after="0" w:line="271" w:lineRule="auto"/>
        <w:rPr>
          <w:sz w:val="20"/>
          <w:szCs w:val="20"/>
          <w:color w:val="auto"/>
        </w:rPr>
      </w:pPr>
      <w:r>
        <w:rPr>
          <w:rFonts w:ascii="Arial" w:cs="Arial" w:eastAsia="Arial" w:hAnsi="Arial"/>
          <w:sz w:val="17"/>
          <w:szCs w:val="17"/>
          <w:color w:val="auto"/>
        </w:rPr>
        <w:t>We expect that our commercial strategy for any of our product candidates, including whether to retain commercial rights and market and sell the product candidate ourselves or to utilize collaboration, distribution or other marketing arrangements with third parties in some or all geographic markets, will be determined based on a variety of factors, including the size and nature of the patient population, the disease area, the particular indication for which the product candidate is approved, the territory in which the product candidate may be marketed and the commercial potential for such product candidate. We are currently developing Zimura and IC-500 for GA secondary to AMD, which is a condition affecting a relatively large number of individuals, and we are also developing Zimura for STGD1, which is a condition affecting a more limited number of individuals. Our gene therapy programs are currently being developed for orphan IRDs with a limited number of affected individuals. If any of our product candidates are approved, the size and nature of the affected patient population will be an important factor in our commercial strategy.</w:t>
      </w:r>
    </w:p>
    <w:p>
      <w:pPr>
        <w:spacing w:after="0" w:line="178" w:lineRule="exact"/>
        <w:rPr>
          <w:sz w:val="20"/>
          <w:szCs w:val="20"/>
          <w:color w:val="auto"/>
        </w:rPr>
      </w:pPr>
    </w:p>
    <w:p>
      <w:pPr>
        <w:jc w:val="both"/>
        <w:ind w:right="100" w:firstLine="180"/>
        <w:spacing w:after="0" w:line="287" w:lineRule="auto"/>
        <w:rPr>
          <w:sz w:val="20"/>
          <w:szCs w:val="20"/>
          <w:color w:val="auto"/>
        </w:rPr>
      </w:pPr>
      <w:r>
        <w:rPr>
          <w:rFonts w:ascii="Arial" w:cs="Arial" w:eastAsia="Arial" w:hAnsi="Arial"/>
          <w:sz w:val="16"/>
          <w:szCs w:val="16"/>
          <w:color w:val="auto"/>
        </w:rPr>
        <w:t>In addition, our commercial strategy will vary depending on whether the disease is typically treated by general ophthalmology practitioners, specialists, such as retina specialists, or other sub-specialists, and the degree and potential degree of acceptance of our product candidate by the relevant physicians in various markets. For example, in the United States, retina specialists perform most of the medical procedures involving diseases of the back of the eye.</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Intravitreal injection and subretinal injection are specialized procedures. In the vast majority of cases in the United States, retina specialists perform intravitreal injections and highly specialized retina surgeons perform subretinal injections. We believe that retina specialists and retina surgeons in the United States are sufficiently concentrated such that we could effectively promote an approved product candidate to these specialists with a targeted specialty sales and marketing group. For example, in the United States and Europe, retina specialists who see patients with IRDs, as well as their patients, are generally concentrated in a limited number of large, academic research institutions.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approaches, and others are based on entirely different approaches. We also will face similar competition with respect to any product candidates that we may seek to develop or commercialize in the future. In particular, many companies are pursuing gene therapy approaches for orphan and age-related retinal diseases.</w:t>
      </w:r>
    </w:p>
    <w:p>
      <w:pPr>
        <w:spacing w:after="0" w:line="16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252" w:lineRule="exact"/>
        <w:rPr>
          <w:sz w:val="20"/>
          <w:szCs w:val="20"/>
          <w:color w:val="auto"/>
        </w:rPr>
      </w:pPr>
    </w:p>
    <w:p>
      <w:pPr>
        <w:ind w:left="660" w:hanging="328"/>
        <w:spacing w:after="0" w:line="284"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Alexion Pharmaceuticals, Inc., Annexon Inc., Apellis Pharmaceuticals, Inc., or Apellis, Applied Genetic Technologies Corporation, or AGTC, Biogen Inc., Gemini Therapeutics, Inc., Gyroscope Therapeutics, IONIS Pharmaceuticals, Inc. (in collaboration with Roche AG), Janssen Pharmaceuticals Inc. (which acquired its program through the acquisition of Hemera Biosciences, LLC), MorphoSys AG, NGM Biopharmaceuticals Inc. and Novartis AG each have complement inhibitors in development for GA or dry AMD, including, in the cases of Gemini Therapeutics, Gyroscope Therapeutics and Janssen Pharmaceuticals, complement inhibitor gene therapies and AGTC and Gemini Therapeutics each has a research program on complement factor H gene therapy. We believe that the most advanced of these programs is Apellis's pegylated, synthetic peptide targeting complement protein C3. In July 2020, Apellis announced that it had completed patient enrollment in its Phase 3 program with a total of 1,259 patients, and expects to announce top-line data from the trials in the third quarter of 2021. If Apellis's Phase 3 program for its C3 complement inhibitor product candidate is successful, it is likely that Apellis would obtain marketing approval for its product candidate in advance of when we could reasonably expect to obtain marketing approval for Zimura in GA or IC-500 in GA, if at all. Moreover, we are aware that several other companies, including Allergan Inc., Allegro Ophthalmics, LLC, Alkeus Pharmaceuticals Inc., Astellas Pharma Inc., Boehringer Ingelheim, EyePoint Pharmaceuticals, Inc., Lineage Cell Therapeutics, Inc., Roche AG and Stealth BioTherapeutics Corp.,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is Genentech's monoclonal antibody HtrA1 inhibitor, which is currently being studied in a Phase 2 clinical trial.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52" w:lineRule="exact"/>
        <w:rPr>
          <w:sz w:val="20"/>
          <w:szCs w:val="20"/>
          <w:color w:val="auto"/>
        </w:rPr>
      </w:pPr>
    </w:p>
    <w:p>
      <w:pPr>
        <w:ind w:left="660" w:hanging="328"/>
        <w:spacing w:after="0" w:line="271"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There are a number of products in preclinical research and clinical development by third parties to treat Stargardt disease. We are aware that AGTC, Alkeus Pharmaceuticals, Inc., Beam Therapeutics Inc., Generation Bio Co., Kubota Vision Inc. (formerly Acucela), Lin BioScience, Inc., Nightstar Therapeutics plc (prior to its acquisition by Biogen), or Nightstar, ProQR Therapeutics N.V., or ProQR, and Spark Therapeutics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 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52" w:lineRule="exact"/>
        <w:rPr>
          <w:sz w:val="20"/>
          <w:szCs w:val="20"/>
          <w:color w:val="auto"/>
        </w:rPr>
      </w:pPr>
    </w:p>
    <w:p>
      <w:pPr>
        <w:ind w:left="660" w:right="22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aware that ProQR is developing an RNA-based therapeutic for RHO-adRP, for which it is currently conducting a Phase 1/2 clinical trial. Ocugen, Inc. is developing a gene therapy for RHO-adRP, for which the FDA granted orphan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80"/>
        <w:spacing w:after="0" w:line="243" w:lineRule="auto"/>
        <w:rPr>
          <w:sz w:val="20"/>
          <w:szCs w:val="20"/>
          <w:color w:val="auto"/>
        </w:rPr>
      </w:pPr>
      <w:r>
        <w:rPr>
          <w:rFonts w:ascii="Arial" w:cs="Arial" w:eastAsia="Arial" w:hAnsi="Arial"/>
          <w:sz w:val="18"/>
          <w:szCs w:val="18"/>
          <w:color w:val="auto"/>
        </w:rPr>
        <w:t>drug designation in July 2020. In addition, prior to its acquisition by Biogen, Nightstar had a preclinical AAV gene therapy program in RHO-adRP. 4D Molecular Therapeutics is developing an intravitreal gene therapy for RHO-adRP. Editas Medicine, Inc. is exploring a potential gene editing program in this disease. We are also aware that multiple academic institutions have early stage gene therapy development programs in RHO-adRP.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5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We are aware that, prior to its acquisition by Biogen, Nightstar had a preclinical AAV gene therapy program for one or more </w:t>
      </w:r>
      <w:r>
        <w:rPr>
          <w:rFonts w:ascii="Arial" w:cs="Arial" w:eastAsia="Arial" w:hAnsi="Arial"/>
          <w:sz w:val="16"/>
          <w:szCs w:val="16"/>
          <w:i w:val="1"/>
          <w:iCs w:val="1"/>
          <w:color w:val="auto"/>
        </w:rPr>
        <w:t>BEST1</w:t>
      </w:r>
      <w:r>
        <w:rPr>
          <w:rFonts w:ascii="Arial" w:cs="Arial" w:eastAsia="Arial" w:hAnsi="Arial"/>
          <w:sz w:val="16"/>
          <w:szCs w:val="16"/>
          <w:color w:val="auto"/>
        </w:rPr>
        <w:t>-related IRDs.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52" w:lineRule="exact"/>
        <w:rPr>
          <w:sz w:val="20"/>
          <w:szCs w:val="20"/>
          <w:color w:val="auto"/>
        </w:rPr>
      </w:pPr>
    </w:p>
    <w:p>
      <w:pPr>
        <w:ind w:left="660" w:right="220" w:hanging="328"/>
        <w:spacing w:after="0" w:line="279"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52" w:lineRule="exact"/>
        <w:rPr>
          <w:sz w:val="20"/>
          <w:szCs w:val="20"/>
          <w:color w:val="auto"/>
        </w:rPr>
      </w:pPr>
    </w:p>
    <w:p>
      <w:pPr>
        <w:ind w:left="660" w:right="180" w:hanging="328"/>
        <w:spacing w:after="0" w:line="291"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There are a number of products in preclinical research and clinical development by third parties to treat </w:t>
      </w:r>
      <w:r>
        <w:rPr>
          <w:rFonts w:ascii="Arial" w:cs="Arial" w:eastAsia="Arial" w:hAnsi="Arial"/>
          <w:sz w:val="16"/>
          <w:szCs w:val="16"/>
          <w:i w:val="1"/>
          <w:iCs w:val="1"/>
          <w:color w:val="auto"/>
        </w:rPr>
        <w:t>USH2A</w:t>
      </w:r>
      <w:r>
        <w:rPr>
          <w:rFonts w:ascii="Arial" w:cs="Arial" w:eastAsia="Arial" w:hAnsi="Arial"/>
          <w:sz w:val="16"/>
          <w:szCs w:val="16"/>
          <w:color w:val="auto"/>
        </w:rPr>
        <w:t>-related IRDs. We are aware that ProQR is pursuing two RNA based approaches for different mutations causing Usher 2A, one of which is currently in Phase 1/2 clinical</w:t>
      </w:r>
    </w:p>
    <w:p>
      <w:pPr>
        <w:ind w:left="660" w:right="460"/>
        <w:spacing w:after="0" w:line="250" w:lineRule="auto"/>
        <w:rPr>
          <w:sz w:val="20"/>
          <w:szCs w:val="20"/>
          <w:color w:val="auto"/>
        </w:rPr>
      </w:pPr>
      <w:r>
        <w:rPr>
          <w:rFonts w:ascii="Arial" w:cs="Arial" w:eastAsia="Arial" w:hAnsi="Arial"/>
          <w:sz w:val="18"/>
          <w:szCs w:val="18"/>
          <w:color w:val="auto"/>
        </w:rPr>
        <w:t xml:space="preserve">development and the other of which is in preclinical development. We are also aware that Editas Medicine, Inc. and Odylia Therapeutics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1" w:lineRule="exact"/>
        <w:rPr>
          <w:sz w:val="20"/>
          <w:szCs w:val="20"/>
          <w:color w:val="auto"/>
        </w:rPr>
      </w:pPr>
    </w:p>
    <w:p>
      <w:pPr>
        <w:ind w:firstLine="180"/>
        <w:spacing w:after="0" w:line="291" w:lineRule="auto"/>
        <w:rPr>
          <w:sz w:val="20"/>
          <w:szCs w:val="20"/>
          <w:color w:val="auto"/>
        </w:rPr>
      </w:pPr>
      <w:r>
        <w:rPr>
          <w:rFonts w:ascii="Arial" w:cs="Arial" w:eastAsia="Arial" w:hAnsi="Arial"/>
          <w:sz w:val="16"/>
          <w:szCs w:val="16"/>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among other methods and where patent protection is available, by filing U.S. and certain foreign patent applications related to our proprietary technology, inventions and improvements that are important to the development of our business, and by maintaining our issued patents. For our collaborative gene therapy sponsored research programs, we are generally relying on our university collaborators to perform research and generate data to support new patent applications, and to file, prosecute and maintain any patents or patent applications resulting from the sponsored research. We also rely upon trade secrets, know-how, continuing technological innovation and in-licensing opportunities to develop and maintain our proprietary position.</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patent portfolio includes the following:</w:t>
      </w:r>
    </w:p>
    <w:p>
      <w:pPr>
        <w:spacing w:after="0" w:line="225"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patents and patent applications in-licensed from Archemix Corp., or Archemix:</w:t>
      </w:r>
    </w:p>
    <w:p>
      <w:pPr>
        <w:spacing w:after="0" w:line="225" w:lineRule="exact"/>
        <w:rPr>
          <w:rFonts w:ascii="Arial" w:cs="Arial" w:eastAsia="Arial" w:hAnsi="Arial"/>
          <w:sz w:val="18"/>
          <w:szCs w:val="18"/>
          <w:color w:val="auto"/>
        </w:rPr>
      </w:pPr>
    </w:p>
    <w:p>
      <w:pPr>
        <w:ind w:left="1620" w:right="80" w:hanging="316"/>
        <w:spacing w:after="0" w:line="279" w:lineRule="auto"/>
        <w:tabs>
          <w:tab w:leader="none" w:pos="1615" w:val="left"/>
        </w:tabs>
        <w:numPr>
          <w:ilvl w:val="1"/>
          <w:numId w:val="43"/>
        </w:numPr>
        <w:rPr>
          <w:rFonts w:ascii="Arial" w:cs="Arial" w:eastAsia="Arial" w:hAnsi="Arial"/>
          <w:sz w:val="17"/>
          <w:szCs w:val="17"/>
          <w:color w:val="auto"/>
        </w:rPr>
      </w:pPr>
      <w:r>
        <w:rPr>
          <w:rFonts w:ascii="Arial" w:cs="Arial" w:eastAsia="Arial" w:hAnsi="Arial"/>
          <w:sz w:val="17"/>
          <w:szCs w:val="17"/>
          <w:color w:val="auto"/>
        </w:rPr>
        <w:t>patents covering Zimura's composition-of-matter, which have issued in the United States, the countries covered by the European Patent Organisation, which we refer to as the EPO Countries, Japan and certain other jurisdictions, and which are expected to expire in Japan in 2026 and elsewhere in 2025; and patent applications covering Zimura's composition-of-matter, which are pending in certain other jurisdictions, and which, if granted, are expected to expire in 2025; and</w:t>
      </w:r>
    </w:p>
    <w:p>
      <w:pPr>
        <w:spacing w:after="0" w:line="171" w:lineRule="exact"/>
        <w:rPr>
          <w:rFonts w:ascii="Arial" w:cs="Arial" w:eastAsia="Arial" w:hAnsi="Arial"/>
          <w:sz w:val="17"/>
          <w:szCs w:val="17"/>
          <w:color w:val="auto"/>
        </w:rPr>
      </w:pPr>
    </w:p>
    <w:p>
      <w:pPr>
        <w:ind w:left="1620" w:right="40" w:hanging="316"/>
        <w:spacing w:after="0" w:line="259" w:lineRule="auto"/>
        <w:tabs>
          <w:tab w:leader="none" w:pos="1615" w:val="left"/>
        </w:tabs>
        <w:numPr>
          <w:ilvl w:val="1"/>
          <w:numId w:val="43"/>
        </w:numPr>
        <w:rPr>
          <w:rFonts w:ascii="Arial" w:cs="Arial" w:eastAsia="Arial" w:hAnsi="Arial"/>
          <w:sz w:val="18"/>
          <w:szCs w:val="18"/>
          <w:color w:val="auto"/>
        </w:rPr>
      </w:pPr>
      <w:r>
        <w:rPr>
          <w:rFonts w:ascii="Arial" w:cs="Arial" w:eastAsia="Arial" w:hAnsi="Arial"/>
          <w:sz w:val="18"/>
          <w:szCs w:val="18"/>
          <w:color w:val="auto"/>
        </w:rPr>
        <w:t>patents covering the treatment of certain complement mediated disorders with Zimura, Zimura for use in a method of treating certain complement mediated disorders or a composition comprising Zimura for treating certain complement mediated disorders, which have issued in the United States, the EPO Countries, Japan and certain other jurisdictions, and which are expected to expire in the United States and Japan in 2026 and elsewhere in 2025;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patent applications owned by IVERIC bio, Inc.:</w:t>
      </w:r>
    </w:p>
    <w:p>
      <w:pPr>
        <w:spacing w:after="0" w:line="225" w:lineRule="exact"/>
        <w:rPr>
          <w:rFonts w:ascii="Arial" w:cs="Arial" w:eastAsia="Arial" w:hAnsi="Arial"/>
          <w:sz w:val="18"/>
          <w:szCs w:val="18"/>
          <w:color w:val="auto"/>
        </w:rPr>
      </w:pPr>
    </w:p>
    <w:p>
      <w:pPr>
        <w:ind w:left="1620" w:right="680" w:hanging="316"/>
        <w:spacing w:after="0" w:line="277" w:lineRule="auto"/>
        <w:tabs>
          <w:tab w:leader="none" w:pos="1615" w:val="left"/>
        </w:tabs>
        <w:numPr>
          <w:ilvl w:val="1"/>
          <w:numId w:val="43"/>
        </w:numPr>
        <w:rPr>
          <w:rFonts w:ascii="Arial" w:cs="Arial" w:eastAsia="Arial" w:hAnsi="Arial"/>
          <w:sz w:val="18"/>
          <w:szCs w:val="18"/>
          <w:color w:val="auto"/>
        </w:rPr>
      </w:pPr>
      <w:r>
        <w:rPr>
          <w:rFonts w:ascii="Arial" w:cs="Arial" w:eastAsia="Arial" w:hAnsi="Arial"/>
          <w:sz w:val="18"/>
          <w:szCs w:val="18"/>
          <w:color w:val="auto"/>
        </w:rPr>
        <w:t>patent applications covering formulations, methods of use for treating GA, Stargardt disease and other conditions, and other proprietary technology relating to Zimura, which are pending in the United States,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EPO Countries, Japan and certain other jurisdictions, and which, if granted, are expected to expire in 2034; and</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 applications owned by our subsidiary Orion Ophthalmology LLC, or Orion:</w:t>
      </w:r>
    </w:p>
    <w:p>
      <w:pPr>
        <w:spacing w:after="0" w:line="225" w:lineRule="exact"/>
        <w:rPr>
          <w:rFonts w:ascii="Arial" w:cs="Arial" w:eastAsia="Arial" w:hAnsi="Arial"/>
          <w:sz w:val="18"/>
          <w:szCs w:val="18"/>
          <w:color w:val="auto"/>
        </w:rPr>
      </w:pPr>
    </w:p>
    <w:p>
      <w:pPr>
        <w:jc w:val="both"/>
        <w:ind w:left="1620" w:right="320" w:hanging="316"/>
        <w:spacing w:after="0" w:line="263" w:lineRule="auto"/>
        <w:tabs>
          <w:tab w:leader="none" w:pos="161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three families of composition-of-matter and method-of-treatment patent applications covering IC-500 and other HtrA1 inhibitors owned by Orion, which are pending in the United States, the EPO Countries, Japan and certain other jurisdictions, and which, if granted, are expected to expire in 2037;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 applications in-licensed from UFRF and Penn:</w:t>
      </w:r>
    </w:p>
    <w:p>
      <w:pPr>
        <w:spacing w:after="0" w:line="225" w:lineRule="exact"/>
        <w:rPr>
          <w:rFonts w:ascii="Arial" w:cs="Arial" w:eastAsia="Arial" w:hAnsi="Arial"/>
          <w:sz w:val="18"/>
          <w:szCs w:val="18"/>
          <w:color w:val="auto"/>
        </w:rPr>
      </w:pPr>
    </w:p>
    <w:p>
      <w:pPr>
        <w:ind w:left="1620" w:right="40" w:hanging="316"/>
        <w:spacing w:after="0" w:line="263" w:lineRule="auto"/>
        <w:tabs>
          <w:tab w:leader="none" w:pos="161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two families of composition-of-matter and method-of-treatment patent applications relating to the proprietary RHO-adRP AAV technology of UFRF and Penn, which are pending in the United States, the EPO Countries, Japan and certain other jurisdictions, and which, if granted, are expected to expire in 2037 and 2039, respectively; and</w:t>
      </w:r>
    </w:p>
    <w:p>
      <w:pPr>
        <w:spacing w:after="0" w:line="183" w:lineRule="exact"/>
        <w:rPr>
          <w:rFonts w:ascii="Arial" w:cs="Arial" w:eastAsia="Arial" w:hAnsi="Arial"/>
          <w:sz w:val="18"/>
          <w:szCs w:val="18"/>
          <w:color w:val="auto"/>
        </w:rPr>
      </w:pPr>
    </w:p>
    <w:p>
      <w:pPr>
        <w:jc w:val="both"/>
        <w:ind w:left="1620" w:right="200" w:hanging="316"/>
        <w:spacing w:after="0" w:line="342" w:lineRule="auto"/>
        <w:tabs>
          <w:tab w:leader="none" w:pos="1615"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patent applications covering methods of treating autosomal dominant </w:t>
      </w:r>
      <w:r>
        <w:rPr>
          <w:rFonts w:ascii="Arial" w:cs="Arial" w:eastAsia="Arial" w:hAnsi="Arial"/>
          <w:sz w:val="16"/>
          <w:szCs w:val="16"/>
          <w:i w:val="1"/>
          <w:iCs w:val="1"/>
          <w:color w:val="auto"/>
        </w:rPr>
        <w:t>BEST1-</w:t>
      </w:r>
      <w:r>
        <w:rPr>
          <w:rFonts w:ascii="Arial" w:cs="Arial" w:eastAsia="Arial" w:hAnsi="Arial"/>
          <w:sz w:val="16"/>
          <w:szCs w:val="16"/>
          <w:color w:val="auto"/>
        </w:rPr>
        <w:t xml:space="preserve">related IRDs and autosomal recessive </w:t>
      </w:r>
      <w:r>
        <w:rPr>
          <w:rFonts w:ascii="Arial" w:cs="Arial" w:eastAsia="Arial" w:hAnsi="Arial"/>
          <w:sz w:val="16"/>
          <w:szCs w:val="16"/>
          <w:i w:val="1"/>
          <w:iCs w:val="1"/>
          <w:color w:val="auto"/>
        </w:rPr>
        <w:t>BEST1</w:t>
      </w:r>
      <w:r>
        <w:rPr>
          <w:rFonts w:ascii="Arial" w:cs="Arial" w:eastAsia="Arial" w:hAnsi="Arial"/>
          <w:sz w:val="16"/>
          <w:szCs w:val="16"/>
          <w:color w:val="auto"/>
        </w:rPr>
        <w:t>-related IRDs, which are pending in the Patent Cooperation Treaty jurisdictions, and which, if granted, are expected to expire in 2041; and</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patent applications in-licensed from UMass:</w:t>
      </w:r>
    </w:p>
    <w:p>
      <w:pPr>
        <w:spacing w:after="0" w:line="225" w:lineRule="exact"/>
        <w:rPr>
          <w:rFonts w:ascii="Arial" w:cs="Arial" w:eastAsia="Arial" w:hAnsi="Arial"/>
          <w:sz w:val="18"/>
          <w:szCs w:val="18"/>
          <w:color w:val="auto"/>
        </w:rPr>
      </w:pPr>
    </w:p>
    <w:p>
      <w:pPr>
        <w:ind w:left="1620" w:right="140" w:hanging="316"/>
        <w:spacing w:after="0" w:line="311" w:lineRule="auto"/>
        <w:tabs>
          <w:tab w:leader="none" w:pos="1615"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two families of composition-of-matter and method-of-treatment patent applications relating to certain proprietary minigene technology for the treatment of diseases associated with mutations in the </w:t>
      </w:r>
      <w:r>
        <w:rPr>
          <w:rFonts w:ascii="Arial" w:cs="Arial" w:eastAsia="Arial" w:hAnsi="Arial"/>
          <w:sz w:val="16"/>
          <w:szCs w:val="16"/>
          <w:i w:val="1"/>
          <w:iCs w:val="1"/>
          <w:color w:val="auto"/>
        </w:rPr>
        <w:t>CEP290</w:t>
      </w:r>
      <w:r>
        <w:rPr>
          <w:rFonts w:ascii="Arial" w:cs="Arial" w:eastAsia="Arial" w:hAnsi="Arial"/>
          <w:sz w:val="16"/>
          <w:szCs w:val="16"/>
          <w:color w:val="auto"/>
        </w:rPr>
        <w:t xml:space="preserve"> gene, which are pending in the United States, the EPO Countries, Japan and certain other jurisdictions, and which, if granted, are expected to expire in 2038 and 2040, respectively.</w:t>
      </w:r>
    </w:p>
    <w:p>
      <w:pPr>
        <w:spacing w:after="0" w:line="1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or patent application claims patentably indistinct subject matter as another commonly owned patent or patent application having an earlier expiration date and the patentee terminally disclaims the portion of the term beyond such earlier expiration date. The Hatch-Waxman Act permits a patent term extension of up to five years beyond the expiration date of a U.S. patent as partial compensation for the length of time a drug is undergoing clinical development or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85"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Similar provisions are available in the EPO Countries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See "—Government Regulation and Product Approvals" below for a description of market exclusivity mechanisms that may be available to us.</w:t>
      </w:r>
    </w:p>
    <w:p>
      <w:pPr>
        <w:spacing w:after="0" w:line="17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may rely, in some circumstances, upon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and Other Arrangements</w:t>
      </w:r>
    </w:p>
    <w:p>
      <w:pPr>
        <w:spacing w:after="0" w:line="256" w:lineRule="exact"/>
        <w:rPr>
          <w:sz w:val="20"/>
          <w:szCs w:val="20"/>
          <w:color w:val="auto"/>
        </w:rPr>
      </w:pPr>
    </w:p>
    <w:p>
      <w:pPr>
        <w:ind w:right="80" w:firstLine="180"/>
        <w:spacing w:after="0" w:line="263" w:lineRule="auto"/>
        <w:rPr>
          <w:sz w:val="20"/>
          <w:szCs w:val="20"/>
          <w:color w:val="auto"/>
        </w:rPr>
      </w:pPr>
      <w:r>
        <w:rPr>
          <w:rFonts w:ascii="Arial" w:cs="Arial" w:eastAsia="Arial" w:hAnsi="Arial"/>
          <w:sz w:val="18"/>
          <w:szCs w:val="18"/>
          <w:color w:val="auto"/>
        </w:rPr>
        <w:t>We are party to a number of license, acquisition and other agreements that have granted us rights to develop our product candidates and conduct our research and development programs. These agreements generally impose license fee, milestone payment, royalty payment and diligence obligations on us. Our material in-license and acquisition agreements are described below.</w:t>
      </w:r>
    </w:p>
    <w:p>
      <w:pPr>
        <w:spacing w:after="0" w:line="211" w:lineRule="exact"/>
        <w:rPr>
          <w:sz w:val="20"/>
          <w:szCs w:val="20"/>
          <w:color w:val="auto"/>
        </w:rPr>
      </w:pPr>
    </w:p>
    <w:p>
      <w:pPr>
        <w:ind w:firstLine="180"/>
        <w:spacing w:after="0" w:line="255" w:lineRule="auto"/>
        <w:rPr>
          <w:sz w:val="20"/>
          <w:szCs w:val="20"/>
          <w:color w:val="auto"/>
        </w:rPr>
      </w:pPr>
      <w:r>
        <w:rPr>
          <w:rFonts w:ascii="Arial" w:cs="Arial" w:eastAsia="Arial" w:hAnsi="Arial"/>
          <w:sz w:val="18"/>
          <w:szCs w:val="18"/>
          <w:color w:val="auto"/>
        </w:rPr>
        <w:t>In the future, we may enter into additional acquisition or license agreements, particularly if we choose to acquire or in-license additional product candidates or other technologies and further expand our product pipeline. We expect that any future acquisition or license agreements would impose similar obligations on us. In the future, we may also enter into agreements to out-license intellectual property to our collaboration and research partners to assist in the development and, if approved, commercialization of our product candidates. We may out-license certain rights to any of our product candidates if we believe the arrangement could assist us in the development or potential commercialization of such product candidate and would otherwise help us pursue our business plan and strategic goals.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 Archemix C5 License Agreement</w:t>
      </w:r>
    </w:p>
    <w:p>
      <w:pPr>
        <w:spacing w:after="0" w:line="25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September 2011, we entered into an amended and restated exclusive license agreement with Archemix relating to anti-C5 aptamers, which we refer to as the C5 License Agreement. The C5 License Agreement superseded a July 2007 agreement between us and Archemix. Under the C5 License Agreement, we hold exclusive worldwide licenses, subject to certain pre–existing rights, under specified patents and technology owned or controlled by Archemix to develop, make, use, sell, offer for sale, distribute for sale, import and export pharmaceutical products comprised of or derived from an anti-C5 aptamer for the prevention, treatment, cure or control of human indications, diseases, disorders or conditions of the eye, adnexa of the eye, orbit and optic nerve, other than certain expressly excluded applications.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Terms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C5 License Agreement, as amended, we paid Archemix an upfront licensing fee of $1.0 million and issued to Archemix an aggregate of 2,000,000 shares of our series A-1 preferred stock and 500,000 shares of our series B-1 preferred stock. We have paid Archemix an aggregate of $9.0 million in fees based on our achievement of specified clinical milestone events under the C5 License Agreement, including two milestone payments of $1.0 million and $6.0 million triggered by the positive 12-month data from, and by completion of, the GATHER1 trial, which we paid in March 2020 and October 2020, respectively.</w:t>
      </w:r>
    </w:p>
    <w:p>
      <w:pPr>
        <w:spacing w:after="0" w:line="21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the C5 License Agreement, for each anti-C5 aptamer product that we may develop under the agreement, including Zimura, we are obligated to make additional payments to Archemix of up to an aggregate of $50.5 million if we achieve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License Agreement. We are not obligated to pay Archemix a running royalty based on net product sales in connection with the C5 License Agreement.</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25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are required to exercise commercially reasonable efforts in developing and commercializing at least one anti-C5 aptamer product and in undertaking actions required to obtain regulatory approvals necessary to market such product in the United States, the European Union, and Japan, and in such other markets where we determine that it is commercially reasonable to do so.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2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Unless earlier terminated, the C5 License Agreement will expire upon the latest of 12 years after the first commercial sale in any country of the last licensed product, the expiration of the last-to-expire valid claim of the licensed patents that covers a licensed product, and the date on which no further payments of sublicensing income are to be received by us.</w:t>
      </w:r>
    </w:p>
    <w:p>
      <w:pPr>
        <w:spacing w:after="0" w:line="11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Either we or Archemix may terminate the C5 License Agreement if the other party materially breaches the agreement and the breach remains uncured for a specified period. Archemix may also terminate the C5 License Agreement, or may convert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our exclusive license under the agreement to a non-exclusive license, if we challenge or assist a third party in challenging the validity or enforceability of any of the patents licensed under the agreement. We may terminate the agreement at any time and for any or no reason effective at the end of a specified period following our written notice of termination to Archemix.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IC-500 - Inception 4 Merger Agreement</w:t>
      </w:r>
    </w:p>
    <w:p>
      <w:pPr>
        <w:spacing w:after="0" w:line="158" w:lineRule="exact"/>
        <w:rPr>
          <w:sz w:val="20"/>
          <w:szCs w:val="20"/>
          <w:color w:val="auto"/>
        </w:rPr>
      </w:pPr>
    </w:p>
    <w:p>
      <w:pPr>
        <w:ind w:right="20" w:firstLine="180"/>
        <w:spacing w:after="0" w:line="257" w:lineRule="auto"/>
        <w:rPr>
          <w:sz w:val="20"/>
          <w:szCs w:val="20"/>
          <w:color w:val="auto"/>
        </w:rPr>
      </w:pPr>
      <w:r>
        <w:rPr>
          <w:rFonts w:ascii="Arial" w:cs="Arial" w:eastAsia="Arial" w:hAnsi="Arial"/>
          <w:sz w:val="18"/>
          <w:szCs w:val="18"/>
          <w:color w:val="auto"/>
        </w:rPr>
        <w:t>In October 2018, we acquired IC-500 and a number of other HtrA1 inhibitors through our acquisition of Inception 4, Inc., or Inception 4, which was previously a privately held biotechnology company controlled by funds owned by Versant Ventures. We and Inception 4 entered into an agreement and plan of merger, which we refer to as the Inception 4 Merger Agreement, pursuant to which we acquired Inception 4 through a merger transaction, referred to as the Inception 4 Merger. Following the Inception 4 Merger, Inception 4 was merged into our wholly-owned subsidiary Orion, which currently owns the rights to IC-500 and the other HtrA1 inhibitors acquired in the Inception 4 Merger.</w:t>
      </w:r>
    </w:p>
    <w:p>
      <w:pPr>
        <w:spacing w:after="0" w:line="120" w:lineRule="exact"/>
        <w:rPr>
          <w:sz w:val="20"/>
          <w:szCs w:val="20"/>
          <w:color w:val="auto"/>
        </w:rPr>
      </w:pPr>
    </w:p>
    <w:p>
      <w:pPr>
        <w:ind w:right="60" w:firstLine="170"/>
        <w:spacing w:after="0" w:line="263" w:lineRule="auto"/>
        <w:rPr>
          <w:sz w:val="20"/>
          <w:szCs w:val="20"/>
          <w:color w:val="auto"/>
        </w:rPr>
      </w:pPr>
      <w:r>
        <w:rPr>
          <w:rFonts w:ascii="Arial" w:cs="Arial" w:eastAsia="Arial" w:hAnsi="Arial"/>
          <w:sz w:val="18"/>
          <w:szCs w:val="18"/>
          <w:color w:val="auto"/>
        </w:rPr>
        <w:t>As upfront consideration for the Inception 4 Merger, the former equityholders of Inception 4 received 5,044,201 shares of our common stock, and in December 2018, they received an additional 130,526 shares of our common stock following finalization of customary post-closing adjustments. As part of the transaction, we received approximately $6.1 million in cash.</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58" w:lineRule="exact"/>
        <w:rPr>
          <w:sz w:val="20"/>
          <w:szCs w:val="20"/>
          <w:color w:val="auto"/>
        </w:rPr>
      </w:pPr>
    </w:p>
    <w:p>
      <w:pPr>
        <w:ind w:right="20" w:firstLine="180"/>
        <w:spacing w:after="0" w:line="254" w:lineRule="auto"/>
        <w:rPr>
          <w:sz w:val="20"/>
          <w:szCs w:val="20"/>
          <w:color w:val="auto"/>
        </w:rPr>
      </w:pPr>
      <w:r>
        <w:rPr>
          <w:rFonts w:ascii="Arial" w:cs="Arial" w:eastAsia="Arial" w:hAnsi="Arial"/>
          <w:sz w:val="18"/>
          <w:szCs w:val="18"/>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of the Inception 4 Merger, and will be payable in cash thereafter.</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Diligence Obligation</w:t>
      </w:r>
    </w:p>
    <w:p>
      <w:pPr>
        <w:spacing w:after="0" w:line="144" w:lineRule="exact"/>
        <w:rPr>
          <w:sz w:val="20"/>
          <w:szCs w:val="20"/>
          <w:color w:val="auto"/>
        </w:rPr>
      </w:pPr>
    </w:p>
    <w:p>
      <w:pPr>
        <w:ind w:right="120" w:firstLine="177"/>
        <w:spacing w:after="0" w:line="286" w:lineRule="auto"/>
        <w:rPr>
          <w:sz w:val="20"/>
          <w:szCs w:val="20"/>
          <w:color w:val="auto"/>
        </w:rPr>
      </w:pPr>
      <w:r>
        <w:rPr>
          <w:rFonts w:ascii="Arial" w:cs="Arial" w:eastAsia="Arial" w:hAnsi="Arial"/>
          <w:sz w:val="17"/>
          <w:szCs w:val="17"/>
          <w:color w:val="auto"/>
        </w:rPr>
        <w:t>We agreed to use commercially reasonable efforts to perform the activities described in an agreed-upon development plan outlining certain activities for developing at least one HtrA1 inhibitor for the treatment of GA. Our maximum aggregate liability for any and all breaches of our obligation under the Inception 4 Merger Agreement to use commercially reasonable efforts to develop an HtrA1 inhibitor is limited to $5 million.</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Terms and Conditions</w:t>
      </w:r>
    </w:p>
    <w:p>
      <w:pPr>
        <w:spacing w:after="0" w:line="158" w:lineRule="exact"/>
        <w:rPr>
          <w:sz w:val="20"/>
          <w:szCs w:val="20"/>
          <w:color w:val="auto"/>
        </w:rPr>
      </w:pPr>
    </w:p>
    <w:p>
      <w:pPr>
        <w:ind w:firstLine="177"/>
        <w:spacing w:after="0" w:line="291" w:lineRule="auto"/>
        <w:rPr>
          <w:sz w:val="20"/>
          <w:szCs w:val="20"/>
          <w:color w:val="auto"/>
        </w:rPr>
      </w:pPr>
      <w:r>
        <w:rPr>
          <w:rFonts w:ascii="Arial" w:cs="Arial" w:eastAsia="Arial" w:hAnsi="Arial"/>
          <w:sz w:val="16"/>
          <w:szCs w:val="16"/>
          <w:color w:val="auto"/>
        </w:rPr>
        <w:t>The Inception 4 Merger Agreement contains customary representations, warranties and covenants for both Inception 4 and our company as the purchaser. The representations and warranties generally survived until the first anniversary of the closing date, with certain specified representations and warranties surviving to 30 months after the closing date and other specified representations and warranties surviving to the expiration of the applicable statute of limitations. The Inception 4 Merger Agreement also contains customary indemnification provisions whereby the former equityholders of Inception 4 will indemnify us and certain affiliated parties for any losses arising out of breaches of the representations, warranties and covenants of Inception 4 under the Inception 4 Merger Agreement; pre-closing tax matters; appraisal claims of former Inception 4 stockholders; any pre-closing indebtedness or expenses not previously adjusted for at the closing; fraud with respect to representations and warranties of Inception 4; and certain other matters.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UFRF and Penn for IC-100</w:t>
      </w:r>
    </w:p>
    <w:p>
      <w:pPr>
        <w:spacing w:after="0" w:line="158" w:lineRule="exact"/>
        <w:rPr>
          <w:sz w:val="20"/>
          <w:szCs w:val="20"/>
          <w:color w:val="auto"/>
        </w:rPr>
      </w:pPr>
    </w:p>
    <w:p>
      <w:pPr>
        <w:ind w:right="140" w:firstLine="180"/>
        <w:spacing w:after="0" w:line="275" w:lineRule="auto"/>
        <w:rPr>
          <w:sz w:val="20"/>
          <w:szCs w:val="20"/>
          <w:color w:val="auto"/>
        </w:rPr>
      </w:pPr>
      <w:r>
        <w:rPr>
          <w:rFonts w:ascii="Arial" w:cs="Arial" w:eastAsia="Arial" w:hAnsi="Arial"/>
          <w:sz w:val="17"/>
          <w:szCs w:val="17"/>
          <w:color w:val="auto"/>
        </w:rPr>
        <w:t>In June 2018, we entered into an exclusive global license agreement with UFRF and Penn, which we refer to as the RHO-adRP License Agreement. Under the RHO-adRP License Agreement, UFRF and Penn granted us a worldwide, exclusive license under specified patent rights and a worldwide, non-exclusive license under specified know-how, including specified preclinical data, to manufacture, develop and commercialize certain AAV gene therapy products for the treatment of rhodopsin-mediated diseases. The rights granted under the RHO-adRP License Agreement included certain patent rights covering IC-100, our novel AAV gene therapy product candidate intended to treat RHO-adRP.</w:t>
      </w:r>
    </w:p>
    <w:p>
      <w:pPr>
        <w:spacing w:after="0" w:line="109" w:lineRule="exact"/>
        <w:rPr>
          <w:sz w:val="20"/>
          <w:szCs w:val="20"/>
          <w:color w:val="auto"/>
        </w:rPr>
      </w:pPr>
    </w:p>
    <w:p>
      <w:pPr>
        <w:ind w:right="100" w:firstLine="177"/>
        <w:spacing w:after="0" w:line="263" w:lineRule="auto"/>
        <w:rPr>
          <w:sz w:val="20"/>
          <w:szCs w:val="20"/>
          <w:color w:val="auto"/>
        </w:rPr>
      </w:pPr>
      <w:r>
        <w:rPr>
          <w:rFonts w:ascii="Arial" w:cs="Arial" w:eastAsia="Arial" w:hAnsi="Arial"/>
          <w:sz w:val="18"/>
          <w:szCs w:val="18"/>
          <w:color w:val="auto"/>
        </w:rPr>
        <w:t>We may grant sublicenses of the licensed patent rights and know-how without the consent of the UFRF and Penn to certain affiliates and to biopharmaceutical companies that have a minimum market capitalization at the time such sublicense is granted and may otherwise grant sublicenses of the licensed patent rights and know-how with the consent of UFRF and Penn, not to be unreasonably withheld.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Diligence Obligations</w:t>
      </w:r>
    </w:p>
    <w:p>
      <w:pPr>
        <w:spacing w:after="0" w:line="144" w:lineRule="exact"/>
        <w:rPr>
          <w:sz w:val="20"/>
          <w:szCs w:val="20"/>
          <w:color w:val="auto"/>
        </w:rPr>
      </w:pPr>
    </w:p>
    <w:p>
      <w:pPr>
        <w:ind w:right="20" w:firstLine="177"/>
        <w:spacing w:after="0" w:line="301" w:lineRule="auto"/>
        <w:rPr>
          <w:sz w:val="20"/>
          <w:szCs w:val="20"/>
          <w:color w:val="auto"/>
        </w:rPr>
      </w:pPr>
      <w:r>
        <w:rPr>
          <w:rFonts w:ascii="Arial" w:cs="Arial" w:eastAsia="Arial" w:hAnsi="Arial"/>
          <w:sz w:val="16"/>
          <w:szCs w:val="16"/>
          <w:color w:val="auto"/>
        </w:rPr>
        <w:t>We agreed to use commercially reasonable efforts to pursue an agreed-upon development plan with the intent to develop a licensed product for sale within at least the United States and two major European countries and, subject to obtaining marketing approval, to commercialize a licensed product in at least the United States and two major European countries. In addition, we agreed to meet specified development and commercial milestones with respect to a licensed product by specified dates, as the same may be extended under the terms of the RHO-adRP License Agreement.</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Terms</w:t>
      </w:r>
    </w:p>
    <w:p>
      <w:pPr>
        <w:spacing w:after="0" w:line="158" w:lineRule="exact"/>
        <w:rPr>
          <w:sz w:val="20"/>
          <w:szCs w:val="20"/>
          <w:color w:val="auto"/>
        </w:rPr>
      </w:pPr>
    </w:p>
    <w:p>
      <w:pPr>
        <w:ind w:right="200" w:firstLine="180"/>
        <w:spacing w:after="0" w:line="279" w:lineRule="auto"/>
        <w:rPr>
          <w:sz w:val="20"/>
          <w:szCs w:val="20"/>
          <w:color w:val="auto"/>
        </w:rPr>
      </w:pPr>
      <w:r>
        <w:rPr>
          <w:rFonts w:ascii="Arial" w:cs="Arial" w:eastAsia="Arial" w:hAnsi="Arial"/>
          <w:sz w:val="17"/>
          <w:szCs w:val="17"/>
          <w:color w:val="auto"/>
        </w:rPr>
        <w:t>In June 2018, we paid a $0.5 million upfront license issuance fee in connection with entry into the agreement, as well as accrued patent prosecution expenses of approximately $30 thousand. Under the agreement, we agreed to pay an annual license maintenance fee in the low double-digit thousands of dollars, which will be payable on an annual basis until the first commercial sale of a licensed product. In addition, we agreed to reimburse UFRF for the costs and expenses of patent prosecution and maintenance related to the licensed patent rights.</w:t>
      </w:r>
    </w:p>
    <w:p>
      <w:pPr>
        <w:spacing w:after="0" w:line="90"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further agreed to pay UFRF, on behalf of both licensors, up to an aggregate of $23.5 million if we achieve specified clinical, marketing approval and reimbursement approval milestones with respect to a licensed product and additionally, up to an aggregate of $70.0 million if we achieve specified commercial sales milestones with respect to a licensed product.</w:t>
      </w:r>
    </w:p>
    <w:p>
      <w:pPr>
        <w:spacing w:after="0" w:line="116" w:lineRule="exact"/>
        <w:rPr>
          <w:sz w:val="20"/>
          <w:szCs w:val="20"/>
          <w:color w:val="auto"/>
        </w:rPr>
      </w:pPr>
    </w:p>
    <w:p>
      <w:pPr>
        <w:ind w:right="40" w:firstLine="177"/>
        <w:spacing w:after="0" w:line="255" w:lineRule="auto"/>
        <w:rPr>
          <w:sz w:val="20"/>
          <w:szCs w:val="20"/>
          <w:color w:val="auto"/>
        </w:rPr>
      </w:pPr>
      <w:r>
        <w:rPr>
          <w:rFonts w:ascii="Arial" w:cs="Arial" w:eastAsia="Arial" w:hAnsi="Arial"/>
          <w:sz w:val="18"/>
          <w:szCs w:val="18"/>
          <w:color w:val="auto"/>
        </w:rPr>
        <w:t>We are also obligated to pay UFRF, on behalf of both licensors, royalties at a low single-digit percentage of net sales of licensed products. Such royalties are subject to customary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for patent rights or other intellectual property rights that are necessary to manufacture, develop and commercialize the licensed product in such country. Our obligation to pay royalties under the RHO-adRP License Agreement will continue on a licensed product-by-licensed product and country-by-country basis until the latest of:</w:t>
      </w:r>
    </w:p>
    <w:p>
      <w:pPr>
        <w:spacing w:after="0" w:line="125"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a licensed product in the country of sale;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a licensed product in the country of sale;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ten years from the first commercial sale of the applicable licensed product in the country of sale.</w:t>
      </w:r>
    </w:p>
    <w:p>
      <w:pPr>
        <w:spacing w:after="0" w:line="15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Beginning on the earlier of the calendar year following the first commercial sale of a licensed product and the first business day of 2031, we are also obligated to pay certain minimum royalties, not to exceed an amount in the low hundreds of thousands of dollars on an annual basis, which minimum royalties are creditable against our royalty obligation with respect to net sales of licensed products due for the year in which the minimum royalty is paid.</w:t>
      </w:r>
    </w:p>
    <w:p>
      <w:pPr>
        <w:spacing w:after="0" w:line="68" w:lineRule="exact"/>
        <w:rPr>
          <w:sz w:val="20"/>
          <w:szCs w:val="20"/>
          <w:color w:val="auto"/>
        </w:rPr>
      </w:pPr>
    </w:p>
    <w:p>
      <w:pPr>
        <w:ind w:right="60" w:firstLine="180"/>
        <w:spacing w:after="0" w:line="263" w:lineRule="auto"/>
        <w:rPr>
          <w:sz w:val="20"/>
          <w:szCs w:val="20"/>
          <w:color w:val="auto"/>
        </w:rPr>
      </w:pPr>
      <w:r>
        <w:rPr>
          <w:rFonts w:ascii="Arial" w:cs="Arial" w:eastAsia="Arial" w:hAnsi="Arial"/>
          <w:sz w:val="18"/>
          <w:szCs w:val="18"/>
          <w:color w:val="auto"/>
        </w:rPr>
        <w:t>If we or an affiliate sublicenses any of the licensed patent rights to a third party, we will be obligated to pay UFRF, on behalf of both licensors, a low double-digit percentage of the consideration received in exchange for such sublicense, with the applicable percentage based upon the stage of development of the sublicensed product at the time we or the applicable affiliate enters into the sublicense.</w:t>
      </w:r>
    </w:p>
    <w:p>
      <w:pPr>
        <w:spacing w:after="0" w:line="116" w:lineRule="exact"/>
        <w:rPr>
          <w:sz w:val="20"/>
          <w:szCs w:val="20"/>
          <w:color w:val="auto"/>
        </w:rPr>
      </w:pPr>
    </w:p>
    <w:p>
      <w:pPr>
        <w:ind w:firstLine="180"/>
        <w:spacing w:after="0" w:line="296" w:lineRule="auto"/>
        <w:rPr>
          <w:sz w:val="20"/>
          <w:szCs w:val="20"/>
          <w:color w:val="auto"/>
        </w:rPr>
      </w:pPr>
      <w:r>
        <w:rPr>
          <w:rFonts w:ascii="Arial" w:cs="Arial" w:eastAsia="Arial" w:hAnsi="Arial"/>
          <w:sz w:val="16"/>
          <w:szCs w:val="16"/>
          <w:color w:val="auto"/>
        </w:rPr>
        <w:t>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 double-digit millions of dollars based on certain marketing approval and commercial sales milestones with respect to such other product candidate.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44" w:lineRule="exact"/>
        <w:rPr>
          <w:sz w:val="20"/>
          <w:szCs w:val="20"/>
          <w:color w:val="auto"/>
        </w:rPr>
      </w:pPr>
    </w:p>
    <w:p>
      <w:pPr>
        <w:ind w:firstLine="180"/>
        <w:spacing w:after="0" w:line="272" w:lineRule="auto"/>
        <w:rPr>
          <w:sz w:val="20"/>
          <w:szCs w:val="20"/>
          <w:color w:val="auto"/>
        </w:rPr>
      </w:pPr>
      <w:r>
        <w:rPr>
          <w:rFonts w:ascii="Arial" w:cs="Arial" w:eastAsia="Arial" w:hAnsi="Arial"/>
          <w:sz w:val="17"/>
          <w:szCs w:val="17"/>
          <w:color w:val="auto"/>
        </w:rPr>
        <w:t>Unless earlier terminated by us, the RHO-adRP License Agreement will expire upon the expiration of our obligation to pay royalties to UFRF on net sales of licensed products. We may terminate the agreement at any time for any reason upon prior written notice to UFRF. Penn or UFRF may terminate the agreement if we materially breach the agreement and do not cure such breach within a specified cure period, if we experience a specified insolvency event, if we cease to carry on the entirety of our business related to the licensed patent rights, if we cease for more than four consecutive quarters to make any payment of earned royalties on net sales of licensed products following the commencement of commercialization thereof, unless such cessation is based on safety concerns that we are actively attempting to address, or if we or an affiliate challenges or assists a third party in challenging the validity, scope, patentability, and/or enforceability of the licensed patent rights.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20" w:firstLine="180"/>
        <w:spacing w:after="0" w:line="277" w:lineRule="auto"/>
        <w:rPr>
          <w:sz w:val="20"/>
          <w:szCs w:val="20"/>
          <w:color w:val="auto"/>
        </w:rPr>
      </w:pPr>
      <w:r>
        <w:rPr>
          <w:rFonts w:ascii="Arial" w:cs="Arial" w:eastAsia="Arial" w:hAnsi="Arial"/>
          <w:sz w:val="18"/>
          <w:szCs w:val="18"/>
          <w:color w:val="auto"/>
        </w:rPr>
        <w:t>Following any termination of the agreement prior to expiration of the term of the agreement, all rights to the licensed patent rights and know-how granted to us will revert to UFRF and Penn.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Penn and UFRF for IC-200</w:t>
      </w:r>
    </w:p>
    <w:p>
      <w:pPr>
        <w:spacing w:after="0" w:line="252" w:lineRule="exact"/>
        <w:rPr>
          <w:sz w:val="20"/>
          <w:szCs w:val="20"/>
          <w:color w:val="auto"/>
        </w:rPr>
      </w:pPr>
    </w:p>
    <w:p>
      <w:pPr>
        <w:ind w:right="20" w:firstLine="180"/>
        <w:spacing w:after="0" w:line="296" w:lineRule="auto"/>
        <w:rPr>
          <w:sz w:val="20"/>
          <w:szCs w:val="20"/>
          <w:color w:val="auto"/>
        </w:rPr>
      </w:pPr>
      <w:r>
        <w:rPr>
          <w:rFonts w:ascii="Arial" w:cs="Arial" w:eastAsia="Arial" w:hAnsi="Arial"/>
          <w:sz w:val="16"/>
          <w:szCs w:val="16"/>
          <w:color w:val="auto"/>
        </w:rPr>
        <w:t xml:space="preserve">In April 2019, we entered into an exclusive global license agreement, which we refer to as the BEST1 License Agreement, with Penn and UFRF. We entered into the BEST1 License Agreement by exercising our exclusive option rights under an option agreement that we previously entered into with Penn and UFRF in October 2018. Under the BEST1 License Agreement, Penn and UFRF granted us a worldwide, exclusive license under specified patent rights and specified know-how and a worldwide, non-exclusive license under other specified know-how to research, develop, manufacture and commercialize certain AAV gene therapy products, including IC-200, for the treatment of Best disease and other </w:t>
      </w:r>
      <w:r>
        <w:rPr>
          <w:rFonts w:ascii="Arial" w:cs="Arial" w:eastAsia="Arial" w:hAnsi="Arial"/>
          <w:sz w:val="16"/>
          <w:szCs w:val="16"/>
          <w:i w:val="1"/>
          <w:iCs w:val="1"/>
          <w:color w:val="auto"/>
        </w:rPr>
        <w:t>BEST1-</w:t>
      </w:r>
      <w:r>
        <w:rPr>
          <w:rFonts w:ascii="Arial" w:cs="Arial" w:eastAsia="Arial" w:hAnsi="Arial"/>
          <w:sz w:val="16"/>
          <w:szCs w:val="16"/>
          <w:color w:val="auto"/>
        </w:rPr>
        <w:t>related IRDs.</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have agreed to use commercially reasonable efforts to pursue an agreed-upon development plan with the intent to develop a licensed product for sale within at least the United States and two major European countries and, subject to obtaining marketing approval, to commercialize such product in at least the United States and two major European countries. In addition, we have agreed to meet specified development and regulatory milestones with respect to a licensed product by specified dates, as the same may be extended under the terms of the agreement.</w:t>
      </w:r>
    </w:p>
    <w:p>
      <w:pPr>
        <w:spacing w:after="0" w:line="198"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may grant sublicenses of the licensed patent rights and know-how, without the consent of Penn or UFRF, to certain affiliates and to biopharmaceutical companies that have a minimum market capitalization at the time such sublicense is granted, and may otherwise grant sublicenses to the licensed patent rights and know-how with the consent of Penn and UFRF, not to be unreasonably withheld.</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Terms</w:t>
      </w:r>
    </w:p>
    <w:p>
      <w:pPr>
        <w:spacing w:after="0" w:line="15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In May 2019, we paid Penn, for the benefit of Penn and UFRF, a $0.2 million upfront license issuance fee, which was recorded as a research and development expense, and we paid UFRF accrued patent prosecution expenses of approximately $18 thousand, which was recorded as a general and administrative expense. We have also agreed to pay Penn, for the benefit of Penn and UFRF, an annual license maintenance fee in the low double-digit thousands of dollars, which fee will be payable on an annual basis until the first commercial sale of a licensed product. In addition, we have agreed to pay Penn, for the benefit of Penn and UFRF, a one-time patent grant fee in the low triple-digit thousands of dollars, upon the issuance of a U.S. patent that claims inventions disclosed in the licensed patent rights or know-how or inventions generated under certain related sponsored research agreements with Penn or UFRF, and that is exclusively licensed to us. Furthermore, we have agreed to reimburse Penn and UFRF for the costs and expenses of patent prosecution and maintenance related to the licensed patent rights.</w:t>
      </w:r>
    </w:p>
    <w:p>
      <w:pPr>
        <w:spacing w:after="0" w:line="20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further agreed to pay Penn, for the benefit of Penn and UFRF, up to an aggregate of $15.7 million if we achieve specified clinical, marketing approval and reimbursement approval milestones with respect to one licensed product, and up to an aggregate of an additional $3.1 million if we achieve these same milestones with respect to a different licensed product. In addition, we have agreed to pay Penn, for the benefit of Penn and UFRF, up to an aggregate of $48.0 million if we achieve specified commercial sales milestones with respect to one licensed product, and up to an aggregate of an additional $9.6 million if we achieve these same milestones with respect to a different licensed product.</w:t>
      </w:r>
    </w:p>
    <w:p>
      <w:pPr>
        <w:spacing w:after="0" w:line="17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are also obligated to pay Penn, for the benefit of Penn and UFRF,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to patent rights or other intellectual property rights that are necessary to research, develop, manufacture and commercialize the licensed product in such country. Our obligation to pay royalties under the BEST1 License Agreement will continue on a licensed product-by-licensed product and country-by-country basis until the latest of:</w:t>
      </w:r>
    </w:p>
    <w:p>
      <w:pPr>
        <w:spacing w:after="0" w:line="97"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expiration of the last-to-expire licensed patent rights covering the sale of the applicable licensed product in the country of sale;</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the applicable licensed product in the country of sale;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 years from the first commercial sale of the applicable licensed product in the country of sale.</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Beginning on the earlier of the calendar year following the first commercial sale of a licensed product and calendar year 2032, we are also obligated to pay certain minimum royalties, not to exceed an amount in the mid tens of thousands of dollars on an annual basis, which minimum royalties are creditable against our royalty obligation with respect to net sales of licensed products due in the year the minimum royalty is paid.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we or any of our affiliates sublicense any of the licensed patent rights to a third party, we will be obligated to pay Penn, for the benefit of Penn and UFRF, a high single-digit to a mid ten's percentage of the consideration received in exchange for such sublicense, with the applicable percentage based upon the stage of development of the sublicensed product at the time we or the applicable affiliate enters into the sublicense.</w:t>
      </w:r>
    </w:p>
    <w:p>
      <w:pPr>
        <w:spacing w:after="0" w:line="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receive a rare pediatric disease priority review voucher from the FDA in connection with obtaining marketing approval for a licensed product and we subsequently use such priority review voucher in connection with a different product candidate outside the scope of the BEST1 License Agreement, we will be obligated to pay Penn, for the benefit of Penn and UFRF, aggregate payments in the low double-digit millions of dollars based on certain approval and commercial sales milestones with respect to such other product candidate. In addition, if we sell such a priority review voucher to a third party, we will be obligated to pay Penn, for the benefit of Penn and UFRF, a high single-digit percentage of any consideration received from such third party in connection with such sale.</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BEST1 License Agreement, unless earlier terminated by us or Penn or UFRF, will expire upon the expiration of our obligation to pay royalties to Penn, for the benefit of Penn and UFRF, on net sales of licensed products. Before the effectiveness of an IND for a licensed product, we may terminate the BEST1 License Agreement with respect to such licensed product or in its entirety, at any time for any reason upon prior written notice to Penn and UFRF. Following the effectiveness of an IND for a licensed product, we may terminate the BEST1 License Agreement with respect to such licensed product by providing Penn prior written notice and a certification that we are ceasing all use, research and development and commercialization of such licensed product, subject to certain limited exceptions. We may also terminate the BEST1 License Agreement if Penn or UFRF materially breaches the BEST1 License Agreement and does not cure such breach within a specified cure period.</w:t>
      </w:r>
    </w:p>
    <w:p>
      <w:pPr>
        <w:spacing w:after="0" w:line="9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Penn or UFRF may terminate the BEST1 License Agreement if we materially breach the BEST1 License Agreement and do not cure such breach within a specified cure period, if we experience a specified insolvency event, if we cease to carry on the entirety of our business related to the licensed patent rights, if we cease for more than four consecutive quarters to make any payment of earned royalties on net sales of licensed products following the commencement of commercialization thereof, unless such cessation is based on safety concerns that we are actively attempting to address, or if we, any of our affiliates or any of our sublicensees challenge or assist a third party in challenging the validity, scope, patentability, and/or enforceability of the licensed patent rights. If we materially breach certain diligence obligations under the BEST1 License Agreement with respect to only one licensed product, then Penn and UFRF may only terminate our rights and licenses under the BEST1 License Agreement for such licensed product, but not for other licensed products.</w:t>
      </w:r>
    </w:p>
    <w:p>
      <w:pPr>
        <w:spacing w:after="0" w:line="12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Following any termination of the BEST1 License Agreement prior to expiration of the term of the BEST1 License Agreement, all rights to the licensed patent rights and know-how that Penn and UFRF granted to us will revert to Penn and UFRF.</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UMass for the miniCEP290 Program</w:t>
      </w:r>
    </w:p>
    <w:p>
      <w:pPr>
        <w:spacing w:after="0" w:line="14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In July 2019, we entered into an Exclusive License Agreement, which we refer to as the miniCEP290 License Agreement, with UMass. We entered into the miniCEP290 License Agreement by exercising our exclusive option rights under an option agreement and a sponsored research agreement that we previously entered into with UMass in February 2018. Under the miniCEP290 License Agreement, UMass granted us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Arial" w:cs="Arial" w:eastAsia="Arial" w:hAnsi="Arial"/>
          <w:sz w:val="17"/>
          <w:szCs w:val="17"/>
          <w:i w:val="1"/>
          <w:iCs w:val="1"/>
          <w:color w:val="auto"/>
        </w:rPr>
        <w:t>CEP290</w:t>
      </w:r>
      <w:r>
        <w:rPr>
          <w:rFonts w:ascii="Arial" w:cs="Arial" w:eastAsia="Arial" w:hAnsi="Arial"/>
          <w:sz w:val="17"/>
          <w:szCs w:val="17"/>
          <w:color w:val="auto"/>
        </w:rPr>
        <w:t xml:space="preserve"> gene, including LCA10. We may grant sublicenses of the licensed patent rights and know-how without the consent of UMass.</w:t>
      </w:r>
    </w:p>
    <w:p>
      <w:pPr>
        <w:spacing w:after="0" w:line="1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agreed to use diligent efforts to develop licensed products and to introduce such licensed products into the commercial market. Subject to obtaining marketing approval, we agreed to make any approved licensed product reasonably available to the public. In addition, we have agreed to meet specified development and regulatory milestones with respect to a licensed product by specified dates, as the same may be extended under the terms of the miniCEP290 License Agreement.</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Terms</w:t>
      </w:r>
    </w:p>
    <w:p>
      <w:pPr>
        <w:spacing w:after="0" w:line="14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July 2019, we issued to UMass 75,000 shares of our common stock following execution of the miniCEP290 License Agreement pursuant to an exemption from registration afforded by Section 4(a)(2) of the Securities Act of 1933, as amended, or the Securities Act. In September 2019, we paid UMass a $0.4 million upfront license fee, which was recorded as a research and development expense, and we paid UMass accrued patent prosecution expenses of approximately $18 thousand, which was recorded as a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have also agreed to pay UMass an annual license maintenance fee in the low double-digit thousands of dollars, which fee will be payable on an annual basis until the expiration of the royalty term for the licensed products. Furthermore, we have agreed to reimburse UMass for the costs and expenses of patent prosecution and maintenance related to the licensed patent rights.</w:t>
      </w:r>
    </w:p>
    <w:p>
      <w:pPr>
        <w:spacing w:after="0" w:line="103"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We have further agreed to pay UMass up to an aggregate of $14.75 million in cash and issue up to 75,000 shares of our common stock if we achieve specified clinical and regulatory milestones with respect to a licensed product. In addition, we have agreed to pay UMass up to an aggregate of $48.0 million if we achieve specified commercial sales milestones with respect to a licensed product.</w:t>
      </w:r>
    </w:p>
    <w:p>
      <w:pPr>
        <w:spacing w:after="0" w:line="9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also obligated to pay UMass royalties at a low single-digit percentage of net sales of licensed products. Our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we are also obligated to pay certain minimum royalties, not to exceed an amount in the mid-double-digit thousands of dollars on an annual basis, which minimum royalties are creditable against our royalty obligation with respect to net sales of licensed products due in the year the minimum royalty is paid.</w:t>
      </w:r>
    </w:p>
    <w:p>
      <w:pPr>
        <w:spacing w:after="0" w:line="127"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we or any of our affiliates sublicenses any of the licensed patent rights or know-how to a third party, we will be obligated to pay UMass a high single-digit to a mid-tens percentage of the consideration received in exchange for such sublicense, with the applicable percentage based upon the stage of development of the licensed products at the time we or the applicable affiliate enters into the sublicense.</w:t>
      </w:r>
    </w:p>
    <w:p>
      <w:pPr>
        <w:spacing w:after="0" w:line="8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we receive a rare pediatric disease priority review voucher, or a priority review voucher, from the FDA in connection with obtaining marketing approval for a licensed product, and we subsequently use such priority review voucher in connection with a different product candidate outside the scope of the miniCEP290 License Agreement, we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we sell such a priority review voucher to a third party, we will be obligated to pay UMass a low-thirties percentage of any consideration received from such third party in connection with such sale.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58"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miniCEP290 License Agreement, unless earlier terminated by us or UMass, will expire upon the expiration of our obligation to pay royalties to UMass on net sales of licensed products. We may terminate the miniCEP290 License Agreement at any time for any reason upon prior written notice to UMass. We may also terminate the miniCEP290 License Agreement if UMass materially breaches the miniCEP290 License Agreement and does not cure such breach within a specified cure period.</w:t>
      </w:r>
    </w:p>
    <w:p>
      <w:pPr>
        <w:spacing w:after="0" w:line="10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UMass may terminate the miniCEP290 License Agreement if we materially breach the miniCEP290 License Agreement and do not cure such breach within a specified cure period.</w:t>
      </w:r>
    </w:p>
    <w:p>
      <w:pPr>
        <w:spacing w:after="0" w:line="10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Following any termination of the miniCEP290 License Agreement prior to expiration of the term of the miniCEP290 License Agreement, all rights to the licensed patent rights and know-how that UMass granted to us will revert to UMass.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marketing approvals in the United States and in foreign countries and jurisdictions, along with subsequent compliance with applicable statutes and regulations and other legal requirements of regulatory authorities, require the expenditure of substantial time and financial resources.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Drugs and Biologics in the United States</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the United States, the FDA approves and regulates drugs under the Federal Food, Drug, and Cosmetic Act, or FDCA, and implementing regulations. Biologic products, including gene therapy products, are licensed for marketing under the Public Health Service Act, or PHSA. The failure to comply with requirements under the FDCA or PHSA and other applicable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laws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 including state agencies.</w:t>
      </w:r>
    </w:p>
    <w:p>
      <w:pPr>
        <w:spacing w:after="0" w:line="17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A drug candidate must be approved by the FDA through a new drug application, or NDA. A biologic candidate is licensed by the FDA through approval of a biologic license application, or BLA. An applicant seeking approval to market and distribute a new product in the United States must typically undertake the following:</w:t>
      </w:r>
    </w:p>
    <w:p>
      <w:pPr>
        <w:spacing w:after="0" w:line="184" w:lineRule="exact"/>
        <w:rPr>
          <w:sz w:val="20"/>
          <w:szCs w:val="20"/>
          <w:color w:val="auto"/>
        </w:rPr>
      </w:pPr>
    </w:p>
    <w:p>
      <w:pPr>
        <w:ind w:left="980" w:right="20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19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submission to the FDA of an IND, which must take effect before human clinical trials may begin;</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trial site before each clinical trial may be initiated at that clinical site;</w:t>
      </w:r>
    </w:p>
    <w:p>
      <w:pPr>
        <w:spacing w:after="0" w:line="197"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practices, or GCP, to establish the safety and efficacy of the proposed drug product for each indication for which the sponsor is seeking approval and the safety, potency and purity of a candidate biologic product for each indication for which the sponsor is seeking approval;</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preparation and submission to the FDA of an application requesting marketing approval for one or more proposed indications;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by an FDA advisory committee, where appropriate or if applicable;</w:t>
      </w:r>
    </w:p>
    <w:p>
      <w:pPr>
        <w:spacing w:after="0" w:line="252" w:lineRule="exact"/>
        <w:rPr>
          <w:rFonts w:ascii="Arial" w:cs="Arial" w:eastAsia="Arial" w:hAnsi="Arial"/>
          <w:sz w:val="18"/>
          <w:szCs w:val="18"/>
          <w:color w:val="auto"/>
        </w:rPr>
      </w:pPr>
    </w:p>
    <w:p>
      <w:pPr>
        <w:ind w:left="980" w:right="320" w:hanging="324"/>
        <w:spacing w:after="0" w:line="263"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at which the product, or components thereof, are produced to assess compliance with cGMP requirements and to assure that the facilities, methods and controls are adequate to preserve the product’s identity, strength, quality and purity;</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application; and</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 xml:space="preserve">Before an applicant begins testing a drug or biologic with potential therapeutic value in humans, the product candidate must undergo preclinical testing. Preclinical studies include laboratory evaluation of product chemistry, toxicity and formulation, and the purity and stability of the substance,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studies to assess the potential safety and activity of the product candidate for initial testing in humans and to establish a rationale for therapeutic use. The conduct of preclinical studies is subject to federal regulations and requirements, including GLP regulations.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IND and IRB Processes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 IND is an exemption from the FDCA that allows an unapproved product to be shipped in interstate commerce for use in an investigational clinical trial and a request for FDA authorization to administer an investigational product to humans. Such authorization must be secured prior to interstate shipment and administration of any product candidate that is not the subject of an approved application. In support of a request for an IND, applicants must submit a protocol for each clinical trial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and any subsequent protocol amendments must be submitted to the FDA as part of the IND. In addition, the results of the preclinical tests, together with manufacturing information, analytical data and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 or re-commence.</w:t>
      </w:r>
    </w:p>
    <w:p>
      <w:pPr>
        <w:spacing w:after="0" w:line="19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to the foregoing IND requirements, an IRB or ethics committee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Additionally, some trials are overseen by an independent group of qualified experts organized by the trial sponsor, known as a data safety monitoring board or committee, or DSMB. This group provides authorization as to whether or not a trial may move forward at designated check points based on certain available data from the study to which only the DSMB may access. Suspension or termination of development during any phase of clinical trials can occur if it is determined that the participants are being exposed to an unacceptable health risk. Other reasons for suspension or termination may be made by the sponsor based on evolving business objectives and/or competitive climate.</w:t>
      </w:r>
    </w:p>
    <w:p>
      <w:pPr>
        <w:spacing w:after="0" w:line="17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Information about certain clinical trials must be submitted within specific timeframes to the National Institutes of Health, or NIH, for public dissemination on its ClinicalTrials.gov website.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Human Clinical Trials in Support of an Application</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Clinical trials involve the administration of an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four sequential phases, which may overlap or be combined:</w:t>
      </w:r>
    </w:p>
    <w:p>
      <w:pPr>
        <w:spacing w:after="0" w:line="225" w:lineRule="exact"/>
        <w:rPr>
          <w:sz w:val="20"/>
          <w:szCs w:val="20"/>
          <w:color w:val="auto"/>
        </w:rPr>
      </w:pPr>
    </w:p>
    <w:p>
      <w:pPr>
        <w:ind w:left="980" w:hanging="324"/>
        <w:spacing w:after="0" w:line="259"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The product candidate is initially introduced into a small number of healthy human subjects or, in certain indications, including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which we are developing product candidates, patients with the target disease or condition and tested for safety, dosage tolerance, absorption, metabolism, distribution, excretion and, if possible, to gain an early indication of its effectiveness and to determine optimal dosage.</w:t>
      </w:r>
    </w:p>
    <w:p>
      <w:pPr>
        <w:spacing w:after="0" w:line="213" w:lineRule="exact"/>
        <w:rPr>
          <w:rFonts w:ascii="Arial" w:cs="Arial" w:eastAsia="Arial" w:hAnsi="Arial"/>
          <w:sz w:val="18"/>
          <w:szCs w:val="18"/>
          <w:color w:val="auto"/>
        </w:rPr>
      </w:pPr>
    </w:p>
    <w:p>
      <w:pPr>
        <w:ind w:left="980" w:right="120" w:hanging="324"/>
        <w:spacing w:after="0" w:line="279" w:lineRule="auto"/>
        <w:tabs>
          <w:tab w:leader="none" w:pos="975"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2. </w:t>
      </w:r>
      <w:r>
        <w:rPr>
          <w:rFonts w:ascii="Arial" w:cs="Arial" w:eastAsia="Arial" w:hAnsi="Arial"/>
          <w:sz w:val="17"/>
          <w:szCs w:val="17"/>
          <w:color w:val="auto"/>
        </w:rPr>
        <w:t>The product candidate is administered to a limited patient population to identify possible adverse effects and safety risks,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preliminarily evaluate the efficacy of the product for specific targeted diseases and to determine dosage tolerance and optimal dosage. Phase 2a clinical trials tend to be smaller pilot studies for the purpose of demonstrating biological activity and clinical "proof of concept." Phase 2b studies tend to be larger studies focused on finding the optimal dosage and may be controlled.</w:t>
      </w:r>
    </w:p>
    <w:p>
      <w:pPr>
        <w:spacing w:after="0" w:line="198" w:lineRule="exact"/>
        <w:rPr>
          <w:rFonts w:ascii="Arial" w:cs="Arial" w:eastAsia="Arial" w:hAnsi="Arial"/>
          <w:sz w:val="17"/>
          <w:szCs w:val="17"/>
          <w:color w:val="auto"/>
        </w:rPr>
      </w:pPr>
    </w:p>
    <w:p>
      <w:pPr>
        <w:ind w:left="980" w:right="20" w:hanging="324"/>
        <w:spacing w:after="0" w:line="275" w:lineRule="auto"/>
        <w:tabs>
          <w:tab w:leader="none" w:pos="975"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Phase 3. </w:t>
      </w:r>
      <w:r>
        <w:rPr>
          <w:rFonts w:ascii="Arial" w:cs="Arial" w:eastAsia="Arial" w:hAnsi="Arial"/>
          <w:sz w:val="17"/>
          <w:szCs w:val="17"/>
          <w:color w:val="auto"/>
        </w:rPr>
        <w:t>These clinical trials are commonly referred to as “pivotal” studies, which denotes a study that presents the data that the FDA or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relevant regulatory agency will use to determine whether or not to approve a product candidate. The product candidate is administered to an expanded patient population, generally at geographically dispersed clinical trial sites, in well-controlled clinical trials to generate enough data to statistically evaluate the efficacy and safety of the product for approval, identify adverse effects, establish the overall risk–benefit profile of the product and to provide adequate information for the labeling of the product.</w:t>
      </w:r>
    </w:p>
    <w:p>
      <w:pPr>
        <w:spacing w:after="0" w:line="203" w:lineRule="exact"/>
        <w:rPr>
          <w:rFonts w:ascii="Arial" w:cs="Arial" w:eastAsia="Arial" w:hAnsi="Arial"/>
          <w:sz w:val="17"/>
          <w:szCs w:val="17"/>
          <w:color w:val="auto"/>
        </w:rPr>
      </w:pPr>
    </w:p>
    <w:p>
      <w:pPr>
        <w:ind w:left="980" w:right="36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4. </w:t>
      </w:r>
      <w:r>
        <w:rPr>
          <w:rFonts w:ascii="Arial" w:cs="Arial" w:eastAsia="Arial" w:hAnsi="Arial"/>
          <w:sz w:val="18"/>
          <w:szCs w:val="18"/>
          <w:color w:val="auto"/>
        </w:rPr>
        <w:t>Post-approval studies may be required to be conducted after initial marketing approval. These studies are used to gain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from the treatment of patients in the intended therapeutic indication.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 xml:space="preserve">Progress reports detailing the safety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to humans exposed to the product candidate; and any clinically important increase in the rate of a serious suspected adverse reaction over that listed in the protocol or investigator brochure. The FDA, the sponsor or the DSMB may suspend or terminate a clinical trial at any time on various grounds, including a finding that the research subjects are being exposed to an unacceptable health risk. The FDA will typically inspect one or more clinical sites to assure compliance with GCPs and the integrity of the clinical data submitted.</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25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Expanded access allows a patient to obtain an investigational new drug when enrolling in a clinical trial for that drug is difficult or not feasible for the patient. FDA regulations allow access to investigational drugs under an IND by the sponsor or the treating physician for treatment purposes on a case-by-case basis in certain circumstances, subject to FDA approval. There is no obligation for a sponsor to make its drug products available for expanded access. In April 2020, we adopted an expanded access policy, which is, as required by the 21st Century Cures Act, or Cures Act, available on our website.</w:t>
      </w:r>
    </w:p>
    <w:p>
      <w:pPr>
        <w:spacing w:after="0" w:line="9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addition, the Right to Try Act, signed into law in May 2018,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needing FDA approval under the expanded access program. There is no obligation for a drug manufacturer to make its drug products available to eligible patients under the Right to Try Act.</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Special Regulations and Guidance Governing Gene Therapy Products</w:t>
      </w:r>
    </w:p>
    <w:p>
      <w:pPr>
        <w:spacing w:after="0" w:line="25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 xml:space="preserve">The FDA has defined a gene therapy product as one that mediates its effects by transcription and/or translation of transferred genetic material and/or by integrating into the host genome and which is administered as nucleic acids, viruses, or genetically engineered microorganisms. The products may be used to modify cells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transferred to cells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prior to administration to the recipient. Within the FDA, the Center for Biologics Evaluation and Research, or CBER, regulates gene therapy products. Within CBER, the review of gene therapy and related products is consolidated in the Office of Tissues and Advanced Therapies (OTAT), and the FDA has established the Cellular, Tissue and Gene Therapies Advisory Committee to advise CBER on its reviews. The NIH, including its Novel and Exceptional Technology and Research Advisory Committee, or NExTRAC, also advises the FDA on gene therapy issues and other issues related to emerging biotechnologies. The FDA and the NIH have published guidance documents relating to the development and submission of gene therapy protocols.</w:t>
      </w:r>
    </w:p>
    <w:p>
      <w:pPr>
        <w:spacing w:after="0" w:line="17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FDA has issued various guidance documents regarding gene therapies, including final guidance documents released in January 2020 relating to chemistry, manufacturing and controls information for gene therapy INDs, long-term follow-up after the administration of gene therapy products, gene therapies for rare diseases and gene therapies for retinal disorders.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Until 2019, most gene therapy clinical trials required pre-review by the predecessor of NExTRAC before being submitted for approval by the IRBs and any local biosafety boards. In 2019, the NIH eliminated the pre-review process and going forward, the review of future gene therapy clinical trial protocols would be largely handled by IRBs. Furthermore, in 2019, the NIH removed from public access the Genetic Modification Clinical Research Information System (GeMCRIS) database, which previously contained substantial amounts of safety and other patient information regarding human gene therapy studies performed to date.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Review of a Product Candidate by the FDA</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If clinical trials are successful, the next step in the development process is the preparation and submission to the FDA of an application for marketing approval. The application is the vehicle through which applicants formally propose that the FDA approve a new drug for marketing and sale in the United States for one or more indications. The application must contain a description of the manufacturing process and quality control methods, as well as results of preclinical tests, toxicology studies, clinical trials and proposed labeling, among other things. Every new product must be the subject of an approved application before it may be commercialized in the United States. Under federal law, the submission of most applications is subject to an application user fee, which for federal fiscal year 2021 is $2,875,842 for an application requiring clinical data. The sponsor of an approved application is also subject to an annual program fee, which for fiscal year 2021 is $336,432. Certain exceptions and waivers are available for some of these fees, such as an exception from the application fee for products with orphan designation and a waiver for certain small businesses.</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Following submission of an application, the FDA conducts a preliminary review of an application generally within 60 calendar days of its receipt and strives to inform the sponsor by the 74th day after the FDA’s receipt of the submission to determine whether the application is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 depth substantive review. Under the Prescription Drug User Fee Act, or PDUFA, the FDA has agreed to specified performance goals and timelines in the review process of applications, which goals and timelines depend on the type of product candidate for which review is sought and whether the sponsor has applied for and received from the FDA any special review status for the particular product candidate allowing for expedited review. Special review status is available for certain products that are intended to address an unmet medical need in the treatment of a serious or life–threatening disease or condition under one of the following FDA-designations: fast track designation, breakthrough therapy designation, priority review designation and regenerative medicine advanced therapy designation. The review process and the PDUFA goal date may be extended by the FDA for three additional months to consider new information or clarification provided by the applicant to address an outstanding deficiency identified by the FDA following the original submission.</w:t>
      </w:r>
    </w:p>
    <w:p>
      <w:pPr>
        <w:spacing w:after="0" w:line="179"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Before approving an application, the FDA typically will inspect the facility or facilities where the product is or will be manufactured, stored, packaged and tested. These pre–approval inspections may cover all facilities associated with an application submission, including component manufacturing (e.g., active pharmaceutical ingredients),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will typically inspect one or more clinical sites to assure compliance with GCP.</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as a condition of approval, the FDA may require an applicant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FDA is required to refer an application for a novel product candidate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Under the Pediatric Research Equity Act,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submission of the assessment data required under PREA. These plans are subject to FDA review before beginning the pediatric study. Product candidates that have received orphan designation are generally exempt from the requirements of PREA. In addition, a sponsor may apply for a waiver of the PREA requirements, which the FDA has indicated it will automatically grant for certain diseases that do not affect pediatric populations, including AMD.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FDA’s Decision on an Application</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inspections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application,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the product’s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p>
    <w:p>
      <w:pPr>
        <w:spacing w:after="0" w:line="161" w:lineRule="exact"/>
        <w:rPr>
          <w:sz w:val="20"/>
          <w:szCs w:val="20"/>
          <w:color w:val="auto"/>
        </w:rPr>
      </w:pPr>
    </w:p>
    <w:p>
      <w:pPr>
        <w:ind w:right="280" w:firstLine="180"/>
        <w:spacing w:after="0" w:line="277" w:lineRule="auto"/>
        <w:rPr>
          <w:sz w:val="20"/>
          <w:szCs w:val="20"/>
          <w:color w:val="auto"/>
        </w:rPr>
      </w:pPr>
      <w:r>
        <w:rPr>
          <w:rFonts w:ascii="Arial" w:cs="Arial" w:eastAsia="Arial" w:hAnsi="Arial"/>
          <w:sz w:val="18"/>
          <w:szCs w:val="18"/>
          <w:b w:val="1"/>
          <w:bCs w:val="1"/>
          <w:i w:val="1"/>
          <w:iCs w:val="1"/>
          <w:color w:val="auto"/>
        </w:rPr>
        <w:t>Fast Track, Breakthrough Therapy, Priority Review and Regenerative Advanced Therapy Designations and Accelerated Approval; Rare Pediatric Disease Priority Review Voucher Program</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priority review designation and regenerative advanced therapy designation. The FDA may also approve certain products based on an accelerated basis.</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In April 2020, the FDA granted fast track designation to Zimura for the treatment of GA secondary to dry AMD.</w:t>
      </w:r>
    </w:p>
    <w:p>
      <w:pPr>
        <w:spacing w:after="0" w:line="18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FDASIA established a new regulatory scheme allowing for expedited review of products designated as “breakthrough therapies.” A product may be designated as a breakthrough therapy if it is intended, either alone or in combination with one or more other products, to treat a serious or life– 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7"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FDA may designate a product for priority review if it is a product that treats a serious condition and, if approved, would provide a significant improvement in safety or effectiveness. The FDA determines, on a case by 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With passage of the Cures Act, Congress authorized the FDA to accelerate review and approval of products designated as regenerative advanced therapies. A product is eligible for this designation if it is a regenerative medicine therapy that is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420"/>
        <w:spacing w:after="0" w:line="279" w:lineRule="auto"/>
        <w:rPr>
          <w:sz w:val="20"/>
          <w:szCs w:val="20"/>
          <w:color w:val="auto"/>
        </w:rPr>
      </w:pPr>
      <w:r>
        <w:rPr>
          <w:rFonts w:ascii="Arial" w:cs="Arial" w:eastAsia="Arial" w:hAnsi="Arial"/>
          <w:sz w:val="17"/>
          <w:szCs w:val="17"/>
          <w:color w:val="auto"/>
        </w:rPr>
        <w:t>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and potential eligibility for priority review and accelerated approval based on surrogate or intermediate endpoints.</w:t>
      </w:r>
    </w:p>
    <w:p>
      <w:pPr>
        <w:spacing w:after="0" w:line="171" w:lineRule="exact"/>
        <w:rPr>
          <w:sz w:val="20"/>
          <w:szCs w:val="20"/>
          <w:color w:val="auto"/>
        </w:rPr>
      </w:pPr>
    </w:p>
    <w:p>
      <w:pPr>
        <w:ind w:right="20" w:firstLine="177"/>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91" w:lineRule="exact"/>
        <w:rPr>
          <w:sz w:val="20"/>
          <w:szCs w:val="20"/>
          <w:color w:val="auto"/>
        </w:rPr>
      </w:pPr>
    </w:p>
    <w:p>
      <w:pPr>
        <w:ind w:firstLine="180"/>
        <w:spacing w:after="0" w:line="271" w:lineRule="auto"/>
        <w:rPr>
          <w:sz w:val="20"/>
          <w:szCs w:val="20"/>
          <w:color w:val="auto"/>
        </w:rPr>
      </w:pPr>
      <w:r>
        <w:rPr>
          <w:rFonts w:ascii="Arial" w:cs="Arial" w:eastAsia="Arial" w:hAnsi="Arial"/>
          <w:sz w:val="17"/>
          <w:szCs w:val="17"/>
          <w:color w:val="auto"/>
        </w:rPr>
        <w:t>Finally, the FDA may award priority review vouchers to sponsors of rare pediatric disease product applications that meet certain criteria. A rare pediatric disease is a rare disease where the disease is serious or life-threatening with the serious or life-threatening manifestations primarily affecting individuals from age zero to 18. A sponsor who receives approval for a drug or biologic for a rare pediatric disease may qualify for a priority review voucher, which the sponsor may redeem to receive priority review of a subsequent marketing application for a different product. In lieu of using the voucher for one of its own product candidates, a sponsor may sell that voucher for use by a third party. Current prices for these vouchers range in the hundreds of millions of dollars. The current rare pediatric disease priority review voucher program, which was previously scheduled to expire in October 2020, will expire in September 2024, after Congress recently renewed the program, although a drug designated as a rare pediatric disease treatment by September 2024 can still receive a priority review voucher but no later than September 2026.</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 changes, or changing the manufacturing process for the approved product, are subject to additional testing and/or FDA review and approval.</w:t>
      </w:r>
    </w:p>
    <w:p>
      <w:pPr>
        <w:spacing w:after="0" w:line="17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FDA regulations also require investigation and correction of any deviations from cGMP and impose reporting and documentation requirements upon the sponsor and any third–party manufacturers that the sponsor may decide to use. Accordingly, sponsors and manufacturers must continue to expend time, money, and effort in the area of production and quality control to maintain cGMP compliance. Further, the FDA will conduct laboratory research related to the safety, purity, potency and effectiveness of pharmaceutical products.</w:t>
      </w:r>
    </w:p>
    <w:p>
      <w:pPr>
        <w:spacing w:after="0" w:line="17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Once an approval is granted, the FDA may restrict, suspend or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61"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Products may be promoted only for the approved indications and in accordance with the provisions of the approved label. Although health care providers may prescribe products for off-label uses in their professional judgment, drug manufacturers are prohibited from soliciting, encouraging or promoting unapproved uses of a product.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Generic Drugs and Exclusivity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Under the Hatch-Waxman Amendments to the FDCA, the FDA is authorized to approve generic drugs that are shown to contain the same active ingredients as, and is bioequivalent to, drugs previously approved by the FDA pursuant to NDAs, which are also known as reference listed drugs, or RLDs. To obtain approval of a generic drug, an applicant must submit an abbreviated new drug application, or ANDA, to the FDA. An ANDA applicant does not generally rely on its own preclinical or clinical data to demonstrate safety and effectiveness but instead can rely on preclinical and clinical testing previously conducted by the sponsor of the RLD. The ANDA applicant must show that the generic version is identical to the RLD with respect to a number of factors, including the active ingredient, and that the generic version is "bioequivalent" to the RLD. Physicians, pharmacists and third-party payors generally consider an approved generic drug to be fully substitutable for the RLD.</w:t>
      </w:r>
    </w:p>
    <w:p>
      <w:pPr>
        <w:spacing w:after="0" w:line="110" w:lineRule="exact"/>
        <w:rPr>
          <w:sz w:val="20"/>
          <w:szCs w:val="20"/>
          <w:color w:val="auto"/>
        </w:rPr>
      </w:pPr>
    </w:p>
    <w:p>
      <w:pPr>
        <w:ind w:right="60" w:firstLine="180"/>
        <w:spacing w:after="0" w:line="293" w:lineRule="auto"/>
        <w:rPr>
          <w:sz w:val="20"/>
          <w:szCs w:val="20"/>
          <w:color w:val="auto"/>
        </w:rPr>
      </w:pPr>
      <w:r>
        <w:rPr>
          <w:rFonts w:ascii="Arial" w:cs="Arial" w:eastAsia="Arial" w:hAnsi="Arial"/>
          <w:sz w:val="16"/>
          <w:szCs w:val="16"/>
          <w:color w:val="auto"/>
        </w:rPr>
        <w:t>Sponsors of RLDs are required to list in the FDA's Orange Bank each patent with claims covering the RLD or approved methods of using the RLD. An ANDA applicant is required to certify to the FDA concerning any such patents, which may be a certification that the listed patent is invalid, unenforceable or will not be infringed by the new product, which is known as a Paragraph IV certification. An ANDA applicant that makes a Paragraph IV certification must notify the sponsor of the RLD, who may then initiate a patent infringement lawsuit in response to the notice of Paragraph IV certification. The filing of a lawsuit within 45 days of receipt of a Paragraph IV certification notice prevents the FDA from approving the ANDA until the earliest of 30 months after receipt of the Paragraph IV certification, expiration of the patent or a decision in the infringement case that is favorable to the ANDA applicant.</w:t>
      </w:r>
    </w:p>
    <w:p>
      <w:pPr>
        <w:spacing w:after="0" w:line="8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Market and data exclusivity provisions under the FDCA can delay the submission or the approval of certain drug applications for competing products, including generic drugs. The FDCA provides a five-year period of non-patent data exclusivity within the United States to the first applicant to gain approval of an NDA for a New Chemical Entity. A drug is a New Chemical Entity if the FDA has not previously approved any other new drug containing the same active moiety, which is the molecule responsible for the pharmacological activity of the drug substance. During the exclusivity period, the FDA may not accept for review an ANDA or an NDA under Section 505(b)(2) of the FDCA, or an 505(b)(2) NDA, submitted by another company that references the previously approved drug. However, an ANDA or 505(b)(2) NDA may be submitted after four years if it contains a Paragraph IV certification.</w:t>
      </w:r>
    </w:p>
    <w:p>
      <w:pPr>
        <w:spacing w:after="0" w:line="12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FDCA also provides three years of marketing exclusivity for an NDA, 505(b)(2) NDA, or supplement to an existing NDA or 505(b)(2) NDA if new clinical investigations, other than bioavailability studies, that were conducted or sponsored by the applicant, are deemed by the FDA to be essential to the approval of the application or supplement. Three-year exclusivity may be awarded for changes to a previously approved drug product, such as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The five-year and three-year exclusivities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225"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The Patient Protection and Affordable Care Act, or ACA, included a subtitle called the Biologics Price Competition and Innovation Act of 2009, or BPCIA. The BPCIA established a regulatory scheme authorizing the FDA to approve biosimilars and interchangeable biosimilars. A biosimilar is a biological product that is highly similar to an existing FDA-licensed "reference product." As of January 1, 2021, the FDA had approved 29 biosimilar products for use in the United States. No interchangeable biosimilars, as described below, have been approved as of January 1, 2021. The FDA has issued several guidance documents outlining an approach to the review and approval of biosimilars.</w:t>
      </w:r>
    </w:p>
    <w:p>
      <w:pPr>
        <w:spacing w:after="0" w:line="17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Under the BPCIA, a manufacturer may submit an application for licensure of a biologic product that is biosimilar to a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78"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Since the passage of the BPCIA, many states have passed laws or amendments to laws, including laws governing pharmacy practices, which are state-regulated, to regulate the use of biosimilars.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Patent Term Extension</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 patent claiming a new drug product, its method of use or its method of manufacture may be eligible for a limited patent term extension, also known as patent term restoration, under the Hatch-Waxman Amendments, which permits a patent restoration of up to five years for patent term lost during product development and FDA regulatory review. Patent term extension is generally available only for drug products whose active ingredient has not previously been approved by the FDA. The restoration period granted is typically one-half the time between the effective date of an IND and the submission date of a marketing approval application, plus the time between the submission date of a marketing approval application and the ultimate approval date. Patent term extension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United States Patent and Trademark Office (USPTO) reviews and approves the application for any patent term extension in consultation with the FDA.</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request orphan drug designation before submitting an application for the product and the rare disease or condition.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6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Orphan exclusivity does not block the approval of a different product for the same rare disease or condition, nor does it block the approval of the same product for different indications. In particular, the concept of what constitutes the "same product" for purposes of orphan drug exclusivity remains in flux in the context of gene therapies, and the FDA has issued recent draft guidance suggesting that it would not consider two gene therapy products to be different products solely based on minor differences in the transgenes or vectors. If a product designated as an orphan drug ultimately receives marketing approval for an indication broader than what was designated in its orphan drug application, it may not be entitled to exclusivity.</w:t>
      </w:r>
    </w:p>
    <w:p>
      <w:pPr>
        <w:spacing w:after="0" w:line="196"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Orphan drug exclusivity will not bar approval of another product under certain circumstances, including if a subsequent product for the same indication is shown to be clinically superior to the approved product on the basis of greater efficacy or safety or provides a major contribution to patient care, or if the company with orphan drug exclusivity is not able to meet market demand.</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Pediatric exclusivity is another type of non-patent exclusivity in the United States and, if granted, provides for an additional six months of marketing protection to the term of any existing regulatory exclusivity or patent protection, including the non-patent and orphan drug exclusivity. This six-month exclusivity may be granted if an application sponsor submits pediatric data that fairly respond to a written request from the FDA for such data. The data do not need to show that the product is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approve an ANDA or 505(b)(2) NDA that references the product. With regard to patents, the six-month pediatric exclusivity period will not attach to any patents for which an ANDA or 505(b)(2) applicant submitted a paragraph IV</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certification, unless the NDA sponsor or patent owner first obtains a court determination that the patent is valid and infringed by the proposed ANDA or 505(b)(2) product.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Products in Europe and other Foreign Jurisdictions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to regulations in the United States, a manufacturer is subject to a variety of regulations in foreign jurisdictions to the extent it chooses to conduct clinical trials or sell any products in those foreign countries. Even if a manufacturer obtains FDA approval of a product, it must still obtain the requisite approvals from regulatory authorities in foreign countries before beginning clinical trials or marketing the product in those countries. To obtain regulatory approval of an investigational product in the European Union, a manufacturer must submit a marketing authorization application, or MAA, to the EMA. For other countries outside of the European Union, such as countries in Latin America or Asia, the requirements governing the conduct of clinical trials, product licensing, pricing and reimbursement vary from country to country. In all cases, clinical trials are to be conducted in accordance with GCP and the applicable regulatory requirements and the ethical principles that have their origin in the Declaration of Helsinki.</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Clinical Trial Approval in the European Union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Under the currently applicable Clinical Trials Directive 2001/20/EC and the Directive 2005/28/EC on Good Clinical Practice, an applicant must obtain prior approval from the competent national authority of the European Union Member State, or the EU Member State, in which the clinical trial is to be conducted. If the clinical trial is conducted in different EU Member States, the competent authorities in each of these EU Member States must provide their approval for the conduct of the clinical trial. Furthermore, the applicant may only start a clinical trial at a specific study site after the applicable ethics committee has issued a favorable opinion.</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April 2014, the European Union adopted a new Clinical Trials Regulation (EU) No 536/2014, which is set to replace the current Clinical Trials Directive 2001/20/EC. The new regulation aims at simplifying and streamlining the approval of clinical trials in the European Union. Under the new coordinated procedure for the approval of clinical trials, the sponsor of a clinical trial to be conducted in more than one EU Member State will only be required to submit a single application for approval of a clinical trial to a reporting EU Member State. The Clinical Trials Regulation also aims to streamline and simplify the rules on safety reporting for clinical trials. The Clinical Trials Regulation is expected to become effective in December 2021, in conjunction with the expected going live date of a new clinical trials portal and database being developed for the new regulatory framework.</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the European Union, marketing authorizations for medicinal products may be obtained through different procedures founded on the same basic regulatory process. A marketing authorization may be granted only to an applicant established in the European Union. As in the United States, marketing authorization holders and manufacturers of approved medicinal products are subject to comprehensive regulatory oversight by the EMA and the competent authorities of the individual EU Member States both before and after grant of marketing authorizations.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Centralized Procedure. </w:t>
      </w:r>
      <w:r>
        <w:rPr>
          <w:rFonts w:ascii="Arial" w:cs="Arial" w:eastAsia="Arial" w:hAnsi="Arial"/>
          <w:sz w:val="16"/>
          <w:szCs w:val="16"/>
          <w:color w:val="auto"/>
        </w:rPr>
        <w:t>The centralized procedure provides for the grant of a single marketing authorization by the European Commission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valid across the European Economic Area, i.e. the European Union as well as 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not in the interest of patients. Manufacturers must demonstrate the quality, safety, and efficacy of their products to the EMA, which provides an opinion regarding the MAA. The European Commission grants or refuses marketing authorization in light of the opinion delivered by the EMA.</w:t>
      </w:r>
    </w:p>
    <w:p>
      <w:pPr>
        <w:spacing w:after="0" w:line="16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Specialized Procedures for Gene Therapies. </w:t>
      </w:r>
      <w:r>
        <w:rPr>
          <w:rFonts w:ascii="Arial" w:cs="Arial" w:eastAsia="Arial" w:hAnsi="Arial"/>
          <w:sz w:val="18"/>
          <w:szCs w:val="18"/>
          <w:color w:val="auto"/>
        </w:rPr>
        <w:t>The grant of marketing authorization in the European Union for gene therapy products is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1394/2007/EC on advanced therapy medicinal products, read in combination with Directive 2001/83/EC of the European Parliament and of the Council, commonly known as the Community code on medicinal products for human use. Regulation 1394/2007/EC includes specific rules concerning the authorization, supervision, and pharmacovigilance of gene therapy medicinal products. All advanced therapy medicinal products are approved centrally through the EMA. The EMA's Committee for Advanced Therapies reviews and provides an opinion regarding each advanced therapy MAA for potential final approval by the European Commission.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The decentralized procedure provides for approval by one or more other concerned EU Member States of an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an MAA conducted by one EU Member State, known as the reference EU Member State. In accordance with this procedure, an applicant submits an MAA to the reference EU Member State and the concerned EU Member States. This application is identical to the application that would be submitted to the EMA for authorization through the centralized procedure. Following receipt of a valid application, the reference EU Member State prepares a draft assessment and drafts of the related materials. The resulting assessment report is submitted to the concerned EU Member States which must decide whether to approve the assessment report and related materials.</w:t>
      </w:r>
    </w:p>
    <w:p>
      <w:pPr>
        <w:spacing w:after="0" w:line="192"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Authorization in accordance with the decentralized procedure will result in authorization of the medicinal product only in the reference EU Member State and in the other concerned EU Member States.</w:t>
      </w:r>
    </w:p>
    <w:p>
      <w:pPr>
        <w:spacing w:after="0" w:line="187" w:lineRule="exact"/>
        <w:rPr>
          <w:sz w:val="20"/>
          <w:szCs w:val="20"/>
          <w:color w:val="auto"/>
        </w:rPr>
      </w:pPr>
    </w:p>
    <w:p>
      <w:pPr>
        <w:ind w:right="20" w:firstLine="180"/>
        <w:spacing w:after="0" w:line="308" w:lineRule="auto"/>
        <w:rPr>
          <w:sz w:val="20"/>
          <w:szCs w:val="20"/>
          <w:color w:val="auto"/>
        </w:rPr>
      </w:pPr>
      <w:r>
        <w:rPr>
          <w:rFonts w:ascii="Arial" w:cs="Arial" w:eastAsia="Arial" w:hAnsi="Arial"/>
          <w:sz w:val="17"/>
          <w:szCs w:val="17"/>
          <w:i w:val="1"/>
          <w:iCs w:val="1"/>
          <w:color w:val="auto"/>
        </w:rPr>
        <w:t xml:space="preserve">Mutual Recognition Procedure. </w:t>
      </w:r>
      <w:r>
        <w:rPr>
          <w:rFonts w:ascii="Arial" w:cs="Arial" w:eastAsia="Arial" w:hAnsi="Arial"/>
          <w:sz w:val="17"/>
          <w:szCs w:val="17"/>
          <w:color w:val="auto"/>
        </w:rPr>
        <w:t>In accordance with the mutual recognition procedure, the sponsor applies for national marketing authorization in one EU</w:t>
      </w:r>
      <w:r>
        <w:rPr>
          <w:rFonts w:ascii="Arial" w:cs="Arial" w:eastAsia="Arial" w:hAnsi="Arial"/>
          <w:sz w:val="17"/>
          <w:szCs w:val="17"/>
          <w:i w:val="1"/>
          <w:iCs w:val="1"/>
          <w:color w:val="auto"/>
        </w:rPr>
        <w:t xml:space="preserve"> </w:t>
      </w:r>
      <w:r>
        <w:rPr>
          <w:rFonts w:ascii="Arial" w:cs="Arial" w:eastAsia="Arial" w:hAnsi="Arial"/>
          <w:sz w:val="17"/>
          <w:szCs w:val="17"/>
          <w:color w:val="auto"/>
        </w:rPr>
        <w:t>Member State. Upon receipt of this authorization the sponsor can then seek the recognition of this authorization by other EU Member States.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Periods of Authorization and Renewals in the European Union</w:t>
      </w:r>
    </w:p>
    <w:p>
      <w:pPr>
        <w:spacing w:after="0" w:line="11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risk-benefit balance by the EMA or by the relevant EU Member State. To seek renewal, at least six months prior to expiration of the marketing authorization, the holder must provide the EMA or the EU Member State with a consolidated version of the file detailing the continued quality, safety and efficacy of the product, including all variations introduced since the marketing authorization was granted. Once renewed, the marketing authorization is valid for an unlimited period, unless the European Commission or the relevant competent authority of the EU Member State decides, on justified grounds relating to pharmacovigilance, to proceed with one additional five-year renewal period. Any marketing authorization that is not followed by the marketing of the medicinal product on the European Union market, in the case of the centralized procedure, or in the market of the EU Member State which delivered the marketing authorization, in the case of the decentralized procedure, within three years after authorization ceases to be valid.</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Patent Term Extensions in the European Union and Other Jurisdictions</w:t>
      </w:r>
    </w:p>
    <w:p>
      <w:pPr>
        <w:spacing w:after="0" w:line="117" w:lineRule="exact"/>
        <w:rPr>
          <w:sz w:val="20"/>
          <w:szCs w:val="20"/>
          <w:color w:val="auto"/>
        </w:rPr>
      </w:pPr>
    </w:p>
    <w:p>
      <w:pPr>
        <w:ind w:right="40" w:firstLine="180"/>
        <w:spacing w:after="0" w:line="296" w:lineRule="auto"/>
        <w:rPr>
          <w:sz w:val="20"/>
          <w:szCs w:val="20"/>
          <w:color w:val="auto"/>
        </w:rPr>
      </w:pPr>
      <w:r>
        <w:rPr>
          <w:rFonts w:ascii="Arial" w:cs="Arial" w:eastAsia="Arial" w:hAnsi="Arial"/>
          <w:sz w:val="16"/>
          <w:szCs w:val="16"/>
          <w:color w:val="auto"/>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European Union, sponsors must apply on a country-by-country basis. Similar patent term extension rights exist in certain other foreign jurisdictions outside the European Union.</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Regulatory Data Exclusivity in the European Union</w:t>
      </w:r>
    </w:p>
    <w:p>
      <w:pPr>
        <w:spacing w:after="0" w:line="11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Data exclusivity prevents applicants for authorization of generics of these innovative products from referencing the innovator’s data in a generic (abridged) application for a period of eight years. During an additional two-year period of market exclusivity, a generic MAA can be submitted and authorized, and the innovator’s data may be referenced, but no generic medicinal product can be placed on the European Union market until the expiration of the market exclusivity. The overall ten-year period will be extended to a maximum of 11 years if, during the first eight years of those ten years, the marketing authorization holder obtains an authorization for one or more new therapeutic indications that are shown, during the scientific evaluation prior to authorization, to bring a significant clinical benefit in comparison with existing therapies. Even if a compound is considered to be an innovative medicinal product so that the innovator gains the additional prescribed period of marketing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Orphan Drug Designation and Exclusivity in the European Union</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serious and chronic condition in the European Union and that without incentives the medicinal product is unlikely to be developed. For either of these conditions, the applicant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w:t>
      </w:r>
    </w:p>
    <w:p>
      <w:pPr>
        <w:spacing w:after="0" w:line="14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and a reduction or elimination of registration and marketing authorization fees. The market exclusivity period can be extended by two years following completion of an agreed upon pediatric investigation plan. However, marketing authorization may be granted to a similar medicinal product with the same orphan indication during the ten 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the new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to not justify maintenance of market exclusivity.</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right="40" w:firstLine="180"/>
        <w:spacing w:after="0" w:line="287" w:lineRule="auto"/>
        <w:rPr>
          <w:sz w:val="20"/>
          <w:szCs w:val="20"/>
          <w:color w:val="auto"/>
        </w:rPr>
      </w:pPr>
      <w:r>
        <w:rPr>
          <w:rFonts w:ascii="Arial" w:cs="Arial" w:eastAsia="Arial" w:hAnsi="Arial"/>
          <w:sz w:val="16"/>
          <w:szCs w:val="16"/>
          <w:color w:val="auto"/>
        </w:rPr>
        <w:t>Before obtaining a marketing authorization in the European Union, applicants must demonstrate compliance with all measures included in an EMA-approved Pediatric Investigation Plan, or PIP, approved by the Pediatric Committee of the EMA, or PDCO, covering all subsets of the pediatric population,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must determine that the applicant actually complied with the agreed studies and measures listed in each relevant PIP. If an applicant obtains a marketing authorization in all EU Member States, or a marketing authorization granted via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SPC.</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18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On January 31, 2020, the United Kingdom left the European Union in an event called "Brexit". As of January 1, 2021, European Union laws and regulations generally became inapplicable in the United Kingdom. In December 2020, the United Kingdom and the European Union entered into a long-term trade agreement that governs their future economic relations. Since the pre-existing regulatory framework for pharmaceutical products in the United Kingdom is derived from European Union directives and regulations, which the United Kingdom could abandon or modify in the future, subject to the terms of the recently concluded long-term trade agreement, Brexit could materially impact the future regulatory regime for pharmaceutical products in the United Kingdom. We are continuing to analyze how Brexit and the recently concluded trade agreement will affect the future regulatory regime for pharmaceutical products in the United Kingdom.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Insurance Coverage, Pricing and Reimbursement</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United States and markets in many other countries, patients who are prescribed treatments for their conditions and providers performing the prescribed services generally rely on third-party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Third-party payors are increasingly challenging the prices charged, examining the medical necessity, and reviewing the cost-effectiveness of medical products and services and imposing controls to manage costs. Third-party payors may limit coverage for a particular indication to specific products on an approved list, also known as a formulary, which might not include all of the approved products for such indication.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studies required to obtain FDA or other comparable marketing approvals. Nonetheless, product candidates may not be considered medically necessary or cost effective by the payors.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Moreover, coverage policies and third-party reimbursement rates may change at any time.</w:t>
      </w:r>
    </w:p>
    <w:p>
      <w:pPr>
        <w:spacing w:after="0" w:line="195" w:lineRule="exact"/>
        <w:rPr>
          <w:sz w:val="20"/>
          <w:szCs w:val="20"/>
          <w:color w:val="auto"/>
        </w:rPr>
      </w:pPr>
    </w:p>
    <w:p>
      <w:pPr>
        <w:ind w:right="60" w:firstLine="177"/>
        <w:spacing w:after="0" w:line="255"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and the prices of pharmaceutical products have been a focus in this effort. Governments have shown significant interest in implementing cost-containment programs, including rebate programs, price controls, restrictions on reimbursement and requirements for substitution of generic products. Efforts to control drug pricing have garnered bipartisan support in the U.S. Congress. The Trump Administration issued a number of executive orders and during the Trump Administration, various U.S. government agencies, including the FDA and the Center for Medicare &amp; Medicaid Services, or CMS, proposed a number of rules intended to curb drug prices.</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Biden Administration has frozen certain of the Trump Administration’s measures to reform drug prices, pending further review. It remains to be seen how the Biden Administration will address this issue. The Biden Administration may pursue reference pricing policies, which is a regime that sets the price of certain drugs by reference to the average price of these drugs in other developed countries, or may seek to amend existing law that currently bans Medicare from negotiating lower prices with drug manufacturers.</w:t>
      </w:r>
    </w:p>
    <w:p>
      <w:pPr>
        <w:spacing w:after="0" w:line="214" w:lineRule="exact"/>
        <w:rPr>
          <w:sz w:val="20"/>
          <w:szCs w:val="20"/>
          <w:color w:val="auto"/>
        </w:rPr>
      </w:pPr>
    </w:p>
    <w:p>
      <w:pPr>
        <w:ind w:right="120" w:firstLine="170"/>
        <w:spacing w:after="0" w:line="273" w:lineRule="auto"/>
        <w:rPr>
          <w:sz w:val="20"/>
          <w:szCs w:val="20"/>
          <w:color w:val="auto"/>
        </w:rPr>
      </w:pPr>
      <w:r>
        <w:rPr>
          <w:rFonts w:ascii="Arial" w:cs="Arial" w:eastAsia="Arial" w:hAnsi="Arial"/>
          <w:sz w:val="17"/>
          <w:szCs w:val="17"/>
          <w:color w:val="auto"/>
        </w:rPr>
        <w:t>At the state level, individual states are increasingly passing legislation and implementing regulations designed to control pharmaceutical and biological product pricing, including price or patient reimbursement constraints, discounts, restrictions on access to certain products, and marketing cost disclosure and transparency measures, and, in some cases, measures designed to encourage importation from other countries and bulk purchasing. In addition, regional health care authorities and individual hospitals are increasingly using bidding procedures to determine which pharmaceutical products and which suppliers will be included in their prescription drug and other health care programs. These measures could reduce the ultimate demand for our products, if and once approved, or put pressure on our product pricing.</w:t>
      </w:r>
    </w:p>
    <w:p>
      <w:pPr>
        <w:spacing w:after="0" w:line="205" w:lineRule="exact"/>
        <w:rPr>
          <w:sz w:val="20"/>
          <w:szCs w:val="20"/>
          <w:color w:val="auto"/>
        </w:rPr>
      </w:pPr>
    </w:p>
    <w:p>
      <w:pPr>
        <w:ind w:right="60" w:firstLine="180"/>
        <w:spacing w:after="0" w:line="259" w:lineRule="auto"/>
        <w:rPr>
          <w:sz w:val="20"/>
          <w:szCs w:val="20"/>
          <w:color w:val="auto"/>
        </w:rPr>
      </w:pPr>
      <w:r>
        <w:rPr>
          <w:rFonts w:ascii="Arial" w:cs="Arial" w:eastAsia="Arial" w:hAnsi="Arial"/>
          <w:sz w:val="18"/>
          <w:szCs w:val="18"/>
          <w:color w:val="auto"/>
        </w:rPr>
        <w:t>Outside the United States, ensuring adequate coverage and payment for a product also involves challenges. Pricing of prescription pharmaceuticals is subject to governmental control in many countries. Pricing negotiations with governmental authorities can extend well beyond the receipt of regulatory marketing approval for a product and may require a clinical trial that compares the cost effectiveness of a product to other available therapies. The conduct of such a clinical trial could be expensive and result in delays in commercialization.</w:t>
      </w:r>
    </w:p>
    <w:p>
      <w:pPr>
        <w:spacing w:after="0" w:line="21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Some countries may require the completion of additional cost effectiveness clinical studies. EU Member States may approve a specific price for a product or any of them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Over the past decade, many EU Member States have increased the amount of discounts required on pharmaceuticals and these efforts could continue as countries attempt to manage healthcare expenditures, especially in light of the severe fiscal and debt crises experienced by many countries in the European Union over the past decade. Reference pricing used by various EU Member States, and parallel trade, i.e., arbitrage between low-priced and high-priced member states, can further reduce prices.</w:t>
      </w:r>
    </w:p>
    <w:p>
      <w:pPr>
        <w:spacing w:after="0" w:line="165" w:lineRule="exact"/>
        <w:rPr>
          <w:sz w:val="20"/>
          <w:szCs w:val="20"/>
          <w:color w:val="auto"/>
        </w:rPr>
      </w:pPr>
    </w:p>
    <w:p>
      <w:pPr>
        <w:ind w:right="120" w:firstLine="180"/>
        <w:spacing w:after="0" w:line="273" w:lineRule="auto"/>
        <w:rPr>
          <w:sz w:val="20"/>
          <w:szCs w:val="20"/>
          <w:color w:val="auto"/>
        </w:rPr>
      </w:pPr>
      <w:r>
        <w:rPr>
          <w:rFonts w:ascii="Arial" w:cs="Arial" w:eastAsia="Arial" w:hAnsi="Arial"/>
          <w:sz w:val="17"/>
          <w:szCs w:val="17"/>
          <w:color w:val="auto"/>
        </w:rPr>
        <w:t>In addition to initiatives specifically directed at lowering or containing prescription drug prices, legislative action in the United States at the national level has resulted in reduced funding levels for Medicare. For example, the Budget Control Act of 2011 led to aggregate reductions in Medicare payments to providers of up to 2% per fiscal year from 2013 through 2024, and the American Taxpayer Relief Act of 2012 reduced Medicare payments to several types of providers and increased the statute of limitations period for the government to recover overpayments to providers from three to five years. Any reduction in healthcare, including Medicare, funding may affect the prices we may obtain for any of our product candidates for which we may obtain regulatory approval or the frequency with which any such product candidate is prescribed or used.</w:t>
      </w:r>
    </w:p>
    <w:p>
      <w:pPr>
        <w:spacing w:after="0" w:line="205" w:lineRule="exact"/>
        <w:rPr>
          <w:sz w:val="20"/>
          <w:szCs w:val="20"/>
          <w:color w:val="auto"/>
        </w:rPr>
      </w:pPr>
    </w:p>
    <w:p>
      <w:pPr>
        <w:jc w:val="both"/>
        <w:ind w:firstLine="180"/>
        <w:spacing w:after="0" w:line="263" w:lineRule="auto"/>
        <w:rPr>
          <w:sz w:val="20"/>
          <w:szCs w:val="20"/>
          <w:color w:val="auto"/>
        </w:rPr>
      </w:pPr>
      <w:r>
        <w:rPr>
          <w:rFonts w:ascii="Arial" w:cs="Arial" w:eastAsia="Arial" w:hAnsi="Arial"/>
          <w:sz w:val="18"/>
          <w:szCs w:val="18"/>
          <w:color w:val="auto"/>
        </w:rPr>
        <w:t>Moreover, the number of individuals covered by health insurance has a direct impact on the potential market for our product candidates, if approved. The ACA, passed in 2010, included the "individual mandate," which required most Americans to carry a minimal level of health insurance. Individuals who did not obtain required coverage were subject to a penalty.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individual mandate was repealed as part of the Tax Cuts and Jobs Act of 2017, or TCJA, with the repeal becoming effective on January 1, 2019. According to the Congressional Budget Office, the repeal of the individual mandate will cause 13 million fewer Americans to be insured in 2027 and premiums in insurance markets may rise. In addition, the Trump Administration took a number of executive actions to undermine the ACA and there are current lawsuits pending regarding the ACA, including one being decided by the U.S. Supreme Court in its current term. We expect additional lawsuits may be filed.</w:t>
      </w:r>
    </w:p>
    <w:p>
      <w:pPr>
        <w:spacing w:after="0" w:line="184" w:lineRule="exact"/>
        <w:rPr>
          <w:sz w:val="20"/>
          <w:szCs w:val="20"/>
          <w:color w:val="auto"/>
        </w:rPr>
      </w:pPr>
    </w:p>
    <w:p>
      <w:pPr>
        <w:jc w:val="both"/>
        <w:ind w:right="140" w:firstLine="648"/>
        <w:spacing w:after="0" w:line="255" w:lineRule="auto"/>
        <w:rPr>
          <w:sz w:val="20"/>
          <w:szCs w:val="20"/>
          <w:color w:val="auto"/>
        </w:rPr>
      </w:pPr>
      <w:r>
        <w:rPr>
          <w:rFonts w:ascii="Arial" w:cs="Arial" w:eastAsia="Arial" w:hAnsi="Arial"/>
          <w:sz w:val="18"/>
          <w:szCs w:val="18"/>
          <w:color w:val="auto"/>
        </w:rPr>
        <w:t>Despite those developments, we expect the new 117th Congress and the Biden Administration to support and expand on the ACA. For example, on January 28, 2021, President Biden issued an executive order directing federal agencies to review all existing regulations, policies and a variety of other guidance that limit Americans’ access to high-quality healthcare and to</w:t>
      </w:r>
    </w:p>
    <w:p>
      <w:pPr>
        <w:spacing w:after="0" w:line="3"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consider actions that will protect and strengthen Medicaid, the ACA and, more generally, access to affordable healthcare for Americans. Under this order, federal agencies are to advance President Biden’s overall access policy and make determinations as to whether additional actions are necessary. Specifically, the agencies must examine, among other things, policies that undermine protections for people with pre-existing conditions, including complications related to COVID-19, and policies that undermine the health insurance marketplace or other markets for health insurance.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Law and Regulation</w:t>
      </w:r>
    </w:p>
    <w:p>
      <w:pPr>
        <w:spacing w:after="0" w:line="229" w:lineRule="exact"/>
        <w:rPr>
          <w:sz w:val="20"/>
          <w:szCs w:val="20"/>
          <w:color w:val="auto"/>
        </w:rPr>
      </w:pPr>
    </w:p>
    <w:p>
      <w:pPr>
        <w:jc w:val="both"/>
        <w:ind w:right="300" w:firstLine="648"/>
        <w:spacing w:after="0" w:line="301"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reporting of payments to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157" w:lineRule="exact"/>
        <w:rPr>
          <w:sz w:val="20"/>
          <w:szCs w:val="20"/>
          <w:color w:val="auto"/>
        </w:rPr>
      </w:pPr>
    </w:p>
    <w:p>
      <w:pPr>
        <w:ind w:left="980" w:right="40" w:hanging="324"/>
        <w:spacing w:after="0" w:line="259"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213" w:lineRule="exact"/>
        <w:rPr>
          <w:rFonts w:ascii="Arial" w:cs="Arial" w:eastAsia="Arial" w:hAnsi="Arial"/>
          <w:sz w:val="18"/>
          <w:szCs w:val="18"/>
          <w:color w:val="auto"/>
        </w:rPr>
      </w:pPr>
    </w:p>
    <w:p>
      <w:pPr>
        <w:jc w:val="both"/>
        <w:ind w:left="980" w:hanging="324"/>
        <w:spacing w:after="0" w:line="259"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213" w:lineRule="exact"/>
        <w:rPr>
          <w:rFonts w:ascii="Arial" w:cs="Arial" w:eastAsia="Arial" w:hAnsi="Arial"/>
          <w:sz w:val="18"/>
          <w:szCs w:val="18"/>
          <w:color w:val="auto"/>
        </w:rPr>
      </w:pPr>
    </w:p>
    <w:p>
      <w:pPr>
        <w:ind w:left="980" w:right="420" w:hanging="324"/>
        <w:spacing w:after="0" w:line="263"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among other things, prohibits knowingly and willfully executing, or attempting to execute, a scheme to defraud any healthcare benefit program or making false statements relating to healthcare matters;</w:t>
      </w:r>
    </w:p>
    <w:p>
      <w:pPr>
        <w:spacing w:after="0" w:line="210" w:lineRule="exact"/>
        <w:rPr>
          <w:rFonts w:ascii="Arial" w:cs="Arial" w:eastAsia="Arial" w:hAnsi="Arial"/>
          <w:sz w:val="18"/>
          <w:szCs w:val="18"/>
          <w:color w:val="auto"/>
        </w:rPr>
      </w:pPr>
    </w:p>
    <w:p>
      <w:pPr>
        <w:ind w:left="980" w:right="100" w:hanging="324"/>
        <w:spacing w:after="0" w:line="286" w:lineRule="auto"/>
        <w:tabs>
          <w:tab w:leader="none" w:pos="9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which impose obligations, including mandatory contractual terms, relating to safeguarding the privacy, security and transmission of individually identifiable health information by certain covered entities and their business associates;</w:t>
      </w:r>
    </w:p>
    <w:p>
      <w:pPr>
        <w:spacing w:after="0" w:line="192" w:lineRule="exact"/>
        <w:rPr>
          <w:rFonts w:ascii="Arial" w:cs="Arial" w:eastAsia="Arial" w:hAnsi="Arial"/>
          <w:sz w:val="17"/>
          <w:szCs w:val="17"/>
          <w:color w:val="auto"/>
        </w:rPr>
      </w:pPr>
    </w:p>
    <w:p>
      <w:pPr>
        <w:ind w:left="980" w:right="240" w:hanging="324"/>
        <w:spacing w:after="0" w:line="308" w:lineRule="auto"/>
        <w:tabs>
          <w:tab w:leader="none" w:pos="9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73" w:lineRule="exact"/>
        <w:rPr>
          <w:rFonts w:ascii="Arial" w:cs="Arial" w:eastAsia="Arial" w:hAnsi="Arial"/>
          <w:sz w:val="17"/>
          <w:szCs w:val="17"/>
          <w:color w:val="auto"/>
        </w:rPr>
      </w:pPr>
    </w:p>
    <w:p>
      <w:pPr>
        <w:ind w:left="980" w:right="180" w:hanging="324"/>
        <w:spacing w:after="0" w:line="342" w:lineRule="auto"/>
        <w:tabs>
          <w:tab w:leader="none" w:pos="97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federal Foreign Corrupt Practices Act, which, among other things, prohibits providing or offering to provide money or anything of value to a foreign government body, government official, or political candidate for the improper purpose of obtaining or keeping business;</w:t>
      </w:r>
    </w:p>
    <w:p>
      <w:pPr>
        <w:spacing w:after="0" w:line="150" w:lineRule="exact"/>
        <w:rPr>
          <w:rFonts w:ascii="Arial" w:cs="Arial" w:eastAsia="Arial" w:hAnsi="Arial"/>
          <w:sz w:val="16"/>
          <w:szCs w:val="16"/>
          <w:color w:val="auto"/>
        </w:rPr>
      </w:pPr>
    </w:p>
    <w:p>
      <w:pPr>
        <w:ind w:left="980" w:right="200" w:hanging="324"/>
        <w:spacing w:after="0" w:line="259" w:lineRule="auto"/>
        <w:tabs>
          <w:tab w:leader="none" w:pos="9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transparency requirements such as the federal Physician Payments Sunshine Act, created under the ACA, which requires certain manufacturers of drugs, devices, biologics and medical supplies to report annually to CMS information related to payments and other transfers of value made by that entity to physicians and teaching hospitals, as well as ownership and investment interests held by physicians and their immediate family members; and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220" w:hanging="324"/>
        <w:spacing w:after="0" w:line="27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private insurers.</w:t>
      </w:r>
    </w:p>
    <w:p>
      <w:pPr>
        <w:spacing w:after="0" w:line="19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such as the European Union's General Data Protection Regulation, also govern the privacy and security of health information in some circumstances, many of which differ from each other in significant ways and often are not preempted by HIPAA, thus complicating compliance efforts.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executive offices are located at Five Penn Plaza, Suite 2372, New York, NY 10001, and our telephone number is (212) 845–8200.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Internet website is http://www.ivericbio.com.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177"/>
        <w:spacing w:after="0" w:line="271" w:lineRule="auto"/>
        <w:rPr>
          <w:sz w:val="20"/>
          <w:szCs w:val="20"/>
          <w:color w:val="auto"/>
        </w:rPr>
      </w:pPr>
      <w:r>
        <w:rPr>
          <w:rFonts w:ascii="Arial" w:cs="Arial" w:eastAsia="Arial" w:hAnsi="Arial"/>
          <w:sz w:val="17"/>
          <w:szCs w:val="17"/>
          <w:color w:val="auto"/>
        </w:rPr>
        <w:t>We make available free of charge through our website our Annual Report on Form 10–K, Quarterly Reports on Form 10–Q, Current Reports on Form 8– K and amendments to those reports filed or furnished pursuant to Sections 13(a) and 15(d) of the Securities Exchange Act of 1934, as amended, or the Exchange Act. We make these reports available through our website as soon as reasonably practicable after we electronically file such reports with, or furnish such reports to, the SEC. You can find, copy and inspect information we file at the SEC’s public reference room.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 on Form 10–K.</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on Form 10-K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are a development-stage company without any commercial products. The value of our company, therefore, is highly dependent on the success of our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8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are a development-stage company without any approved products. Our growth prospects and the future value of our company are highly dependent on the progress of our research and development programs, including our ongoing and any future clinical trials for Zimura, our preclinical development programs for IC-100, IC-200 and IC-500, and our collaborative gene therapy sponsored research programs. Drug development is a highly uncertain undertaking and carries significant scientific and other risks.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including disruptions resulting from the COVID-19 pandemic,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with a product development focus to a company capable of commercializing pharmaceutical products. We may not be successful in such a transition, as our company has never conducted the sales, marketing and distribution activities necessary for successful product commercialization.</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because a number of our product candidates are in the preclinical stage, even if we are successful in advancing the research and development of those product candidates, the value of our common stock may not rise in a meaningful way, which could affect our ability to raise additional finances. As we continue to invest in our research and development programs to generate data to support further development or applications to obtain marketing approval for commercialization, the amount of our available cash will continue to decline until we raise additional finances.</w:t>
      </w:r>
    </w:p>
    <w:p>
      <w:pPr>
        <w:spacing w:after="0" w:line="1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 September 2013, funds we received under our prior Fovista licensing and commercialization agreement with Novartis Pharma AG, funds we received in connection with our acquisition of Inception 4 in October 2018, and our follow-on public offerings, which we closed in February 2014, December 2019 and June 2020. As of December 31, 2020, we had an accumulated deficit of $565.1 million. Our net loss was $84.5 million for the twelve months ended December 31, 2020 and we expect to continue to incur significant operating losses for the foreseeable future.</w:t>
      </w:r>
    </w:p>
    <w:p>
      <w:pPr>
        <w:spacing w:after="0" w:line="166" w:lineRule="exact"/>
        <w:rPr>
          <w:sz w:val="20"/>
          <w:szCs w:val="20"/>
          <w:color w:val="auto"/>
        </w:rPr>
      </w:pPr>
    </w:p>
    <w:p>
      <w:pPr>
        <w:ind w:firstLine="648"/>
        <w:spacing w:after="0" w:line="267" w:lineRule="auto"/>
        <w:rPr>
          <w:sz w:val="20"/>
          <w:szCs w:val="20"/>
          <w:color w:val="auto"/>
        </w:rPr>
      </w:pPr>
      <w:r>
        <w:rPr>
          <w:rFonts w:ascii="Arial" w:cs="Arial" w:eastAsia="Arial" w:hAnsi="Arial"/>
          <w:sz w:val="16"/>
          <w:szCs w:val="16"/>
          <w:color w:val="auto"/>
        </w:rPr>
        <w:t>Zimura is in clinical development, our gene therapy product candidates IC-100 and IC-200, and IC-500, the selected product candidate from our HtrA1 inhibitor program, are each in preclinical development, and we are funding multiple ongoing collaborative gene therapy sponsored research programs. We expect our research and development expenses to increase as we pursue these programs as currently planned. We could incur additional research and development expenses if we modify or further expand the scope of our clinical trials, including if we develop Zimura for additional indications, preclinical development programs or collaborative gene therapy sponsored research programs, or if we in-license or acquire, and undertake development of, additional product candidates and technologies, including any promising product candidates that emerge from our collaborative gene therapy sponsored research programs. We could also incur additional research and development expenses if, for example, we are required by the FDA, the EMA, or regulatory authorities in other jurisdictions to perform clinical trials and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are party to agreements with Archemix Corp., or Archemix, with respect to Zimura, the University of Florida Research Foundation, Incorporated, or UFRF, and Penn with respect to IC-100 and IC-200, UMass with respect to any potential product candidates from our miniCEP290 program, and the former equityholders of Inception 4 with respect to IC-500, in each case, that impose significant milestone payment obligations on us if we achieve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3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52"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 the development of Zimura in GA, STGD1 and potentially other indications;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360" w:hanging="324"/>
        <w:spacing w:after="0" w:line="277"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continue the development of IC-100, IC-200 and IC-500 and pursue our collaborative gene therapy sponsored research programs;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52"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manufacturing, quality control, quality assurance and scientific personnel;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expect we will require substantial, additional funding in order to complete the activities necessary to develop and commercialize one or more of our product candidates. If we are unable to raise capital when needed, we could be forced to delay, reduce or eliminate one or more of our product development programs or commercialization efforts. We may require additional funding beyond what we currently expect or sooner than we currently expect.</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December 31, 2020, we had cash, cash equivalents and available for sale securities of $210.0 million. We estimate that our year-end 2021 cash, cash equivalents and available for sale securities will range between $130 million and $140 million. We also estimate that our cash, cash equivalents and available for sale securities will be sufficient to fund our planned capital expenditure requirements and operating expenses, excluding any potential approval or sales milestones payable to Archemix or any commercialization expenses for Zimura, into 2024. These estimates are based on our current business plan, which includes the continuation of our ongoing clinical development programs for Zimura, the progression of our IC-100 and IC-200 programs into the clinic, and the advancement of our IC-500 development program. These estimates also assume that we will enroll approximately 400 patients in the GATHER2 trial. These estimates do not reflect any additional expenditures related to potentially studying Zimura in other indications, or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21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expect we will require substantial, additional funding in order to complete the activities necessary to develop and commercialize one or more of our product candidates. 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52" w:lineRule="exact"/>
        <w:rPr>
          <w:sz w:val="20"/>
          <w:szCs w:val="20"/>
          <w:color w:val="auto"/>
        </w:rPr>
      </w:pPr>
    </w:p>
    <w:p>
      <w:pPr>
        <w:ind w:left="980" w:right="120" w:hanging="324"/>
        <w:spacing w:after="0" w:line="277"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any future Zimura clinical programs and any further development we may undertake to enable us to file a new drug application, or NDA, for Zimura in one or more indications;</w:t>
      </w:r>
    </w:p>
    <w:p>
      <w:pPr>
        <w:spacing w:after="0" w:line="197" w:lineRule="exact"/>
        <w:rPr>
          <w:rFonts w:ascii="Arial" w:cs="Arial" w:eastAsia="Arial" w:hAnsi="Arial"/>
          <w:sz w:val="18"/>
          <w:szCs w:val="18"/>
          <w:color w:val="auto"/>
        </w:rPr>
      </w:pPr>
    </w:p>
    <w:p>
      <w:pPr>
        <w:ind w:left="980" w:right="880" w:hanging="324"/>
        <w:spacing w:after="0" w:line="308" w:lineRule="auto"/>
        <w:tabs>
          <w:tab w:leader="none" w:pos="97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scope, costs, progress, and results of process development, manufacturing scale-up and validation activities, analytical method development and qualification, and stability studies associated with Zimura and our other product candidates;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right="400" w:hanging="324"/>
        <w:spacing w:after="0" w:line="308" w:lineRule="auto"/>
        <w:tabs>
          <w:tab w:leader="none" w:pos="97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scope, progress, costs and results of our efforts to develop IC-100, IC-200 and IC-500, including activities to establish manufacturing capabilities and other preclinical development activities to enable us to file INDs for these product candidates;</w:t>
      </w:r>
    </w:p>
    <w:p>
      <w:pPr>
        <w:spacing w:after="0" w:line="173" w:lineRule="exact"/>
        <w:rPr>
          <w:rFonts w:ascii="Arial" w:cs="Arial" w:eastAsia="Arial" w:hAnsi="Arial"/>
          <w:sz w:val="17"/>
          <w:szCs w:val="17"/>
          <w:color w:val="auto"/>
        </w:rPr>
      </w:pPr>
    </w:p>
    <w:p>
      <w:pPr>
        <w:ind w:left="980" w:right="440" w:hanging="324"/>
        <w:spacing w:after="0" w:line="308" w:lineRule="auto"/>
        <w:tabs>
          <w:tab w:leader="none" w:pos="97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173" w:lineRule="exact"/>
        <w:rPr>
          <w:rFonts w:ascii="Arial" w:cs="Arial" w:eastAsia="Arial" w:hAnsi="Arial"/>
          <w:sz w:val="17"/>
          <w:szCs w:val="17"/>
          <w:color w:val="auto"/>
        </w:rPr>
      </w:pPr>
    </w:p>
    <w:p>
      <w:pPr>
        <w:ind w:left="980" w:right="860" w:hanging="324"/>
        <w:spacing w:after="0" w:line="277"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development and potential commercialization of any of our product candidates;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252" w:lineRule="exact"/>
        <w:rPr>
          <w:rFonts w:ascii="Arial" w:cs="Arial" w:eastAsia="Arial" w:hAnsi="Arial"/>
          <w:sz w:val="18"/>
          <w:szCs w:val="18"/>
          <w:color w:val="auto"/>
        </w:rPr>
      </w:pPr>
    </w:p>
    <w:p>
      <w:pPr>
        <w:ind w:left="980" w:right="960" w:hanging="324"/>
        <w:spacing w:after="0" w:line="277"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97"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97"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$150 million in net proceeds through our June 2020 public offering and concurrent private placement, we may not be able to successfully raise additional capital.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collaborative gene therapy sponsored research programs, or our future commercialization efforts.</w:t>
      </w:r>
    </w:p>
    <w:p>
      <w:pPr>
        <w:spacing w:after="0" w:line="16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if we experience issues with manufacturing, or if we modify or further expand the scope of our clinical trials, preclinical development programs or collaborative gene therapy sponsored research programs. For example, we have decided to enroll approximately 25 additional patients in our ongoing STAR trial, with the goal of enrolling a total of approximately 120 patients, which will extend the duration of that trial and increase our costs of conducting that trial. Our costs may also exceed our expectations for other reasons, for example, if we are required by the FDA, the EMA, or regulatory authorities in other jurisdictions to perform clinical trials or nonclinical or other studies in addition to those we currently expect to conduct, if we experience issues with process development, establishing or scaling-up of manufacturing activities or activities to enable and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qualify second source suppliers, or if we decide to increase preclinical and clinical research and development activities, build internal research capabilities or pursue internal research efforts. For example, we are conducting the GATHER2 trial with the expectation that data collected from such trial, if it is positive, together with data from our GATHER1 trial, will be sufficient to support an application for marketing approval in the United States and the European Union and we may subsequently decide to, or be required by regulatory authorities to, enroll additional patients in the GATHER2 trial beyond our current expectations, conduct additional clinical trials for Zimura in GA or conduct additional non-clinical studies of Zimura in order to seek or maintain marketing approval or qualify for reimbursement approval. In addition, the COVID-19 pandemic may result in disruptions to the progress of the GATHER2 trial or the STAR trial, including slowing patient enrollment or causing enrolled patients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We may experience difficulty in enrolling or retaining patients or maintaining scheduled visits and treatments due to patients' fears of visiting clinical trial sites or ongoing restrictive measures requiring social distancing or limiting travel. For example, we are aware that, in the STAR trial, a number of patients initially enrolled in the trial missed consecutive visits during the early months of the COVID-19 pandemic. We do not know yet whether the number of missed visits will increase or decrease among the newly enrolled patients in the STAR trial or how many missed visits will occur in the GATHER2 trial, and whether and to what extent missed visits may impact the results of any of the trials. As a result of any of the above, we may need or may seek to obtain additional funding for our continuing operations sooner or in greater amounts than expected.</w:t>
      </w:r>
    </w:p>
    <w:p>
      <w:pPr>
        <w:spacing w:after="0" w:line="16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6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Inception 4, or the Inception 4 Merger Agreement,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172"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The COVID-19 pandemic, which is a fluid and evolving situation, has adversely affected and may continue to negatively affect our business and operations in a number of ways, and its long-term effects are uncertain. In addition, the pandemic has caused substantial disruption in the financial markets and economies, which could adversely affect our business and operations.</w:t>
      </w:r>
    </w:p>
    <w:p>
      <w:pPr>
        <w:spacing w:after="0" w:line="18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COVID-19 pandemic, which began in December 2019, has spread worldwide. A majority of the world's population has been affected by government efforts to slow the spread of the outbreak through stay-at-home and social distancing orders, shutdowns of businesses and public places, heightened border security, travel restrictions, quarantines and other measures. The COVID-19 pandemic and government measures taken in response have had a significant impact, both direct and indirect, on businesses and commerce, as a substantial number of people have been required to stay and work from home; worker shortages have occurred; supply chains have been disrupted; facilities and production have been suspended; and demand for certain goods and services, such as medical services and supplies, has spiked, while demand for other goods and services, such as travel and conferences, has fallen.</w:t>
      </w:r>
    </w:p>
    <w:p>
      <w:pPr>
        <w:spacing w:after="0" w:line="19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Beginning in March 2020, the COVID-19 pandemic and measures taken to contain it have affected our business and operations in a number of ways. These include, but are not limited to, the following:</w:t>
      </w:r>
    </w:p>
    <w:p>
      <w:pPr>
        <w:spacing w:after="0" w:line="197" w:lineRule="exact"/>
        <w:rPr>
          <w:sz w:val="20"/>
          <w:szCs w:val="20"/>
          <w:color w:val="auto"/>
        </w:rPr>
      </w:pPr>
    </w:p>
    <w:p>
      <w:pPr>
        <w:ind w:left="660" w:right="20" w:hanging="328"/>
        <w:spacing w:after="0" w:line="286" w:lineRule="auto"/>
        <w:tabs>
          <w:tab w:leader="none" w:pos="6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March 2020, we decided to delay the initiation of patient enrollment in our GATHER2 trial. Although we initiated patient enrollment in June 2020 and our clinical trial sites are continuing to enroll patients, we and our clinical trial sites are doing so cautiously in light of new health and safety practices put into place as a result of the COVID-19 pandemic. We are continuing to monitor the situation closely and may need to slow down or stop patient enrollment in certain geographies depending on the local situation. In addition, we have added sites to this trial because of the ongoing and variable nature of the pandemic and its potential impact on patient recruitment and retention. Health authorities and ethics committees in certain countries have reduced their staff and operations due to the COVID-19 pandemic. This reduction in operations has resulted in delays to the approval of our trial in certain countries outside the United States and delays in the activation process for a number of our planned clinical trial sites. We may face difficulties in recruiting or retaining patients or maintaining scheduled visits to the extent patients are affected by the virus or are fearful of visiting or traveling to our clinical trial sites because of the pandemic. We are aware that a number of patients initially enrolled in the STAR trial missed consecutive visits during the early months of the pandemic. We do not yet know whether the number of missed visits will increase or decrease among the newly enrolled patients in the STAR trial or how many missed visits will occur in the GATHER2 trial, or what the impact of missed visits may be on trial results, especially because we are masked to the treatment of patients during the conduct of the trials. At this time, we do not know whether there will be further impacts on the timing and progress of patient enrollment or on patient retention or maintenance of scheduled visits in any of our ongoing or planned clinical trials as a result of the COVID-19 pandemic.</w:t>
      </w: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660" w:hanging="328"/>
        <w:spacing w:after="0" w:line="272"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Although most of our clinical trial sites have reopened and are continuing to conduct patient visits for our clinical trials, they are doing so with fewer staff and other restrictions and many of them are focusing on more urgent matters rather than clinical trials. We are engaging with our clinical trial sites, with the goal of monitoring the health and well-being of our patients who remain in our trials and maintaining their scheduled visits and treatments. Where possible, we and our clinical investigators have instituted practices such as flexible scheduling of visits for patients and remote monitoring, and we have also provided patient travel services and personal protective equipment to support our sites and patients. Recently, a number of our clinical trial sites have been scaling back their operations because of recent surges in COVID-19 cases or new lockdown measures being imposed. We have been and will continue to monitor the situation closely.</w:t>
      </w:r>
    </w:p>
    <w:p>
      <w:pPr>
        <w:spacing w:after="0" w:line="204" w:lineRule="exact"/>
        <w:rPr>
          <w:rFonts w:ascii="Arial" w:cs="Arial" w:eastAsia="Arial" w:hAnsi="Arial"/>
          <w:sz w:val="17"/>
          <w:szCs w:val="17"/>
          <w:color w:val="auto"/>
        </w:rPr>
      </w:pPr>
    </w:p>
    <w:p>
      <w:pPr>
        <w:ind w:left="660" w:right="80" w:hanging="328"/>
        <w:spacing w:after="0" w:line="273" w:lineRule="auto"/>
        <w:tabs>
          <w:tab w:leader="none" w:pos="6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some instances, our third-party contract manufacturers, academic research collaborators and contract research organizations have limited their operations and staff, which has resulted in delays to some of our manufacturing and research and development activities and limited our ability to be on site to oversee these activities. For example, the closure of animal research laboratories at the UMMS for several months during 2020 caused delays to the progress of, and to our timelines for receipt of data from, our collaborative gene therapy sponsored research programs. Additionally, we were unable to perform person-in-plant (PIP) observations on a number of critical manufacturing activities at our CDMO for IC-100 and IC-200, which caused minor delays to our manufacturing timelines for both</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product candidates. Furthermore, because of the COVID-19 pandemic and restrictions on remote auditing due to privacy and other concerns, we have experienced difficulties and delays in performing audits on most of our clinical trial sites.</w:t>
      </w:r>
    </w:p>
    <w:p>
      <w:pPr>
        <w:spacing w:after="0" w:line="197" w:lineRule="exact"/>
        <w:rPr>
          <w:sz w:val="20"/>
          <w:szCs w:val="20"/>
          <w:color w:val="auto"/>
        </w:rPr>
      </w:pPr>
    </w:p>
    <w:p>
      <w:pPr>
        <w:ind w:left="660" w:right="60" w:hanging="328"/>
        <w:spacing w:after="0" w:line="291"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experienced a shortage in obtaining one of the critical raw materials that was sourced from China, which was caused by the shutdown of local suppliers and the slowdown in trade due to the COVID-19 pandemic. This shortage delayed our process development activities for the drug substance for IC-500 by a number of months. Additionally, there is increased demand for the vials we are planning to use for the fill/finish of Zimura drug product, which governments and other companies intend to use for COVID-19 vaccines and medicines. This increased demand may limit our ability to obtain these vials for our own needs.</w:t>
      </w:r>
    </w:p>
    <w:p>
      <w:pPr>
        <w:spacing w:after="0" w:line="193" w:lineRule="exact"/>
        <w:rPr>
          <w:rFonts w:ascii="Arial" w:cs="Arial" w:eastAsia="Arial" w:hAnsi="Arial"/>
          <w:sz w:val="16"/>
          <w:szCs w:val="16"/>
          <w:color w:val="auto"/>
        </w:rPr>
      </w:pPr>
    </w:p>
    <w:p>
      <w:pPr>
        <w:jc w:val="both"/>
        <w:ind w:left="660" w:right="60" w:hanging="328"/>
        <w:spacing w:after="0" w:line="263"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instituted company-wide remote working starting in March 2020 and expect to continue working remotely for the foreseeable future. We have been relying on remote means of working and communication both internally and externally. We are continuing to monitor and support the health and well-being of our employees and their productivity as remote working continues.</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212529"/>
        </w:rPr>
        <w:t>The progression of the COVID-19 pandemic remains fluid and its impact on our business and operations remains uncertain. From late 2020 to January 2021</w:t>
      </w:r>
      <w:r>
        <w:rPr>
          <w:rFonts w:ascii="Arial" w:cs="Arial" w:eastAsia="Arial" w:hAnsi="Arial"/>
          <w:sz w:val="17"/>
          <w:szCs w:val="17"/>
          <w:color w:val="000000"/>
        </w:rPr>
        <w:t>, many countries and regions, including most states in the United States, experienced a surge in the number of new cases, including as a result</w:t>
      </w:r>
      <w:r>
        <w:rPr>
          <w:rFonts w:ascii="Arial" w:cs="Arial" w:eastAsia="Arial" w:hAnsi="Arial"/>
          <w:sz w:val="17"/>
          <w:szCs w:val="17"/>
          <w:color w:val="212529"/>
        </w:rPr>
        <w:t xml:space="preserve"> </w:t>
      </w:r>
      <w:r>
        <w:rPr>
          <w:rFonts w:ascii="Arial" w:cs="Arial" w:eastAsia="Arial" w:hAnsi="Arial"/>
          <w:sz w:val="17"/>
          <w:szCs w:val="17"/>
          <w:color w:val="000000"/>
        </w:rPr>
        <w:t xml:space="preserve">of several new mutations to the SARS-COV-2 virus, which caused public health authorities to reimpose restrictive measures. Although the number of new cases in the United States in February 2021 appears to have receded from the January highs, this trend may not continue or may reverse. In addition, although the FDA has granted emergency use authorization to three vaccines for this disease, there continue to be challenges with distributing vaccines and administering them to the general population, and the long-term safety and efficacy and ability of these vaccines to slow transmission are largely unknown. As a result, governments may continue to deploy measures to contain the pandemic for a prolonged period of time. </w:t>
      </w:r>
      <w:r>
        <w:rPr>
          <w:rFonts w:ascii="Arial" w:cs="Arial" w:eastAsia="Arial" w:hAnsi="Arial"/>
          <w:sz w:val="17"/>
          <w:szCs w:val="17"/>
          <w:color w:val="212529"/>
        </w:rPr>
        <w:t>The full extent to which the COVID-19</w:t>
      </w:r>
      <w:r>
        <w:rPr>
          <w:rFonts w:ascii="Arial" w:cs="Arial" w:eastAsia="Arial" w:hAnsi="Arial"/>
          <w:sz w:val="17"/>
          <w:szCs w:val="17"/>
          <w:color w:val="000000"/>
        </w:rPr>
        <w:t xml:space="preserve"> </w:t>
      </w:r>
      <w:r>
        <w:rPr>
          <w:rFonts w:ascii="Arial" w:cs="Arial" w:eastAsia="Arial" w:hAnsi="Arial"/>
          <w:sz w:val="17"/>
          <w:szCs w:val="17"/>
          <w:color w:val="212529"/>
        </w:rPr>
        <w:t>pandemic will directly or indirectly impact our business, results of operations and financial condition will depend on developments that are highly uncertain and cannot be accurately predicted, including new information that may emerge concerning COVID-19, the actions taken to contain it or lessen its impact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20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addition, many companies have been using force majeure clauses in their contracts to excuse or delay performing under their contracts. Our contract manufacturers, academic research collaborators,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17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cannot foresee if and when the COVID-19 pandemic will be effectively contained, nor can we predict the severity and duration of the impact of the pandemic on our financial condition or operations. Even if the pandemic is contained and the economy is largely reopened, the pandemic may recur and the existing measures may be re-imposed. If the COVID-19 pandemic is not effectively and timely controlled, we may experience prolonged disruptions to our clinical trials or supply chains, extended closures of facilities, such as clinical trial sites, academic research centers and suppliers, including single source suppliers, and delays in interactions with regulatory agencies or obtaining approvals for our product candidates. Many economists are predicting that the pandemic may have significant or long-lasting effects on economies worldwide. If the effects of COVID-19 on the financial markets and the global economy persist, they could hamper our ability to raise additional finances. Additional public health crises and natural disasters, such as future epidemics or pandemics or those resulting from the effects of climate change, may arise in the future. Any of these events may materially and adversely affect our business operations and financial condition.</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strategy of obtaining additional rights to products, product candidates or technologies for the treatment of retinal diseases may not be successful.</w:t>
      </w:r>
    </w:p>
    <w:p>
      <w:pPr>
        <w:spacing w:after="0" w:line="16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An element of our strategy has been to expand our pipeline through in-licensing or acquiring the rights to products, product candidates or technologies that would complement our strategic goals as well as other compelling ophthalmology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opportunities. Since early 2018, we have completed multiple acquisition, in-license, exclusive option and sponsored research arrangements for product candidates and other technologies intended to treat retinal diseases. We plan to continue to evaluate additional opportunities to in-license or acquire products, product candidates and technologies on a selective and targeted basis, including technologies that may complement our existing product candidates and other strategic lifecycle initiatives. We may also continue to consider other alternatives, including mergers or other transactions involving our company as a whole or other collaboration transactions, including collaboration or out-license opportunities for further development and potential commercialization of our product candidates. Our business development efforts may fail to result in our acquiring rights to additional products, product candidates or technologies, or may result in our consummating transactions with which you do not agree.</w:t>
      </w:r>
    </w:p>
    <w:p>
      <w:pPr>
        <w:spacing w:after="0" w:line="6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be unable to in-license or acquire the rights to any such products, product candidates or technologies from third parties for several reasons. The success of this strategy depends partly upon our ability to identify, select and acquire or in-license promising product candidates and technologies. There are currently a limited number of available product candidates or technologies for the treatment of diseases affecting the retina and the competition for those assets is intense. The process of proposing, negotiating and implementing a license or acquisition of a product candidate or technology is lengthy and complex. With respect to potential product candidates or technologies for which we have entered into option agreements or sponsored research agreements for which we have option rights, our agreements generally do not have fixed economic or other key terms for definitive agreements, and we may not obtain favorable terms if and when we choose to exercise our option to acquire or in-license any product candidates or technologies.</w:t>
      </w:r>
    </w:p>
    <w:p>
      <w:pPr>
        <w:spacing w:after="0" w:line="8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We believe that other companies may be</w:t>
      </w:r>
    </w:p>
    <w:p>
      <w:pPr>
        <w:spacing w:after="0" w:line="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particularly active in pursuing opportunities to in-license or acquire gene therapy opportunities. More established companies may have a competitive advantage over us due to their size, cash resources and greater research, preclinical or clinical development, manufacturing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7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Further, any product candidate that we acquire or in-license would most likely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7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we are unable to successfully obtain rights to suitable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and legal risks, including:</w:t>
      </w:r>
    </w:p>
    <w:p>
      <w:pPr>
        <w:spacing w:after="0" w:line="252" w:lineRule="exact"/>
        <w:rPr>
          <w:sz w:val="20"/>
          <w:szCs w:val="20"/>
          <w:color w:val="auto"/>
        </w:rPr>
      </w:pPr>
    </w:p>
    <w:p>
      <w:pPr>
        <w:ind w:left="980" w:right="60" w:hanging="324"/>
        <w:spacing w:after="0" w:line="277" w:lineRule="auto"/>
        <w:tabs>
          <w:tab w:leader="none" w:pos="9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incurrence of substantial debt, dilutive issuances of securities or depletion of cash to pay for acquisitions or in-licensing transactions;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52"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63" w:lineRule="exact"/>
        <w:rPr>
          <w:rFonts w:ascii="Arial" w:cs="Arial" w:eastAsia="Arial" w:hAnsi="Arial"/>
          <w:sz w:val="17"/>
          <w:szCs w:val="17"/>
          <w:color w:val="auto"/>
        </w:rPr>
      </w:pPr>
    </w:p>
    <w:p>
      <w:pPr>
        <w:ind w:left="980" w:right="54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collaborators integral to an in-licensed or acquired product candidate or technology;</w:t>
      </w:r>
    </w:p>
    <w:p>
      <w:pPr>
        <w:spacing w:after="0" w:line="197" w:lineRule="exact"/>
        <w:rPr>
          <w:rFonts w:ascii="Arial" w:cs="Arial" w:eastAsia="Arial" w:hAnsi="Arial"/>
          <w:sz w:val="18"/>
          <w:szCs w:val="18"/>
          <w:color w:val="auto"/>
        </w:rPr>
      </w:pPr>
    </w:p>
    <w:p>
      <w:pPr>
        <w:ind w:left="980" w:right="100" w:hanging="324"/>
        <w:spacing w:after="0" w:line="259"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data or product quality, revenue recognition or other accounting practices, partner disputes or issues and other legal and financial contingencies and known and unknown liabilities; and</w:t>
      </w:r>
    </w:p>
    <w:p>
      <w:pPr>
        <w:spacing w:after="0" w:line="213"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entry into therapeutic approaches, indications or markets in which we have no or limited direct prior development or commercial experience and where competitors in such markets have stronger market positions.</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board members and executive officers have been named as defendants in lawsuits that could result in substantial costs and divert management’s attention.</w:t>
      </w:r>
    </w:p>
    <w:p>
      <w:pPr>
        <w:spacing w:after="0" w:line="17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We and certain of our current and former executive officers have been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3 trials for Fovista in combination with anti-VEGF agents for the treatment of wet AMD. Certain current and former members of our board of directors and current and former officers have also been named as defendants in a shareholder derivative action initiated in August 2018, which generally alleges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In September 2019, the court issued an order dismissing some, but not all, of the allegations in the class action lawsuit and denied our motion to dismiss the shareholder derivative action. The class action lawsuit is currently in the discovery phase. The shareholder derivative action has been stayed while a special litigation committee of our board of directors investigates the allegations contained in the complaint. We and the defendants continue to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including in responding to discovery requests, has caused our management and board of directors to divert time and attention to the litigation and could adversely impact our reputation and further divert management and our board of directors’ attention and resources from other priorities, including the execution of our business plan and strategies that are important to our ability to grow our business, any of which could have a material adverse effect on our business. Additional lawsuits may be filed.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197" w:lineRule="exact"/>
        <w:rPr>
          <w:sz w:val="20"/>
          <w:szCs w:val="20"/>
          <w:color w:val="auto"/>
        </w:rPr>
      </w:pPr>
    </w:p>
    <w:p>
      <w:pPr>
        <w:ind w:left="980" w:right="240" w:hanging="324"/>
        <w:spacing w:after="0" w:line="277" w:lineRule="auto"/>
        <w:tabs>
          <w:tab w:leader="none" w:pos="9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 or product candidates we are interested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 in-licensing or acquiring, including those we may evaluate as part of our collaborative gene therapy sponsored research programs;</w:t>
      </w:r>
    </w:p>
    <w:p>
      <w:pPr>
        <w:spacing w:after="0" w:line="264" w:lineRule="exact"/>
        <w:rPr>
          <w:sz w:val="20"/>
          <w:szCs w:val="20"/>
          <w:color w:val="auto"/>
        </w:rPr>
      </w:pPr>
    </w:p>
    <w:p>
      <w:pPr>
        <w:ind w:left="980" w:right="340" w:hanging="324"/>
        <w:spacing w:after="0" w:line="286" w:lineRule="auto"/>
        <w:tabs>
          <w:tab w:leader="none" w:pos="975"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192" w:lineRule="exact"/>
        <w:rPr>
          <w:rFonts w:ascii="Arial" w:cs="Arial" w:eastAsia="Arial" w:hAnsi="Arial"/>
          <w:sz w:val="17"/>
          <w:szCs w:val="17"/>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applying for and receiving marketing approvals from applicable regulatory authorities for the marketing and sale of our product candidates;</w:t>
      </w:r>
    </w:p>
    <w:p>
      <w:pPr>
        <w:spacing w:after="0" w:line="275" w:lineRule="exact"/>
        <w:rPr>
          <w:rFonts w:ascii="Arial" w:cs="Arial" w:eastAsia="Arial" w:hAnsi="Arial"/>
          <w:sz w:val="16"/>
          <w:szCs w:val="16"/>
          <w:color w:val="auto"/>
        </w:rPr>
      </w:pPr>
    </w:p>
    <w:p>
      <w:pPr>
        <w:ind w:left="980" w:right="260" w:hanging="324"/>
        <w:spacing w:after="0" w:line="286" w:lineRule="auto"/>
        <w:tabs>
          <w:tab w:leader="none" w:pos="975" w:val="left"/>
        </w:tabs>
        <w:numPr>
          <w:ilvl w:val="0"/>
          <w:numId w:val="61"/>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and drug product and starting materials used for the manufacture of drug substance and drug product;</w:t>
      </w:r>
    </w:p>
    <w:p>
      <w:pPr>
        <w:spacing w:after="0" w:line="192" w:lineRule="exact"/>
        <w:rPr>
          <w:rFonts w:ascii="Arial" w:cs="Arial" w:eastAsia="Arial" w:hAnsi="Arial"/>
          <w:sz w:val="17"/>
          <w:szCs w:val="17"/>
          <w:color w:val="auto"/>
        </w:rPr>
      </w:pPr>
    </w:p>
    <w:p>
      <w:pPr>
        <w:ind w:left="980" w:right="320" w:hanging="324"/>
        <w:spacing w:after="0" w:line="277"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achieving acceptance of the product candidate, if and when approved, by patients, the medical community and third-party payors;</w:t>
      </w:r>
    </w:p>
    <w:p>
      <w:pPr>
        <w:spacing w:after="0" w:line="263" w:lineRule="exact"/>
        <w:rPr>
          <w:rFonts w:ascii="Arial" w:cs="Arial" w:eastAsia="Arial" w:hAnsi="Arial"/>
          <w:sz w:val="17"/>
          <w:szCs w:val="17"/>
          <w:color w:val="auto"/>
        </w:rPr>
      </w:pPr>
    </w:p>
    <w:p>
      <w:pPr>
        <w:ind w:left="980" w:right="240" w:hanging="324"/>
        <w:spacing w:after="0" w:line="308" w:lineRule="auto"/>
        <w:tabs>
          <w:tab w:leader="none" w:pos="975"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73" w:lineRule="exact"/>
        <w:rPr>
          <w:rFonts w:ascii="Arial" w:cs="Arial" w:eastAsia="Arial" w:hAnsi="Arial"/>
          <w:sz w:val="17"/>
          <w:szCs w:val="17"/>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52" w:lineRule="exact"/>
        <w:rPr>
          <w:rFonts w:ascii="Arial" w:cs="Arial" w:eastAsia="Arial" w:hAnsi="Arial"/>
          <w:sz w:val="18"/>
          <w:szCs w:val="18"/>
          <w:color w:val="auto"/>
        </w:rPr>
      </w:pPr>
    </w:p>
    <w:p>
      <w:pPr>
        <w:ind w:left="980" w:right="80" w:hanging="324"/>
        <w:spacing w:after="0" w:line="263" w:lineRule="auto"/>
        <w:tabs>
          <w:tab w:leader="none" w:pos="9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52" w:lineRule="exact"/>
        <w:rPr>
          <w:rFonts w:ascii="Arial" w:cs="Arial" w:eastAsia="Arial" w:hAnsi="Arial"/>
          <w:sz w:val="18"/>
          <w:szCs w:val="18"/>
          <w:color w:val="auto"/>
        </w:rPr>
      </w:pPr>
    </w:p>
    <w:p>
      <w:pPr>
        <w:ind w:left="980" w:right="100" w:hanging="324"/>
        <w:spacing w:after="0" w:line="342" w:lineRule="auto"/>
        <w:tabs>
          <w:tab w:leader="none" w:pos="975"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complying with all applicable regulatory requirements, including Good Laboratory Practices, or GLP, Good Clinical Practices, or GCP, current Good Manufacturing Practices, or cGMP, and standards, rules and regulations governing promotional and other marketing activities.</w:t>
      </w:r>
    </w:p>
    <w:p>
      <w:pPr>
        <w:spacing w:after="0" w:line="12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Before obtaining approval from regulatory authorities for the sale of any product candidate, we must conduct extensive clinical trials to demonstrate the safety and efficacy of our product candidate in humans. Prior to initiating clinical trials, we must complete extensive preclinical testing of a product candidate, including, in most cases, preclinical efficacy experiments as well as IND-enabling toxicology studies. Drug research, including the gene therapy research we are sponsoring with UMMS, may never yield a product candidate for preclinical or clinical development. Early stage and later stage research experiments and preclinical studies, including the IND-enabling toxicology study we are conducting for IC-200 and similar studies we are planning to conduct for IC-500, may fail at any point or produce unacceptable results for any number of reasons, and even if completed, may be time-consuming and expensive. As a result of these risks, a potentially promising product candidate may never be tested in humans.</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a statistically significant efficacy signal. Additionally, although the 18-month results from our GATHER1 trial supported the 12-month results in this trial, at which time Zimura met the prespecified primary endpoint in reducing the mean rate of GA growth in patients with GA with statistical significance across both the Zimura 2 mg and Zimura 4 mg treatment groups when compared to the corresponding sham control groups while maintaining a favorable safety profile, these results may not be replicated in the GATHER2 trial or any future trials we may conduct for Zimura in GA.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8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197" w:lineRule="exact"/>
        <w:rPr>
          <w:sz w:val="20"/>
          <w:szCs w:val="20"/>
          <w:color w:val="auto"/>
        </w:rPr>
      </w:pPr>
    </w:p>
    <w:p>
      <w:pPr>
        <w:ind w:left="980" w:right="200" w:hanging="324"/>
        <w:spacing w:after="0" w:line="277" w:lineRule="auto"/>
        <w:tabs>
          <w:tab w:leader="none" w:pos="9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 for any preclinical product candidates that we are developing;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or our contract manufacturers may be unable to develop a viable manufacturing process for any product candidates that we are developing;</w:t>
      </w:r>
    </w:p>
    <w:p>
      <w:pPr>
        <w:spacing w:after="0" w:line="275" w:lineRule="exact"/>
        <w:rPr>
          <w:rFonts w:ascii="Arial" w:cs="Arial" w:eastAsia="Arial" w:hAnsi="Arial"/>
          <w:sz w:val="16"/>
          <w:szCs w:val="16"/>
          <w:color w:val="auto"/>
        </w:rPr>
      </w:pPr>
    </w:p>
    <w:p>
      <w:pPr>
        <w:ind w:left="980" w:hanging="324"/>
        <w:spacing w:after="0" w:line="275" w:lineRule="auto"/>
        <w:tabs>
          <w:tab w:leader="none" w:pos="97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plasmids used for the manufacture of our gene therapy product candidates and the polyethylene glycol, or PEG, used for the manufacture of Zimura, and issues with the packaging, distribution, storage and import/export of materials and products;</w:t>
      </w:r>
    </w:p>
    <w:p>
      <w:pPr>
        <w:spacing w:after="0" w:line="203" w:lineRule="exact"/>
        <w:rPr>
          <w:rFonts w:ascii="Arial" w:cs="Arial" w:eastAsia="Arial" w:hAnsi="Arial"/>
          <w:sz w:val="17"/>
          <w:szCs w:val="17"/>
          <w:color w:val="auto"/>
        </w:rPr>
      </w:pPr>
    </w:p>
    <w:p>
      <w:pPr>
        <w:ind w:left="980" w:right="700" w:hanging="324"/>
        <w:spacing w:after="0" w:line="277" w:lineRule="auto"/>
        <w:tabs>
          <w:tab w:leader="none" w:pos="9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or our contract research organizations may be unable to complete necessary analytical development for and testing of our product candidates, including assays for assessing the potency of our gene therapy product candidates;</w:t>
      </w:r>
    </w:p>
    <w:p>
      <w:pPr>
        <w:spacing w:after="0" w:line="197" w:lineRule="exact"/>
        <w:rPr>
          <w:rFonts w:ascii="Arial" w:cs="Arial" w:eastAsia="Arial" w:hAnsi="Arial"/>
          <w:sz w:val="18"/>
          <w:szCs w:val="18"/>
          <w:color w:val="auto"/>
        </w:rPr>
      </w:pPr>
    </w:p>
    <w:p>
      <w:pPr>
        <w:ind w:left="980" w:right="200" w:hanging="324"/>
        <w:spacing w:after="0" w:line="342" w:lineRule="auto"/>
        <w:tabs>
          <w:tab w:leader="none" w:pos="975"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may not be able to successfully scale up or validate a manufacturing process for one or more of our product candidates, and may need to rely on second source suppliers for adequate supply of drug substance and/or drug product in line with our needs and expectations;</w:t>
      </w:r>
    </w:p>
    <w:p>
      <w:pPr>
        <w:spacing w:after="0" w:line="150" w:lineRule="exact"/>
        <w:rPr>
          <w:rFonts w:ascii="Arial" w:cs="Arial" w:eastAsia="Arial" w:hAnsi="Arial"/>
          <w:sz w:val="16"/>
          <w:szCs w:val="16"/>
          <w:color w:val="auto"/>
        </w:rPr>
      </w:pPr>
    </w:p>
    <w:p>
      <w:pPr>
        <w:ind w:left="980" w:right="640" w:hanging="324"/>
        <w:spacing w:after="0" w:line="308" w:lineRule="auto"/>
        <w:tabs>
          <w:tab w:leader="none" w:pos="975"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720" w:hanging="324"/>
        <w:spacing w:after="0" w:line="263"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210"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210"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210" w:lineRule="exact"/>
        <w:rPr>
          <w:rFonts w:ascii="Arial" w:cs="Arial" w:eastAsia="Arial" w:hAnsi="Arial"/>
          <w:sz w:val="18"/>
          <w:szCs w:val="18"/>
          <w:color w:val="auto"/>
        </w:rPr>
      </w:pPr>
    </w:p>
    <w:p>
      <w:pPr>
        <w:ind w:left="980" w:right="280" w:hanging="324"/>
        <w:spacing w:after="0" w:line="286" w:lineRule="auto"/>
        <w:tabs>
          <w:tab w:leader="none" w:pos="975"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192" w:lineRule="exact"/>
        <w:rPr>
          <w:rFonts w:ascii="Arial" w:cs="Arial" w:eastAsia="Arial" w:hAnsi="Arial"/>
          <w:sz w:val="17"/>
          <w:szCs w:val="17"/>
          <w:color w:val="auto"/>
        </w:rPr>
      </w:pPr>
    </w:p>
    <w:p>
      <w:pPr>
        <w:ind w:left="980" w:right="160" w:hanging="324"/>
        <w:spacing w:after="0" w:line="263"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210" w:lineRule="exact"/>
        <w:rPr>
          <w:rFonts w:ascii="Arial" w:cs="Arial" w:eastAsia="Arial" w:hAnsi="Arial"/>
          <w:sz w:val="18"/>
          <w:szCs w:val="18"/>
          <w:color w:val="auto"/>
        </w:rPr>
      </w:pPr>
    </w:p>
    <w:p>
      <w:pPr>
        <w:ind w:left="980" w:right="240" w:hanging="324"/>
        <w:spacing w:after="0" w:line="263"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 there are no therapies approved for GA, Stargardt disease, RHO-adRP or any BEST1-related IRDs, in either the United States or the European Union, the regulatory pathway for product candidates in those indications, including the selection of efficacy endpoints, is highly uncertain;</w:t>
      </w:r>
    </w:p>
    <w:p>
      <w:pPr>
        <w:spacing w:after="0" w:line="210"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there may be changes in the standard of care on which a clinical development plan was based, which may require new or additional trials;</w:t>
      </w:r>
    </w:p>
    <w:p>
      <w:pPr>
        <w:spacing w:after="0" w:line="275" w:lineRule="exact"/>
        <w:rPr>
          <w:rFonts w:ascii="Arial" w:cs="Arial" w:eastAsia="Arial" w:hAnsi="Arial"/>
          <w:sz w:val="16"/>
          <w:szCs w:val="16"/>
          <w:color w:val="auto"/>
        </w:rPr>
      </w:pPr>
    </w:p>
    <w:p>
      <w:pPr>
        <w:ind w:left="980" w:right="880" w:hanging="324"/>
        <w:spacing w:after="0" w:line="277"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non-clinical studies beyond those we currently contemplate or to abandon product development programs;</w:t>
      </w:r>
    </w:p>
    <w:p>
      <w:pPr>
        <w:spacing w:after="0" w:line="197" w:lineRule="exact"/>
        <w:rPr>
          <w:rFonts w:ascii="Arial" w:cs="Arial" w:eastAsia="Arial" w:hAnsi="Arial"/>
          <w:sz w:val="18"/>
          <w:szCs w:val="18"/>
          <w:color w:val="auto"/>
        </w:rPr>
      </w:pPr>
    </w:p>
    <w:p>
      <w:pPr>
        <w:ind w:left="980" w:right="40" w:hanging="324"/>
        <w:spacing w:after="0" w:line="259"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This risk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213"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including the costs of manufacturing activities to support those clinical trials, may be greater than we anticipate.</w:t>
      </w:r>
    </w:p>
    <w:p>
      <w:pPr>
        <w:spacing w:after="0" w:line="19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otherwise change our clinical development plans, if we are unable to successfully complete clinical trials of our product candidates or other testing, if the results of these trials or tests are not positive or are only modestly positive or if there are safety concerns, we may:</w:t>
      </w:r>
    </w:p>
    <w:p>
      <w:pPr>
        <w:spacing w:after="0" w:line="211"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limitations, distribution restrictions or safety warnings, including boxed warnings;</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Despite our ongoing efforts, we may not complete any of our ongoing or planned development activities for our product candidates. The timing of the completion of, and the availability of results from, development activities, especially clinical trials,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For example, although we are continuing to enroll patients in the GATHER2 trial, we may later decide to or be required to slow down or pause patient recruitment due to the continued persistence of the pandemic or as a result of governmental measures instituted in response to the pandemic. Furthermore, our development plans may change based on feedback we may receive from regulatory authorities throughout the development process or for other reasons. For example, our expectations regarding the remaining clinical requirements to demonstrate the safety and efficacy of Zimura for the treatment of GA secondary to AMD in a manner sufficient to support an application for marketing approval to the FDA and EMA are based on our review of the 12-month and 18-month data from the GATHER1 trial as well as informal discussions with the FDA. Our expectations regarding the minimum clinical requirements to demonstrate the safety and efficacy of Zimura for GA could be incorrect or may change as we continue to have interactions with the FDA, as we continue to review and analyze data from our GATHER1 trial, as we conduct our GATHER2 trial, and as new regulatory or third party information, including third-party clinical data or information from prospective collaborators or licensees, becomes available. Additionally, we recently revised our development plans and timelines for IC-500 after completing a review of this product candidate and the potential market for such candidate.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74"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Our development of Zimura is based on a novel mechanism of action that is unproven in GA and STGD1 and poses a number of scientific and other risks, and we may not be successful in developing Zimura in the indications we are pursuing or in any other indication we may choose to pursue.</w:t>
      </w:r>
    </w:p>
    <w:p>
      <w:pPr>
        <w:spacing w:after="0" w:line="10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currently targeting GA, an advanced form of AMD,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of selective molecular targets, including complement C5, as potential pharmaceutical treatments for GA secondary to AMD, and that the results from our GATHER1 trial of Zimura in GA support our view, this approach may not prove successful for treating GA secondary to AMD in a clinically meaningful way. Similarly, although there is non-clinical scientific literature supporting the potential use of complement system inhibitors for the treatment of STGD1, we have not yet completed a clinical trial assessing Zimura for the treatment of STGD1 and do not have any unmasked data regarding the efficacy of Zimura in this indication. As a result, this approach may not prove clinically successful.</w:t>
      </w:r>
    </w:p>
    <w:p>
      <w:pPr>
        <w:spacing w:after="0" w:line="17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Zimura is designed to inhibit complement C5. There are no FDA or EMA approved products that utilize C5 inhibition as a mechanism of action to treat GA or STGD1. There have been other investigational products using complement inhibition as a mechanism of action for the treatment of GA, including inhibition of C5, that proved to be unsuccessful, even in later stage clinical trials. Even though our GATHER1 trial of Zimura in GA met its prespecified primary endpoint at month 12 and continued to show positive treatment effect at month 18, this mechanism of action may not prove safe and effective for the treatment of GA, STGD1 or any other indication for which we may develop Zimura.</w:t>
      </w:r>
    </w:p>
    <w:p>
      <w:pPr>
        <w:spacing w:after="0" w:line="203"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may decide to pursue clinical development of Zimura for other indications, including those we previously studied such as wet AMD and IPCV and other indications such as earlier stages of AMD. Similar to GA and STGD1, Zimura, and the use of C5 inhibition, are unproven in those indications and we may not be successful in our efforts to develop Zimura for those indications.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are continuing to review and analyze the results and individual patient level data from the GATHER1 trial. Further analysis may lead to the discovery of information that is inconsistent with our initial conclusions regarding the GATHER1 data. The GATHER2 trial may yield results that are different from the results observed in the GATHER1 trial. An unfavorable result from the GATHER2 trial likely would materially adversely affect our ability to obtain approval for Zimura in GA.</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Although the 18-month data from the GATHER1 trial supported the results we observed at 12 months, these data are subject to several limitations. In accordance with the prespecified statistical analysis plan for the trial, we only performed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descriptive analysis of the 18-month efficacy data. Although the favorable safety profile for Zimura was maintained at month 18, individual, unmasked patient data may indicate that our conclusions were not well founded due to inconsistencies, data entry errors or because of unknown variables or patient sub-groups that could potentially be driving the results in one or more treatment groups. Although not reported as related to Zimura by investigators, we observed an increase in the number of investigator-reported cases of CNV in the Zimura treatment groups in the GATHER1 trial as compared to the sham control groups. Additionally, we learned from our independent masked reading center that the retinal images of one of the patients in the Zimura 4 mg group showed evidence of CNV in the study eye that was not reported by the investigator. As we continue to evaluate the individual, unmasked patient data from the GATHER1 trial, we may learn of additional cases of non-investigator reported safety issues, which may affect the safety profile of Zimura.</w:t>
      </w:r>
    </w:p>
    <w:p>
      <w:pPr>
        <w:spacing w:after="0" w:line="166"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Unlike the GATHER1 trial, the GATHER2 trial includes only one treatment arm, Zimura 2 mg, in addition to a control arm.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study doses or treatment regimens within a single trial helps mitigate the risk of bias in the trial and is therefore recommended, although not required. We believe that the anatomical measure used as the primary efficacy endpoint in both our GATHER1 trial and our GATHER2 trial, the mean rate of change in GA growth, as evaluated by an independent, masked reading center, is not subject to bias. We have decided to proceed with only one treatment arm in the GATHER2 trial consisting of a single monthly administration of Zimura 2 mg, because the 12-month data from the GATHER1 trial suggested that monthly administration of Zimura 2 mg provides a similar benefit (approximately 27%) in reducing the mean rate of GA growth over 12 months as compared to the corresponding sham control group, as measured by our primary endpoint, as Zimura 4 mg, and these results are supported by the results of the 18-month data, and because we want to avoid the treatment burden associated with the Zimura 4 mg dose evaluated in our GATHER1 trial. Additionally, for our GATHER2 trial, because we want to begin to evaluate the efficacy of a less frequent dosing regimen, we plan to re-randomize the patients in the monthly Zimura 2 mg treatment arm at 12 months and evaluate dosing Zimura 2 mg every other month, a dosing regimen which we have not previously studied, in half of those patients during the second 12 months of the trial. The GATHER2 trial, however, is not designed to reliably assess any differences we observe between these treatment groups at 24 months with statistical significance and the label we would seek for Zimura in GA, if the results from the GATHER2 trial are positive, would in all likelihood provide for monthly administration of Zimura.</w:t>
      </w:r>
    </w:p>
    <w:p>
      <w:pPr>
        <w:spacing w:after="0" w:line="18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conducting the GATHER2 trial at many clinical trial sites and in many countries that were not included in the GATHER1 trial. The introduction of new sites, and the resulting involvement of new treating physicians, as well as potentially different patient demographics, can introduce additional variability into the conduct of the trial and may result in greater variability of patient outcomes, which could adversely affect our ability to detect statistically significant differences between patients treated with Zimura 2 mg and patients receiving sham control.</w:t>
      </w:r>
    </w:p>
    <w:p>
      <w:pPr>
        <w:spacing w:after="0" w:line="18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the 12-month and 18-month data from the GATHER1 trial suggested there is an overall dose response relationship in which higher doses of Zimura (for example, the 4 mg and the 2 mg doses) corresponded to a greater reduction in the mean rate of GA growth as compared to the corresponding sham group as compared to lower doses of Zimura (for example, the 1 mg dose). For our GATHER2 trial, for the reasons stated above, we have decided to proceed with only a 2 mg dose treatment arm and not include a 4 mg dose treatment arm. The 2 mg dose may prove not to be efficacious in treating GA. Additionally, unlike the protocol for the GATHER1 trial, the protocol of the GATHER2 trial provides that patients who develop CNV in the study eye in the trial may remain in the trial and receive either Lucentis or Eylea in accordance with the label for that anti-VEGF agent, and that measurements of these patients' GA will be included in the primary efficacy analysis if their fundus autofluorescence, or FAF, images can be reliably assessed by the masked reading center. The retention of these patients in the GATHER2 trial may introduce additional variability not present in the GATHER1 trial, as we do not have any data regarding the progression of GA in patients with CNV who receive treatment with an anti-VEGF agent. Moreover, if a significant number of patients develop CNV in the study eye and these patients' FAF images are not reliably assessable, or if more patients than we anticipate drop out or their data is otherwise missing, any such occurrence would reduce the number of patients from whom data is available for analyzing the primary endpoint for this trial and the GATHER2 trial could be underpowered to demonstrate a potential clinical benefit for Zimura in GA with statistical significance.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Our intended regulatory pathway for generating sufficient safety and efficacy data to submit an NDA and potentially obtain marketing approval for Zimura for GA is subject to a number of assumptions, including that we may be able to rely on the results from our GATHER1 and GATHER2 trials as two well-controlled, Phase 3 trials typically required by the FDA. The FDA, EMA and other regulatory authorities may not accept the results of the GATHER1 trial as a Phase 3 clinical trial, or may not agree with our selection of the primary endpoint for the GATHER1 and GATHER2 trials or the statistical analysis we performed. We may decide to or may be required to enroll additional patients, collect additional safety data or conduct additional clinical trials or non-clinical studies to seek or obtain approval for Zimura in GA.</w:t>
      </w:r>
    </w:p>
    <w:p>
      <w:pPr>
        <w:spacing w:after="0" w:line="164"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Based on the results of our GATHER1 trial, additional statistical analysis we have performed and informal discussions we have had with the FDA, we believe that the efficacy results from this trial could potentially satisfy the FDA’s requirements as one of the two pivotal clinical trials typically required for marketing approval. This belief is based on many assumptions, including that a reduction in mean rate of GA growth over 12 months, measured by FAF based on readings at three time points: baseline, month 6 and month 12, calculated using the square root transformation of the GA area, is a primary endpoint of clinical relevance, in the absence of a demonstrated reduction in the loss of vision, and that data from the GATHER1 trial is robust. The FDA, the EMA or other regulatory authorities may not agree with our view that the observed reduction in the rate of GA growth, calculated using the square root transformation, is clinically relevant or meaningful, or may require us to correlate this reduction in rate of GA growth with another outcome more directly associated with visual function. We are not currently planning to include visual function measures as primary or secondary efficacy endpoints in the GATHER2 trial and vision will be assessed as a safety endpoint. The FDA, the EMA or other regulatory authorities may disagree with our conclusion regarding the robustness of the data from the GATHER1 trial based on our sensitivity analyses or may conduct their own sensitivity analyses yielding different results. Even if we meet with the FDA, EMA or other regulatory authorities, we likely will not have an opportunity to obtain definitive confirmation from the FDA, EMA or other regulatory authorities regarding the sufficiency or robustness of the data from our clinical trials, including the GATHER1 trial, until such time as we submit an application for marketing approval and receive a response from the applicable authority. If the GATHER1 trial results are not considered robust, or if regulatory authorities do not accept our primary endpoint as clinically relevant without correlation to an outcome more directly associated with visual function, in order to seek marketing approval we may need to conduct, in addition to the GATHER2 trial, one or more additional, well-controlled clinical trials that meets the applicable regulatory requirements in order to obtain sufficiently robust data for an acceptable endpoint to support marketing approval.</w:t>
      </w:r>
    </w:p>
    <w:p>
      <w:pPr>
        <w:spacing w:after="0" w:line="8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FDA, EMA or other regulatory authorities may not agree with the methodologies we used to perform the statistical analysis of the GATHER1 trial results. In particular, they may not agree with how we performed the comparisons of patients receiving Zimura 2 mg with patients in the sham groups, as the comparisons draw upon patients who were enrolled into two different parts of the trial, using different randomization ratios and different vision criteria. In addition, they may not agree with the validity of our MRM analysis, which imputes the values of missing data based on observed data. We plan to use the same MRM analysis in the GATHER2 trial. Moreover, the FDA, EMA or other regulatory authorities may disagree with our inclusion in our efficacy analysis of patients who do not strictly meet all eligibility criteria, or whose treatment or assessments in the clinical trial deviated from the clinical trial protocol on one or more occasions. The FDA, EMA or other regulatory authorities may take issue with the degree of data that are missing from the clinical data set from our GATHER1 trial, or with the rate at which patients withdrew from the trial. To the extent patients miss critical visits or drop out of the GATHER2 trial, we face a similar risk with GATHER2.</w:t>
      </w:r>
    </w:p>
    <w:p>
      <w:pPr>
        <w:spacing w:after="0" w:line="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Although we believe that our GATHER1 trial was well-controlled, with appropriate eligibility criteria and appropriate stratification for baseline characteristics, the FDA, EMA or other regulatory authorities may not agree with the methodologies we used to determine patient eligibility and to randomize patients to the various treatment groups and therefore may not agree that the comparisons we have made for mean rate of GA growth are statistically valid. The FDA, EMA or other regulatory authorities may take issue with the number of modifications we introduced to the GATHER1 trial following its commencement, which they may view as introducing additional uncontrolled variables, invalidating the comparisons across groups. In particular, the FDA, EMA or other regulatory authorities may view the change in enrollment criteria applied in the various modifications as changing the nature of the patients enrolled, thus rendering the results of the trial as uninterpretable, or may disagree with our decision to remove patients who develop CNV in their study eye from future treatments and assessments as inappropriate, concluding that it may have resulted in unmitigated or uncontrolled bias in the safety or efficacy results from the trial.</w:t>
      </w:r>
    </w:p>
    <w:p>
      <w:pPr>
        <w:spacing w:after="0" w:line="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Based on informal discussions with the FDA, following the GATHER1 trial, we believe we need to conduct one additional clinical trial with enough patients such that we will have safety data for a minimum of 300 patients having received the dose of Zimura for which we are seeking approval, or a higher Zimura dose, independent of indication, for a minimum of 12 months, with 24-month safety data available for some portion, but not all, of these 300 patients. This additional clinical trial would need to be well-controlled, with a primary efficacy analysis at the 12 month time point or later. We believe that if we were to file an application for marketing approval for Zimura for GA, we would be able to rely on safety data from our GATHER1 and GATHER2 trials in GA, as well as our STAR trial evaluating Zimura for STGD1. We also believe that, if the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data from the GATHER2 trial are positive, we would be able to submit our application following the primary efficacy analysis for the GATHER2 study at the 12-month time point, without waiting for the full 24-month data package, which we would collect after submitting for marketing approval and use to supplement our applications for marketing approval while they are pending. We have designed our GATHER2 trial to meet these requirements, which, as we understand them, and if data from the GATHER2 trial are positive, will permit us to seek marketing approval for Zimura in GA in the United States and potentially the European Union. Since receiving the 12-month results from the GATHER1 trial, we have not had an end of phase 2 or other formal meeting with either the FDA or the EMA and we may not do so before receiving results from the GATHER2 trial and submitting our applications for marketing approval. In addition, we have been engaging with various regulatory authorities, including competent national authorities in Europe, during the GATHER2 trial, and expect to continue engaging with regulatory authorities, including with the FDA as part of the fast track program. We may receive feedback that is not consistent with our expectations, including potential disagreements by the EMA and other regulatory authorities with what we are understand are the requirements of the FDA. Regulatory authorities may require us to enroll additional patients, collect additional safety data, conduct additional trials or take other actions, which would require us to revise our development plans for Zimura, including potentially changing the design of the GATHER2 trial, increase the costs of our Zimura clinical programs and delay our expected timelines. In addition, because of the COVID-19 pandemic or other reasons, we may experience a higher than anticipated rate of dropouts and missed visits and treatments in our GATHER2 trial, which could result in our not having adequate safety data for a sufficient number of patients to obtain marketing approval in GA, even if the primary endpoint is met and the results from the GATHER2 trial are otherwise positive.</w:t>
      </w:r>
    </w:p>
    <w:p>
      <w:pPr>
        <w:spacing w:after="0" w:line="18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Furthermore, our previous and ongoing Zimura clinical trials have evaluated Zimura dosing levels and regimens that we have studied only in cohorts consisting of a small number of patients. This approach may increase the risk that patients in our ongoing trials experience adverse events and/or serious adverse events (either ocular, systemic or both) that we have not observed or at rates that we have not observed in prior trials. Although we have not observed any adverse events or serious adverse events attributable by the investigators to the drug product in our GATHER1 trial, we may become aware of safety concerns as we analyze individual patient level data in our GATHER1 trial, and they may manifest in our STAR trial, in our GATHER2 trial or in any other subsequent clinical trials we or a potential collaborator may undertake for Zimura. When we follow patients for a longer period of time or collect safety data from a greater number of patients, we may observe safety events that we have not previously observed. For a further discussion of the safety risks in our trials, see the risk factor herein entitled "</w:t>
      </w:r>
      <w:r>
        <w:rPr>
          <w:rFonts w:ascii="Arial" w:cs="Arial" w:eastAsia="Arial" w:hAnsi="Arial"/>
          <w:sz w:val="17"/>
          <w:szCs w:val="17"/>
          <w:i w:val="1"/>
          <w:iCs w:val="1"/>
          <w:color w:val="auto"/>
        </w:rPr>
        <w:t>If serious adverse or unacceptable side effects are identified during the development of our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candidates, we may need to abandon or limit our development of such product candidates.</w:t>
      </w:r>
      <w:r>
        <w:rPr>
          <w:rFonts w:ascii="Arial" w:cs="Arial" w:eastAsia="Arial" w:hAnsi="Arial"/>
          <w:sz w:val="17"/>
          <w:szCs w:val="17"/>
          <w:color w:val="auto"/>
        </w:rPr>
        <w:t>"</w:t>
      </w:r>
    </w:p>
    <w:p>
      <w:pPr>
        <w:spacing w:after="0" w:line="18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Because the primary efficacy endpoint and the statistical analysis plan we would expect to use to analyze efficacy data for our GATHER2 trial are similar to those of the GATHER1 trial, any disagreements by the FDA, EMA or other regulatory authorities with GATHER1 will likely affect GATHER2 as well. Our ongoing clinical trials and any future clinical trials for Zimura that we or a potential collaborator may undertake may fail to demonstrate sufficient safety or efficacy to justify further development or to ultimately seek or obtain marketing approval. Any negative results from our ongoing or any other future clinical trials for Zimura could adversely affect our business and the value of your investment in our company.</w:t>
      </w:r>
    </w:p>
    <w:p>
      <w:pPr>
        <w:spacing w:after="0" w:line="17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have no unmasked clinical data regarding the safety and efficacy of Zimura as a treatment of STGD1. The dropout rate or patients with missing visits may reduce the number of patients from whom we can collect and analyze data from STAR. We may not be able to recruit additional patients for this trial in line with our expectations.</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have no unmasked clinical data regarding the safety and efficacy of Zimura as a treatment for STGD1. As STGD1 is an orphan indication, to our knowledge there is only very limited natural history data currently available regarding the variability of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 visual function, patients participating in our STAR trial, who are generally younger and may experience vision loss that is more subtle than patients with GA or other forms of AMD, may not perceive a benefit from continuing to participate and therefore may drop out of this trial or miss scheduled visits and treatments. This risk is particularly magnified during the COVID-19 pandemic, which may cause our patients to voluntarily or involuntarily drop out of the trial or miss scheduled visits and treatments in greater numbers than before. Although we and the investigators and their staffs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STAR trial could be underpowered to demonstrate a potential clinical benefit for Zimura in STGD1 with statistical significance.</w:t>
      </w:r>
    </w:p>
    <w:p>
      <w:pPr>
        <w:spacing w:after="0" w:line="17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have decided to enroll approximately 25 additional patients in this trial, with the goal of enrolling a total of approximately 120 patients. This change to the trial will increase the costs associated with this trial and delay the timelines for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receipt of data from this trial. We believe an expanded trial could allow us to collect additional data regarding the effect of Zimura on STGD1 patients and help us mitigate the risks from additional patient dropouts and missed visits; however, these expectations may prove to be incorrect. Patient recruitment may take longer or cost more than we would expect.</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The COVID-19 pandemic has affected and may continue to affect the initiation and conduct of our clinical trials, including the recruitment and retention of patients for our GATHER2 and STAR clinical trials. It may have long-lasting effects on the conduct of clinical trials, which can make our ongoing and any future trials more difficult, costly or time consuming.</w:t>
      </w:r>
    </w:p>
    <w:p>
      <w:pPr>
        <w:spacing w:after="0" w:line="18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GATHER1, GATHER2 and STAR trials involve sites located across the United States and in many countries outside the United States. In early 2020 after the start of the COVID-19 pandemic, we were in the process of completing patient visits for our GATHER1 trial and those of the initially enrolled patients in the STAR trial, and we were conducting startup activities for the GATHER2 trial. We have made a number of changes to the operations of our clinical trials as a result of the COVID-19 pandemic, its effects on current and prospective participating patients, and various governmental and other measures to control the pandemic. As the COVID-19 pandemic evolves, we may make further changes to how we conduct our ongoing and any future clinical trials.</w:t>
      </w:r>
    </w:p>
    <w:p>
      <w:pPr>
        <w:spacing w:after="0" w:line="21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Patient enrollment, missed patient visits and patient retention remain key risks for our clinical trials. Due to the COVID-19 pandemic, we delayed the initiation of patient enrollment for the GATHER2 trial from March 2020 to June 2020. Even though we are continuing to enroll patients in the GATHER2 and STAR trials, we are doing so cautiously in light of the health and safety measures put into place at various clinical trial sites. We may choose to or be required to slow down or stop patient enrollment in certain geographies due to the COVID-19 situation and any governmental measures taken in response. Patients, in turn, may be reluctant to enroll in clinical trials or to maintain their scheduled visits and treatments once enrolled due to their fears of visiting clinical trial sites or ongoing restrictive measures requiring social distancing or limiting travel. These concerns may particularly apply to GA patients, many of whom are elderly and therefore at a higher risk for COVID-19 and other diseases than the general population.</w:t>
      </w:r>
    </w:p>
    <w:p>
      <w:pPr>
        <w:spacing w:after="0" w:line="19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patients who are enrolled in our trials, the COVID-19 pandemic may cause them to miss study visits or drop out in greater numbers than expected, which could affect our ability to complete our trials and obtain data in accordance with our expectations. Compared to the generally elderly patients in our GATHER2 trial, the patients in the STAR trial are generally younger and have work and family commitments, which may cause them to miss more visits or drop out in greater numbers. In addition to the risks posed by increased patient dropouts, if patients miss scheduled visits in greater numbers as a result of the pandemic, especially if a patient misses consecutive visits, it may affect our ability to draw meaningful conclusions from the clinical data. We are aware that a number of patients initially enrolled in the STAR trial missed consecutive visits during the early months of the COVID-19 pandemic. We do not know yet whether the number of missed visits will increase or decrease among the newly enrolled patients in the STAR trial or among the patients in the GATHER2 trial, and whether and to what extent missed visits may impact the results of the trials, especially since we are masked to the data until the conclusion of the trials. The duration of the GATHER2 and STAR trials, at 24 months and 18 months, respectively, plus time for recruiting patients, makes them more likely to be affected by any subsequent waves of the COVID-19 pandemic.</w:t>
      </w:r>
    </w:p>
    <w:p>
      <w:pPr>
        <w:spacing w:after="0" w:line="21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COVID-19 pandemic has caused many of our clinical trial sites and competent health authorities and ethics committees in certain countries to reduce their staff and operations. This reduction in operations has resulted in delays to the approval of and the site activation process for the GATHER2 trial in certain geographies. As we continue to add clinical trial sites to the GATHER2 trial, the progress of site activation will depend on the local situation in each specific geography. In addition, many sites are focusing on more urgent matters rather than clinical trials, which may delay their ability to recruit patients. Recently, a number of our clinical trial sites have been scaling back their operations because of recent surges in COVID-19 cases or new lockdown measures being imposed. Shortages of vaccines, personal protective equipment and other supplies for the prevention of COVID-19 may cause our clinical trial sites to further scale back the number of staff on site and other operations, and may also cause prospective or enrolled patients to avoid clinical trial visits.</w:t>
      </w:r>
    </w:p>
    <w:p>
      <w:pPr>
        <w:spacing w:after="0" w:line="19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to the disruptions to the operations of many clinical trial sites, the COVID-19 pandemic affected our monitoring and audit operations, for example, by requiring remote monitoring, remote source document verification and remote auditing in many instances. Some countries prohibit or limit remote source document verification due to privacy and other concerns. Because of privacy and other concerns with remote auditing, we have experienced difficulties and delays in performing audits on most of our clinical trial sites. Although we do not believe the COVID-19 pandemic has materially affected the robustness of our data verification process for the GATHER1 trial, we may find data verification discrepancies as we continue to evaluate the individual, unmasked patient level data from the GATHER1 trial. This risk may also affect our data verification processes for the STAR and GATHER2 trials.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Gene therapy is an emerging field of drug development that poses many scientific and other risks. As a company, we have only limited prior experience in gene therapy research and manufacturing and no prior experience in gene therapy clinical development. Our lack of experience and the limited patient populations for our gene therapy programs may limit our ability to be successful or may delay our development efforts.</w:t>
      </w:r>
    </w:p>
    <w:p>
      <w:pPr>
        <w:spacing w:after="0" w:line="1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Gene therapy is an emerging field of drug development with only two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materials and processes, safety concerns, regulatory pathway and clinical trial design and execution, which pose particular uncertainty for our programs given the relatively limited development history of, and our limited prior experience with, gene therapies.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177" w:lineRule="exact"/>
        <w:rPr>
          <w:sz w:val="20"/>
          <w:szCs w:val="20"/>
          <w:color w:val="auto"/>
        </w:rPr>
      </w:pPr>
    </w:p>
    <w:p>
      <w:pPr>
        <w:ind w:right="80" w:firstLine="180"/>
        <w:spacing w:after="0" w:line="290" w:lineRule="auto"/>
        <w:rPr>
          <w:sz w:val="20"/>
          <w:szCs w:val="20"/>
          <w:color w:val="auto"/>
        </w:rPr>
      </w:pPr>
      <w:r>
        <w:rPr>
          <w:rFonts w:ascii="Arial" w:cs="Arial" w:eastAsia="Arial" w:hAnsi="Arial"/>
          <w:sz w:val="16"/>
          <w:szCs w:val="16"/>
          <w:color w:val="auto"/>
        </w:rPr>
        <w:t>For example, our IC-100 product candidate, which we are developing for RHO-adRP, has a mechanism of action that suppresses the expression of endogenous rhodopsin and seeks to replace it with a healthy version of rhodopsin. Patients with autosomal dominant conditions, such as RHO-adRP, have one healthy allele and one mutant disease-causing allele. For patients with RHO-adRP, although the rhodopsin produced by the mutant allele is generally toxic, leading to retinal degeneration, the rhodopsin produced by the healthy allele supports, and may be necessary for, the patient's existing vision. IC-100 may suppress the expression of all endogenous rhodopsin, whether expressed from the healthy or the mutant allele. Treatment with IC-100 may fail to suppress a sufficient amount of the toxic mutant allele or may fail to replace the rhodopsin expressed by the healthy allele to a sufficient degree. Although we believe, based on preclinical experiments in a canine model of RHO-adRP, that IC-100 will restore rhodopsin production to a level sufficient to maintain vision, we will not know this to be the case until we obtain human clinical data regarding IC-100's effect in this patient population.</w:t>
      </w:r>
    </w:p>
    <w:p>
      <w:pPr>
        <w:spacing w:after="0" w:line="16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Moreover, while there are more than 200 known mutations to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the different types of mutations and their association with various </w:t>
      </w:r>
      <w:r>
        <w:rPr>
          <w:rFonts w:ascii="Arial" w:cs="Arial" w:eastAsia="Arial" w:hAnsi="Arial"/>
          <w:sz w:val="18"/>
          <w:szCs w:val="18"/>
          <w:i w:val="1"/>
          <w:iCs w:val="1"/>
          <w:color w:val="auto"/>
        </w:rPr>
        <w:t>BEST1-</w:t>
      </w:r>
      <w:r>
        <w:rPr>
          <w:rFonts w:ascii="Arial" w:cs="Arial" w:eastAsia="Arial" w:hAnsi="Arial"/>
          <w:sz w:val="18"/>
          <w:szCs w:val="18"/>
          <w:color w:val="auto"/>
        </w:rPr>
        <w:t>related IRDs are still not well-understood. Our product candidate for these diseases, IC-200, may only be effective in treating retinal diseases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associated with certain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and not other mutations, especially if the mutation is associated with the production of a toxic protein. Additionally, we decided to in-license and pursue the development of IC-200 based on results observed in an autosomal recessive canine disease model. A majority of humans with </w:t>
      </w:r>
      <w:r>
        <w:rPr>
          <w:rFonts w:ascii="Arial" w:cs="Arial" w:eastAsia="Arial" w:hAnsi="Arial"/>
          <w:sz w:val="18"/>
          <w:szCs w:val="18"/>
          <w:i w:val="1"/>
          <w:iCs w:val="1"/>
          <w:color w:val="auto"/>
        </w:rPr>
        <w:t>BEST1-</w:t>
      </w:r>
      <w:r>
        <w:rPr>
          <w:rFonts w:ascii="Arial" w:cs="Arial" w:eastAsia="Arial" w:hAnsi="Arial"/>
          <w:sz w:val="18"/>
          <w:szCs w:val="18"/>
          <w:color w:val="auto"/>
        </w:rPr>
        <w:t>related IRDs, however, have the autosomal dominant form of the disease, commonly referred to as Best disease. If we choose to develop IC-200 for this patient population, using a construct previously studied in an autosomal recessive canine disease model, this approach may ultimately prove ineffective.</w:t>
      </w:r>
    </w:p>
    <w:p>
      <w:pPr>
        <w:spacing w:after="0" w:line="19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our miniCEP290 program and other minigene programs, we are sponsoring research using a novel approach that is largely untested and presents various scientific and regulatory risks. To date, all the data generated for our miniCEP290 program are in a newborn mouse model for LCA10,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sponsored research may not fully elucidate all of the physiological risks associated with a particular minigene and the associated expressed protein. For these and other reasons, promising minigene candidates that emerge from our sponsored research programs with UMMS may not succeed in later stage preclinical and clinical development.</w:t>
      </w:r>
    </w:p>
    <w:p>
      <w:pPr>
        <w:spacing w:after="0" w:line="178"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17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Although we believe gene therapy is a promising area for retinal drug development, our gene therapy research and development experience is limited to only a limited number of personnel hired to supervise our outside service providers. In pursuing this new technology, we have begun to establish our own gene therapy technical capabilities, but we will need to continue to build those capabilities by either hiring internally or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IC-100, IC-200 or any promising product candidates that emerge from our miniCEP290</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program or our other collaborative gene therapy sponsored research programs, which would limit our prospects for future growth.</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have not previously conducted any clinical development involving gene therapies. As we prepare for the potential initiation of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We are planning to meet with the FDA to discuss our selected doses for a first-in-human clinical trial for IC-100; the FDA may disagree with our selected doses or require us to conduct additional preclinical studies, which may delay our timelines for IC-100. In particular, many of the indications for which we are pursuing our gene therapy programs have limited natural history data and limited number of therapies in clinical development, which may make selecting an appropriate endpoint difficult. Furthermore, our gene therapy programs are targeting orphan diseases with relatively small populations, which limits the pool of potential patients for our gene therapy clinical trials. Because gene therapy trials generally require patients who have not previously received any other therapy for the same indication, we will also need to compete for the same group of potential clinical trial patients with our competitors who are also developing therapies for these same indications. If we are unable to initiate and conduct our gene therapy clinical trials in a manner that satisfies our expectations or regulatory requirements, the value of our gene therapy programs may be diminished.</w:t>
      </w:r>
    </w:p>
    <w:p>
      <w:pPr>
        <w:spacing w:after="0" w:line="1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manufacture of gene therapy products is complex with a number of scientific and technical risks, some of which are common to the manufacture of drugs and biologics and others are unique to the manufacture of gene therapies. We have limited experience with gene therapy manufacturing and are dependent on our third-party contract manufacturers and sole source suppliers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development of IC-500 is also based on a novel mechanism of action that is unproven and poses a number of scientific and other risks.</w:t>
      </w:r>
    </w:p>
    <w:p>
      <w:pPr>
        <w:spacing w:after="0" w:line="24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Although other companies are pursuing HtrA1 inhibition as a strategy for treating retinal diseases, including Genentech in an ongoing Phase 2 clinical trial in GA, to date, there is limited published clinical data regarding the safety and efficacy of HtrA1 inhibition in the target patient population. We are also aware that Genentech recently commenced a clinical trial to assess the long-term safety and tolerability of its monoclonal antibody HtrA1 inhibitor. We made the decision to acquire this program in 2018 based on our interpretation of the scientific literature and rationale for this potential target that suggest an association between HtrA1 and the risk for AMD, as well as a limited set of preclinical data generated by Inception 4 prior to the acquisition. We note, however, the </w:t>
      </w:r>
      <w:r>
        <w:rPr>
          <w:rFonts w:ascii="Arial" w:cs="Arial" w:eastAsia="Arial" w:hAnsi="Arial"/>
          <w:sz w:val="16"/>
          <w:szCs w:val="16"/>
          <w:i w:val="1"/>
          <w:iCs w:val="1"/>
          <w:color w:val="auto"/>
        </w:rPr>
        <w:t>HtrA1</w:t>
      </w:r>
      <w:r>
        <w:rPr>
          <w:rFonts w:ascii="Arial" w:cs="Arial" w:eastAsia="Arial" w:hAnsi="Arial"/>
          <w:sz w:val="16"/>
          <w:szCs w:val="16"/>
          <w:color w:val="auto"/>
        </w:rPr>
        <w:t xml:space="preserve"> gene is in the same region of the 10q26 chromosome as the </w:t>
      </w:r>
      <w:r>
        <w:rPr>
          <w:rFonts w:ascii="Arial" w:cs="Arial" w:eastAsia="Arial" w:hAnsi="Arial"/>
          <w:sz w:val="16"/>
          <w:szCs w:val="16"/>
          <w:i w:val="1"/>
          <w:iCs w:val="1"/>
          <w:color w:val="auto"/>
        </w:rPr>
        <w:t>age-related maculopathy susceptibility 2</w:t>
      </w:r>
      <w:r>
        <w:rPr>
          <w:rFonts w:ascii="Arial" w:cs="Arial" w:eastAsia="Arial" w:hAnsi="Arial"/>
          <w:sz w:val="16"/>
          <w:szCs w:val="16"/>
          <w:color w:val="auto"/>
        </w:rPr>
        <w:t xml:space="preserve">, or </w:t>
      </w:r>
      <w:r>
        <w:rPr>
          <w:rFonts w:ascii="Arial" w:cs="Arial" w:eastAsia="Arial" w:hAnsi="Arial"/>
          <w:sz w:val="16"/>
          <w:szCs w:val="16"/>
          <w:i w:val="1"/>
          <w:iCs w:val="1"/>
          <w:color w:val="auto"/>
        </w:rPr>
        <w:t>ARMS2</w:t>
      </w:r>
      <w:r>
        <w:rPr>
          <w:rFonts w:ascii="Arial" w:cs="Arial" w:eastAsia="Arial" w:hAnsi="Arial"/>
          <w:sz w:val="16"/>
          <w:szCs w:val="16"/>
          <w:color w:val="auto"/>
        </w:rPr>
        <w:t xml:space="preserve">, gene. The </w:t>
      </w:r>
      <w:r>
        <w:rPr>
          <w:rFonts w:ascii="Arial" w:cs="Arial" w:eastAsia="Arial" w:hAnsi="Arial"/>
          <w:sz w:val="16"/>
          <w:szCs w:val="16"/>
          <w:i w:val="1"/>
          <w:iCs w:val="1"/>
          <w:color w:val="auto"/>
        </w:rPr>
        <w:t>ARMS2</w:t>
      </w:r>
      <w:r>
        <w:rPr>
          <w:rFonts w:ascii="Arial" w:cs="Arial" w:eastAsia="Arial" w:hAnsi="Arial"/>
          <w:sz w:val="16"/>
          <w:szCs w:val="16"/>
          <w:color w:val="auto"/>
        </w:rPr>
        <w:t xml:space="preserve"> and </w:t>
      </w:r>
      <w:r>
        <w:rPr>
          <w:rFonts w:ascii="Arial" w:cs="Arial" w:eastAsia="Arial" w:hAnsi="Arial"/>
          <w:sz w:val="16"/>
          <w:szCs w:val="16"/>
          <w:i w:val="1"/>
          <w:iCs w:val="1"/>
          <w:color w:val="auto"/>
        </w:rPr>
        <w:t>HtrA1</w:t>
      </w:r>
      <w:r>
        <w:rPr>
          <w:rFonts w:ascii="Arial" w:cs="Arial" w:eastAsia="Arial" w:hAnsi="Arial"/>
          <w:sz w:val="16"/>
          <w:szCs w:val="16"/>
          <w:color w:val="auto"/>
        </w:rPr>
        <w:t xml:space="preserve"> genes are linked, and variants in, or expression of, the </w:t>
      </w:r>
      <w:r>
        <w:rPr>
          <w:rFonts w:ascii="Arial" w:cs="Arial" w:eastAsia="Arial" w:hAnsi="Arial"/>
          <w:sz w:val="16"/>
          <w:szCs w:val="16"/>
          <w:i w:val="1"/>
          <w:iCs w:val="1"/>
          <w:color w:val="auto"/>
        </w:rPr>
        <w:t>ARMS2</w:t>
      </w:r>
      <w:r>
        <w:rPr>
          <w:rFonts w:ascii="Arial" w:cs="Arial" w:eastAsia="Arial" w:hAnsi="Arial"/>
          <w:sz w:val="16"/>
          <w:szCs w:val="16"/>
          <w:color w:val="auto"/>
        </w:rPr>
        <w:t xml:space="preserve"> gene may also be associated with the risk for AMD. The risk for AMD associated with </w:t>
      </w:r>
      <w:r>
        <w:rPr>
          <w:rFonts w:ascii="Arial" w:cs="Arial" w:eastAsia="Arial" w:hAnsi="Arial"/>
          <w:sz w:val="16"/>
          <w:szCs w:val="16"/>
          <w:i w:val="1"/>
          <w:iCs w:val="1"/>
          <w:color w:val="auto"/>
        </w:rPr>
        <w:t>ARMS2</w:t>
      </w:r>
      <w:r>
        <w:rPr>
          <w:rFonts w:ascii="Arial" w:cs="Arial" w:eastAsia="Arial" w:hAnsi="Arial"/>
          <w:sz w:val="16"/>
          <w:szCs w:val="16"/>
          <w:color w:val="auto"/>
        </w:rPr>
        <w:t xml:space="preserve"> may ultimately prove to be greater than the risk associated with </w:t>
      </w:r>
      <w:r>
        <w:rPr>
          <w:rFonts w:ascii="Arial" w:cs="Arial" w:eastAsia="Arial" w:hAnsi="Arial"/>
          <w:sz w:val="16"/>
          <w:szCs w:val="16"/>
          <w:i w:val="1"/>
          <w:iCs w:val="1"/>
          <w:color w:val="auto"/>
        </w:rPr>
        <w:t>HtrA1</w:t>
      </w:r>
      <w:r>
        <w:rPr>
          <w:rFonts w:ascii="Arial" w:cs="Arial" w:eastAsia="Arial" w:hAnsi="Arial"/>
          <w:sz w:val="16"/>
          <w:szCs w:val="16"/>
          <w:color w:val="auto"/>
        </w:rPr>
        <w:t>. In addition, even though genetic and histologic findings correlate HtrA1 with AMD, the development and progression of AMD may not be affected by HtrA1. Our hypothesis that targeting inhibition of HtrA1 may be a safe and effective method of treating AMD may ultimately be incorrect, which would likely adversely affect the value of IC-500 and its continued development.</w:t>
      </w:r>
    </w:p>
    <w:p>
      <w:pPr>
        <w:spacing w:after="0" w:line="20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To our knowledge, there are no suitable animal models for GA or dry AMD. This absence of a suitable animal model makes designing a proof of concept study to assess the preclinical efficacy of IC-500 difficult. To date, we have not yet generated any preclinical data of IC-500 in animal studies. In addition, we have not had any formal or informal interactions with the FDA or other regulatory authorities regarding our preclinical development plans for IC-500. We do not know whether the FDA or other regulatory authorities will accept any preclinical proof of concept study we may propose, or other aspects of our preclinical development plans for IC-500. The FDA may require us to change our plans or conduct additional studies, which would increase our costs and delay our timelines.</w:t>
      </w:r>
    </w:p>
    <w:p>
      <w:pPr>
        <w:spacing w:after="0" w:line="19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 There are a number of known safety risks associated with our product candidates, including gene therapies, and currently unknown safety issues may arise during development.</w:t>
      </w:r>
    </w:p>
    <w:p>
      <w:pPr>
        <w:spacing w:after="0" w:line="8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less severe or more acceptable from a risk-benefit perspective. Many drugs that initially showed promise in clinical or earlier stage testing have later been found to cause side effects that prevented further development. Safety issues may arise due to reasons unrelated to the study drug, such as issues with the injection procedure or the syringes or needles being used.</w:t>
      </w:r>
    </w:p>
    <w:p>
      <w:pPr>
        <w:spacing w:after="0" w:line="8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our completed clinical trials for Zimura, we have observed only a single adverse event, mild subcapsular cataract, from our OPH2000 trial, assessed to be drug-related by participating investigators. Although not reported as related to Zimura by investigators, we observed an increase in the number of investigator-reported cases of CNV in the Zimura treatment groups in the GATHER1 trial as compared to the sham control groups. For the GATHER2 trial, because we are asking investigators to perform monthly OCT imaging and to submit cases where patients experience a decrease in visual acuity of five or more ETDRS letters between successive visits to the independent reading center for confirmation by multi-modal imaging, in addition to the cases the investigator suspects to be CNV, we may observe a higher rate of CNV cases in the GATHER2 trial, including, potentially in the Zimura 2 mg treatment group as compared to the sham group. We have no unmasked data regarding the safety, tolerability or efficacy of Zimura administered for the treatment of STGD1. We have no human data regarding IC-100, IC-200 or IC-500.</w:t>
      </w:r>
    </w:p>
    <w:p>
      <w:pPr>
        <w:spacing w:after="0" w:line="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Zimura may increase the risk of patients developing CNV to an unacceptable degree. Moreover, our clinical trials for Zimura involve multiple intravitreal injections over an extended period of time and, as such, may involve risks regarding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Zimura. Although the safety profile of Zimura remained favorable at month 18 in our GATHER1 trial, we may encounter unknown safety issues as we analyze the unmasked individual patient level data. An unforeseen or unexpected safety event, or any safety finding that is inconsistent with our prior experience with Zimura, from any of our clinical trials for Zimura, including from the GATHER2 trial during which we will follow patients and collect safety data over 24 months, may impact our ability to continue to develop Zimura or the long-term viability of Zimura as a potential treatment for GA, STGD1 or any other indication for which we may seek to develop Zimura.</w:t>
      </w:r>
    </w:p>
    <w:p>
      <w:pPr>
        <w:spacing w:after="0" w:line="174"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As HtrA1 inhibition is a novel treatment approach for treating ocular disease, this treatment approach may present potentially unknown safety risks when tested in clinical trials that could not have been anticipated based on preclinical studies, including the toxicology studies we are planning. In addition, if we are successful in formulating IC-500, we intend to administer IC-500 by intravitreal injection, which poses the same safety risks outlined above with respect to intravitreal injections of Zimura.</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procedure in multiple patients with consistency across patients and surgeons. In addition, in order to avoid accelerating damage to a patient's retina, subretinal injection for RHO-adRP patients in particular must be conducted under extremely low light levels using infrared technology, further complicating the surgical procedure. In the event that we progress into clinical development with IC-100, IC-200 or any other gene therapy product candidate we may in-license or acquire, we may experience delays or other challenges for our gene therapy development programs as a result of safety issues.</w:t>
      </w:r>
    </w:p>
    <w:p>
      <w:pPr>
        <w:spacing w:after="0" w:line="186"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to humans continue to evolve. The safety profile of minigenes and their associated proteins in humans remains largely unknown. If gene therapies prove to be unsafe for humans, we likely will need to curtail or eliminate our gene therapy development programs or gene therapy products in commercialization, if any.</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do not have internal manufacturing facilities and use or plan to use outside contract manufacturers to manufacture Zimura, IC-100, IC-200, IC-500 and any other product candidates that we may acquire or in-license. We have a limited number of personnel hired to supervise these outside vendors. The manufacturing processes for our product candidates are technically complex. Problems with developing, executing or scaling up the manufacturing process, even minor deviations from the established process, could result in product defects or manufacturing failures that result in lot failures, product recalls, product liability claims, insufficient inventory or delays to our programs. We may encounter problems achieving adequate quantities and quality of clinical-grade materials that meet FDA, EMA or other applicable standards or specifications with consistent and acceptable production yields and costs.</w:t>
      </w:r>
    </w:p>
    <w:p>
      <w:pPr>
        <w:spacing w:after="0" w:line="16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addition, in order to manufacture and supply any of our product candidates for later-stage clinical trials or on a commercial scale in the future, we will need to increase our manufacturing personnel and bolster our quality control and quality assurance capabilities. 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 scales up manufacturing of any product candidate, we may encounter unexpected issues relating to the manufacturing processes or the quality, purity or stability of the product, and we may be required to refine or alter our manufacturing processes to address these issues, or may need to use an alternative manufacturer. Resolving these issues could result in significant delays and may result in significantly increased costs. If we underestimate the demand for an approved product, given the long lead times required to manufacture or obtain regulatory approvals for our products,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68"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None of our third-party manufacturers have undergone a pre-approval inspection by the FDA for Zimura or any of our other product candidates. Failure by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96"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Any problems in our manufacturing process or our third-party contract manufacturers’ facilities could make us a less attractive collaborator for potential collaborations, including with larger pharmaceutical companies and academic research institutions. Problems in our manufacturing process or facilities also could restrict our ability to meet market demand for our products.</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8"/>
          <w:szCs w:val="18"/>
          <w:i w:val="1"/>
          <w:iCs w:val="1"/>
          <w:color w:val="auto"/>
        </w:rPr>
        <w:t>We contract with third parties for the manufacture of and for providing starting materials</w:t>
      </w:r>
      <w:r>
        <w:rPr>
          <w:rFonts w:ascii="Arial" w:cs="Arial" w:eastAsia="Arial" w:hAnsi="Arial"/>
          <w:sz w:val="18"/>
          <w:szCs w:val="18"/>
          <w:color w:val="auto"/>
        </w:rPr>
        <w:t xml:space="preserve"> </w:t>
      </w:r>
      <w:r>
        <w:rPr>
          <w:rFonts w:ascii="Arial" w:cs="Arial" w:eastAsia="Arial" w:hAnsi="Arial"/>
          <w:sz w:val="18"/>
          <w:szCs w:val="18"/>
          <w:i w:val="1"/>
          <w:iCs w:val="1"/>
          <w:color w:val="auto"/>
        </w:rPr>
        <w:t>for our product candidates for preclinical development activities and clinical trials and expect to continue to do so in the future. This reliance on third parties increases the risk that we will not have sufficient quantities of our product candidates or products,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Our experience manufacturing Zimura is limited. As we conduct our GATHER2 trial and our expanded STAR trial and plan for potential commercialization of Zimura, we and our third-party manufacturers will need to complete several activities to ensure the continued supply of drug product for these trials and adequate preparations to support potential future commercial supply of Zimura. Any delay or failure in completing these activities could cause delays in the development of Zimura or its potential approval or could result in inadequate clinical or commercial product supply.</w:t>
      </w:r>
    </w:p>
    <w:p>
      <w:pPr>
        <w:spacing w:after="0" w:line="14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order to obtain and maintain regulatory approval for Zimura, our third-party manufacturers will be required to produce Zimura drug substance with consistent quality and to execute fill/finish services on a repeated basis and document their ability to do so. In order for us to successfully commercialize Zimura, if approved, our manufacturers also need to be able to produce quantities at a commercial scale. If our third-party manufacturers are unable to satisfy these requirements, our business would be materially and adversely affected. To date, we have not yet scaled up the manufacturing process for Zimura beyond the scale used for developmental clinical batches, nor have we validated the manufacturing process.</w:t>
      </w:r>
    </w:p>
    <w:p>
      <w:pPr>
        <w:spacing w:after="0" w:line="16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early 2017, we completed the small scale manufacture of multiple batches of Zimura drug substance that we are using to support clinical drug supply for the GATHER2 trial and the expanded STAR trial. Although we believe we have adequate Zimura drug substance for the GATHER2 trial and the expanded STAR trial, this supply may not be sufficient for our needs over the duration of the trials or for any additional trials we may conduct. We have initiated activities in preparation for the scale-up and validation of the manufacturing process for Zimura drug substance with a new manufacturer, with the goal of assessing whether this manufacturer can produce Zimura drug substance at an adequate scale for future potential commercial use. If this manufacturer is successful, we intend for this manufacturer to be our primary supplier of Zimura drug substance. However, this manufacturer may not be successful because of any number of reasons. We also recently engaged our historical contract manufacturer for Zimura drug substance, Agilent Technologies, Inc., or Agilent, for scale-up and validation activities. Depending on the success of the scale-up activities by the new manufacturer, we may use either this new manufacturer, Agilent or both for future supply of Zimura drug substance, which may increase our costs and delay our timelines. In addition, regardless of which manufacturer we use, we will need to demonstrate that the drug substance produced through the scaled-up process is analytically comparable to the drug substance we are currently using. If we are unable to demonstrate that the Zimura drug substance produced through the scaled-up process is analytically comparable to the Zimura drug substance we are currently using, including as a result of not having the appropriate assays to demonstrate analytical comparability, our timelines to complete the development of and seek regulatory approval for Zimura would be impacted.</w:t>
      </w:r>
    </w:p>
    <w:p>
      <w:pPr>
        <w:spacing w:after="0" w:line="20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2020, we engaged a contract manufacturer to provide us with additional supply of finished Zimura drug product to support our needs for the GATHER2 trial and the expanded STAR trial. We expect that this contract manufacturer will be able to supply sufficient finished Zimura drug product for these two clinical trials. However, we may face issues with releasing batches of finished Zimura drug product from this contract manufacturer, or even if these batches can be successfully released, we may not have sufficient supply for our needs over the duration of these trials or for any additional trials we may conduct. In addition, we are planning to make a change to the existing vial used for Zimura drug product, which we believe may allow us to support a more efficient fill/finish operation at a commercial scale. We have been in discussions with our historical fill/finish manufacturer, Ajinomoto Bio-Pharma Services, or Ajinomoto, regarding its capacity to supply us with finished Zimura drug product with the new vial for potential commercial use. If Ajinomoto is unable to provide us and/or a potential collaborator with Zimura drug product for potential commercial use, we will need to use alternative suppliers, which may increase our costs and delay our timelines.</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order the PEG starting material used to make Zimura drug substance from a sole source third-party manufacturer outside the United States. We currently procure the supply on a purchase order basis and are planning to enter into a long-term supply agreement with this manufacturer for the PEG starting material. However, we may not be able to agree to terms or may need to agree to unfavorable terms in order to secure adequate supply. We are assessing this supplier's capacity to supply the PEG at the scale that we expect we will need for commercial manufacturing. If this supplier is unable to supply us the PEG in line with our expectations, we believe there are a limited number of alternative suppliers for this critical raw material, and if we need to use those suppliers, it could increase our costs and delay our manufacturing plans for Zimura.</w:t>
      </w:r>
    </w:p>
    <w:p>
      <w:pPr>
        <w:spacing w:after="0" w:line="19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Each of these activities is costly, time-consuming and uncertain in outcome. We may not be able to successfully scale up or validate our manufacturing process for Zimura, demonstrate analytical comparability of the Zimura drug substance manufactured through the scaled up process with the previously manufactured Zimura drug substance, or establish the long-term stability of the Zimura drug product stored in the new vial container. The new manufacturers we have engaged or may engage in the future have not had previous experience with Zimura and there may be issues with technology transfer. We may need to perform additional work beyond what we currently plan to establish manufacturing and analytical capabilities sufficient to obtain regulatory approval of our manufacturing process for Zimura and to support potential commercial operations. If any of the foregoing events occur, it could result in delays or increased costs to support our future development and commercialization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of Zimura, even if we successfully complete any required clinical trials for Zimura and obtain sufficient and favorable safety and efficacy data.</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oligonucleotides such as Zimura. The lack of uniform manufacturing and quality standards among regulatory agencies may delay regulatory approval of Zimura. Furthermore, there are a limited number of contract manufacturers with experience manufacturing oligonucleotides, which may limit our ability to find and use alternative manufacturers.</w:t>
      </w:r>
    </w:p>
    <w:p>
      <w:pPr>
        <w:spacing w:after="0" w:line="17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 As previously disclosed, we identified an issue with one of the starting materials used to manufacture IC-100, which delayed our timelines for that program. We have limited experience with gene therapy manufacturing and are dependent on our third-party contract manufacturers and sole source suppliers.</w:t>
      </w:r>
    </w:p>
    <w:p>
      <w:pPr>
        <w:spacing w:after="0" w:line="15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In 2020, we experienced delays to our cGMP manufacturing activities for IC-100 and IC-200 because of a number of manufacturing issues at our CDMO. There may also be long lead times to manufacture or procure starting materials such as cell banks or plasmids. In particular, plasmids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 failure to procure or a shortage of necessary starting materials likely would delay our manufacturing and development timelines.</w:t>
      </w:r>
    </w:p>
    <w:p>
      <w:pPr>
        <w:spacing w:after="0" w:line="166"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previously disclosed, we identified an issue with one of the starting materials used for our manufacturing process for IC-100. That issue caused us to delay our cGMP manufacturing run at our CDMO, and we had to reschedule the run for a later date based on the CDMO's availability. The supplier has since provided new starting materials for our rescheduled cGMP manufacturing run. Although we believe the new starting materials met our expectations and the manufacturing of the cGMP batch has been successful, we may find unexpected issues as we complete testing and release of the batch. If there are issues with the new starting materials or the produced batch, our timelines and the future development of IC-100 could be adversely affected.</w:t>
      </w:r>
    </w:p>
    <w:p>
      <w:pPr>
        <w:spacing w:after="0" w:line="16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number of factors common to the manufacturing of biologics and drugs could also cause production or quality issues for gene therapies, including raw material or starting material variability in terms of quality, consistency in cell growth, productivity or cell line stability issues, product and process impurities, material shortages of any kind, shipping, distribution, storage and supply chain failures, cell culture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In particular, for IC-100 and IC-200 we and our contract manufacturers have developed our own manufacturing processes, which differ from those originally used by our university collaborators, for example, by using different starting materials and analytical methods. Our manufactured materials may not match the safety and efficacy profile of those used by the universities.</w:t>
      </w:r>
    </w:p>
    <w:p>
      <w:pPr>
        <w:spacing w:after="0" w:line="18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Because manufacturing for early stage research is often done under different conditions, using different starting materials and manufacturing systems and done on a smaller scale than what is required for manufacturing for clinical supplies, we may face challenges producing the same product as that produced by the manufacturing processes used by our licensors and other academic collaborators and scaling up the new manufacturing processes as necessary to support supply for clinical trials. In order to progress the development of IC-100, IC-200 or any other gene therapy product candidate we may in-license or acquire, we have devoted and will need to continue to devote significant time and financial resources to establishing manufacturing processes that are sufficient for IND-enabling preclinical toxicology studies as well as clinical supplies. If we are not able to establish gene therapy manufacturing or related processes in a manner required for further development of our gene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therapy product candidates, our development plans may be delayed and our business may be materially harmed. In particular, although our CDMO produced cGMP batches for each of IC-100 and IC-200, we may encounter issues with releasing any of those batches, which could hamper us from filing an IND and initiating a human clinical trial for that product candidate.</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our contract manufacturers and our contract research organizations need to expend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or released our manufactured materials. If the results of the testing fail to meet our expectations or applicable requirements, we may need to delay or repeat certain manufacturing and development activities.</w:t>
      </w:r>
    </w:p>
    <w:p>
      <w:pPr>
        <w:spacing w:after="0" w:line="17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We are in the early stages of establishing manufacturing capabilities for IC-500. We may need to conduct additional process development and formulation development activities.</w:t>
      </w:r>
    </w:p>
    <w:p>
      <w:pPr>
        <w:spacing w:after="0" w:line="170"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Before we can commence IND-enabling studies for IC-500, we will need to conduct process development and formulation development to determine whether we can identify a viable manufacturing process for and formulate IC-500 for intravitreal administration that is safe to advance into preclinical studies and, depending on the outcome of such studies, into clinical trials. For example, as part of formulation development, we will need to determine which inactive formulation components should be used in the preparation of IC-500, and derive a preparation that includes an adequate amount of drug substance with the necessary inactive ingredients to achieve the desired safety and efficacy profile for intravitreal injection into the eye.</w:t>
      </w:r>
    </w:p>
    <w:p>
      <w:pPr>
        <w:spacing w:after="0" w:line="188"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We are working with a CDMO to conduct process development, scale up and cGMP manufacturing of the drug substance for IC-500 for preclinical toxicology studies and early-stage clinical trials. We are working with another CDMO to conduct formulation development activities for the drug product for IC-500. Our contract manufacturers have developed a manufacturing process for IC-500 drug substance and a formulation of this produced drug substance. However, we have not yet tested this formulation in any preclinical animal studies; the results of these studies may require us to refine or change our manufacturing process or conduct additional formulation development activities. We are in the process of engaging a contract manufacturer to manufacture finished drug product for clinical supply. Manufacturing, including process development, formulation development and drug product manufacturing, can be costly and time-consuming and our anticipated timelines for the development of IC-500 may be delayed. If we are unable to successfully manufacture and formulate IC-500 in line with our expectations, we may switch to a backup HtrA1 inhibitor or cease developing our HtrA1 inhibitor program altogether.</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19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business strategy includes a focus on developing transformative therapies for retinal diseases, including GA secondary to age-related macular degeneration and a number of orphan inherited retinal diseases. There are multiple companies pursuing the development of therapeutics targeting the complement pathway and gene therapy approaches for orphan and age-related retinal diseases. Some of them have better name recognition, more resources and a longer history of developing therapies than we do. Competition in this field is intense and especially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Furthermore, our ability to compete may be affected in many cases by insurers or other third-party payors, particularly Medicare, seeking to encourage the use of less expensive or more convenient products.</w:t>
      </w:r>
    </w:p>
    <w:p>
      <w:pPr>
        <w:spacing w:after="0" w:line="17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enrolling patients 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 such as may be the case for the GATHER2 trial, for which a number of other companies have active clinical trials.</w:t>
      </w:r>
    </w:p>
    <w:p>
      <w:pPr>
        <w:spacing w:after="0" w:line="166"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252" w:lineRule="exact"/>
        <w:rPr>
          <w:sz w:val="20"/>
          <w:szCs w:val="20"/>
          <w:color w:val="auto"/>
        </w:rPr>
      </w:pPr>
    </w:p>
    <w:p>
      <w:pPr>
        <w:ind w:left="660" w:hanging="328"/>
        <w:spacing w:after="0" w:line="284" w:lineRule="auto"/>
        <w:tabs>
          <w:tab w:leader="none" w:pos="6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Alexion Pharmaceuticals, Inc., Annexon Inc., Apellis Pharmaceuticals, Inc., or Apellis, Applied Genetic Technologies Corporation, or AGTC, Biogen Inc., Gemini Therapeutics, Inc., Gyroscope Therapeutics, IONIS Pharmaceuticals, Inc. (in collaboration with Roche AG), Janssen Pharmaceuticals Inc. (which acquired its program through the acquisition of Hemera Biosciences, LLC), MorphoSys AG, NGM Biopharmaceuticals Inc. and Novartis AG each have complement inhibitors in development for GA or dry AMD, including, in the cases of Gemini Therapeutics, Gyroscope Therapeutics and Janssen Pharmaceuticals, complement inhibitor gene therapies and AGTC and Gemini Therapeutics each has a research program on complement factor H gene therapy. We believe that the most advanced of these programs is Apellis's pegylated, synthetic peptide targeting complement protein C3. In July 2020, Apellis announced that it had completed patient enrollment in its Phase 3 program with a total of 1,259 patients, and expects to announce top-line data from the trials in the third quarter of 2021. If Apellis's Phase 3 program for its C3 complement inhibitor product candidate is successful, it is likely that Apellis would obtain marketing approval for its product candidate in advance of when we could reasonably expect to obtain marketing approval for Zimura in GA or IC-500 in GA, if at all. Moreover, we are aware that several other companies, including Allergan Inc., Allegro Ophthalmics, LLC, Alkeus Pharmaceuticals Inc., Astellas Pharma Inc., Boehringer Ingelheim, EyePoint Pharmaceuticals, Inc., Lineage Cell Therapeutics, Inc., Roche AG and Stealth BioTherapeutics Corp.,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is Genentech's monoclonal antibody HtrA1 inhibitor, which is currently being studied in a Phase 2 clinical trial.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52" w:lineRule="exact"/>
        <w:rPr>
          <w:sz w:val="20"/>
          <w:szCs w:val="20"/>
          <w:color w:val="auto"/>
        </w:rPr>
      </w:pPr>
    </w:p>
    <w:p>
      <w:pPr>
        <w:ind w:left="660" w:right="100" w:hanging="328"/>
        <w:spacing w:after="0" w:line="296" w:lineRule="auto"/>
        <w:tabs>
          <w:tab w:leader="none" w:pos="65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There are a number of products in preclinical research and clinical development by third parties to treat Stargardt disease. We are aware that AGTC, Alkeus Pharmaceuticals, Inc., Beam Therapeutics Inc., Generation Bio Co., Kubota Vision Inc. (formerly Acucela), Lin BioScience, Inc., Nightstar Therapeutics plc (prior to its acquisition by Biogen), or Nightstar, ProQR Therapeutics N.V., or ProQR, and Spark Therapeutics each have research or development programs in Stargardt disease. Three of these programs, Alkeus, Kubota and Lin BioScience, are exploring the use of oral therapeutics, while AGTC, Nightstar and Spark are each using a gene therapy approach, Beam is using a base editing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approach, and ProQR is using an RNA 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52" w:lineRule="exact"/>
        <w:rPr>
          <w:sz w:val="20"/>
          <w:szCs w:val="20"/>
          <w:color w:val="auto"/>
        </w:rPr>
      </w:pPr>
    </w:p>
    <w:p>
      <w:pPr>
        <w:ind w:left="660" w:right="40" w:hanging="328"/>
        <w:spacing w:after="0" w:line="259" w:lineRule="auto"/>
        <w:tabs>
          <w:tab w:leader="none" w:pos="655"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are aware that ProQR is developing an RNA-based therapeutic for RHO-adRP, for which it is currently conducting a Phase 1/2 clinical trial. Ocugen, Inc. is developing a gene therapy for RHO-adRP, for which the FDA granted orphan drug designation in July 2020. In addition, prior to its acquisition by Biogen, Nightstar had a preclinical AAV gene therapy program in RHO-adRP. 4D Molecular Therapeutics is developing an intravitreal gene therapy for RHO-adRP. Editas Medicine, Inc. is exploring a potential gene editing program in this disease. We are also aware that multiple academic institutions have early stage gene therapy development programs in RHO-adRP.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52"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We are aware that, prior to its acquisition by Biogen, Nightstar had a preclinical AAV gene therapy program for one or more </w:t>
      </w:r>
      <w:r>
        <w:rPr>
          <w:rFonts w:ascii="Arial" w:cs="Arial" w:eastAsia="Arial" w:hAnsi="Arial"/>
          <w:sz w:val="16"/>
          <w:szCs w:val="16"/>
          <w:i w:val="1"/>
          <w:iCs w:val="1"/>
          <w:color w:val="auto"/>
        </w:rPr>
        <w:t>BEST1</w:t>
      </w:r>
      <w:r>
        <w:rPr>
          <w:rFonts w:ascii="Arial" w:cs="Arial" w:eastAsia="Arial" w:hAnsi="Arial"/>
          <w:sz w:val="16"/>
          <w:szCs w:val="16"/>
          <w:color w:val="auto"/>
        </w:rPr>
        <w:t>-related IRDs.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52" w:lineRule="exact"/>
        <w:rPr>
          <w:sz w:val="20"/>
          <w:szCs w:val="20"/>
          <w:color w:val="auto"/>
        </w:rPr>
      </w:pPr>
    </w:p>
    <w:p>
      <w:pPr>
        <w:ind w:left="660" w:right="240" w:hanging="328"/>
        <w:spacing w:after="0" w:line="279"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52" w:lineRule="exact"/>
        <w:rPr>
          <w:sz w:val="20"/>
          <w:szCs w:val="20"/>
          <w:color w:val="auto"/>
        </w:rPr>
      </w:pPr>
    </w:p>
    <w:p>
      <w:pPr>
        <w:ind w:left="660" w:right="200" w:hanging="328"/>
        <w:spacing w:after="0" w:line="259"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and Odylia Therapeutics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187"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any of our product candidates that we develop if and when any such product candidate is approved.</w:t>
      </w:r>
    </w:p>
    <w:p>
      <w:pPr>
        <w:spacing w:after="0" w:line="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a company, we have no experience in the sale, marketing or distribution of pharmaceutical products. We currently do not have any sales, marketing or distribution infrastructure or dedicated personnel.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is approved, the territories in which the product may be marketed and the commercial potential for such product candidate. We are developing Zimura and IC-500 for GA secondary to AMD, which is a condition affecting a relatively large number of individuals. In contrast, our gene therapy programs are currently being developed for orphan IRDs with a limited number of affected individuals. If any of our product candidates is approved, the size and nature of the affected patient population will be an important factor in our commercial strategy. In addition, our commercial strategy would vary depending on whether the disease is typically treated by general ophthalmology practitioners, specialists, such as retinal specialists, or sub-specialists, such as retinal specialists with particular expertise in IRDs, and the likely degree of acceptance of our product candidate by the relevant physicians in various markets.</w:t>
      </w:r>
    </w:p>
    <w:p>
      <w:pPr>
        <w:spacing w:after="0" w:line="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52"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w:t>
      </w:r>
    </w:p>
    <w:p>
      <w:pPr>
        <w:spacing w:after="0" w:line="252" w:lineRule="exact"/>
        <w:rPr>
          <w:rFonts w:ascii="Arial" w:cs="Arial" w:eastAsia="Arial" w:hAnsi="Arial"/>
          <w:sz w:val="18"/>
          <w:szCs w:val="18"/>
          <w:color w:val="auto"/>
        </w:rPr>
      </w:pPr>
    </w:p>
    <w:p>
      <w:pPr>
        <w:ind w:left="980" w:right="740" w:hanging="324"/>
        <w:spacing w:after="0" w:line="277" w:lineRule="auto"/>
        <w:tabs>
          <w:tab w:leader="none" w:pos="9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our sales personnel, which may put us at a competitive disadvantage relative to companies with more extensive product lines;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There are also risks involved with having third parties perform sales, marketing and distribution services on our behalf. 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or are unable to establish sales, marketing and distribution capabilities successfully, either on our own or in collaboration with third parties, we would not be successful in commercializing our product candidates, if approved.</w:t>
      </w:r>
    </w:p>
    <w:p>
      <w:pPr>
        <w:spacing w:after="0" w:line="17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 candidates may be smaller than we estimate.</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197"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52" w:lineRule="exact"/>
        <w:rPr>
          <w:rFonts w:ascii="Arial" w:cs="Arial" w:eastAsia="Arial" w:hAnsi="Arial"/>
          <w:sz w:val="18"/>
          <w:szCs w:val="18"/>
          <w:color w:val="auto"/>
        </w:rPr>
      </w:pPr>
    </w:p>
    <w:p>
      <w:pPr>
        <w:ind w:left="980" w:right="300" w:hanging="324"/>
        <w:spacing w:after="0" w:line="301" w:lineRule="auto"/>
        <w:tabs>
          <w:tab w:leader="none" w:pos="975"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restrictions in the label on the use of our products to or by a subgroup of patients, including, for example, for Zimura, if approved, restrictions on use of our product to patients with GA secondary to dry AMD (as opposed to GA secondary to any or all forms of AMD or other stages of AMD) or to patients with specific GA lesion characteristics, such as non-foveal GA, or for our gene therapy product candidates, if approved, restrictions on use of our product if a patient previously received another gene therapy product;</w:t>
      </w:r>
    </w:p>
    <w:p>
      <w:pPr>
        <w:spacing w:after="0" w:line="184" w:lineRule="exact"/>
        <w:rPr>
          <w:rFonts w:ascii="Arial" w:cs="Arial" w:eastAsia="Arial" w:hAnsi="Arial"/>
          <w:sz w:val="16"/>
          <w:szCs w:val="16"/>
          <w:color w:val="auto"/>
        </w:rPr>
      </w:pPr>
    </w:p>
    <w:p>
      <w:pPr>
        <w:ind w:left="980" w:right="540" w:hanging="324"/>
        <w:spacing w:after="0" w:line="277" w:lineRule="auto"/>
        <w:tabs>
          <w:tab w:leader="none" w:pos="9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treatment regimens calling for multiple intravitreal injections on the same day, restrictions in the label imposing a waiting period in between intravitreal injections;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availability of governmental and third-party payor coverage and adequate reimbursement;</w:t>
      </w:r>
    </w:p>
    <w:p>
      <w:pPr>
        <w:spacing w:after="0" w:line="252" w:lineRule="exact"/>
        <w:rPr>
          <w:rFonts w:ascii="Arial" w:cs="Arial" w:eastAsia="Arial" w:hAnsi="Arial"/>
          <w:sz w:val="18"/>
          <w:szCs w:val="18"/>
          <w:color w:val="auto"/>
        </w:rPr>
      </w:pPr>
    </w:p>
    <w:p>
      <w:pPr>
        <w:ind w:left="980" w:right="320" w:hanging="324"/>
        <w:spacing w:after="0" w:line="308" w:lineRule="auto"/>
        <w:tabs>
          <w:tab w:leader="none" w:pos="975" w:val="left"/>
        </w:tabs>
        <w:numPr>
          <w:ilvl w:val="0"/>
          <w:numId w:val="73"/>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73" w:lineRule="exact"/>
        <w:rPr>
          <w:rFonts w:ascii="Arial" w:cs="Arial" w:eastAsia="Arial" w:hAnsi="Arial"/>
          <w:sz w:val="17"/>
          <w:szCs w:val="17"/>
          <w:color w:val="auto"/>
        </w:rPr>
      </w:pPr>
    </w:p>
    <w:p>
      <w:pPr>
        <w:ind w:left="980" w:right="220" w:hanging="324"/>
        <w:spacing w:after="0" w:line="263" w:lineRule="auto"/>
        <w:tabs>
          <w:tab w:leader="none" w:pos="9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 such as subretinal surgery;</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prevalence and severity of any side effects or perceived safety concerns, especially for new therapeutic treatments such as gene therapy; and</w:t>
      </w:r>
    </w:p>
    <w:p>
      <w:pPr>
        <w:spacing w:after="0" w:line="275" w:lineRule="exact"/>
        <w:rPr>
          <w:rFonts w:ascii="Arial" w:cs="Arial" w:eastAsia="Arial" w:hAnsi="Arial"/>
          <w:sz w:val="16"/>
          <w:szCs w:val="16"/>
          <w:color w:val="auto"/>
        </w:rPr>
      </w:pPr>
    </w:p>
    <w:p>
      <w:pPr>
        <w:ind w:left="980" w:right="120" w:hanging="324"/>
        <w:spacing w:after="0" w:line="277" w:lineRule="auto"/>
        <w:tabs>
          <w:tab w:leader="none" w:pos="9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alternatives that offer a less frequent dosing regimen than monthly intravitreal injections, in the case of Zimura, or</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20"/>
        <w:spacing w:after="0" w:line="279" w:lineRule="auto"/>
        <w:rPr>
          <w:sz w:val="20"/>
          <w:szCs w:val="20"/>
          <w:color w:val="auto"/>
        </w:rPr>
      </w:pPr>
      <w:r>
        <w:rPr>
          <w:rFonts w:ascii="Arial" w:cs="Arial" w:eastAsia="Arial" w:hAnsi="Arial"/>
          <w:sz w:val="17"/>
          <w:szCs w:val="17"/>
          <w:color w:val="auto"/>
        </w:rPr>
        <w:t>a less invasive method of administration than subretinal injection, in the case of our gene therapy product candidates, come to market. For example, Apellis is testing its complement inhibitor product candidate for GA with both monthly and every other month dosing regimens, and may obtain a label with an every other month dosing regimen, while we expect that any label we may obtain for Zimura in GA will require monthly administrations. If so, physicians and patients may find Apellis's dosing regimen more acceptable than ours.</w:t>
      </w:r>
    </w:p>
    <w:p>
      <w:pPr>
        <w:spacing w:after="0" w:line="171" w:lineRule="exact"/>
        <w:rPr>
          <w:sz w:val="20"/>
          <w:szCs w:val="20"/>
          <w:color w:val="auto"/>
        </w:rPr>
      </w:pPr>
    </w:p>
    <w:p>
      <w:pPr>
        <w:ind w:right="220" w:firstLine="648"/>
        <w:spacing w:after="0" w:line="271" w:lineRule="auto"/>
        <w:rPr>
          <w:sz w:val="20"/>
          <w:szCs w:val="20"/>
          <w:color w:val="auto"/>
        </w:rPr>
      </w:pPr>
      <w:r>
        <w:rPr>
          <w:rFonts w:ascii="Arial" w:cs="Arial" w:eastAsia="Arial" w:hAnsi="Arial"/>
          <w:sz w:val="17"/>
          <w:szCs w:val="17"/>
          <w:color w:val="auto"/>
        </w:rPr>
        <w:t>Our development program for Zimura in GA uses an anatomical primary endpoint, the mean rate of change in GA growth over 12 months.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corollary to the anatomical measure that we are using as our primary endpoint. Although we evaluated visual acuity as a secondary endpoint in the GATHER1 trial, the trial was not designed to reliably assess differences in mean changes in visual acuity with statistical significance. Patients, physicians and payors may not recognize the value of, and we may not be able to obtain marketing or reimbursement approval for, Zimura without demonstrating a functional benefit to vision. To do so, we may need to conduct additional clinical trials or sub-studies, which may not ultimately demonstrate a functional benefit to vision.</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For each of our Zimura trials where patients receive multiple intravitreal injections on the same day, including the STAR trial, we have provided for a delay in the second intravitreal injection to occur during the same office visit to minimize the risk of an unacceptable increase in intraocular pressure as a result of the volume of the multiple injections. If Zimura receives marketing approval for a particular indication, including for example, for autosomal recessive Stargardt disease, and the approved label requires a waiting period between injections administered on the same day or a dosing regimen that requires multiple office visits per month, the potential market opportunity for Zimura may be limited to the extent that physicians and patients find such a waiting period or dosing regimen unacceptable.</w:t>
      </w:r>
    </w:p>
    <w:p>
      <w:pPr>
        <w:spacing w:after="0" w:line="192"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market response to anti-VEGF agents currently approved for treatment of wet AMD and to Spark Therapeutics's Luxturna® and Novartis AG's Zolgensma®, third-party research reports and other surveys. The potential market opportunity for our product candidates may also differ across geographies. While we believe that our internal assumptions are reasonable, any of these assumptions could prove to be inaccurate, and the actual market for such product candidates could be smaller than our estimates of our potential market opportunity.</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There is a variety of factors that could contribute to the actual number of patients who receive an approved therapy being less than our estimates of the potential addressable market. With respect to our programs for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and certain IRDs, likely will diminish the therapeutic benefit conferred by a new drug product due to irreversible cell death. For example, certain GA patients may have experienced the loss of certain portions of retinal tissue that disproportionately affected their functional vision, and these patients may not value a treatment that can only slow the growth of additional GA lesions without providing a treatment to their loss of functional vision. Certain patients’ immune systems and prior exposure to the virus used to deliver a gene therapy might inhibit the successful delivery of certain gene therapy products to the target tissue, thereby limiting eligibility for treatment or limiting treatment outcomes. If the number of patients that may benefit from the treatments we are seeking to develop is lower than we expect, our business, financial condition, results of operations and prospects may be adversely affected.</w:t>
      </w:r>
    </w:p>
    <w:p>
      <w:pPr>
        <w:spacing w:after="0" w:line="18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2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we may need to demonstrate a relative benefit in functional vision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18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Because there are only two FDA-approved gene replacement therapy products, both of which launched in the United States within the past three years, the pricing environment for gene therapies is in the very early stages of its development. Gene therapies are generally intended to be one-time treatments or, at a minimum, to provide a benefit over an extended period lasting several years. If we are successful in obtaining marketing approval for any of our gene therapy product candidates, we will need to convince third-party payors of the value that our gene therapy product offers. Third-party payors may be unwilling to accept substantial upfront costs for a therapy where the benefits may not be realized or are realized over a period of years during which the patient may no longer be enrolled in the payor's plan. Although payors and manufacturers may be incentivized to agree to outcomes-based payment structures for gene therapies, where manufacturers provide rebates or a portion of the contract price is forgiven if an efficacy or durability threshold is not met for an individual patient, market dynamics in the United States currently do not facilitate these types of outcome-based payments, in particular because of rules that require that government payors, such as Medicaid, receive the “best price” for a drug, regardless of outcome. The perceived high cost for pharmaceutical products to treat orphan diseases, where manufacturers seek to recoup development costs and earn a profit for a therapy intended to treat a relatively small patient population, may attract increased political and public scrutiny. In particular, the $2.1 million list price for Zolgensma has generated significant public scrutiny over the prices of new pharmaceuticals coming to the market, including gene therapies, and as a result, Novartis has proposed permitting third-party payors to pay for Zolgensma in annual installments over five years instead of as a lump sum. Moreover, if we obtain marketing approval for a product candidate, such as Zimura, in more than one indication, including, for example in an orphan indication such as STGD1 and a non-orphan indication such as GA secondary to AMD,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17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recently experienced by the pharmaceutical industry may be further exacerbated by legislative and policy changes under consideration by the new Biden Administration, the U.S. Congress and many states. For example, the previous Trump Administration, through the Center for Medicare &amp; Medicaid Service, or CMS, announced in late 2018 an advance notice of proposed rulemaking describing a potential mandatory reference pricing model for Medicare Part B drugs under which the prices paid for these drugs will be adjusted in relation to an international pricing index that includes prevailing prices from other countries with strict price controls. The reference pricing model has found support from some members of the U.S. Congress. In September 2020, the Trump Administration issued an executive order directing the Secretary of the Department of Health and Human Services, or HHS, to propose rulemaking that would limit the prices paid by Medicare for certain drugs and biologics to the "most favored nation" price. If this kind of rule were to be adopted, especially for AMD drugs where a large portion of the patient population is over the age of 65 and is therefore covered by Medicare, there could be significant downward pressure on prices charged, not only for patients covered by Medicare, but also for patients covered by private insurers who may follow the government’s lead on price. We expect the Biden Administration to pursue additional rulemaking aimed at limiting drug prices. Moreover, increasingly, third-party payors are requiring that drug companies provide them with predetermined discounts from list prices and are challenging the prices charged for pharmaceutical products. We cannot be sure that coverage and</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reimbursement will be available for any product that we commercialize or any commercialization partner commercializes on our behalf, and, even if these are available, the level of reimbursement may not be satisfactory.</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We or any commercialization partner may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For example, several insurers have limited the subpopulation for or imposed additional eligibility criteria for paying for Zolgensma, beyond the requirements of the approved FDA label, such as requiring that any eligible patients must receive another treatment first and demonstrate that the other treatment is ineffective before using Zolgensma. Moreover, eligibility for reimbursement does not imply that any drug will be paid for in all cases or at a rate that covers our costs, including research, development, manufacture, sale and distribution costs.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many members of the U.S. Congress expressed an interest in pursuing. In September 2020, HHS issued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financial condition, or our ability to raise capital needed to commercialize products.</w:t>
      </w:r>
    </w:p>
    <w:p>
      <w:pPr>
        <w:spacing w:after="0" w:line="182"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For a further discussion of health care reform and other political factors affecting drug prices, see the risk factor herein entitled "</w:t>
      </w:r>
      <w:r>
        <w:rPr>
          <w:rFonts w:ascii="Arial" w:cs="Arial" w:eastAsia="Arial" w:hAnsi="Arial"/>
          <w:sz w:val="18"/>
          <w:szCs w:val="18"/>
          <w:i w:val="1"/>
          <w:iCs w:val="1"/>
          <w:color w:val="auto"/>
        </w:rPr>
        <w:t>Current and</w:t>
      </w:r>
      <w:r>
        <w:rPr>
          <w:rFonts w:ascii="Arial" w:cs="Arial" w:eastAsia="Arial" w:hAnsi="Arial"/>
          <w:sz w:val="18"/>
          <w:szCs w:val="18"/>
          <w:color w:val="auto"/>
        </w:rPr>
        <w:t xml:space="preserve"> </w:t>
      </w:r>
      <w:r>
        <w:rPr>
          <w:rFonts w:ascii="Arial" w:cs="Arial" w:eastAsia="Arial" w:hAnsi="Arial"/>
          <w:sz w:val="18"/>
          <w:szCs w:val="18"/>
          <w:i w:val="1"/>
          <w:iCs w:val="1"/>
          <w:color w:val="auto"/>
        </w:rPr>
        <w:t>future legislative efforts may limit the prices for our products, if and when they are licensed for marketing, which could materially impact our ability to generate revenues.</w:t>
      </w:r>
      <w:r>
        <w:rPr>
          <w:rFonts w:ascii="Arial" w:cs="Arial" w:eastAsia="Arial" w:hAnsi="Arial"/>
          <w:sz w:val="18"/>
          <w:szCs w:val="18"/>
          <w:color w:val="auto"/>
        </w:rPr>
        <w: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Ethical, legal and social issues related to genetic testing may reduce demand for any gene therapy product candidates we develop and for which we seek marketing approval.</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198" w:lineRule="exact"/>
        <w:rPr>
          <w:sz w:val="20"/>
          <w:szCs w:val="20"/>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including to support potential commercialization.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7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raw materials, plasmids and other specialized components of production used in the manufacture and fill/finish of our product candidates.</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historically relied on, and purchased on a purchase order basis from, a single third-party manufacturer, Agilent, to provide Zimura drug substance. We have engaged a new manufacturer to conduct scale up and validation activities for Zimura drug substance, and if this manufacturer is successful, we intend for this manufacturer to be our primary supplier for Zimura drug substance. However, we do not currently have any contractual commitments with the new manufacturer or Agilent for the long-term clinical or commercial supply of Zimura drug substance. We may ultimately need to rely on the new manufacturer, Agilent or both or other manufacturers for long-term supply of Zimura drug substance. We have also historically relied on a single third-party manufacturer, Ajinomoto, for Zimura drug product. We have engaged a second fill/finish service provider for additional supply of Zimura drug product for our expected needs for the GATHER2 and STAR trials. We plan to rely on Ajinomoto for long-term supply of Zimura drug product using the new vial we have selected. However, we may ultimately need to rely on other manufacturers for long-term supply of Zimura drug product. We purchase the PEG starting material on a purchase order basis from a single third-party supplier. We are in discussions with this supplier for a long-term supply agreement for the PEG starting material. For these and any other manufacturers with which we do not have any contractual commitments for supply, the pricing and other terms for supply may vary, even substantially, over time and could adversely affect our financial results and operations.</w:t>
      </w:r>
    </w:p>
    <w:p>
      <w:pPr>
        <w:spacing w:after="0" w:line="17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have engaged a gene therapy CDMO for preclinical and Phase 1/2 clinical supply of IC-100 and IC-200. For IC-500, we have engaged a CDMO to conduct process development, scale-up and cGMP manufacture of the drug substance for preclinical toxicology studies and early-stage clinical trials and a different CDMO to conduct formulation development activities.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current and anticipated future dependence upon others for the manufacture of the product candidates that we are developing or may develop may adversely affect our business plan and future growth. For example, any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 We may not have adequate or timely visibility over issues at our third-party manufacturers, and may not become aware of any such issues until the effect on our programs, if any, has already materialized.</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Agilent and our CDMO for IC-100 and IC-200 are currently undergoing rapid expansion, including ramping up for production for existing clients, bringing on additional clients, opening new facilities, installing and validating new equipment, and hiring and training new personnel. Agilent informed us that as a result of competing demands from other customers, its ability to support our future manufacturing activities for Zimura is limited. As a result, we have engaged a new contract manufacturer that may become our primary or sole supplier for Zimura drug substance, and the timing, costs, progress, quality and outcome of our planned manufacturing activities for Zimura may be negatively affected. In addition, expansion experienced by other manufacturers and suppliers that we use, including any issues that they may experience while expanding, could negatively impact the timing, costs, progress, quality and outcome of our planned manufacturing activities with those manufacturers and delay or hinder our development plans.</w:t>
      </w:r>
    </w:p>
    <w:p>
      <w:pPr>
        <w:spacing w:after="0" w:line="166"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20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 a result of the COVID-19 pandemic, our third-party contract manufacturers and many sole-source suppliers have limited their operations by reducing the number of staff on site and instituting restrictions on visitors and audits. These changes have affected how we work with our manufacturers and have resulted in minor delays to the progress of our manufacturing activities. For example, we were unable to perform person-in-plant (PIP) observations on a number of critical manufacturing activities at our CDMO for IC-100 and IC-200, which caused minor delays to our manufacturing timelines for both product candidates. Additionally, shortages and governmental restrictions arising from the COVID-19 pandemic have disrupted and may continue to disrupt the ability of our contract manufacturers to procure items, such raw materials, that are essential for the manufacture of our product candidates. For example, in 2020, the COVID-19 pandemic and governmental measures in response caused a delay to the process development activities at our drug substance manufacturer for IC-500 as a result of difficulty in procuring one of the critical starting materials used in the manufacture of IC-500 from China. The COVID-19 pandemic may cause additional disruptions to the supply of starting materials for our product candidates.</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could cause delays or disruptions in our supply of starting materials for our product candidates.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52" w:lineRule="exact"/>
        <w:rPr>
          <w:sz w:val="20"/>
          <w:szCs w:val="20"/>
          <w:color w:val="auto"/>
        </w:rPr>
      </w:pPr>
    </w:p>
    <w:p>
      <w:pPr>
        <w:ind w:left="980" w:right="360" w:hanging="324"/>
        <w:spacing w:after="0" w:line="277" w:lineRule="auto"/>
        <w:tabs>
          <w:tab w:leader="none" w:pos="9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and quality control;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52"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or the proprietary information of third parties that we are responsible for protecting;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possible termination or non renewal of the agreement by the third party at a time that is costly or inconvenient for us.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meet deadlines for the completion of such activities. The COVID-19 pandemic has affected operations at our academic collaborators and delayed some of our sponsored research activities.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relying upon and expect in the future to rely upon third parties, such as contract research organizations, or CROs, clinical data management organizations, biostatisticians, medical institutions (including reading centers) and clinical investigators, in conducting our preclinical testing, analytical testing and clinical trials for our product candidates.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9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We also rely upon our university collaborators to conduct some of our preclinical studies. In particular, Penn has the canine disease models for two of the diseases we are aiming to treat: RHO-adRP and </w:t>
      </w:r>
      <w:r>
        <w:rPr>
          <w:rFonts w:ascii="Arial" w:cs="Arial" w:eastAsia="Arial" w:hAnsi="Arial"/>
          <w:sz w:val="17"/>
          <w:szCs w:val="17"/>
          <w:i w:val="1"/>
          <w:iCs w:val="1"/>
          <w:color w:val="auto"/>
        </w:rPr>
        <w:t>BEST1</w:t>
      </w:r>
      <w:r>
        <w:rPr>
          <w:rFonts w:ascii="Arial" w:cs="Arial" w:eastAsia="Arial" w:hAnsi="Arial"/>
          <w:sz w:val="17"/>
          <w:szCs w:val="17"/>
          <w:color w:val="auto"/>
        </w:rPr>
        <w:t>-related retinal diseases. Our preclinical development plans for IC-200 include conducting certain preclinical studies using the associated canine disease model. In 2020, we experienced some delays in the breeding of the canines for our IND-enabling study for IC-200. If we need to conduct additional preclinical studies using these canines, and these canines are not available to us for any reason, our development of IC-200 could potentially be delayed or otherwise adversely affected.</w:t>
      </w:r>
    </w:p>
    <w:p>
      <w:pPr>
        <w:spacing w:after="0" w:line="17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COVID-19 pandemic has caused our university collaborators to limit the number of staff on site and the types of activities that may be conducted in their laboratories. Penn restricted their researchers from being on site in their laboratories and closed a number of research centers that our researchers use for data analysis, which has limited their ability to analyze some of the data generated during our preclinical studies. As a result, our receipt of data and reports from some of those studies have been delayed. In addition, we curtailed some of the analysis we had originally planned for one of the preclinical studies for our IC-200 program. The University of Florida, or UF, also limited staff on site in their laboratories and vector production facilities, which has delayed our obtaining certain reagents and other materials used for our gene therapy programs. In addition, UMMS suspended researcher access to their laboratories and the conduct of certain animal studies, which delayed our timelines for our miniCEP290 and miniUSH2A sponsored research programs. In late 2020, another of our academic collaborators suspended enrollment of subjects in one of our non-interventional studies for the IC-100 program for a number of months due to COVID-19 precautions. Shortages and governmental restrictions arising from the COVID-19 pandemic may also disrupt the ability of our academic collaborators,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There is no guarantee that the COVID-19 pandemic will not further impact our supply chain, which could have a material impact on our research and development programs.</w:t>
      </w:r>
    </w:p>
    <w:p>
      <w:pPr>
        <w:spacing w:after="0" w:line="17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reliance on these third parties for preclinical testing, analytical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19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Over the past few years,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The COVID-19 pandemic has prevented us from performing audits on our vendors and clinical trial sites that we otherwise would have performed, which decreases the level of oversight we have over those vendors and clinical trial sites and increases the risk</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of non-compliance. Any failure of such practices or systems to comply with our stated protocols or regulatory requirements could adversely affect the quality of the data generated by these studies. For a number of our analytical development and testing providers, our CDMOs subcontract and manage that work on our behalf and we have less visibility into or control over their activities. If these third parties do not successfully carry out their contractual duties, meet expected deadlines or conduct our preclinical studies, analytical testing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78"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Our product candidates are required to be stored and shipped at certain temperatures and a deviation from those requirements may result in delays or additional costs.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6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We rely upon third-party researchers to advance our sponsored research programs. These arrangements may not ultimately yield any promising product candidates for preclinical or clinical development. We may not be able to fully realize the benefits of any intellectual property generated by these arrangements.</w:t>
      </w:r>
    </w:p>
    <w:p>
      <w:pPr>
        <w:spacing w:after="0" w:line="184"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Part of our strategy involves collaborative sponsored research to be performed by third-party research institutions. Although we seek to direct this research and advise on the design of these projects as well as critical development decisions, this research is being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enter into for these programs generally provide that any inventions resulting from the research will be owned by the research institution performing the research, and that we have an option to negotiate for a license to develop and exploit any such inventions. Confidential information and new inventions derived from these research efforts may be disclosed through publications or other means prior to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19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collaborations to advance our development programs, we may have to alter our development and commercialization plans.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development and potential commercialization of our product candidates is likely to require substantial additional cash to fund expenses and the hiring of additional qualified personnel. In addition, the development or commercialization of a product candidate in markets outside of the United States requires regulatory expertise and commercial capabilities that are 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w:t>
      </w:r>
    </w:p>
    <w:p>
      <w:pPr>
        <w:spacing w:after="0" w:line="19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any patent or other forms of exclusivity for such product candidate and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we are party to in-license agreements that limit who we can collaborate with or require the approval of our licensor for us to enter into a collaboration, and any future license agreements that we may enter into may have similar restrictions. Collaborations are complex and time-consuming to negotiate and document. In addition, there have been a significant number of business combinations among pharmaceutical and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biotechnology companies over the past decade that have resulted in a reduced number of potential future collaborators and this trend is likely to continue.</w:t>
      </w:r>
    </w:p>
    <w:p>
      <w:pPr>
        <w:spacing w:after="0" w:line="24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 in line with our expectations.</w:t>
      </w:r>
    </w:p>
    <w:p>
      <w:pPr>
        <w:spacing w:after="0" w:line="17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8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enter into any arrangements with third parties,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52" w:lineRule="exact"/>
        <w:rPr>
          <w:sz w:val="20"/>
          <w:szCs w:val="20"/>
          <w:color w:val="auto"/>
        </w:rPr>
      </w:pPr>
    </w:p>
    <w:p>
      <w:pPr>
        <w:ind w:left="980" w:right="60" w:hanging="324"/>
        <w:spacing w:after="0" w:line="277" w:lineRule="auto"/>
        <w:tabs>
          <w:tab w:leader="none" w:pos="9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197" w:lineRule="exact"/>
        <w:rPr>
          <w:rFonts w:ascii="Arial" w:cs="Arial" w:eastAsia="Arial" w:hAnsi="Arial"/>
          <w:sz w:val="18"/>
          <w:szCs w:val="18"/>
          <w:color w:val="auto"/>
        </w:rPr>
      </w:pPr>
    </w:p>
    <w:p>
      <w:pPr>
        <w:ind w:left="980" w:right="80" w:hanging="324"/>
        <w:spacing w:after="0" w:line="259" w:lineRule="auto"/>
        <w:tabs>
          <w:tab w:leader="none" w:pos="9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13" w:lineRule="exact"/>
        <w:rPr>
          <w:rFonts w:ascii="Arial" w:cs="Arial" w:eastAsia="Arial" w:hAnsi="Arial"/>
          <w:sz w:val="18"/>
          <w:szCs w:val="18"/>
          <w:color w:val="auto"/>
        </w:rPr>
      </w:pPr>
    </w:p>
    <w:p>
      <w:pPr>
        <w:ind w:left="980" w:right="520" w:hanging="324"/>
        <w:spacing w:after="0" w:line="308" w:lineRule="auto"/>
        <w:tabs>
          <w:tab w:leader="none" w:pos="975"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7"/>
          <w:szCs w:val="17"/>
          <w:color w:val="auto"/>
        </w:rPr>
      </w:pPr>
    </w:p>
    <w:p>
      <w:pPr>
        <w:ind w:left="980" w:right="360" w:hanging="324"/>
        <w:spacing w:after="0" w:line="263" w:lineRule="auto"/>
        <w:tabs>
          <w:tab w:leader="none" w:pos="9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be obligated to supply the collaborator with drug substance or drug product in an amount sufficient for its needs, or may be dependent on the supply of certain materials or products by the collaborator;</w:t>
      </w:r>
    </w:p>
    <w:p>
      <w:pPr>
        <w:spacing w:after="0" w:line="197" w:lineRule="exact"/>
        <w:rPr>
          <w:rFonts w:ascii="Arial" w:cs="Arial" w:eastAsia="Arial" w:hAnsi="Arial"/>
          <w:sz w:val="18"/>
          <w:szCs w:val="18"/>
          <w:color w:val="auto"/>
        </w:rPr>
      </w:pPr>
    </w:p>
    <w:p>
      <w:pPr>
        <w:ind w:left="980" w:right="100" w:hanging="324"/>
        <w:spacing w:after="0" w:line="257" w:lineRule="auto"/>
        <w:tabs>
          <w:tab w:leader="none" w:pos="9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or commercialization,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expensive, and be uncertain in outcome;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line="263" w:lineRule="auto"/>
        <w:tabs>
          <w:tab w:leader="none" w:pos="9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210" w:lineRule="exact"/>
        <w:rPr>
          <w:rFonts w:ascii="Arial" w:cs="Arial" w:eastAsia="Arial" w:hAnsi="Arial"/>
          <w:sz w:val="18"/>
          <w:szCs w:val="18"/>
          <w:color w:val="auto"/>
        </w:rPr>
      </w:pPr>
    </w:p>
    <w:p>
      <w:pPr>
        <w:ind w:left="980" w:right="140" w:hanging="324"/>
        <w:spacing w:after="0" w:line="263" w:lineRule="auto"/>
        <w:tabs>
          <w:tab w:leader="none" w:pos="9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agree to other conditions that are not attractive to us; and</w:t>
      </w:r>
    </w:p>
    <w:p>
      <w:pPr>
        <w:spacing w:after="0" w:line="210" w:lineRule="exact"/>
        <w:rPr>
          <w:rFonts w:ascii="Arial" w:cs="Arial" w:eastAsia="Arial" w:hAnsi="Arial"/>
          <w:sz w:val="18"/>
          <w:szCs w:val="18"/>
          <w:color w:val="auto"/>
        </w:rPr>
      </w:pPr>
    </w:p>
    <w:p>
      <w:pPr>
        <w:ind w:left="980" w:right="80" w:hanging="324"/>
        <w:spacing w:after="0" w:line="342" w:lineRule="auto"/>
        <w:tabs>
          <w:tab w:leader="none" w:pos="975"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collaborations may be terminated at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Zimura, IC-100, IC-200 and our miniCEP290 program. These license arrangements, as well as the Inception 4 Merger Agreement, impose diligence obligations on us. We may enter into similar arrangements with respect to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76"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are party to a license agreement with Archemix on which we depend for rights to Zimura. We are party to two different license agreements, each with UFRF and Penn, on which we depend for rights to IC-100 and IC-200.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IC-500, also imposes specified diligence and milestone payment obligations on us. We may enter into acquisition or licensing agreements in the future that could impose similar obligations on us.</w:t>
      </w:r>
    </w:p>
    <w:p>
      <w:pPr>
        <w:spacing w:after="0" w:line="16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IC-100, IC-200,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$5.0 million.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Moreover, the license agreements for IC-100, IC-200 and our miniCEP290 program reserve for the licensing academic institutions the right to continue to practice for research and educational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48"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8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currently rely on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European patent rights covering the composition of matter of Zimura and methods of treating certain complement protein mediated disorders with Zimura are expected to expire in 2025. We expect the clinical development of Zimura to continue for at least the next several years. If so,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Although the patent rights under existing patent applications for IC-100, IC-200, IC-500 and our miniCEP290 program are not expected to expire until 2037 or after, we face the same risk with those product candidates and programs and any future product candidates that we may develop.</w:t>
      </w:r>
    </w:p>
    <w:p>
      <w:pPr>
        <w:spacing w:after="0" w:line="168" w:lineRule="exact"/>
        <w:rPr>
          <w:sz w:val="20"/>
          <w:szCs w:val="20"/>
          <w:color w:val="auto"/>
        </w:rPr>
      </w:pPr>
    </w:p>
    <w:p>
      <w:pPr>
        <w:jc w:val="both"/>
        <w:ind w:right="120" w:firstLine="648"/>
        <w:spacing w:after="0" w:line="287" w:lineRule="auto"/>
        <w:rPr>
          <w:sz w:val="20"/>
          <w:szCs w:val="20"/>
          <w:color w:val="auto"/>
        </w:rPr>
      </w:pPr>
      <w:r>
        <w:rPr>
          <w:rFonts w:ascii="Arial" w:cs="Arial" w:eastAsia="Arial" w:hAnsi="Arial"/>
          <w:sz w:val="16"/>
          <w:szCs w:val="16"/>
          <w:color w:val="auto"/>
        </w:rPr>
        <w:t>For our sponsored research agreements with UMMS and Penn, we are generally relying on our university collaborators to generate research and data to support new patent applications. The results of any sponsored research are uncertain and the interests of the universities and university researchers are not necessarily aligned with our interests as a commercial entity. The research may generate limited patentable results or data, or none at all.</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Furthermore, the universities generally control the filing, prosecution and maintenance of any patents or patent applications resulting from the sponsored research. Therefore, we may not be able to obtain any patent or other exclusivity protections as a result of our collaborative gene therapy sponsored research programs, which could materially diminish or eliminate the value of these programs.</w:t>
      </w:r>
    </w:p>
    <w:p>
      <w:pPr>
        <w:spacing w:after="0" w:line="19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licensed patent rights for IC-200 and certain of our licensed patent rights for Zimura and IC-100 are method-of-treatment patents and patent applications.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use of a product directed by off-label prescriptions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patent laws in Europe and some other</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jurisdictions generally make the issuance and enforcement of patents that cover methods of treatment of the human body difficult in those jurisdictions. Further, once the composition-of-matter patents relating to Zimura or IC-100 in a particular jurisdiction, if any, expire, competitors will be able to make, offer and sell products containing the same drug substance as Zimura or IC-100 in that jurisdiction so long as these competitors do not infringe any of our other patents covering Zimura’s or IC-100's composition of matter or method of use or manufacture, do not violate the terms of any marketing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or IC-100, even if such use infringes any of our method-of-treatment patents.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we do not currently have any composition-of-matter patent applications or patents covering IC-200. The method-of-treatment patent applications that Penn filed and which we in-licensed may not issue as patents. Even if they are issued as patents, any of the claims covering IC-200 may be declared unpatentable or invalid, or the patents may be declared unenforceable. An inability to secure patent coverage for IC-200 may diminish the value of IC-200 and our competitive position.</w:t>
      </w:r>
    </w:p>
    <w:p>
      <w:pPr>
        <w:spacing w:after="0" w:line="18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the portion of the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17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in-licensed without infringing such patents. This might enable our competitors to develop during the lifetime of these patents drugs that compete with our product candidates.</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or protect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8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patent laws in Europe and some other jurisdictions restrict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term, validity, enforceability and commercial value of our patent rights are highly uncertain.</w:t>
      </w:r>
    </w:p>
    <w:p>
      <w:pPr>
        <w:spacing w:after="0" w:line="16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In addition, the issuance of any patents will depend on the existence of any prior art that comes to the patent examiner's attention during prosecution, sometimes through the actions of third parties, and whether our claimed invention meets the statutory criteria for being granted a patent in light of the prior art.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The Leahy-Smith America Invents Act, or the Leahy-Smith Act, revised United States patent law in part by changing the standard for patent approval from a “first to invent” standard, which had existed before March 2013, to a “first to file” standard and developing a post-grant review system. For example, if we are the first to invent a new product or its use, but another party is the first to file a patent application on this invention, under the new law the other party may be entitled to the patent rights on the invention.</w:t>
      </w:r>
    </w:p>
    <w:p>
      <w:pPr>
        <w:spacing w:after="0" w:line="18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Moreover, we may be subject to a third-party preissuance submission of prior art to the USPTO, or become involved in opposition, derivation,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8"/>
          <w:szCs w:val="18"/>
          <w:i w:val="1"/>
          <w:iCs w:val="1"/>
          <w:color w:val="auto"/>
        </w:rPr>
        <w:t>inter partes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and we may not be able to obtain injunctive relief.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commercial success depends upon our ability and the ability of our collaborators, including our contract manufacturers and any commercial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and gene therapies in particular, are being filed at a rapid pace.</w:t>
      </w:r>
    </w:p>
    <w:p>
      <w:pPr>
        <w:spacing w:after="0" w:line="18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There is considerable intellectual property litigation in the biotechnology and pharmaceutical industries. We or any collaborators may become party to, or threatened with, future adversarial proceedings or litigation regarding intellectual property rights with respect to our products and technology, including interference, derivation,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opposition, cancellation or similar proceedings before the USPTO or its foreign counterparts. The risks of being involved in such litigation and proceedings may increase as our product candidates near commercialization.</w:t>
      </w:r>
    </w:p>
    <w:p>
      <w:pPr>
        <w:spacing w:after="0" w:line="15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Third parties may assert infringement or other claims against us or our collaborators based on existing or future intellectual property rights. We or they may not be aware of all such intellectual property rights potentially relating to our product candidates and their manufacture, use or sale.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manufacture or commercialization thereof, does not and will not infringe or otherwise violate any third party’s intellectual property.</w:t>
      </w:r>
    </w:p>
    <w:p>
      <w:pPr>
        <w:spacing w:after="0" w:line="16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If we are or any of our collaborators is found to infringe or otherwise violate a third party’s intellectual property rights, we or they could be required to obtain a license from such third party to continue developing, manufacturing and marketing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product candidates or products or to continue using a trademark. However, we or our collaborators may not be able to obtain any required license on commercially reasonable terms or at all. Even if we or they were able to obtain a license, it could be non-exclusive, thereby giving our competitors access to the same technologies licensed to us or our collaborators and could require us or them to make substantial licensing and royalty payments. We or our collaborators could be forced, including by court order, to cease using or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collaborators from making or commercializing our product candidates or force us or them to cease some of our business operations, which could materially harm our business. Claims that we or our collaborators have misappropriated the confidential information or trade secrets of third parties could expose us or them to similar liabilities and have a similar negative impact on our business.</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such employee’s or contractor’s former employer. Litigation may be necessary to defend against these claims.</w:t>
      </w:r>
    </w:p>
    <w:p>
      <w:pPr>
        <w:spacing w:after="0" w:line="188"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some of the rights to our product candidates from third parties, we must rely upon these third parties' practices, and those of their predecessors, with regard to the assignment of intellectual property therein, including the intellectual property rights protecting IC-500 and the other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5"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we may decide not to pursue patent prosecution in certain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7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COVID-19 pandemic has caused the USPTO and many foreign patent offices to adjust their filing deadlines and requirements for applicants. While some of those changes may be beneficial to us, there is added uncertainty with regard to many procedural requirements, which may result in inadvertent non-compliance with those requirements that result in abandonment or lapse of patent rights. Additionally, the reduced staff and operations at many patent offices may delay the prosecution of patent rights or limit us or our patent agents' ability to interact with them.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IC-500 and our other HtrA1 inhibitors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become aware of such breach or may not be able to obtain adequate remedies. Our proprietary information may also be obtained by third parties by other means, such as breaches of our physical or computer security systems.</w:t>
      </w:r>
    </w:p>
    <w:p>
      <w:pPr>
        <w:spacing w:after="0" w:line="16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Data Protection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significantly upon our information technology systems and any failure, inadequacy, interruption or security lapse of those systems could harm our ability to operate our business effectively. Information technology risks have become more significant over time, including as a result of widespread remote working during the COVID-19 pandemic.</w:t>
      </w:r>
    </w:p>
    <w:p>
      <w:pPr>
        <w:spacing w:after="0" w:line="18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ordinary course of business, we collect, process and maintain personal and other sensitive data on our information technology networks. These data include our intellectual property and other proprietary or confidential information relating to our business as well as proprietary or confidential information of third parties including business collaborators. These data also include personal information relating to our clinical trial participants, employees and contractors, clinical investigators and other study staff and healthcare professionals. The secure maintenance of this sensitive information is critical to our business and reputation.</w:t>
      </w:r>
    </w:p>
    <w:p>
      <w:pPr>
        <w:spacing w:after="0" w:line="18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We have implemented a number of measures to protect our information technology systems. These measures include, among others, creation of a cyber-security governance team and an incident response plan and other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Despite the implementation of security measures, our information technology systems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cyber and ransomware 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In particular, there have been increasing number of cyber threats and attempts by foreign hackers targeted towards U.S. pharmaceutical and biotechnology companies and vendors they work with.</w:t>
      </w:r>
    </w:p>
    <w:p>
      <w:pPr>
        <w:spacing w:after="0" w:line="166"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As a result of the COVID-19 pandemic, we have switched to remote working since March 2020 and as a result, have increasingly relied upon teleconferencing and cloud-based means of communication and data storage. Many other companies have done the same. There have been numerous publicized attempts of bad actors attempting to intercept proprietary communications. We may be similarly susceptible to those kinds of threats.</w:t>
      </w:r>
    </w:p>
    <w:p>
      <w:pPr>
        <w:spacing w:after="0" w:line="14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Cyber-attacks have become more prevalent and much harder to detect and defend against. Our networks and storage applications may be subject to unauthorized access by hackers or breached due to human error, malfeasance or other system disruptions. We may not anticipate or immediately detect such incidents and the damage caused by such incidents. System failures, data breaches and any unauthorized access, use or disclosure of our information or data could compromise our intellectual property and expose sensitive business information; lead to unauthorized exposure of personal information of our clinical trial participants, our employees or contractors, our clinical investigators or other study staff, or others we work with; and/or result in disruptions to our research and development activities and business operations, including potential product development, regulatory approval and commercialization delays.</w:t>
      </w:r>
    </w:p>
    <w:p>
      <w:pPr>
        <w:spacing w:after="0" w:line="19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7"/>
          <w:szCs w:val="17"/>
          <w:color w:val="auto"/>
        </w:rPr>
        <w:t>In addition, cyber-attacks and the measures we implement to prevent, detect, and respond to them could cause us to incur significant remediation costs, including costs to recover or reproduce any compromised data, expose us to contractual damages and/or regulatory and other liability, require us to make certain breach notifications, and divert the attention of our management and key information technology resources. Any loss of preclinical data or clinical trial data could result in delays to our product development, marketing approval and commercialization efforts. We may not have adequate insurance coverage to provide compensation for any losses associated with such events and cybersecurity insurance is becoming more expensive. Any breach of security could harm our reputation and deter patients, clinical investigators, or other healthcare professionals and business collaborators from participating in our clinical trials or otherwise working with us.</w:t>
      </w:r>
    </w:p>
    <w:p>
      <w:pPr>
        <w:spacing w:after="0" w:line="18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We also rely significantly upon the information technology systems of our third-party service providers and any failure, inadequacy, interruption or security lapse of those systems could harm our ability to operate our business effectively. We have limited control and oversight over the information security systems and practices of third parties.</w:t>
      </w:r>
    </w:p>
    <w:p>
      <w:pPr>
        <w:spacing w:after="0" w:line="211" w:lineRule="exact"/>
        <w:rPr>
          <w:sz w:val="20"/>
          <w:szCs w:val="20"/>
          <w:color w:val="auto"/>
        </w:rPr>
      </w:pPr>
    </w:p>
    <w:p>
      <w:pPr>
        <w:ind w:right="300" w:firstLine="648"/>
        <w:spacing w:after="0" w:line="275" w:lineRule="auto"/>
        <w:rPr>
          <w:sz w:val="20"/>
          <w:szCs w:val="20"/>
          <w:color w:val="auto"/>
        </w:rPr>
      </w:pPr>
      <w:r>
        <w:rPr>
          <w:rFonts w:ascii="Arial" w:cs="Arial" w:eastAsia="Arial" w:hAnsi="Arial"/>
          <w:sz w:val="17"/>
          <w:szCs w:val="17"/>
          <w:color w:val="auto"/>
        </w:rPr>
        <w:t>In the ordinary course of business, we rely on third parties, including clinical trial sites, CROs, CDMOs and other service providers, to collect, process and maintain personal and other sensitive data on their respective networks for our research and development activities and other business operations. These data include our intellectual property and other proprietary or confidential information relating to our business, as well as personal information relating to our clinical trial participants, employees and contractors, and clinical investigators and other study staff. The maintenance of our data by third parties does not absolve us of our responsibility for the security and integrity of this data.</w:t>
      </w:r>
    </w:p>
    <w:p>
      <w:pPr>
        <w:spacing w:after="0" w:line="203"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have limited control and oversight over the information security systems and practices of third parties. Those systems and practices vary widely in sophistication and robustness. We have limited personnel and resources to oversee the information security systems of third parties with whom we work.</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Like our information security systems, those of our third-party service providers are vulnerable to compromise, damage, loss or exfiltration from cyber-attacks, computer viruses, unauthorized access and other causes. Our third-party service providers may not anticipate or immediately detect such incidents and the damage caused by such incidents or notify us in a timely or complete manner. System failures, data breaches and any unauthorized access, use or disclosure of our information or data maintained by our third-party service providers could lead to similar consequences for us as similar events involving our information technology systems, including compromise of our intellectual property or other sensitive personal or business information, disruptions and delays to our research and development activities and other operations, contractual and regulatory liability, data breach notifications, expenditure of significant costs and resources for remediation and harm to our reputation.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September 2020, one of our vendors for the GATHER2 trial suffered a ransomware attack on several of its servers. While this vendor investigated and worked to mitigate the effects of the incident, we deployed a backup process for the work this vendor was performing for us. Although we do not believe this incident had a material impact on the GATHER2 trial or otherwise on our business or operations, similar kinds of incidents may occur in the future with this or our other vendors.</w:t>
      </w:r>
    </w:p>
    <w:p>
      <w:pPr>
        <w:spacing w:after="0" w:line="21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84"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personal information is rapidly evolving worldwide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and their rights, conducting data protection impact assessments before starting certain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some of which are currently in flux,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17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The Federal Trade Commission and state Attorneys General have been increasingly active in reviewing companies' privacy and data security practices in relation to consumer information. New legislation and regulations are being considered, and in certain cases enacted, at both the state and federal levels. For example, the California Consumer Privacy Act, or the CCPA, which went into effect on January 1, 2020, and its replacement, the California Privacy Rights Act, which will become effective on January 1, 2023, are creating similar risks and obligations as those created by the GDPR, although the CCPA exempts certain information collected as part of a clinical trial that is subject to the Federal Policy for the Protection of Human Subjects (the Common Rule). The New York SHIELD Act, which became fully effective in March 2020, imposes certain data security and data breach notification requirements on organizations that collect personal information of New York residents. Many other states are considering similar legislation. A broad range of legislative measures are being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17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on our behalf. The GDPR and other changes in laws or regulations associated with the enhanced protection of certain types of sensitive data, such as healthcare data or other personal information from our clinical trials, have resulted in certain changes to our business practices, such as additional consideration given to the GDPR and other relevant data protection laws in setting up clinical trial agreements and informed consent forms for our GATHER2 trial, and may require further changes to our business practices. Any non-compliance by us or our employees, consultants or contractors with the GDPR or other applicable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148" w:lineRule="exact"/>
        <w:rPr>
          <w:sz w:val="20"/>
          <w:szCs w:val="20"/>
          <w:color w:val="auto"/>
        </w:rPr>
      </w:pPr>
    </w:p>
    <w:p>
      <w:pPr>
        <w:ind w:right="680"/>
        <w:spacing w:after="0" w:line="381" w:lineRule="auto"/>
        <w:rPr>
          <w:sz w:val="20"/>
          <w:szCs w:val="20"/>
          <w:color w:val="auto"/>
        </w:rPr>
      </w:pPr>
      <w:r>
        <w:rPr>
          <w:rFonts w:ascii="Arial" w:cs="Arial" w:eastAsia="Arial" w:hAnsi="Arial"/>
          <w:sz w:val="15"/>
          <w:szCs w:val="15"/>
          <w:b w:val="1"/>
          <w:bCs w:val="1"/>
          <w:i w:val="1"/>
          <w:iCs w:val="1"/>
          <w:color w:val="auto"/>
        </w:rPr>
        <w:t>We are a development-stage company with a limited number of employees to oversee our research and development programs and general and administrative functions. We may experience difficulties in recruiting necessary personnel and in retaining key employees and consultants.</w:t>
      </w:r>
    </w:p>
    <w:p>
      <w:pPr>
        <w:spacing w:after="0" w:line="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are a development-stage company with a total of 57 full-time employees as of January 31, 2021. These employees support key areas of our business and operations, including clinical operations, regulatory affairs, drug safety, data management, medical affairs, scientific research, process and analytical development, drug substance and drug product manufacturing, quality control, materials and supply chain management, and quality assurance, as well as all of our general and administrative functions and public company infrastructure.</w:t>
      </w:r>
    </w:p>
    <w:p>
      <w:pPr>
        <w:spacing w:after="0" w:line="7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remain highly dependent on David R. Guyer, M.D., our executive chairman, and Glenn P. Sblendorio, our chief executive officer and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Additionally, because of our size, we have only a small number of employees supporting some of the key areas of our business and operations. If any of those employees were to leave our company or become unavailable due to the COVID-19 pandemic or other reasons, the loss of their services could seriously disrupt our ability to carry on our operations as planned and seriously harm our ability to successfully implement our business plan.</w:t>
      </w:r>
    </w:p>
    <w:p>
      <w:pPr>
        <w:spacing w:after="0" w:line="9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As we conduct our GATHER2 trial and the expanded STAR trial, prepare for the future development and potential commercialization of Zimura, and continue the development of IC-500 and our gene therapy programs, we have been and expect we will need to continue hiring additional clinical operations, quality assurance, manufacturing, analytical, medical, regulatory and other personnel from this limited pool. We also experience competition for the hiring of scientific, technical and clinical personnel from universities and research institutions. The COVID-19 pandemic has made interviewing and hiring qualified candidates more difficult.</w:t>
      </w:r>
    </w:p>
    <w:p>
      <w:pPr>
        <w:spacing w:after="0" w:line="86"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7"/>
          <w:szCs w:val="17"/>
          <w:color w:val="auto"/>
        </w:rPr>
        <w:t>In addition to our employees, we rely on consultants and advisors, including scientific, technical and clinical advisors, to assist us in formulating our research and development, manufacturing, commercialization and lifecycle management strategies. Our consultants and advisors may be employed by employers other than us and may have commitments under consulting or advisory contracts with other entities that may limit their availability to us. Many consultants and advisors, especially those with gene therapy experience, are high demand and we may not be able to obtain or retain their services for any number of reasons, which could limit our ability to pursue our strategy.</w:t>
      </w:r>
    </w:p>
    <w:p>
      <w:pPr>
        <w:spacing w:after="0" w:line="8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As a result of the COVID-19 pandemic, our entire company has been working remotely since March 2020 and we expect to continue working remotely for the foreseeable future. Our ability to continue to work remotely and when the conditions are appropriate, transition effectively to working in our offices, may affect our operations and the success of our company going forward.</w:t>
      </w:r>
    </w:p>
    <w:p>
      <w:pPr>
        <w:spacing w:after="0" w:line="7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March 2020, we instituted a company-wide working from home policy, which has remained in effect. Our working from home policy may negatively impact productivity or disrupt our business, the magnitude of which will depend, in part, on the length of this remote working arrangement and other limitations on our ability to conduct our business in the ordinary course. We expect to work from home for the foreseeable future and will closely follow the guidance from federal and state authorities, including the Centers for Disease Control and Prevention, the New York State Department of Health and the New Jersey Department of Health, in deciding if and when to transition back to working in our offices. We are also exploring new office space that may be more cost effective and suitable for working in a safe and socially distanced manner. We expect the transition to working in our offices, if any, to occur in stages, which will depend on, among other factors, the local COVID-19 situation and the degree to which our employees have received vaccines. If and when we transition back to working at company sites, there may be an increased risk to our employees and contractors, including as a result of a subsequent waves of the COVID-19 pandemic. If any of them contracts COVID-19 as a result of or while conducting services for us, we may be subject to workers compensation or other claims. Because of our small size and the importance of our employees and contractors to the success of our company, their exposure to the COVID-19 pandemic may adversely affect our ability to carry on our operations.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especially in light of the decrease in staffing in our accounting and finance areas following our reduction in force during 2017, will ensure that we maintain adequate controls over our financial reporting going forward and, accordingly, additional material weaknesses could occur or be identified. The COVID-19 pandemic may also affect the effectiveness of our internal controls. Any future material weaknesses or combination of deficiencies could materially and adversely affect our ability to provide timely and accurate financial information and investors’ confidence in our internal controls and our company, which could cause our stock price to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8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recordkeeping, labeling, storage, advertising, promotion, sale and distribution and import and export, are subject to comprehensive regulation by the FDA, the EMA and comparable regulatory agencies in other countries.</w:t>
      </w:r>
    </w:p>
    <w:p>
      <w:pPr>
        <w:spacing w:after="0" w:line="18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product's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16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non-clinical,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Marketing approval of novel product candidates such as Zimura and our gene therapy product candidates manufactured using novel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and two gene replacement products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date. This lack of experience may lengthen the regulatory review process, require us to conduct additional non-clinical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84"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non-clinical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 If our third-party commercial partners fail to obtain marketing approval in certain jurisdictions, it may diminish the value of our product candidate to them and cause them to terminate their relationship with us.</w:t>
      </w:r>
    </w:p>
    <w:p>
      <w:pPr>
        <w:spacing w:after="0" w:line="17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June 2016, the electorate in the United Kingdom, or UK, voted in favor of leaving the European Union, commonly referred to as “Brexit”. Following protracted negotiations, the UK left the European Union on January 31, 2020 and European Union rules and regulations ceased to apply to the UK starting on January 1, 2021. In December 2020, the UK government and the European Union agreed on a long-term trade agreement to govern economic relations going forward. Since the existing regulatory framework for pharmaceutical products in the UK is derived from European Union directives and regulations, Brexit could materially impact the future regulatory regime for pharmaceutical products in the UK, which remains uncertain. We are continuing to analyze how Brexit and the recently concluded trade agreement will affect the future regulatory regime for pharmaceutical products in the United Kingdom.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6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 or for other reasons.</w:t>
      </w:r>
    </w:p>
    <w:p>
      <w:pPr>
        <w:spacing w:after="0" w:line="18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for other reasons.</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April 2020, the FDA granted fast track designation to Zimura for the treatment of GA secondary to dry AMD. Even though Zimura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to Zimura for the treatment of GA secondary to dry AMD does not imply that the FDA will grant fast track designation to Zimura for another indication, such as STGD1, or that the FDA will grant fast track designation for any of our other product candidates, if we choose to apply for fast track designation.</w:t>
      </w:r>
    </w:p>
    <w:p>
      <w:pPr>
        <w:spacing w:after="0" w:line="12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design the clinical trials in an efficient manner.</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192"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149"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9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7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as the case may be,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 determines that the request for designation was materially defective or if the sponsor having orphan drug exclusivity is unable to assure sufficient quantity of the product to meet the needs of patients with the rare disease or condition.</w:t>
      </w:r>
    </w:p>
    <w:p>
      <w:pPr>
        <w:spacing w:after="0" w:line="176"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issued draft guidance suggesting that it would not consider two gene therapy products to be different drugs solely based on minor differences in the transgenes or vectors. In the European Union, marketing authorization may be granted to a similar medicinal product for the same orphan indication if:</w:t>
      </w:r>
    </w:p>
    <w:p>
      <w:pPr>
        <w:spacing w:after="0" w:line="193" w:lineRule="exact"/>
        <w:rPr>
          <w:sz w:val="20"/>
          <w:szCs w:val="20"/>
          <w:color w:val="auto"/>
        </w:rPr>
      </w:pPr>
    </w:p>
    <w:p>
      <w:pPr>
        <w:ind w:left="980" w:right="520" w:hanging="324"/>
        <w:spacing w:after="0" w:line="277" w:lineRule="auto"/>
        <w:tabs>
          <w:tab w:leader="none" w:pos="9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97" w:lineRule="exact"/>
        <w:rPr>
          <w:rFonts w:ascii="Arial" w:cs="Arial" w:eastAsia="Arial" w:hAnsi="Arial"/>
          <w:sz w:val="18"/>
          <w:szCs w:val="18"/>
          <w:color w:val="auto"/>
        </w:rPr>
      </w:pPr>
    </w:p>
    <w:p>
      <w:pPr>
        <w:ind w:left="980" w:right="880" w:hanging="324"/>
        <w:spacing w:after="0" w:line="277" w:lineRule="auto"/>
        <w:tabs>
          <w:tab w:leader="none" w:pos="9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tracking of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possible requirement to implement a risk evaluation and mitigation strategy.</w:t>
      </w:r>
    </w:p>
    <w:p>
      <w:pPr>
        <w:spacing w:after="0" w:line="16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FDA and other agencies, including the Department of Justice, or the DOJ, closely regulate and monitor the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97"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any applicable requirements related to the development of products for the pediatric population, can also result in significant penalties.</w:t>
      </w:r>
    </w:p>
    <w:p>
      <w:pPr>
        <w:spacing w:after="0" w:line="17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b w:val="1"/>
          <w:bCs w:val="1"/>
          <w:i w:val="1"/>
          <w:iCs w:val="1"/>
          <w:color w:val="auto"/>
        </w:rPr>
        <w:t>Our and our potential commercialization partners’ relationships with customers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6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future arrangements with healthcare providers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03" w:lineRule="exact"/>
        <w:rPr>
          <w:sz w:val="20"/>
          <w:szCs w:val="20"/>
          <w:color w:val="auto"/>
        </w:rPr>
      </w:pPr>
    </w:p>
    <w:p>
      <w:pPr>
        <w:ind w:left="980" w:hanging="324"/>
        <w:spacing w:after="0" w:line="259" w:lineRule="auto"/>
        <w:tabs>
          <w:tab w:leader="none" w:pos="9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13"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$11,665 and a maximum of $23,331 per false claim;</w:t>
      </w:r>
    </w:p>
    <w:p>
      <w:pPr>
        <w:spacing w:after="0" w:line="214" w:lineRule="exact"/>
        <w:rPr>
          <w:rFonts w:ascii="Arial" w:cs="Arial" w:eastAsia="Arial" w:hAnsi="Arial"/>
          <w:sz w:val="18"/>
          <w:szCs w:val="18"/>
          <w:color w:val="auto"/>
        </w:rPr>
      </w:pPr>
    </w:p>
    <w:p>
      <w:pPr>
        <w:ind w:left="980" w:right="440" w:hanging="324"/>
        <w:spacing w:after="0" w:line="263" w:lineRule="auto"/>
        <w:tabs>
          <w:tab w:leader="none" w:pos="9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in connection with the delivery of or payment for benefits, items or services involving a healthcare benefit program;</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360" w:hanging="324"/>
        <w:spacing w:after="0" w:line="259"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and providing notifications of the breach of such information, by covered entities and certain business partners;</w:t>
      </w:r>
    </w:p>
    <w:p>
      <w:pPr>
        <w:spacing w:after="0" w:line="213" w:lineRule="exact"/>
        <w:rPr>
          <w:rFonts w:ascii="Arial" w:cs="Arial" w:eastAsia="Arial" w:hAnsi="Arial"/>
          <w:sz w:val="18"/>
          <w:szCs w:val="18"/>
          <w:color w:val="auto"/>
        </w:rPr>
      </w:pPr>
    </w:p>
    <w:p>
      <w:pPr>
        <w:ind w:left="980" w:right="300" w:hanging="324"/>
        <w:spacing w:after="0" w:line="342" w:lineRule="auto"/>
        <w:tabs>
          <w:tab w:leader="none" w:pos="97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certain manufacturers of drugs, medical devices and biological products covered by federal healthcare benefit programs to report payments and other transfers of value to physicians and teaching hospitals; and</w:t>
      </w:r>
    </w:p>
    <w:p>
      <w:pPr>
        <w:spacing w:after="0" w:line="150" w:lineRule="exact"/>
        <w:rPr>
          <w:rFonts w:ascii="Arial" w:cs="Arial" w:eastAsia="Arial" w:hAnsi="Arial"/>
          <w:sz w:val="16"/>
          <w:szCs w:val="16"/>
          <w:color w:val="auto"/>
        </w:rPr>
      </w:pPr>
    </w:p>
    <w:p>
      <w:pPr>
        <w:ind w:left="980" w:right="80" w:hanging="324"/>
        <w:spacing w:after="0" w:line="263" w:lineRule="auto"/>
        <w:tabs>
          <w:tab w:leader="none" w:pos="9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such as the GDPR, also govern the privacy and security of health information in some circumstances, many of which differ from HIPAA and each other in significant ways, thus complicating compliance efforts.</w:t>
      </w:r>
    </w:p>
    <w:p>
      <w:pPr>
        <w:spacing w:after="0" w:line="18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As Zimura advances in clinical development and toward potential commercialization, we plan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are doing business or expect to do business is found to be not in compliance with applicable laws, they may be subject to criminal, civil or administrative sanctions, including exclusions from government funded healthcare programs, and as a result, our relationships with those healthcare providers or third parties may be adversely affected and our business and reputation may suffer.</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costs for us and any future collaborators to obtain reimbursement for any of our product candidates that may receive marketing approval and our ability to generate revenue will be materially impaired.</w:t>
      </w:r>
    </w:p>
    <w:p>
      <w:pPr>
        <w:spacing w:after="0" w:line="174" w:lineRule="exact"/>
        <w:rPr>
          <w:sz w:val="20"/>
          <w:szCs w:val="20"/>
          <w:color w:val="auto"/>
        </w:rPr>
      </w:pPr>
    </w:p>
    <w:p>
      <w:pPr>
        <w:ind w:right="40" w:firstLine="441"/>
        <w:spacing w:after="0"/>
        <w:rPr>
          <w:sz w:val="20"/>
          <w:szCs w:val="20"/>
          <w:color w:val="auto"/>
        </w:rPr>
      </w:pPr>
      <w:r>
        <w:rPr>
          <w:rFonts w:ascii="Arial" w:cs="Arial" w:eastAsia="Arial" w:hAnsi="Arial"/>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 If reimbursement of our products is unavailable or limited in scope, our business could be materially harmed.</w:t>
      </w:r>
    </w:p>
    <w:p>
      <w:pPr>
        <w:spacing w:after="0" w:line="216" w:lineRule="exact"/>
        <w:rPr>
          <w:sz w:val="20"/>
          <w:szCs w:val="20"/>
          <w:color w:val="auto"/>
        </w:rPr>
      </w:pPr>
    </w:p>
    <w:p>
      <w:pPr>
        <w:ind w:right="400" w:firstLine="441"/>
        <w:spacing w:after="0" w:line="241"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goals, thereby triggering the legislation’s automatic reduction to several government programs. These changes included aggregate reductions to Medicare payments to providers of up to 2% per fiscal year, which went into effect in April 2013 and will remain in effect through 2030 under the Coronavirus Aid, Relief, and Economic Security Act, or the CARES Act.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8" w:lineRule="exact"/>
        <w:rPr>
          <w:sz w:val="20"/>
          <w:szCs w:val="20"/>
          <w:color w:val="auto"/>
        </w:rPr>
      </w:pPr>
    </w:p>
    <w:p>
      <w:pPr>
        <w:ind w:right="160" w:firstLine="441"/>
        <w:spacing w:after="0" w:line="253" w:lineRule="auto"/>
        <w:rPr>
          <w:sz w:val="20"/>
          <w:szCs w:val="20"/>
          <w:color w:val="auto"/>
        </w:rPr>
      </w:pPr>
      <w:r>
        <w:rPr>
          <w:rFonts w:ascii="Arial" w:cs="Arial" w:eastAsia="Arial" w:hAnsi="Arial"/>
          <w:sz w:val="17"/>
          <w:szCs w:val="17"/>
          <w:color w:val="auto"/>
        </w:rPr>
        <w:t>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the U.S. Supreme Court agreed to hear this case. Oral argument in the case took place on November 10, 2020, and a ruling by the Court is expected sometime this year. Litigation and legislation over the ACA are likely to continue, with unpredictable and uncertain results.</w:t>
      </w:r>
    </w:p>
    <w:p>
      <w:pPr>
        <w:spacing w:after="0" w:line="207" w:lineRule="exact"/>
        <w:rPr>
          <w:sz w:val="20"/>
          <w:szCs w:val="20"/>
          <w:color w:val="auto"/>
        </w:rPr>
      </w:pPr>
    </w:p>
    <w:p>
      <w:pPr>
        <w:ind w:right="20" w:firstLine="441"/>
        <w:spacing w:after="0" w:line="253" w:lineRule="auto"/>
        <w:rPr>
          <w:sz w:val="20"/>
          <w:szCs w:val="20"/>
          <w:color w:val="auto"/>
        </w:rPr>
      </w:pPr>
      <w:r>
        <w:rPr>
          <w:rFonts w:ascii="Arial" w:cs="Arial" w:eastAsia="Arial" w:hAnsi="Arial"/>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which could materially impact our ability to generate revenues.</w:t>
      </w:r>
    </w:p>
    <w:p>
      <w:pPr>
        <w:spacing w:after="0" w:line="19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pharmaceutical products have been a focus in this effort. Governments have shown significant interest in implementing cost-containment programs, including rebate programs, price controls, restrictions on reimbursement and requirements for substitution of generic products. Efforts to control drug pricing have garnered bipartisan support in U.S. Congress. To that end, the Trump Administration published final rules that would allow states or certain other non-federal government entities to submit importation program proposals to the FDA for review and approval. Applicants would be required to demonstrate their importation plans pose no additional risk to public health and safety and will result in significant cost savings for consumers. Earlier, the FDA had issued draft guidance that would allow manufacturers to import their own FDA-approved drugs that are authorized for sale in other countries (multi-market approved products). Further, President Trump issued five executive orders intended to lower the costs of prescription drug products. Several of these orders are reflected in recently promulgated regulations, and one of these regulations is currently subject to a nationwide preliminary injunction.</w:t>
      </w:r>
    </w:p>
    <w:p>
      <w:pPr>
        <w:spacing w:after="0" w:line="19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Biden Administration has frozen certain of the previous administration’s measures to reform drug prices, pending further review It remains to be seen how the Biden Administration will address this issue. The Biden Administration may pursue reference pricing policies, which is a regime that sets the price of certain drugs by reference to the average price of these drugs in other developed countries, or may seek to amend existing law that currently bans Medicare from negotiating lower prices with drug manufacturers.</w:t>
      </w:r>
    </w:p>
    <w:p>
      <w:pPr>
        <w:spacing w:after="0" w:line="21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14" w:lineRule="exact"/>
        <w:rPr>
          <w:sz w:val="20"/>
          <w:szCs w:val="20"/>
          <w:color w:val="auto"/>
        </w:rPr>
      </w:pPr>
    </w:p>
    <w:p>
      <w:pPr>
        <w:ind w:right="180" w:firstLine="648"/>
        <w:spacing w:after="0" w:line="241" w:lineRule="auto"/>
        <w:rPr>
          <w:sz w:val="20"/>
          <w:szCs w:val="20"/>
          <w:color w:val="auto"/>
        </w:rPr>
      </w:pPr>
      <w:r>
        <w:rPr>
          <w:rFonts w:ascii="Arial" w:cs="Arial" w:eastAsia="Arial" w:hAnsi="Arial"/>
          <w:sz w:val="18"/>
          <w:szCs w:val="18"/>
          <w:color w:val="auto"/>
        </w:rPr>
        <w:t>Finally, outside the United States, in some nations,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pricing for our products, if approved and licensed, is set at unsatisfactory levels, our business could be materially harmed.</w:t>
      </w:r>
    </w:p>
    <w:p>
      <w:pPr>
        <w:spacing w:after="0" w:line="18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Our operations may be dependent on the normal function of the FDA, the SEC and other government agencies. The inability of those agencies to obtain necessary funding and other effects from the political process could prevent those agencies from performing normal functions on which the operation of our business may rely, which could negatively impact our business.</w:t>
      </w:r>
    </w:p>
    <w:p>
      <w:pPr>
        <w:spacing w:after="0" w:line="184"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ability of the FDA to review and approve new product applications such as INDs, new drug applications and biologics license applications can be affected by a variety of factors, including government funding levels, ability to hire and retain key personnel and to accept the payment of user fees, and statutory, regulatory, and policy changes. Government funding of the FDA, the SEC and other government agencies on which our operations rely is subject to the political process, which is fluid and unpredictable. For example, over the past decade, the U.S. government has shut down several times and certain regulatory agencies, such as the FDA and the SEC, have had to furlough critical employees and stop critical activities. Additionally, the COVID-19 pandemic has caused many regulatory agencies, including the FDA, to reduce staff availability and operations. We may face impediments to scheduling or conducting regulatory meetings, inspections and approvals due to measures intended to limit in-person interactions. If a prolonged government restriction or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are subject to the U.S. Foreign Corrupt Practices Act of 1977, as amended, or the FCPA, the U.S. domestic bribery statute contained in 18 U.S.C. § 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have relationships with certain officials and employees of government agencies or government-affiliated hospitals, universities, and other organizations, including a number of public hospitals that are our clinical trial sites.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or governmental programs,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70"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or our contractors'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19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8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We expect the new Biden Administration to pass additional such laws and regulations.</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0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5" w:lineRule="exact"/>
        <w:rPr>
          <w:sz w:val="20"/>
          <w:szCs w:val="20"/>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97"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52" w:lineRule="exact"/>
        <w:rPr>
          <w:rFonts w:ascii="Arial" w:cs="Arial" w:eastAsia="Arial" w:hAnsi="Arial"/>
          <w:sz w:val="18"/>
          <w:szCs w:val="18"/>
          <w:color w:val="auto"/>
        </w:rPr>
      </w:pPr>
    </w:p>
    <w:p>
      <w:pPr>
        <w:ind w:left="980" w:right="200" w:hanging="324"/>
        <w:spacing w:after="0" w:line="263" w:lineRule="auto"/>
        <w:tabs>
          <w:tab w:leader="none" w:pos="9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280" w:hanging="324"/>
        <w:spacing w:after="0" w:line="277" w:lineRule="auto"/>
        <w:tabs>
          <w:tab w:leader="none" w:pos="9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stockholders.</w:t>
      </w:r>
    </w:p>
    <w:p>
      <w:pPr>
        <w:spacing w:after="0" w:line="23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including as a result of short selling by institutional and retail investors.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03" w:lineRule="exact"/>
        <w:rPr>
          <w:sz w:val="20"/>
          <w:szCs w:val="20"/>
          <w:color w:val="auto"/>
        </w:rPr>
      </w:pPr>
    </w:p>
    <w:p>
      <w:pPr>
        <w:ind w:left="980" w:right="560" w:hanging="324"/>
        <w:spacing w:after="0" w:line="277" w:lineRule="auto"/>
        <w:tabs>
          <w:tab w:leader="none" w:pos="9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results of research, preclinical development activities and clinical trials for our product candidates and the timing of the receipt of such results;</w:t>
      </w:r>
    </w:p>
    <w:p>
      <w:pPr>
        <w:spacing w:after="0" w:line="197"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results of our efforts to in-license or acquire the rights to other product candidates and technologies for the treatment of retinal diseases;</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relevant scientific and medical developments;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general economic, industry and market conditions, such as those caused by the COVID-19 pandemic;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political, social, regulatory or legal developments in the United States and other countries;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addition, the COVID-19 pandemic has caused significant disruptions in the financial markets, and may continue to cause such disruptions, and has also impacted, and may continue to impact, the volatility of our stock price and trading in our stock. Following periods of volatility in the market price of a company’s stock, securities class-action litigation has often been instituted against that company. For example, we and certain of our current and former executive officers have been named as defendants in a purported class action lawsuit and a related shareholder derivative action following our announcement in December 2016 of the initial, top-line results from the first two of our Phase 3 Fovista trials for the treatment of wet AMD. See “</w:t>
      </w:r>
      <w:r>
        <w:rPr>
          <w:rFonts w:ascii="Arial" w:cs="Arial" w:eastAsia="Arial" w:hAnsi="Arial"/>
          <w:sz w:val="17"/>
          <w:szCs w:val="17"/>
          <w:i w:val="1"/>
          <w:iCs w:val="1"/>
          <w:color w:val="auto"/>
        </w:rPr>
        <w:t>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Our Business Plan, Financial Position and Need for Additional Capital—We and certain of our current and former executive officers have been named as defendants in lawsuits that could result in substantial costs and divert management’s attention</w:t>
      </w:r>
      <w:r>
        <w:rPr>
          <w:rFonts w:ascii="Arial" w:cs="Arial" w:eastAsia="Arial" w:hAnsi="Arial"/>
          <w:sz w:val="17"/>
          <w:szCs w:val="17"/>
          <w:color w:val="auto"/>
        </w:rPr>
        <w:t>.” These proceedings and other similar litigation, if</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instituted against us, could cause us to incur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substantial costs to defend such claims and divert management’s attention and resources, which could seriously harm our business, and cause additional volatility in the price of our common stock.</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For example, we issued 8,649,453 shares of our common stock to funds affiliated with Vivo Capital, LLC and Samsara BioCapital, LP in a private placement in June 2020. In accordance with our obligations under a stock purchase agreement executed in connection with the private placement, we have filed a registration statement on Form S-3 with the Securities and Exchange Commission for the purposes of registering for resale these shares, which has been declared effective by the SEC, pursuant to which such shares can be freely sold and traded. If the holders of these shares sell, or the market perceives that these holders will sell, the shares currently held by them, the price of our common stock may decline.</w:t>
      </w:r>
    </w:p>
    <w:p>
      <w:pPr>
        <w:spacing w:after="0" w:line="18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ownership percentage of our stockholders may be diluted in the future, which could dilute the voting power or reduce the value of our outstanding shares of common stock.</w:t>
      </w:r>
    </w:p>
    <w:p>
      <w:pPr>
        <w:spacing w:after="0" w:line="10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common stock at a discount pursuant to our Employee Stock Purchase Plan.</w:t>
      </w:r>
    </w:p>
    <w:p>
      <w:pPr>
        <w:spacing w:after="0" w:line="11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the pre-funded warrants that we issued in connection with our December 2019 and June 2020 public offerings are exercisable at any time, and any exercise of such warrants will increase the number of shares of our outstanding common stock, which may dilute the ownership percentage or voting power of our stockholders. To date, pre-funded warrants representing approximately 2.5 million shares of common stock have been exercised and as of December 31, 2020, pre-funded warrants representing 3,164,280 shares of common stock remain outstanding.</w:t>
      </w:r>
    </w:p>
    <w:p>
      <w:pPr>
        <w:spacing w:after="0" w:line="10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common stock. Similarly, the repurchase or redemption rights or liquidation preferences we could assign to holders of preferred stock could affect the residual value of our common stock.</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more information about the dilutive effects of financing or business development transactions we may undertake, see the risk factor above,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Raising additional capital may cause dilution to our stockholders, restrict our operations or require us to relinquish rights to our technologies or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candidates</w:t>
      </w:r>
      <w:r>
        <w:rPr>
          <w:rFonts w:ascii="Arial" w:cs="Arial" w:eastAsia="Arial" w:hAnsi="Arial"/>
          <w:sz w:val="18"/>
          <w:szCs w:val="18"/>
          <w:color w:val="auto"/>
        </w:rPr>
        <w:t>."</w:t>
      </w:r>
    </w:p>
    <w:p>
      <w:pPr>
        <w:spacing w:after="0" w:line="1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compliance initiatives and corporate governance practices.</w:t>
      </w:r>
    </w:p>
    <w:p>
      <w:pPr>
        <w:spacing w:after="0" w:line="10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1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Pursuant to Section 404 of the Sarbanes-Oxley Act of 2002, or Section 404, we are required to furnish with our periodic Exchange Act reports a report by our management on our internal control over financial reporting. To achieve compliance with Section 404, we must document and evaluate our internal control over financial reporting, which is both costly and challenging. In this regard, we will need to continue to dedicate internal resources and engage outside consultants to assess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of our business. In addition, the terms of any future debt agreements that we enter into may preclude us from paying dividends. As a result, capital appreciation, if any, of our common stock will be our stockholders’ sole source of gain for the foreseeable future.</w:t>
      </w:r>
    </w:p>
    <w:p>
      <w:pPr>
        <w:spacing w:after="0" w:line="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6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lease properties in New York, New York, Cranbury, New Jersey and Parsippany, New Jersey, all of which are used for office space and/or storage of IT equipment.</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48"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Descriptions of legal proceedings are set forth in "Note 13-Commitments and Contingencies" in the notes to the financial statements filed with this Annual Report on Form 10-K.</w:t>
      </w:r>
    </w:p>
    <w:p>
      <w:pPr>
        <w:spacing w:after="0" w:line="103"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We deny any and all allegations of wrongdoing and intend to vigorously defend against these lawsuits. We are unable, however, to predict the outcome of these matters at this time. Moreover, any conclusion of these matters in a manner adverse to us and for which we incur substantial costs or damages not covered by our directors’ and officers’ liability insurance would have a material adverse effect on our financial condition and business. In addition, the litigation could adversely impact our reputation and divert management’s attention and resources from other priorities, including the execution of our business plan and strategies that are important to our ability to grow our business, any of which could have a material adverse effect on our business.</w:t>
      </w:r>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Issuers Purchases of Equity Securities</w:t>
      </w:r>
    </w:p>
    <w:p>
      <w:pPr>
        <w:spacing w:after="0" w:line="162"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Our common stock has been publicly traded on The Nasdaq Global Select Market under the symbol "OPHT" from September 25, 2013 to April 16, 2019, and under the symbol "ISEE" since April 17, 2019.</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62"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color w:val="auto"/>
        </w:rPr>
        <w:t>As of January 31, 2021, there were approximately 90 holders of record of our common stock. This number does not include beneficial owners whose shares are held by nominees in street name.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We have never declared or paid cash dividends on our common stock, and we do not expect to pay any cash dividends on our common stock in the foreseeable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2"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In April and May 2020, of the stock options we granted to new employees pursuant to our 2019 Inducement Stock Incentive Plan, options to purchase an aggregate of 68,750 shares of our common stock were not registered under the Securities Act at the time of grant. These options, and the shares issuable upon exercise, have since been registered pursuant to a Form S-8 that we filed with the SEC on May 7, 2020.</w:t>
      </w:r>
    </w:p>
    <w:p>
      <w:pPr>
        <w:spacing w:after="0" w:line="84"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In June 2020, we completed a private placement exempt from the registration requirements of the Securities Act, in which we sold 8,649,453 shares of our common stock to affiliates of Vivo Capital, LLC and Samsara BioCapital, L.P. at a price of $4.10 per share. The gross proceeds from the private placement were approximately $35.5 million, before deducting placement agent fees of approximately $2.1 million.</w:t>
      </w:r>
    </w:p>
    <w:p>
      <w:pPr>
        <w:spacing w:after="0" w:line="98"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Except for the foregoing, there were no issuances of equity securities that were not registered under the Securities Act during the period covered by this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 following graph and chart compares the cumulative annual stockholder return on our common stock over the period commencing December 31, 2015 and ending on December 31, 2020, to that of the total return for the NASDAQ Composite Index and the NASDAQ Biotechnology Index, assuming an investment of $100 on December 31, 2015. In calculating cumulative total annual stockholder return, reinvestment of dividends, if any, is assumed. The indices are included for comparative purposes only. They do not necessarily reflect management’s opinion that such indices are an appropriate measure of the relative performance of our common stock and are not intended to forecast or be indicative of future performance of our common stock. The following graph and related information shall not be deemed “soliciting material” or be “filed” with the SEC, nor shall such information be incorporated by reference in any of our filings under the Securities Act, or the Exchange Act, whether made before or after the date hereof and irrespective of any general incorporation language in any such filing. We obtained information used on the graph from Research Data Group, Inc., a source we believe to be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5863590" cy="4577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63590" cy="457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12/15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12/16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12/17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12/18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12/19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12/20</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IVERIC bio, Inc.</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NASDAQ Composite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271.64</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Biotechnology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*$100 invested on December 31, 2015 in stock or index, including reinvestment of dividends. Fiscal year ending December 31.</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48" w:lineRule="exact"/>
        <w:rPr>
          <w:sz w:val="20"/>
          <w:szCs w:val="20"/>
          <w:color w:val="auto"/>
        </w:rPr>
      </w:pPr>
    </w:p>
    <w:p>
      <w:pPr>
        <w:ind w:right="40" w:firstLine="963"/>
        <w:spacing w:after="0" w:line="293" w:lineRule="auto"/>
        <w:rPr>
          <w:sz w:val="20"/>
          <w:szCs w:val="20"/>
          <w:color w:val="auto"/>
        </w:rPr>
      </w:pPr>
      <w:r>
        <w:rPr>
          <w:rFonts w:ascii="Arial" w:cs="Arial" w:eastAsia="Arial" w:hAnsi="Arial"/>
          <w:sz w:val="16"/>
          <w:szCs w:val="16"/>
          <w:i w:val="1"/>
          <w:iCs w:val="1"/>
          <w:color w:val="auto"/>
        </w:rPr>
        <w:t>The following selected financial data should be read together with our financial statements and the related notes appearing elsewhere in this Annual Report on Form 10-K and the "Management's Discussion and Analysis of Financial Condition and Results of Operations" section of this Annual Report on Form 10-K. We have derived the statements of operations data for the years ended December 31, 2020, 2019, 2018, 2017 and 2016 and the balance sheet data as of December 31, 2020, 2019, 2018, 2017 and 2016 from our audited financial statements, which have been audited by Ernst &amp; Young LLP, an independent registered accounting firm. Our historical results for any prior period are not necessarily indicative of results to be expected in any future period, and our results for any interim period are not necessarily indicative of results to be expected for a full fiscal year.</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7"/>
          </w:tcPr>
          <w:p>
            <w:pPr>
              <w:jc w:val="center"/>
              <w:ind w:left="493"/>
              <w:spacing w:after="0"/>
              <w:rPr>
                <w:sz w:val="20"/>
                <w:szCs w:val="20"/>
                <w:color w:val="auto"/>
              </w:rPr>
            </w:pPr>
            <w:r>
              <w:rPr>
                <w:rFonts w:ascii="Arial" w:cs="Arial" w:eastAsia="Arial" w:hAnsi="Arial"/>
                <w:sz w:val="14"/>
                <w:szCs w:val="14"/>
                <w:b w:val="1"/>
                <w:bCs w:val="1"/>
                <w:color w:val="auto"/>
                <w:w w:val="90"/>
              </w:rPr>
              <w:t>Years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40" w:type="dxa"/>
            <w:vAlign w:val="bottom"/>
            <w:gridSpan w:val="8"/>
          </w:tcPr>
          <w:p>
            <w:pPr>
              <w:jc w:val="center"/>
              <w:ind w:right="211"/>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Collaboration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209,977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50,909</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39,644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66,289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196,295</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50,178</w:t>
            </w:r>
          </w:p>
        </w:tc>
        <w:tc>
          <w:tcPr>
            <w:tcW w:w="0" w:type="dxa"/>
            <w:vAlign w:val="bottom"/>
          </w:tcPr>
          <w:p>
            <w:pPr>
              <w:spacing w:after="0"/>
              <w:rPr>
                <w:sz w:val="1"/>
                <w:szCs w:val="1"/>
                <w:color w:val="auto"/>
              </w:rPr>
            </w:pPr>
          </w:p>
        </w:tc>
      </w:tr>
      <w:tr>
        <w:trPr>
          <w:trHeight w:val="223"/>
        </w:trPr>
        <w:tc>
          <w:tcPr>
            <w:tcW w:w="140" w:type="dxa"/>
            <w:vAlign w:val="bottom"/>
            <w:tcBorders>
              <w:bottom w:val="single" w:sz="8" w:color="CCEEFF"/>
            </w:tcBorders>
          </w:tcPr>
          <w:p>
            <w:pPr>
              <w:spacing w:after="0"/>
              <w:rPr>
                <w:sz w:val="19"/>
                <w:szCs w:val="19"/>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65,349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246,473</w:t>
            </w:r>
          </w:p>
        </w:tc>
        <w:tc>
          <w:tcPr>
            <w:tcW w:w="0" w:type="dxa"/>
            <w:vAlign w:val="bottom"/>
          </w:tcPr>
          <w:p>
            <w:pPr>
              <w:spacing w:after="0"/>
              <w:rPr>
                <w:sz w:val="1"/>
                <w:szCs w:val="1"/>
                <w:color w:val="auto"/>
              </w:rPr>
            </w:pPr>
          </w:p>
        </w:tc>
      </w:tr>
      <w:tr>
        <w:trPr>
          <w:trHeight w:val="223"/>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(195,564)</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Interest income (expense)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extinguishment of royalty purchase liability</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14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benefit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(193,826)</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1"/>
        </w:trPr>
        <w:tc>
          <w:tcPr>
            <w:tcW w:w="526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(84,547)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(58,859)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63,087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114,205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(193,420)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income (loss) per common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tcPr>
          <w:p>
            <w:pPr>
              <w:spacing w:after="0"/>
              <w:rPr>
                <w:sz w:val="17"/>
                <w:szCs w:val="17"/>
                <w:color w:val="auto"/>
              </w:rPr>
            </w:pPr>
          </w:p>
        </w:tc>
        <w:tc>
          <w:tcPr>
            <w:tcW w:w="5120" w:type="dxa"/>
            <w:vAlign w:val="bottom"/>
          </w:tcPr>
          <w:p>
            <w:pPr>
              <w:ind w:left="200"/>
              <w:spacing w:after="0" w:line="203" w:lineRule="exact"/>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35,486</w:t>
            </w:r>
          </w:p>
        </w:tc>
        <w:tc>
          <w:tcPr>
            <w:tcW w:w="0" w:type="dxa"/>
            <w:vAlign w:val="bottom"/>
          </w:tcPr>
          <w:p>
            <w:pPr>
              <w:spacing w:after="0"/>
              <w:rPr>
                <w:sz w:val="1"/>
                <w:szCs w:val="1"/>
                <w:color w:val="auto"/>
              </w:rPr>
            </w:pP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35,486</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4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sheets data:</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Cash, cash equivalents, and marketable securities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210,047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125,699</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131,201</w:t>
            </w:r>
          </w:p>
        </w:tc>
        <w:tc>
          <w:tcPr>
            <w:tcW w:w="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166,972</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289,278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216,754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130,187</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137,165</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175,576</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Royalty purchase liability</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125,000</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25,191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12,984</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13,206</w:t>
            </w:r>
          </w:p>
        </w:tc>
        <w:tc>
          <w:tcPr>
            <w:tcW w:w="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137,535</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394,248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756,543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597,679</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545,585</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522,759</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1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(565,073)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(480,526)</w:t>
            </w:r>
          </w:p>
        </w:tc>
        <w:tc>
          <w:tcPr>
            <w:tcW w:w="340" w:type="dxa"/>
            <w:vAlign w:val="bottom"/>
            <w:gridSpan w:val="2"/>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(421,667)</w:t>
            </w:r>
          </w:p>
        </w:tc>
        <w:tc>
          <w:tcPr>
            <w:tcW w:w="80" w:type="dxa"/>
            <w:vAlign w:val="bottom"/>
          </w:tcPr>
          <w:p>
            <w:pPr>
              <w:spacing w:after="0"/>
              <w:rPr>
                <w:sz w:val="19"/>
                <w:szCs w:val="19"/>
                <w:color w:val="auto"/>
              </w:rPr>
            </w:pP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8"/>
              </w:rPr>
              <w:t>(484,754)</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8"/>
              </w:rPr>
              <w:t>(598,959)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 equity (deficit)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191,563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117,203</w:t>
            </w:r>
          </w:p>
        </w:tc>
        <w:tc>
          <w:tcPr>
            <w:tcW w:w="3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123,959</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38,041</w:t>
            </w: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and should be read together with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firstLine="177"/>
        <w:spacing w:after="0" w:line="259" w:lineRule="auto"/>
        <w:rPr>
          <w:sz w:val="20"/>
          <w:szCs w:val="20"/>
          <w:color w:val="auto"/>
        </w:rPr>
      </w:pPr>
      <w:r>
        <w:rPr>
          <w:rFonts w:ascii="Arial" w:cs="Arial" w:eastAsia="Arial" w:hAnsi="Arial"/>
          <w:sz w:val="18"/>
          <w:szCs w:val="18"/>
          <w:color w:val="auto"/>
        </w:rPr>
        <w:t>We are a science-driven biopharmaceutical company focused on the discovery and development of novel treatment options for retinal diseases with significant unmet medical needs. We are currently developing both therapeutic product candidates for age-related retinal diseases and gene therapy product candidates for orphan inherited retinal diseases, or IRDs. We believe that both therapeutics and gene therapy serve important roles in drug development and providing potential treatment options for patients suffering from retinal diseases.</w:t>
      </w:r>
    </w:p>
    <w:p>
      <w:pPr>
        <w:spacing w:after="0" w:line="187" w:lineRule="exact"/>
        <w:rPr>
          <w:sz w:val="20"/>
          <w:szCs w:val="20"/>
          <w:color w:val="auto"/>
        </w:rPr>
      </w:pPr>
    </w:p>
    <w:p>
      <w:pPr>
        <w:ind w:right="40" w:firstLine="180"/>
        <w:spacing w:after="0" w:line="263" w:lineRule="auto"/>
        <w:rPr>
          <w:sz w:val="20"/>
          <w:szCs w:val="20"/>
          <w:color w:val="auto"/>
        </w:rPr>
      </w:pPr>
      <w:r>
        <w:rPr>
          <w:rFonts w:ascii="Arial" w:cs="Arial" w:eastAsia="Arial" w:hAnsi="Arial"/>
          <w:sz w:val="18"/>
          <w:szCs w:val="18"/>
          <w:color w:val="auto"/>
        </w:rPr>
        <w:t>Our therapeutics portfolio consists of our clinical stage product candidate Zimura® (avacincaptad pegol), a complement C5 inhibitor, and our preclinical product candidate IC-500, a High temperature requirement A serine peptidase 1 protein, or HtrA1, inhibitor. We are currently targeting the following diseases with Zimura:</w:t>
      </w:r>
    </w:p>
    <w:p>
      <w:pPr>
        <w:spacing w:after="0" w:line="184" w:lineRule="exact"/>
        <w:rPr>
          <w:sz w:val="20"/>
          <w:szCs w:val="20"/>
          <w:color w:val="auto"/>
        </w:rPr>
      </w:pPr>
    </w:p>
    <w:p>
      <w:pPr>
        <w:ind w:left="660" w:right="4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age-related macular degeneration, or AMD, and is characterized by marked thinning or atrophy of retinal tissue, leading to irreversible loss of vision; and</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10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previously also evaluated Zimura in combination with Lucentis® (ranibizumab), an anti-vascular endothelial growth factor, or anti-VEGF, agent, for the treatment of wet AMD, for which we completed a Phase 2a clinical trial, referred to as the OPH2007 trial, during the fourth quarter of 2018. We are developing IC-500 for GA secondary to AMD and potentially other age-related retinal diseases.</w:t>
      </w:r>
    </w:p>
    <w:p>
      <w:pPr>
        <w:spacing w:after="0" w:line="184" w:lineRule="exact"/>
        <w:rPr>
          <w:sz w:val="20"/>
          <w:szCs w:val="20"/>
          <w:color w:val="auto"/>
        </w:rPr>
      </w:pPr>
    </w:p>
    <w:p>
      <w:pPr>
        <w:ind w:right="460" w:firstLine="180"/>
        <w:spacing w:after="0" w:line="263" w:lineRule="auto"/>
        <w:rPr>
          <w:sz w:val="20"/>
          <w:szCs w:val="20"/>
          <w:color w:val="auto"/>
        </w:rPr>
      </w:pPr>
      <w:r>
        <w:rPr>
          <w:rFonts w:ascii="Arial" w:cs="Arial" w:eastAsia="Arial" w:hAnsi="Arial"/>
          <w:sz w:val="18"/>
          <w:szCs w:val="18"/>
          <w:color w:val="auto"/>
        </w:rPr>
        <w:t>Our gene therapy portfolio consists of two product candidates in preclinical development (IC-100 and IC-200) and several ongoing collaborative sponsored research programs, each of which uses adeno-associated virus, or AAV, for gene delivery. These AAV mediated gene therapy programs are targeting the following orphan IRDs:</w:t>
      </w:r>
    </w:p>
    <w:p>
      <w:pPr>
        <w:spacing w:after="0" w:line="184" w:lineRule="exact"/>
        <w:rPr>
          <w:sz w:val="20"/>
          <w:szCs w:val="20"/>
          <w:color w:val="auto"/>
        </w:rPr>
      </w:pPr>
    </w:p>
    <w:p>
      <w:pPr>
        <w:ind w:left="660" w:right="30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7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BEST1</w:t>
      </w:r>
      <w:r>
        <w:rPr>
          <w:rFonts w:ascii="Arial" w:cs="Arial" w:eastAsia="Arial" w:hAnsi="Arial"/>
          <w:sz w:val="18"/>
          <w:szCs w:val="18"/>
          <w:color w:val="auto"/>
        </w:rPr>
        <w:t xml:space="preserve"> gene, including Best vitelliform macular dystrophy, or Best disease, which is generally characterized by bilateral egg yolk-like lesions in the macula, which, over time, progress to atrophy and loss of vision;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autosomal recessive Stargardt disease; and</w:t>
      </w:r>
    </w:p>
    <w:p>
      <w:pPr>
        <w:spacing w:after="0" w:line="15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include Usher syndrome type 2A, or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are developing IC-100 for RHO-adRP and IC-200 for </w:t>
      </w:r>
      <w:r>
        <w:rPr>
          <w:rFonts w:ascii="Arial" w:cs="Arial" w:eastAsia="Arial" w:hAnsi="Arial"/>
          <w:sz w:val="18"/>
          <w:szCs w:val="18"/>
          <w:i w:val="1"/>
          <w:iCs w:val="1"/>
          <w:color w:val="auto"/>
        </w:rPr>
        <w:t>BEST1</w:t>
      </w:r>
      <w:r>
        <w:rPr>
          <w:rFonts w:ascii="Arial" w:cs="Arial" w:eastAsia="Arial" w:hAnsi="Arial"/>
          <w:sz w:val="18"/>
          <w:szCs w:val="18"/>
          <w:color w:val="auto"/>
        </w:rPr>
        <w:t>-related IRDs.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5863590" cy="2459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6359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*We have an option to exclusively in-license intellectual property resulting from ongoing sponsored research.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Zimura</w:t>
      </w:r>
    </w:p>
    <w:p>
      <w:pPr>
        <w:spacing w:after="0" w:line="225" w:lineRule="exact"/>
        <w:rPr>
          <w:sz w:val="20"/>
          <w:szCs w:val="20"/>
          <w:color w:val="auto"/>
        </w:rPr>
      </w:pPr>
    </w:p>
    <w:p>
      <w:pPr>
        <w:ind w:right="100" w:firstLine="180"/>
        <w:spacing w:after="0" w:line="257" w:lineRule="auto"/>
        <w:rPr>
          <w:sz w:val="20"/>
          <w:szCs w:val="20"/>
          <w:color w:val="auto"/>
        </w:rPr>
      </w:pPr>
      <w:r>
        <w:rPr>
          <w:rFonts w:ascii="Arial" w:cs="Arial" w:eastAsia="Arial" w:hAnsi="Arial"/>
          <w:sz w:val="18"/>
          <w:szCs w:val="18"/>
          <w:color w:val="auto"/>
        </w:rPr>
        <w:t>Zimura, our complement C5 inhibitor, is a chemically-synthesized, pegylated RNA aptamer. Aptamers are short molecules made up of a single stranded nucleic acid sequence or amino acid sequence that binds molecular targets with high selectivity and specificity. In April 2020, we received fast track designation from the U.S. Food and Drug Administration, or FDA, for Zimura for the treatment of GA secondary to dry AMD. The following are brief descriptions of the status of the GATHER1 trial, which we completed in June 2020, and our ongoing clinical trials for Zimura and our manufacturing activities for Zimura.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GATHER1 (GA secondary to AMD - Completed)</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GATHER1 is an international, randomized, double-masked, sham controlled, multi-center Phase 2/3 clinical trial evaluating the safety and efficacy of Zimura for the treatment of GA secondary to AMD. We enrolled 286 patients in this trial across multiple treatment groups, including various Zimura doses and sham control groups, and patients were treated and followed for 18 months. In October 2019, we announced positive 12-month data from this trial and in June 2020, we completed this trial and announced 18-month data from this trial, which supported the 12-month data. We believe that the GATHER1 trial qualifies as the first of two Phase 3 trials typically required by the FDA for marketing approval of a pharmaceutical product.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GATHER2 (GA secondary to AMD - Ongoing)</w:t>
      </w:r>
    </w:p>
    <w:p>
      <w:pPr>
        <w:spacing w:after="0" w:line="25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GATHER2 is an international, randomized, double-masked, sham controlled, multi-center Phase 3 clinical trial evaluating the safety and efficacy of Zimura for the treatment of GA secondary to AMD. In this trial, we plan to enroll approximately 400 patients, who will be randomized to receive either monthly administration of Zimura 2 mg or sham during the first 12 months of the trial, at which time the primary efficacy analysis of the mean rate of change of GA growth over 12 months, as measured by fundus autofluorescence based on readings at three time points: baseline, month 6 and month 12, calculated using the square root transformation of the GA area, which is the same primary efficacy endpoint we used for the GATHER1 trial, will be performed. At month 12, we plan to re-randomize patients in the Zimura 2 mg arm to receive either monthly or every other month administration of Zimura 2 mg. The final evaluation will take place at month 24.</w:t>
      </w:r>
    </w:p>
    <w:p>
      <w:pPr>
        <w:spacing w:after="0" w:line="222"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In June 2020, we dosed the first patient in this trial. We are continuing to recruit and enroll patients and expect to complete patient enrollment during the third quarter of 2021. Meanwhile, we continue to monitor the COVID-19 pandemic closely and may need to slow down or stop patient enrollment in certain geographies depending on the local situation. We have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added sites to this trial due to the ongoing and variable nature of the COVID-19 pandemic and its potential impact on patient recruitment and retention.</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STAR (STGD1 - Ongoing)</w:t>
      </w:r>
    </w:p>
    <w:p>
      <w:pPr>
        <w:spacing w:after="0" w:line="25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STAR, also known as OPH2005, is an international, randomized, double-masked, sham controlled, multi-center clinical trial evaluating the safety and efficacy of Zimura for the treatment of STGD1. STAR, similar to GATHER1, was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We initially enrolled 95 patients in the STAR trial. All of these initially enrolled patients had completed their scheduled visits as of September 2020.</w:t>
      </w:r>
    </w:p>
    <w:p>
      <w:pPr>
        <w:spacing w:after="0" w:line="2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July 2020, we reopened enrollment in this trial in the United States. We plan to enroll approximately 25 additional patients, with the goal of enrolling a total of approximately 120 patients. Similar to GATHER2, we continue to monitor the COVID-19 pandemic closely and may need to slow down or stop patient enrollment in certain geographies depending on the local situation. Newly enrolled patients will be randomized on a 1:1 basis to be treated with either Zimura 4 mg or sham for 18 months. We have been and plan to remain masked to the treatment condition of all patients in the trial. In addition, we have not reviewed and do not plan to review or analyze efficacy data for any patients in the trial, until the 18-month data has been collected and analyzed for all patients enrolled in the trial.</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Zimura Manufacturing</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early 2017, we completed the small scale manufacture of multiple batches of Zimura drug substance that we are using to support clinical drug supply for the GATHER2 trial and the expanded STAR trial. We have initiated activities in preparation for the scale-up and validation of the manufacturing process for Zimura drug substance with a new manufacturer, with the goal of assessing whether this manufacturer can produce Zimura drug substance at an adequate scale for future potential commercial use. If this manufacturer is successful, we intend for this manufacturer to be our primary supplier of Zimura drug substance. We also recently engaged our historical contract manufacturer for Zimura drug substance, Agilent Technologies, Inc., or Agilent, for scale-up and validation activities. Depending on the success of the scale-up activities by the new manufacturer, we may use either this new manufacturer, Agilent or both for future supply of Zimura drug substance. In addition, regardless of which manufacturer we use, we will need to demonstrate that the drug substance produced through the scaled-up process is analytically comparable to the drug substance we are currently using. We are continuing analytical method development and qualification with our contract manufacturers and laboratories.</w:t>
      </w:r>
    </w:p>
    <w:p>
      <w:pPr>
        <w:spacing w:after="0" w:line="18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 2020, we engaged a contract manufacturer to provide us with additional supply of finished Zimura drug product to support our needs for the GATHER2 trial and the expanded STAR trial. We expect that this contract manufacturer will be able to supply sufficient finished Zimura drug product for these two clinical trials. In addition, we are planning to make a change to the existing vial used for Zimura drug product, which we believe may allow us to support a more efficient fill/finish operation at a commercial scale. We have been in discussions with our historical fill/finish manufacturer, Ajinomoto Bio-Pharma Services, or Ajinomoto, regarding its capacity to supply us with finished Zimura drug product with the new vial for potential commercial use.</w:t>
      </w:r>
    </w:p>
    <w:p>
      <w:pPr>
        <w:spacing w:after="0" w:line="161"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We order the PEG starting material used to make Zimura drug substance from a sole source third-party manufacturer outside the United States. We currently procure the supply on a purchase order basis and are planning to enter into a long-term supply agreement with this manufacturer for the PEG starting material. We are assessing this supplier's capacity to supply the PEG at the scale that we expect we will need for commercial manufacturing.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IC-500: HtrA1 Inhibitor</w:t>
      </w:r>
    </w:p>
    <w:p>
      <w:pPr>
        <w:spacing w:after="0" w:line="225" w:lineRule="exact"/>
        <w:rPr>
          <w:sz w:val="20"/>
          <w:szCs w:val="20"/>
          <w:color w:val="auto"/>
        </w:rPr>
      </w:pPr>
    </w:p>
    <w:p>
      <w:pPr>
        <w:ind w:right="80" w:firstLine="180"/>
        <w:spacing w:after="0" w:line="263" w:lineRule="auto"/>
        <w:rPr>
          <w:sz w:val="20"/>
          <w:szCs w:val="20"/>
          <w:color w:val="auto"/>
        </w:rPr>
      </w:pPr>
      <w:r>
        <w:rPr>
          <w:rFonts w:ascii="Arial" w:cs="Arial" w:eastAsia="Arial" w:hAnsi="Arial"/>
          <w:sz w:val="18"/>
          <w:szCs w:val="18"/>
          <w:color w:val="auto"/>
        </w:rPr>
        <w:t>We are pursuing the preclinical development of IC-500 for the treatment of GA secondary to AMD and potentially other age-related retinal diseases. We have selected IC-500, the lead compound from our HtrA1 inhibitor program, which includes a number of small molecule compounds that show high affinity and specificity for HtrA1 when tested in vitro.</w:t>
      </w:r>
    </w:p>
    <w:p>
      <w:pPr>
        <w:spacing w:after="0" w:line="184"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In early 2021, we completed a review of our IC-500 development program, which we had previously designed to support monthly dosing in our planned first-in-human clinical trial. We believe that we may be able to establish, at an earlier stage of development, a dosing regimen for IC-500 with less frequent dosing than we had previously planned. As a result, we have revised our development plans and timelines for IC-500 with the goal of including both monthly dosing and a less frequent dosing regimen in our first-in-human clinical trial. Currently, we are planning to initiate a number of preclinical pharmacokinetic, tolerability and target engagement studies for IC-500. We are also conducting additional formulation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development activities and planning for cGMP manufacturing activities for IC-500. Based on current timelines and subject to successful preclinical development and cGMP manufacturing, we expect to file an IND for IC-500 during the second half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IC-100: Product Candidate for RHO-adRP</w:t>
      </w:r>
    </w:p>
    <w:p>
      <w:pPr>
        <w:spacing w:after="0" w:line="225" w:lineRule="exact"/>
        <w:rPr>
          <w:sz w:val="20"/>
          <w:szCs w:val="20"/>
          <w:color w:val="auto"/>
        </w:rPr>
      </w:pPr>
    </w:p>
    <w:p>
      <w:pPr>
        <w:ind w:firstLine="177"/>
        <w:spacing w:after="0" w:line="291" w:lineRule="auto"/>
        <w:rPr>
          <w:sz w:val="20"/>
          <w:szCs w:val="20"/>
          <w:color w:val="auto"/>
        </w:rPr>
      </w:pPr>
      <w:r>
        <w:rPr>
          <w:rFonts w:ascii="Arial" w:cs="Arial" w:eastAsia="Arial" w:hAnsi="Arial"/>
          <w:sz w:val="16"/>
          <w:szCs w:val="16"/>
          <w:color w:val="auto"/>
        </w:rPr>
        <w:t>We are pursuing the preclinical development of IC-100, our novel AAV gene therapy product candidate for the treatment of RHO-adRP. We and the University of Pennsylvania, or Penn, have conducted a number of preclinical studies of IC-100 and a natural history study of RHO-adRP patients. We are working with a gene therapy contract development and manufacturing organization, or CDMO, for preclinical and Phase 1/2 clinical supply of IC-100. We are completing manufacturing activities for a cGMP batch of IC-100 produced by our CDMO and completed toxicology studies of IC-100. We are planning for a Phase 1/2 clinical trial for IC-100, including site selection and other startup activities. We are planning to meet with the FDA to discuss our selected doses for a first-in-human clinical trial before we file an IND for IC-100. Based on current timelines and subject to feedback from the FDA, we plan to file an IND for IC-100 and subject to regulatory review, we expect to begin patient enrollment in a Phase 1/2 clinical trial in the second half of 2021.</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IC-200: Product Candidate for BEST1-Related IRDs</w:t>
      </w:r>
    </w:p>
    <w:p>
      <w:pPr>
        <w:spacing w:after="0" w:line="225" w:lineRule="exact"/>
        <w:rPr>
          <w:sz w:val="20"/>
          <w:szCs w:val="20"/>
          <w:color w:val="auto"/>
        </w:rPr>
      </w:pPr>
    </w:p>
    <w:p>
      <w:pPr>
        <w:ind w:right="20" w:firstLine="177"/>
        <w:spacing w:after="0" w:line="293" w:lineRule="auto"/>
        <w:rPr>
          <w:sz w:val="20"/>
          <w:szCs w:val="20"/>
          <w:color w:val="auto"/>
        </w:rPr>
      </w:pPr>
      <w:r>
        <w:rPr>
          <w:rFonts w:ascii="Arial" w:cs="Arial" w:eastAsia="Arial" w:hAnsi="Arial"/>
          <w:sz w:val="16"/>
          <w:szCs w:val="16"/>
          <w:color w:val="auto"/>
        </w:rPr>
        <w:t xml:space="preserve">We are pursuing the preclinical development of IC-200, our novel AAV gene therapy product candidate for the treatment of </w:t>
      </w:r>
      <w:r>
        <w:rPr>
          <w:rFonts w:ascii="Arial" w:cs="Arial" w:eastAsia="Arial" w:hAnsi="Arial"/>
          <w:sz w:val="16"/>
          <w:szCs w:val="16"/>
          <w:i w:val="1"/>
          <w:iCs w:val="1"/>
          <w:color w:val="auto"/>
        </w:rPr>
        <w:t>BEST1</w:t>
      </w:r>
      <w:r>
        <w:rPr>
          <w:rFonts w:ascii="Arial" w:cs="Arial" w:eastAsia="Arial" w:hAnsi="Arial"/>
          <w:sz w:val="16"/>
          <w:szCs w:val="16"/>
          <w:color w:val="auto"/>
        </w:rPr>
        <w:t xml:space="preserve">-related IRDs. We and Penn are conducting preclinical studies of IC-200 and natural history studies of patients with </w:t>
      </w:r>
      <w:r>
        <w:rPr>
          <w:rFonts w:ascii="Arial" w:cs="Arial" w:eastAsia="Arial" w:hAnsi="Arial"/>
          <w:sz w:val="16"/>
          <w:szCs w:val="16"/>
          <w:i w:val="1"/>
          <w:iCs w:val="1"/>
          <w:color w:val="auto"/>
        </w:rPr>
        <w:t>BEST1</w:t>
      </w:r>
      <w:r>
        <w:rPr>
          <w:rFonts w:ascii="Arial" w:cs="Arial" w:eastAsia="Arial" w:hAnsi="Arial"/>
          <w:sz w:val="16"/>
          <w:szCs w:val="16"/>
          <w:color w:val="auto"/>
        </w:rPr>
        <w:t>-related IRDs. We are working with a gene therapy CDMO for preclinical and Phase 1/2 clinical supply of IC-200. We are completing manufacturing activities for a cGMP batch of IC-200 produced by our CDMO. We are conducting other IND-enabling activities, including a toxicology study of IC-200. We are planning for a Phase 1/2 clinical trial for IC-200, including site selection and other startup activities. Based on current timelines and subject to successful completion of preclinical development, we plan to file an IND and subject to regulatory review, begin patient enrollment in a Phase 1/2 clinical trial for IC-200 in the second half of 2021.</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Minigene Programs</w:t>
      </w:r>
    </w:p>
    <w:p>
      <w:pPr>
        <w:spacing w:after="0" w:line="225" w:lineRule="exact"/>
        <w:rPr>
          <w:sz w:val="20"/>
          <w:szCs w:val="20"/>
          <w:color w:val="auto"/>
        </w:rPr>
      </w:pPr>
    </w:p>
    <w:p>
      <w:pPr>
        <w:ind w:firstLine="170"/>
        <w:spacing w:after="0" w:line="259" w:lineRule="auto"/>
        <w:rPr>
          <w:sz w:val="20"/>
          <w:szCs w:val="20"/>
          <w:color w:val="auto"/>
        </w:rPr>
      </w:pPr>
      <w:r>
        <w:rPr>
          <w:rFonts w:ascii="Arial" w:cs="Arial" w:eastAsia="Arial" w:hAnsi="Arial"/>
          <w:sz w:val="18"/>
          <w:szCs w:val="18"/>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smaller than the naturally occurring protein, is nonetheless functional for purposes of treating the associated disease.</w:t>
      </w:r>
    </w:p>
    <w:p>
      <w:pPr>
        <w:spacing w:after="0" w:line="187" w:lineRule="exact"/>
        <w:rPr>
          <w:sz w:val="20"/>
          <w:szCs w:val="20"/>
          <w:color w:val="auto"/>
        </w:rPr>
      </w:pPr>
    </w:p>
    <w:p>
      <w:pPr>
        <w:ind w:right="60" w:firstLine="177"/>
        <w:spacing w:after="0" w:line="308" w:lineRule="auto"/>
        <w:rPr>
          <w:sz w:val="20"/>
          <w:szCs w:val="20"/>
          <w:color w:val="auto"/>
        </w:rPr>
      </w:pPr>
      <w:r>
        <w:rPr>
          <w:rFonts w:ascii="Arial" w:cs="Arial" w:eastAsia="Arial" w:hAnsi="Arial"/>
          <w:sz w:val="17"/>
          <w:szCs w:val="17"/>
          <w:color w:val="auto"/>
        </w:rPr>
        <w:t>We are funding several sponsored research programs at the University of Massachusetts Medical School, or UMMS, seeking to use a minigene approach to develop new gene therapies for several orphan IRDs. The following is a summary of these minigene programs and their status:</w:t>
      </w:r>
    </w:p>
    <w:p>
      <w:pPr>
        <w:spacing w:after="0" w:line="142" w:lineRule="exact"/>
        <w:rPr>
          <w:sz w:val="20"/>
          <w:szCs w:val="20"/>
          <w:color w:val="auto"/>
        </w:rPr>
      </w:pPr>
    </w:p>
    <w:p>
      <w:pPr>
        <w:ind w:left="660" w:right="100" w:hanging="328"/>
        <w:spacing w:after="0" w:line="256"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miniCEP290 (LCA10): </w:t>
      </w:r>
      <w:r>
        <w:rPr>
          <w:rFonts w:ascii="Arial" w:cs="Arial" w:eastAsia="Arial" w:hAnsi="Arial"/>
          <w:sz w:val="18"/>
          <w:szCs w:val="18"/>
          <w:color w:val="auto"/>
        </w:rPr>
        <w:t>This program, which we refer to as the miniCEP290 program, is targeting LCA10, which is associated with mutations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In July 2019, we entered into a license agreement with the University of Massachusetts, or UMass, for exclusive development and commercialization rights to this program. The sponsored research has yielded a number of minigene constructs that show encouraging results when tested in a mouse model. UMMS is conducting additional experiments to optimize constructs, which were delayed because of restrictions placed by UMMS on animal research activities as a result of the COVID-19 pandemic. We currently expect to identify a lead construct during the second quarter of 2021.</w:t>
      </w:r>
    </w:p>
    <w:p>
      <w:pPr>
        <w:spacing w:after="0" w:line="187"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miniABCA4 (STGD1): </w:t>
      </w:r>
      <w:r>
        <w:rPr>
          <w:rFonts w:ascii="Arial" w:cs="Arial" w:eastAsia="Arial" w:hAnsi="Arial"/>
          <w:sz w:val="18"/>
          <w:szCs w:val="18"/>
          <w:color w:val="auto"/>
        </w:rPr>
        <w:t>This program, which we refer to as the miniABCA4 program, is targeting STGD1, which is associated with mutations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ABCA4</w:t>
      </w:r>
      <w:r>
        <w:rPr>
          <w:rFonts w:ascii="Arial" w:cs="Arial" w:eastAsia="Arial" w:hAnsi="Arial"/>
          <w:sz w:val="18"/>
          <w:szCs w:val="18"/>
          <w:color w:val="auto"/>
        </w:rPr>
        <w:t xml:space="preserve"> gene. UMMS generated and evaluated several </w:t>
      </w:r>
      <w:r>
        <w:rPr>
          <w:rFonts w:ascii="Arial" w:cs="Arial" w:eastAsia="Arial" w:hAnsi="Arial"/>
          <w:sz w:val="18"/>
          <w:szCs w:val="18"/>
          <w:i w:val="1"/>
          <w:iCs w:val="1"/>
          <w:color w:val="auto"/>
        </w:rPr>
        <w:t>ABCA4</w:t>
      </w:r>
      <w:r>
        <w:rPr>
          <w:rFonts w:ascii="Arial" w:cs="Arial" w:eastAsia="Arial" w:hAnsi="Arial"/>
          <w:sz w:val="18"/>
          <w:szCs w:val="18"/>
          <w:color w:val="auto"/>
        </w:rPr>
        <w:t xml:space="preserve"> minigene constructs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which yielded what we believe to be encouraging results. UMMS is conducting additional experiments to optimize the constructs. We expect to receive additional results from the miniABCA4 program during the first half of 2021.</w:t>
      </w:r>
    </w:p>
    <w:p>
      <w:pPr>
        <w:spacing w:after="0" w:line="179"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miniUSH2A (</w:t>
      </w:r>
      <w:r>
        <w:rPr>
          <w:rFonts w:ascii="Arial" w:cs="Arial" w:eastAsia="Arial" w:hAnsi="Arial"/>
          <w:sz w:val="18"/>
          <w:szCs w:val="18"/>
          <w:b w:val="1"/>
          <w:bCs w:val="1"/>
          <w:i w:val="1"/>
          <w:iCs w:val="1"/>
          <w:color w:val="auto"/>
        </w:rPr>
        <w:t>USH2A</w:t>
      </w:r>
      <w:r>
        <w:rPr>
          <w:rFonts w:ascii="Arial" w:cs="Arial" w:eastAsia="Arial" w:hAnsi="Arial"/>
          <w:sz w:val="18"/>
          <w:szCs w:val="18"/>
          <w:b w:val="1"/>
          <w:bCs w:val="1"/>
          <w:color w:val="auto"/>
        </w:rPr>
        <w:t xml:space="preserve">-related IRDs): </w:t>
      </w:r>
      <w:r>
        <w:rPr>
          <w:rFonts w:ascii="Arial" w:cs="Arial" w:eastAsia="Arial" w:hAnsi="Arial"/>
          <w:sz w:val="18"/>
          <w:szCs w:val="18"/>
          <w:color w:val="auto"/>
        </w:rPr>
        <w:t>This program, which we refer to as the miniUSH2A program, is targeting IRDs associated with mutations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including Usher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non-syndromic autosomal recessive retinitis pigmentosa. Some of the activities in this program were delayed as a result of the closure of UMMS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animal research laboratories due to the COVID-19 pandemic. We expect to receive preliminary results from this program during the first half of 2021.</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to the license agreement for the miniCEP290 program, UMMS has granted us an option to obtain an exclusive license to any patents or patent applications that result from any of these sponsored research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Beginning in March 2020, the COVID-19 pandemic and measures taken to contain it have affected our business and operations in a number of ways.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include, but are not limited to, the following:</w:t>
      </w:r>
    </w:p>
    <w:p>
      <w:pPr>
        <w:spacing w:after="0" w:line="211" w:lineRule="exact"/>
        <w:rPr>
          <w:sz w:val="20"/>
          <w:szCs w:val="20"/>
          <w:color w:val="auto"/>
        </w:rPr>
      </w:pPr>
    </w:p>
    <w:p>
      <w:pPr>
        <w:ind w:left="660" w:right="20" w:hanging="328"/>
        <w:spacing w:after="0" w:line="286" w:lineRule="auto"/>
        <w:tabs>
          <w:tab w:leader="none" w:pos="655"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March 2020, we decided to delay the initiation of patient enrollment in our GATHER2 trial. Although we initiated patient enrollment in June 2020 and our clinical trial sites are continuing to enroll patients, we and our clinical trial sites are doing so cautiously in light of new health and safety practices put into place as a result of the COVID-19 pandemic. We are continuing to monitor the situation closely and may need to slow down or stop patient enrollment in certain geographies depending on the local situation. In addition, we have added sites to this trial because of the ongoing and variable nature of the pandemic and its potential impact on patient recruitment and retention. Health authorities and ethics committees in certain countries have reduced their staff and operations due to the COVID-19 pandemic. This reduction in operations has resulted in delays to the approval of our trial in certain countries outside the United States and delays in the activation process for a number of our planned clinical trial sites. We may face difficulties in recruiting or retaining patients or maintaining scheduled visits to the extent patients are affected by the virus or are fearful of visiting or traveling to our clinical trial sites because of the pandemic. We are aware that a number of patients initially enrolled in the STAR trial missed consecutive visits during the early months of the pandemic. We do not yet know whether the number of missed visits will increase or decrease among the newly enrolled patients in the STAR trial or how many missed visits will occur in the GATHER2 trial, or what the impact of missed visits may be on trial results, especially because we are masked to the treatment of patients during the conduct of the trials. At this time, we do not know whether there will be further impacts on the timing and progress of patient enrollment or on patient retention or maintenance of scheduled visits in any of our ongoing or planned clinical trials as a result of the COVID-19 pandemic.</w:t>
      </w: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660" w:hanging="328"/>
        <w:spacing w:after="0" w:line="272"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Although most of our clinical trial sites have reopened and are continuing to conduct patient visits for our clinical trials, they are doing so with fewer staff and other restrictions and many of them are focusing on more urgent matters rather than clinical trials. We are engaging with our clinical trial sites, with the goal of monitoring the health and well-being of our patients who remain in our trials and maintaining their scheduled visits and treatments. Where possible, we and our clinical investigators have instituted practices such as flexible scheduling of visits for patients and remote monitoring, and we have also provided patient travel services and personal protective equipment to support our sites and patients. Recently, a number of our clinical trial sites have been scaling back their operations because of recent surges in COVID-19 cases or new lockdown measures being imposed. We have been and will continue to monitor the situation closely.</w:t>
      </w:r>
    </w:p>
    <w:p>
      <w:pPr>
        <w:spacing w:after="0" w:line="204" w:lineRule="exact"/>
        <w:rPr>
          <w:rFonts w:ascii="Arial" w:cs="Arial" w:eastAsia="Arial" w:hAnsi="Arial"/>
          <w:sz w:val="17"/>
          <w:szCs w:val="17"/>
          <w:color w:val="auto"/>
        </w:rPr>
      </w:pPr>
    </w:p>
    <w:p>
      <w:pPr>
        <w:ind w:left="660" w:right="80" w:hanging="328"/>
        <w:spacing w:after="0" w:line="271"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In some instances, our third-party contract manufacturers, academic research collaborators and contract research organizations have limited their operations and staff, which has resulted in delays to some of our manufacturing and research and development activities and limited our ability to be on site to oversee these activities. For example, the closure of animal research laboratories at the UMMS for several months during 2020 caused delays to the progress of, and to our timelines for receipt of data from, our collaborative gene therapy sponsored research programs. Additionally, we were unable to perform person-in-plant (PIP) observations on a number of critical manufacturing activities at our CDMO for IC-100 and IC-200, which caused minor delays to our manufacturing timelines for both product candidates. Furthermore, because of the COVID-19 pandemic and restrictions on remote auditing due to privacy and other concerns, we have experienced difficulties and delays in performing audits on most of our clinical trial sites.</w:t>
      </w:r>
    </w:p>
    <w:p>
      <w:pPr>
        <w:spacing w:after="0" w:line="205" w:lineRule="exact"/>
        <w:rPr>
          <w:rFonts w:ascii="Arial" w:cs="Arial" w:eastAsia="Arial" w:hAnsi="Arial"/>
          <w:sz w:val="17"/>
          <w:szCs w:val="17"/>
          <w:color w:val="auto"/>
        </w:rPr>
      </w:pPr>
    </w:p>
    <w:p>
      <w:pPr>
        <w:ind w:left="660" w:right="80" w:hanging="328"/>
        <w:spacing w:after="0" w:line="273"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experienced a shortage in obtaining one of the critical raw materials that was sourced from China, which was caused by the shutdown of local suppliers and the slowdown in trade due to the COVID-19 pandemic. This shortage delayed our process development activities for the drug substance for IC-500 by a number of months. Additionally, there is increased demand for the vials we are planning to use for the fill/finish of Zimura drug product, which governments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and other companies intend to use for COVID-19 vaccines and medicines. This increased demand may limit our ability to obtain these vials for our own needs.</w:t>
      </w:r>
    </w:p>
    <w:p>
      <w:pPr>
        <w:spacing w:after="0" w:line="197" w:lineRule="exact"/>
        <w:rPr>
          <w:sz w:val="20"/>
          <w:szCs w:val="20"/>
          <w:color w:val="auto"/>
        </w:rPr>
      </w:pPr>
    </w:p>
    <w:p>
      <w:pPr>
        <w:jc w:val="both"/>
        <w:ind w:left="660" w:right="60" w:hanging="328"/>
        <w:spacing w:after="0" w:line="263"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instituted company-wide remote working starting in March 2020 and expect to continue working remotely for the foreseeable future. We have been relying on remote means of working and communication both internally and externally. We are continuing to monitor and support the health and well-being of our employees and their productivity as remote working continues.</w:t>
      </w:r>
    </w:p>
    <w:p>
      <w:pPr>
        <w:spacing w:after="0" w:line="211" w:lineRule="exact"/>
        <w:rPr>
          <w:sz w:val="20"/>
          <w:szCs w:val="20"/>
          <w:color w:val="auto"/>
        </w:rPr>
      </w:pPr>
    </w:p>
    <w:p>
      <w:pPr>
        <w:ind w:right="60" w:firstLine="177"/>
        <w:spacing w:after="0" w:line="254" w:lineRule="auto"/>
        <w:rPr>
          <w:sz w:val="20"/>
          <w:szCs w:val="20"/>
          <w:color w:val="auto"/>
        </w:rPr>
      </w:pPr>
      <w:r>
        <w:rPr>
          <w:rFonts w:ascii="Arial" w:cs="Arial" w:eastAsia="Arial" w:hAnsi="Arial"/>
          <w:sz w:val="18"/>
          <w:szCs w:val="18"/>
          <w:color w:val="212529"/>
        </w:rPr>
        <w:t>We do not believe that the COVID-19 pandemic, and our actions in response and the costs of those actions, have had a material impact on our financial position, results of operations, or cash flows for the three months or year ended December 31, 2020. The progression of the COVID-19 pandemic remains fluid and its impact on our business and operations remains uncertain. The full extent to which the COVID-19 pandemic will directly or indirectly impact our business, results of operations and financial condition will depend on developments that are highly uncertain and cannot be accurately predicted, including new information that may emerge concerning COVID-19, the actions taken to contain it or lessen its impact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192" w:lineRule="exact"/>
        <w:rPr>
          <w:sz w:val="20"/>
          <w:szCs w:val="20"/>
          <w:color w:val="auto"/>
        </w:rPr>
      </w:pPr>
    </w:p>
    <w:p>
      <w:pPr>
        <w:ind w:right="640" w:firstLine="180"/>
        <w:spacing w:after="0" w:line="342" w:lineRule="auto"/>
        <w:rPr>
          <w:sz w:val="20"/>
          <w:szCs w:val="20"/>
          <w:color w:val="auto"/>
        </w:rPr>
      </w:pPr>
      <w:r>
        <w:rPr>
          <w:rFonts w:ascii="Arial" w:cs="Arial" w:eastAsia="Arial" w:hAnsi="Arial"/>
          <w:sz w:val="16"/>
          <w:szCs w:val="16"/>
          <w:color w:val="212529"/>
        </w:rPr>
        <w:t>For further information on actual and potential impacts to us as a result of the COVID-19 pandemic, see the other sections of this Management's Discussion and Analysis of Results of Operations and Financial Position and the Risk Factors contained in this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Beginning in 2017, we pursued a business development strategy focused on evaluating various available technologies to treat ophthalmic diseases, particularly those in the back of the eye, and exploring opportunities to obtain rights to additional products and product candidates employing these technologies. Our efforts resulted in the expansion of our research and development pipeline, including the addition of IC-100, IC-200 and IC-500 and a number of collaborative gene therapy sponsored research programs.</w:t>
      </w:r>
    </w:p>
    <w:p>
      <w:pPr>
        <w:spacing w:after="0" w:line="187" w:lineRule="exact"/>
        <w:rPr>
          <w:sz w:val="20"/>
          <w:szCs w:val="20"/>
          <w:color w:val="auto"/>
        </w:rPr>
      </w:pPr>
    </w:p>
    <w:p>
      <w:pPr>
        <w:ind w:right="140" w:firstLine="170"/>
        <w:spacing w:after="0" w:line="296" w:lineRule="auto"/>
        <w:rPr>
          <w:sz w:val="20"/>
          <w:szCs w:val="20"/>
          <w:color w:val="auto"/>
        </w:rPr>
      </w:pPr>
      <w:r>
        <w:rPr>
          <w:rFonts w:ascii="Arial" w:cs="Arial" w:eastAsia="Arial" w:hAnsi="Arial"/>
          <w:sz w:val="16"/>
          <w:szCs w:val="16"/>
          <w:color w:val="auto"/>
        </w:rPr>
        <w:t>As we continue the development of our product candidates and programs and evaluate our overall strategic priorities, we will continue to pursue selective business development and financing opportunities that advance us toward our strategic goals. We continue to explore potential collaboration and out-licensing opportunities for the future development and potential commercialization of our product candidates. In addition, we plan to continue to evaluate, on a selective and targeted basis, opportunities to potentially obtain rights to additional product candidates and technologies for retinal diseases, including technologies that may complement our existing product candidates and other strategic lifecycle initiatives.</w:t>
      </w:r>
    </w:p>
    <w:p>
      <w:pPr>
        <w:spacing w:after="0" w:line="161"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For information about our follow-on public offerings that we completed in December 2019 and June 2020, please see the Liquidity and Capital Resources section of Management' s Discussion and Analysis of Financial Condition and Results of Operations set forth in this Item 7. We expect to continue to pursue capital raising transactions when they are available on terms favorable to us and if the opportunity advances our strategic goals.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144" w:lineRule="exact"/>
        <w:rPr>
          <w:sz w:val="20"/>
          <w:szCs w:val="20"/>
          <w:color w:val="auto"/>
        </w:rPr>
      </w:pPr>
    </w:p>
    <w:p>
      <w:pPr>
        <w:ind w:firstLine="170"/>
        <w:spacing w:after="0" w:line="269" w:lineRule="auto"/>
        <w:rPr>
          <w:sz w:val="20"/>
          <w:szCs w:val="20"/>
          <w:color w:val="auto"/>
        </w:rPr>
      </w:pPr>
      <w:r>
        <w:rPr>
          <w:rFonts w:ascii="Arial" w:cs="Arial" w:eastAsia="Arial" w:hAnsi="Arial"/>
          <w:sz w:val="17"/>
          <w:szCs w:val="17"/>
          <w:color w:val="auto"/>
        </w:rPr>
        <w:t>As of December 31, 2020, we had cash, cash equivalents and available for sale securities of $210.0 million. We estimate that our year-end 2021 cash, cash equivalents and available for sale securities will range between $130 million and $140 million. We also estimate that our cash, cash equivalents and available for sale securities will be sufficient to fund our planned capital expenditure requirements and operating expenses, excluding any potential approval or sales milestones payable to Archemix or any commercialization expenses for Zimura, into 2024. These estimates are based on our current business plan, which includes the continuation of our ongoing clinical development programs for Zimura, the progression of our IC-100 and IC-200 programs into the clinic, and the advancement of our IC-500 development program. These estimates also assume that we will enroll approximately 400 patients in the GATHER2 trial. These estimates do not reflect any additional expenditures related to potentially studying Zimura in other indications, or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Fovista</w:t>
      </w:r>
    </w:p>
    <w:p>
      <w:pPr>
        <w:spacing w:after="0" w:line="144"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In December 2016 and August 2017, we received initial top-line data from our three pivotal clinical trials, referred to as OPH1002, OPH1003 and OPH1004, evaluating the anti-platelet derived growth factor, or anti-PDGF, aptamer Fovista® (pegpleranib) administered in combination with anti-VEGF agents for the treatment of wet AMD. These top-line data indicated that the trials failed to achieve their pre-specified primary endpoints. We terminated these trials, as well as several other smaller Fovista trials in wet AMD in 2017. We have no plans for the future development of Fovista.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Novo Agreement</w:t>
      </w:r>
    </w:p>
    <w:p>
      <w:pPr>
        <w:spacing w:after="0" w:line="158" w:lineRule="exact"/>
        <w:rPr>
          <w:sz w:val="20"/>
          <w:szCs w:val="20"/>
          <w:color w:val="auto"/>
        </w:rPr>
      </w:pPr>
    </w:p>
    <w:p>
      <w:pPr>
        <w:ind w:right="100" w:firstLine="180"/>
        <w:spacing w:after="0" w:line="272" w:lineRule="auto"/>
        <w:rPr>
          <w:sz w:val="20"/>
          <w:szCs w:val="20"/>
          <w:color w:val="auto"/>
        </w:rPr>
      </w:pPr>
      <w:r>
        <w:rPr>
          <w:rFonts w:ascii="Arial" w:cs="Arial" w:eastAsia="Arial" w:hAnsi="Arial"/>
          <w:sz w:val="17"/>
          <w:szCs w:val="17"/>
          <w:color w:val="auto"/>
        </w:rPr>
        <w:t xml:space="preserve">In May 2013, we entered into a Purchase and Sale Agreement with Novo Holdings A/S (formerly Novo A/S and which we refer to as Novo), which we refer to as the Novo Agreement, pursuant to which we obtained financing in three tranches in an aggregate amount equal to $125.0 million in return for the sale to Novo of aggregate royalties of a mid-single-digit percentage on worldwide sales of Fovista, certain products related to Fovista, as specified in the Novo Agreement, or Fovista-Related Products, and certain other PDGF antagonists which we might develop, as specified in the Novo Agreement, or Other Products. The three tranches of financing closed in May 2013, January 2014 and November 2014. We recorded the aggregate $125.0 million in proceeds that we received under the Novo Agreement as a royalty purchase liability on our Balance Sheet in accordance with Accounting Standards Codification, or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or ASC 730.</w:t>
      </w:r>
    </w:p>
    <w:p>
      <w:pPr>
        <w:spacing w:after="0" w:line="96" w:lineRule="exact"/>
        <w:rPr>
          <w:sz w:val="20"/>
          <w:szCs w:val="20"/>
          <w:color w:val="auto"/>
        </w:rPr>
      </w:pPr>
    </w:p>
    <w:p>
      <w:pPr>
        <w:ind w:right="100" w:firstLine="180"/>
        <w:spacing w:after="0" w:line="288" w:lineRule="auto"/>
        <w:rPr>
          <w:sz w:val="20"/>
          <w:szCs w:val="20"/>
          <w:color w:val="auto"/>
        </w:rPr>
      </w:pPr>
      <w:r>
        <w:rPr>
          <w:rFonts w:ascii="Arial" w:cs="Arial" w:eastAsia="Arial" w:hAnsi="Arial"/>
          <w:sz w:val="16"/>
          <w:szCs w:val="16"/>
          <w:color w:val="auto"/>
        </w:rPr>
        <w:t>On December 31, 2018, we and Novo entered into a letter agreement, which we refer to as the Novo Termination Agreement, that terminated the Novo Agreement. As a result of the Novo Termination Agreement, Novo relinquished all rights to receive royalties based on net sales of Fovista, Fovista-Related Products and Other Products. In exchange, we agreed to forbear from any future filing, prosecution, maintenance or enforcement of any intellectual property rights related to Fovista, Fovista-Related Products or Other Products, and from granting any third party or affiliate any right or license in any such intellectual property rights or clinical study data generated by or on behalf of us, our affiliates, licensees or sublicensees, for the development, manufacture or commercialization of Fovista, Fovista-Related Products, Other Products or any other antagonists of PDGF. The foregoing restriction does not apply to gene therapies (so long as we do not grant any rights or licenses to intellectual property or clinical study data related to Fovista or Fovista-Related Products). We further agreed, until December 31, 2028, not to develop, manufacture, seek or obtain regulatory approval for or commercialize Fovista, Fovista-Related Products or Other Products without the prior written consent of Novo. The foregoing restriction does not apply to any gene therapies (so long as we do not utilize data related to Fovista or Fovista-Related Products).</w:t>
      </w:r>
    </w:p>
    <w:p>
      <w:pPr>
        <w:spacing w:after="0" w:line="101" w:lineRule="exact"/>
        <w:rPr>
          <w:sz w:val="20"/>
          <w:szCs w:val="20"/>
          <w:color w:val="auto"/>
        </w:rPr>
      </w:pPr>
    </w:p>
    <w:p>
      <w:pPr>
        <w:ind w:right="220" w:firstLine="180"/>
        <w:spacing w:after="0" w:line="257" w:lineRule="auto"/>
        <w:rPr>
          <w:sz w:val="20"/>
          <w:szCs w:val="20"/>
          <w:color w:val="auto"/>
        </w:rPr>
      </w:pPr>
      <w:r>
        <w:rPr>
          <w:rFonts w:ascii="Arial" w:cs="Arial" w:eastAsia="Arial" w:hAnsi="Arial"/>
          <w:sz w:val="18"/>
          <w:szCs w:val="18"/>
          <w:color w:val="auto"/>
        </w:rPr>
        <w:t>Effective December 31, 2018, as a result of the Novo Termination Agreement, we extinguished the $125.0 million royalty purchase liability from our Balance Sheet as we no longer have any obligation to repay Novo the $125.0 million through future product royalties or any other development activities. In addition, we recognized a related gain of $125.0 million in our Statements of Operations for the year ended December 31, 2018. The extinguishment of the royalty purchase liability and the related gain did not impact our cash balance for that period as we had received the proceeds related to the royalty purchase liability in prior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we may generate revenue from product sales or from such third parties.</w:t>
      </w:r>
    </w:p>
    <w:p>
      <w:pPr>
        <w:spacing w:after="0" w:line="19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research and development expenses primarily consist of costs associated with the manufacturing, development, and preclinical and clinical testing of our product candidates and costs associated with our gene therapy sponsored research programs. Our research and development expenses consist of: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40" w:hanging="324"/>
        <w:spacing w:after="0" w:line="342" w:lineRule="auto"/>
        <w:tabs>
          <w:tab w:leader="none" w:pos="975" w:val="left"/>
        </w:tabs>
        <w:numPr>
          <w:ilvl w:val="0"/>
          <w:numId w:val="92"/>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academic research collaborators, contract research organizations, or CROs, and other vendors and CDMOs for the production and analysis of drug substance and drug product; and</w:t>
      </w:r>
    </w:p>
    <w:p>
      <w:pPr>
        <w:spacing w:after="0" w:line="42" w:lineRule="exact"/>
        <w:rPr>
          <w:rFonts w:ascii="Arial" w:cs="Arial" w:eastAsia="Arial" w:hAnsi="Arial"/>
          <w:sz w:val="16"/>
          <w:szCs w:val="16"/>
          <w:color w:val="auto"/>
        </w:rPr>
      </w:pPr>
    </w:p>
    <w:p>
      <w:pPr>
        <w:ind w:left="980" w:right="500" w:hanging="324"/>
        <w:spacing w:after="0" w:line="277" w:lineRule="auto"/>
        <w:tabs>
          <w:tab w:leader="none" w:pos="9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0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All research and development expenses are charged to operations as incurred in accordance with ASC 730</w:t>
      </w:r>
      <w:r>
        <w:rPr>
          <w:rFonts w:ascii="Arial" w:cs="Arial" w:eastAsia="Arial" w:hAnsi="Arial"/>
          <w:sz w:val="18"/>
          <w:szCs w:val="18"/>
          <w:i w:val="1"/>
          <w:iCs w:val="1"/>
          <w:color w:val="auto"/>
        </w:rPr>
        <w:t>.</w:t>
      </w:r>
      <w:r>
        <w:rPr>
          <w:rFonts w:ascii="Arial" w:cs="Arial" w:eastAsia="Arial" w:hAnsi="Arial"/>
          <w:sz w:val="18"/>
          <w:szCs w:val="18"/>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project area or product candidate, as shown below.</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2020, 2019 and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493"/>
              <w:spacing w:after="0"/>
              <w:rPr>
                <w:sz w:val="20"/>
                <w:szCs w:val="20"/>
                <w:color w:val="auto"/>
              </w:rPr>
            </w:pPr>
            <w:r>
              <w:rPr>
                <w:rFonts w:ascii="Arial" w:cs="Arial" w:eastAsia="Arial" w:hAnsi="Arial"/>
                <w:sz w:val="14"/>
                <w:szCs w:val="14"/>
                <w:b w:val="1"/>
                <w:bCs w:val="1"/>
                <w:color w:val="auto"/>
                <w:w w:val="90"/>
              </w:rPr>
              <w:t>Years ended December 31,</w:t>
            </w:r>
          </w:p>
        </w:tc>
        <w:tc>
          <w:tcPr>
            <w:tcW w:w="860" w:type="dxa"/>
            <w:vAlign w:val="bottom"/>
            <w:tcBorders>
              <w:bottom w:val="single" w:sz="8" w:color="auto"/>
            </w:tcBorders>
          </w:tcPr>
          <w:p>
            <w:pPr>
              <w:spacing w:after="0"/>
              <w:rPr>
                <w:sz w:val="16"/>
                <w:szCs w:val="16"/>
                <w:color w:val="auto"/>
              </w:rPr>
            </w:pPr>
          </w:p>
        </w:tc>
      </w:tr>
      <w:tr>
        <w:trPr>
          <w:trHeight w:val="187"/>
        </w:trPr>
        <w:tc>
          <w:tcPr>
            <w:tcW w:w="7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r>
      <w:tr>
        <w:trPr>
          <w:trHeight w:val="183"/>
        </w:trPr>
        <w:tc>
          <w:tcPr>
            <w:tcW w:w="7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Zimura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17,109</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IC-500: HtrA1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6,900</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IC-100: RHO-adRP</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IC-200: BEST1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gene therapy</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Fovista</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Personnel-related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4,967</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r>
      <w:tr>
        <w:trPr>
          <w:trHeight w:val="223"/>
        </w:trPr>
        <w:tc>
          <w:tcPr>
            <w:tcW w:w="75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41,737</w:t>
            </w:r>
          </w:p>
        </w:tc>
      </w:tr>
      <w:tr>
        <w:trPr>
          <w:trHeight w:val="20"/>
        </w:trPr>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we continue our ongoing clinical trials and planned manufacturing activities for Zimura, we expect our research and development expenses for Zimura to increase. We also expect our research and development expenses for each of IC-100 and IC-200 to increase as we complete preclinical development and subject to regulatory review, begin clinical development for those product candidates. We expect our research and development expenses for IC-500 to increase as we continue preclinical development. We expect our research and development expenses for our other collaborative gene therapy sponsored research programs to decrease as the sponsored research for those programs reaches completion. Our research and development expenses may also increase if we decide to pursue the development of Zimura in additional indications, we in-license or acquire any new product candidates, including from our collaborative gene therapy sponsored research programs, or if we commence any new sponsored research programs.</w:t>
      </w:r>
    </w:p>
    <w:p>
      <w:pPr>
        <w:spacing w:after="0" w:line="99"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Although the future development of our product candidates is highly uncertain, we expect the development of our product candidates will continue for at least the next several years. At this time, we 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6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103" w:lineRule="exact"/>
        <w:rPr>
          <w:sz w:val="20"/>
          <w:szCs w:val="20"/>
          <w:color w:val="auto"/>
        </w:rPr>
      </w:pPr>
    </w:p>
    <w:p>
      <w:pPr>
        <w:ind w:left="980" w:hanging="243"/>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243"/>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144" w:lineRule="exact"/>
        <w:rPr>
          <w:rFonts w:ascii="Arial" w:cs="Arial" w:eastAsia="Arial" w:hAnsi="Arial"/>
          <w:sz w:val="18"/>
          <w:szCs w:val="18"/>
          <w:color w:val="auto"/>
        </w:rPr>
      </w:pPr>
    </w:p>
    <w:p>
      <w:pPr>
        <w:ind w:left="980" w:hanging="243"/>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157" w:lineRule="exact"/>
        <w:rPr>
          <w:rFonts w:ascii="Arial" w:cs="Arial" w:eastAsia="Arial" w:hAnsi="Arial"/>
          <w:sz w:val="18"/>
          <w:szCs w:val="18"/>
          <w:color w:val="auto"/>
        </w:rPr>
      </w:pPr>
    </w:p>
    <w:p>
      <w:pPr>
        <w:ind w:left="980" w:right="380" w:hanging="243"/>
        <w:spacing w:after="0" w:line="277" w:lineRule="auto"/>
        <w:tabs>
          <w:tab w:leader="none" w:pos="9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8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change in the outcome of any of these variables with respect to the development of our product candidates could mean a significant change in the costs and timing associated with the development of that product candidate. For example, we are conducting the GATHER2 trial, which is a Phase 3 clinical trial evaluating Zimura for GA, with the expectation that data collected from this trial, if positive, together with data from our GATHER1 trial, will be sufficient to seek marketing approval for this indication in the United States and the European Union. We may subsequently decide to, or be required by regulatory authorities to, enroll additional patients in the GATHER2 trial beyond our current expectations, conduct additional clinical trials for Zimura in GA or conduct additional non-clinical studies of Zimura in order to seek or maintain regulatory approval or qualify for reimbursement approval. As a result of any of the above, we could be required to expend significant additional financial resources and time on the completion of development of Zimura in GA.</w:t>
      </w:r>
    </w:p>
    <w:p>
      <w:pPr>
        <w:spacing w:after="0" w:line="193"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See the “Liquidity and Capital Resources” section of this Item 7 of this Annual Report on Form 10-K for more information regarding our current and future financial resources and our expectations regarding our research and development expenses and funding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280" w:firstLine="180"/>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business development,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We currently have invested our cash, cash equivalents and available for sale securities in money market funds, U.S. Treasury securities, asset-backed securities and investment-grade corporate debt securities, which generate a nominal amount of interest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revenue recognition,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Annual Report on Form 10-K. Of those policies, we believe that the following accounting policies are the most critical to aid our stockholders in fully understanding and evaluating our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estimates with the service providers and make adjustments if necessary. The significant estimates in our accrued research and development expenses are related to expenses related to our academic research collaborators, CROs, CDMOs and other vendors in connection with research and development and manufacturing activities.</w:t>
      </w:r>
    </w:p>
    <w:p>
      <w:pPr>
        <w:spacing w:after="0" w:line="18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 in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 In accordance with authoritative guidance, we re-measure the fair value of consultant share-based awards as the awards vest, and recognize the resulting value, if any, as expense during the period when the related services are rendered.</w:t>
      </w:r>
    </w:p>
    <w:p>
      <w:pPr>
        <w:spacing w:after="0" w:line="16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We apply the fair value recognition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we make this determination. Calculating the fair value of share-based awards requires us to make highly subjective assumptions.</w:t>
      </w:r>
    </w:p>
    <w:p>
      <w:pPr>
        <w:spacing w:after="0" w:line="177"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 xml:space="preserve">Prior to January 1, 2019, share-based compensation awarded to non-employees was subject to revaluation over the vesting term of each award. Subsequent to the adoption of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value of non-employee share-based compensation is measured on the date of grant, similar to share-based compensation granted to employees.</w:t>
      </w:r>
    </w:p>
    <w:p>
      <w:pPr>
        <w:spacing w:after="0" w:line="192" w:lineRule="exact"/>
        <w:rPr>
          <w:sz w:val="20"/>
          <w:szCs w:val="20"/>
          <w:color w:val="auto"/>
        </w:rPr>
      </w:pPr>
    </w:p>
    <w:p>
      <w:pPr>
        <w:ind w:right="20" w:firstLine="177"/>
        <w:spacing w:after="0" w:line="253" w:lineRule="auto"/>
        <w:rPr>
          <w:sz w:val="20"/>
          <w:szCs w:val="20"/>
          <w:color w:val="auto"/>
        </w:rPr>
      </w:pPr>
      <w:r>
        <w:rPr>
          <w:rFonts w:ascii="Arial" w:cs="Arial" w:eastAsia="Arial" w:hAnsi="Arial"/>
          <w:sz w:val="18"/>
          <w:szCs w:val="18"/>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and the risk-free interest rate for a period that approximates the expected term of our stock options and the expected dividend yield of our common stock. We calculate expected volatility based on daily historical volatility during the time period that corresponds to the expected option term. We calculate the expected term of stock option grants to employees based on an analysis of actual option exercises. The risk-free 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years ended December 31, 2020, 2019 and 2018:</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Years ended December 31,</w:t>
            </w:r>
          </w:p>
        </w:tc>
        <w:tc>
          <w:tcPr>
            <w:tcW w:w="14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42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56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6"/>
                <w:szCs w:val="16"/>
                <w:color w:val="auto"/>
              </w:rPr>
            </w:pPr>
          </w:p>
        </w:tc>
      </w:tr>
      <w:tr>
        <w:trPr>
          <w:trHeight w:val="224"/>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common stock price volatility</w:t>
            </w:r>
          </w:p>
        </w:tc>
        <w:tc>
          <w:tcPr>
            <w:tcW w:w="24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118%</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85%</w:t>
            </w:r>
          </w:p>
        </w:tc>
        <w:tc>
          <w:tcPr>
            <w:tcW w:w="20" w:type="dxa"/>
            <w:vAlign w:val="bottom"/>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Risk-free interest rate - Low</w:t>
            </w:r>
          </w:p>
        </w:tc>
        <w:tc>
          <w:tcPr>
            <w:tcW w:w="3900" w:type="dxa"/>
            <w:vAlign w:val="bottom"/>
            <w:gridSpan w:val="2"/>
          </w:tcPr>
          <w:p>
            <w:pPr>
              <w:jc w:val="center"/>
              <w:ind w:left="2370"/>
              <w:spacing w:after="0"/>
              <w:rPr>
                <w:sz w:val="20"/>
                <w:szCs w:val="20"/>
                <w:color w:val="auto"/>
              </w:rPr>
            </w:pPr>
            <w:r>
              <w:rPr>
                <w:rFonts w:ascii="Arial" w:cs="Arial" w:eastAsia="Arial" w:hAnsi="Arial"/>
                <w:sz w:val="18"/>
                <w:szCs w:val="18"/>
                <w:color w:val="auto"/>
                <w:w w:val="91"/>
              </w:rPr>
              <w:t>0.22</w:t>
            </w:r>
          </w:p>
        </w:tc>
        <w:tc>
          <w:tcPr>
            <w:tcW w:w="1560" w:type="dxa"/>
            <w:vAlign w:val="bottom"/>
            <w:gridSpan w:val="2"/>
          </w:tcPr>
          <w:p>
            <w:pPr>
              <w:jc w:val="center"/>
              <w:ind w:left="39"/>
              <w:spacing w:after="0"/>
              <w:rPr>
                <w:sz w:val="20"/>
                <w:szCs w:val="20"/>
                <w:color w:val="auto"/>
              </w:rPr>
            </w:pPr>
            <w:r>
              <w:rPr>
                <w:rFonts w:ascii="Arial" w:cs="Arial" w:eastAsia="Arial" w:hAnsi="Arial"/>
                <w:sz w:val="18"/>
                <w:szCs w:val="18"/>
                <w:color w:val="auto"/>
                <w:w w:val="87"/>
              </w:rPr>
              <w:t>0.0138</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0.0239</w:t>
            </w:r>
          </w:p>
        </w:tc>
        <w:tc>
          <w:tcPr>
            <w:tcW w:w="20" w:type="dxa"/>
            <w:vAlign w:val="bottom"/>
          </w:tcPr>
          <w:p>
            <w:pPr>
              <w:spacing w:after="0"/>
              <w:rPr>
                <w:sz w:val="19"/>
                <w:szCs w:val="19"/>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of options (years)</w:t>
            </w:r>
          </w:p>
        </w:tc>
        <w:tc>
          <w:tcPr>
            <w:tcW w:w="3900" w:type="dxa"/>
            <w:vAlign w:val="bottom"/>
            <w:gridSpan w:val="2"/>
            <w:shd w:val="clear" w:color="auto" w:fill="CCEEFF"/>
          </w:tcPr>
          <w:p>
            <w:pPr>
              <w:jc w:val="center"/>
              <w:ind w:left="2390"/>
              <w:spacing w:after="0"/>
              <w:rPr>
                <w:sz w:val="20"/>
                <w:szCs w:val="20"/>
                <w:color w:val="auto"/>
              </w:rPr>
            </w:pPr>
            <w:r>
              <w:rPr>
                <w:rFonts w:ascii="Arial" w:cs="Arial" w:eastAsia="Arial" w:hAnsi="Arial"/>
                <w:sz w:val="18"/>
                <w:szCs w:val="18"/>
                <w:color w:val="auto"/>
                <w:w w:val="87"/>
              </w:rPr>
              <w:t>4.6</w:t>
            </w:r>
          </w:p>
        </w:tc>
        <w:tc>
          <w:tcPr>
            <w:tcW w:w="156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5"/>
              </w:rPr>
              <w:t>4.8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20" w:type="dxa"/>
            <w:vAlign w:val="bottom"/>
          </w:tcPr>
          <w:p>
            <w:pPr>
              <w:spacing w:after="0"/>
              <w:rPr>
                <w:sz w:val="19"/>
                <w:szCs w:val="19"/>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4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r>
      <w:tr>
        <w:trPr>
          <w:trHeight w:val="850"/>
        </w:trPr>
        <w:tc>
          <w:tcPr>
            <w:tcW w:w="4200" w:type="dxa"/>
            <w:vAlign w:val="bottom"/>
          </w:tcPr>
          <w:p>
            <w:pPr>
              <w:spacing w:after="0"/>
              <w:rPr>
                <w:sz w:val="24"/>
                <w:szCs w:val="24"/>
                <w:color w:val="auto"/>
              </w:rPr>
            </w:pPr>
          </w:p>
        </w:tc>
        <w:tc>
          <w:tcPr>
            <w:tcW w:w="2460" w:type="dxa"/>
            <w:vAlign w:val="bottom"/>
          </w:tcPr>
          <w:p>
            <w:pPr>
              <w:jc w:val="right"/>
              <w:ind w:right="810"/>
              <w:spacing w:after="0"/>
              <w:rPr>
                <w:sz w:val="20"/>
                <w:szCs w:val="20"/>
                <w:color w:val="auto"/>
              </w:rPr>
            </w:pPr>
            <w:r>
              <w:rPr>
                <w:rFonts w:ascii="Arial" w:cs="Arial" w:eastAsia="Arial" w:hAnsi="Arial"/>
                <w:sz w:val="18"/>
                <w:szCs w:val="18"/>
                <w:color w:val="auto"/>
              </w:rPr>
              <w:t>131</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estimate the fair value of restricted stock units, or RSUs, granted to employees using the closing market price of our common stock on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grant.</w:t>
      </w:r>
    </w:p>
    <w:p>
      <w:pPr>
        <w:spacing w:after="0" w:line="13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when the estimates were revised.</w:t>
      </w:r>
    </w:p>
    <w:p>
      <w:pPr>
        <w:spacing w:after="0" w:line="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Share-based compensation expense for equity grants to employees, non-employee directors and consultants was $8.3 million, $9.2 million and $11.1 million for the years ended December 31, 2020, 2019, and 2018, respectively. As of December 31, 2020, we had $23.2 million of total unrecognized share-based compensation expense, which we expect to recognize over a weighted-average remaining vesting period of approximately 3.4 years. We expect to grant additional stock options that will result in additional share-based compensation expense for our equity awards to employees, non-employee directors and consultants.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2020, 2019 and 2018, we allocated share-based compensation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77"/>
              <w:spacing w:after="0"/>
              <w:rPr>
                <w:sz w:val="20"/>
                <w:szCs w:val="20"/>
                <w:color w:val="auto"/>
              </w:rPr>
            </w:pPr>
            <w:r>
              <w:rPr>
                <w:rFonts w:ascii="Arial" w:cs="Arial" w:eastAsia="Arial" w:hAnsi="Arial"/>
                <w:sz w:val="14"/>
                <w:szCs w:val="14"/>
                <w:b w:val="1"/>
                <w:bCs w:val="1"/>
                <w:color w:val="auto"/>
                <w:w w:val="90"/>
              </w:rPr>
              <w:t>Years ended December 31,</w:t>
            </w:r>
          </w:p>
        </w:tc>
        <w:tc>
          <w:tcPr>
            <w:tcW w:w="820" w:type="dxa"/>
            <w:vAlign w:val="bottom"/>
            <w:tcBorders>
              <w:bottom w:val="single" w:sz="8" w:color="auto"/>
            </w:tcBorders>
          </w:tcPr>
          <w:p>
            <w:pPr>
              <w:spacing w:after="0"/>
              <w:rPr>
                <w:sz w:val="16"/>
                <w:szCs w:val="16"/>
                <w:color w:val="auto"/>
              </w:rPr>
            </w:pPr>
          </w:p>
        </w:tc>
      </w:tr>
      <w:tr>
        <w:trPr>
          <w:trHeight w:val="187"/>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r>
      <w:tr>
        <w:trPr>
          <w:trHeight w:val="183"/>
        </w:trPr>
        <w:tc>
          <w:tcPr>
            <w:tcW w:w="7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0" w:firstLine="180"/>
        <w:spacing w:after="0" w:line="254" w:lineRule="auto"/>
        <w:rPr>
          <w:sz w:val="20"/>
          <w:szCs w:val="20"/>
          <w:color w:val="auto"/>
        </w:rPr>
      </w:pPr>
      <w:r>
        <w:rPr>
          <w:rFonts w:ascii="Arial" w:cs="Arial" w:eastAsia="Arial" w:hAnsi="Arial"/>
          <w:sz w:val="18"/>
          <w:szCs w:val="18"/>
          <w:color w:val="auto"/>
        </w:rPr>
        <w:t>In October 2019, our board of directors adopted the 2019 Inducement Stock Incentive Plan, or the Inducement Plan, pursuant to which we may grant, subject to the terms of the Inducement Plan and the rules of The Nasdaq Global Select Market, or Nasdaq, nonstatutory stock options, restricted stock, RSUs, and other stock-based awards up to an aggregate of 1,000,000 shares of our common stock. In March 2020, our board of directors amended the Inducement Plan to reserve an additional 1,000,000 shares of our common stock for issuance under the plan and in February 2021, our board of directors further amended the Inducement Plan to reserve an additional 600,000 shares of our common stock for issuance under the plan. The Inducement Plan permits us to, subject to the approval of each grant by the compensation committee of our board of directors, use the stock-based awards available under the Inducement Plan to attract key employees for the growth of our business. As of December 31, 2020, we had approximately 555,000 shares available for issuance under the Inducement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right"/>
              <w:ind w:right="413"/>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2"/>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23,140</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27,464</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(88,736)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27,464</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Gain on extinguishment of royalty purchase liability</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Arial" w:cs="Arial" w:eastAsia="Arial" w:hAnsi="Arial"/>
                <w:sz w:val="18"/>
                <w:szCs w:val="18"/>
                <w:color w:val="auto"/>
              </w:rPr>
              <w:t>Loss before income tax benefit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(88,242)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29,272</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(84,547)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25,688</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research and development expenses were $62.8 million for the year ended December 31, 2020, an increase of $23.1 million compared to $39.6 million for the year ended December 31, 2019. The increase in research and development expenses for the year ended December 31, 2020 was primarily due to a $15.1 million increase in costs associated with Zimura, a $6.6 million increase in personnel costs, a $3.1 million increase in costs associated with IC-200 and a $1.0 million increase in costs associated with IC-500 which were partially offset by a $0.8 million decrease in costs related to our prior Fovista manufacturing activities due to a sales tax refund, a $0.5 million decrease in costs associated with IC-100 and a $0.5 million decrease in costs associated with our collaborative gene therapy sponsored research programs. The increased costs for Zimura were primarily due to the initiation of and commencement of patient enrollment for our GATHER2 trial, increased manufacturing activities and the payment of a $6.0 million milestone to Archemix. The increased costs for IC-200 and IC-500 primarily reflect increased manufacturing and preclinical development activities.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Our general and administrative expenses were $26.0 million for the year ended December 31, 2020, an increase of $4.3 million, compared to $21.6 million for the year ended December 31, 2019. The increase in general and administrative expenses was primarily due to an increase in general consulting costs and professional fees.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8"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Interest income for the year ended December 31, 2020 was $0.5 million compared to interest income of $2.2 million for the year ended December 31, 2019. The decrease in interest income earned during the year ended December 31, 2020 was primarily due to the decrease in interest rate yields.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4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recorded a benefit from income taxes of approximately $3.7 million and $0.1 million for the year ended December 31, 2020 and 2019, respectively, which primarily related to the settlement of local tax audits.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2019 and 2018</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Years ended December 31,</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64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right"/>
              <w:ind w:right="413"/>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center"/>
              <w:ind w:left="594"/>
              <w:spacing w:after="0"/>
              <w:rPr>
                <w:sz w:val="20"/>
                <w:szCs w:val="20"/>
                <w:color w:val="auto"/>
              </w:rPr>
            </w:pPr>
            <w:r>
              <w:rPr>
                <w:rFonts w:ascii="Arial" w:cs="Arial" w:eastAsia="Arial" w:hAnsi="Arial"/>
                <w:sz w:val="14"/>
                <w:szCs w:val="14"/>
                <w:b w:val="1"/>
                <w:bCs w:val="1"/>
                <w:color w:val="auto"/>
                <w:w w:val="91"/>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(61,272)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(65,349)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Gain on extinguishment of royalty purchase liability</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Income (loss) before income tax benefit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(58,970)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(120,994)</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(121,946)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Our research and development expenses were $39.6 million for the year ended December 31, 2019, a decrease of $2.1 million compared to $41.7 million for the year ended December 31, 2018. The decrease in research and development expenses for the year ended December 31, 2019 was primarily due to a $6.4 million decrease in costs associated with our HtrA1 inhibitor program, a $3.9 million decrease in costs associated with our Zimura program and a $1.6 million decrease in professional services and consulting fees. The decreased costs for our HtrA1 inhibitor program related to the immediate expensing in 2018 of the in-process research and development costs of our HtrA1 inhibitor program acquired through our acquisition of Inception 4 in 2018. The decreased costs for our Zimura programs included lower costs related to a decrease in Zimura manufacturing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activities and lower clinical trial costs as a result of the completion of the OPH2007 trial during the fourth quarter of 2018 and the completion of patient recruitment for the OPH2003 trial during the fourth quarter of 2018 and the associated reduction in site initiation costs. The decreased costs for our Zimura programs were partially offset by increased costs associated with the continued progress of the OPH2005 trial. The overall decrease in research and development expenses was partially offset by a $9.4 million increase in costs resulting from the expansion of our gene therapy programs.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general and administrative expenses were $21.6 million for the year ended December 31, 2019, a decrease of $2.0 million, compared to $23.6 million for the year ended December 31, 2018. The decrease in general and administrative expenses was primarily due to a decrease of $1.6 million in personnel expenses and a decrease of $0.5 million in professional and consulting fees. The decrease in personnel expenses included a decrease of $1.2 million in share-based compensation expense as a result of a decrease in the fair value of our common stock.</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4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Interest income for the year ended December 31, 2019 was $2.2 million compared to interest income of $2.4 million for the year ended December 31, 2018. The decrease in interest income earned during the year ended December 31, 2019 was the result of a decrease in cash balances available for investment.</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Gain on Extinguishment of Royalty Purchase Liability</w:t>
      </w:r>
    </w:p>
    <w:p>
      <w:pPr>
        <w:spacing w:after="0" w:line="158"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On December 31, 2018 we entered into the Novo Termination Agreement, which terminated the Novo Agreement. As we no longer had an obligation to repay Novo the $125.0 million that it had provided us pursuant to the Novo Agreement, we extinguished the $125.0 million royalty purchase liability from our Balance Sheet as of December 31, 2018 and recognized a related gain of $125.0 million in our Statements of Operations for the year ended December 31, 2018. This gain on the extinguishment of the royalty purchase liability did not impact our cash balance during that period as we had received the proceeds related to the royalty purchase liability in prior periods.</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5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recorded a benefit from income taxes of approximately $0.1 million and $1.1 million for the year ended December 31, 2019 and 2018, respectively, which primarily related to the settlement of local tax audits.</w:t>
      </w:r>
    </w:p>
    <w:p>
      <w:pPr>
        <w:spacing w:after="0" w:line="10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Although we had net income before income taxes during 2018, this income is primarily due to the Novo Termination Agreement. Payments received under the Novo Agreement had previously been recorded as revenue on our federal and state income tax returns during the periods in which the payments were received. The recognition of income for financial statement purposes resulted in the reduction of a deferred tax asset that was completely offset by a previously recorded valuation allowance.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58" w:lineRule="exact"/>
        <w:rPr>
          <w:sz w:val="20"/>
          <w:szCs w:val="20"/>
          <w:color w:val="auto"/>
        </w:rPr>
      </w:pPr>
    </w:p>
    <w:p>
      <w:pPr>
        <w:jc w:val="both"/>
        <w:ind w:right="160" w:firstLine="648"/>
        <w:spacing w:after="0" w:line="275" w:lineRule="auto"/>
        <w:rPr>
          <w:sz w:val="20"/>
          <w:szCs w:val="20"/>
          <w:color w:val="auto"/>
        </w:rPr>
      </w:pPr>
      <w:r>
        <w:rPr>
          <w:rFonts w:ascii="Arial" w:cs="Arial" w:eastAsia="Arial" w:hAnsi="Arial"/>
          <w:sz w:val="17"/>
          <w:szCs w:val="17"/>
          <w:color w:val="auto"/>
        </w:rPr>
        <w:t>Since inception, we have financed our operations primarily through private placements of our common stock and preferred stock, venture debt borrowings, funds received under the Novo Agreement, our initial public offering, which we closed in September 2013, funds we received under a prior agreement with Novartis Pharma AG relating to the licensing and commercialization of Fovista, funds we received in connection with our acquisition of Inception 4 in October 2018, and our follow-on public offerings, which we closed in February 2014, December 2019 and June 2020, including the sale of pre-funded warrants in December 2019 and June 2020. We do not have any committed external source of funds.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June 2020 Follow-on Public Offering and Concurrent Private Placement</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June 2020, we closed an underwritten public offering in which we sold 28,503,220 shares of our common stock, including the exercise in full of the underwriters’ option to purchase additional shares of our common stock, at a price to the public of $4.10 per share, and at a price to the underwriters of $3.854 per share. We also sold to certain investors in lieu of common stock, pre-funded warrants to purchase 1,914,280 shares of our common stock at a price to the public of $4.099 per share underlying each pre-funded warrant, and at a price to the underwriters of $3.853 per share underlying each pre-funded warrant.</w:t>
      </w:r>
    </w:p>
    <w:p>
      <w:pPr>
        <w:spacing w:after="0" w:line="21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Concurrently with the June 2020 public offering, we completed a private placement exempt from the registration requirements of the Securities Act of 1933, as amended, in which we sold 8,649,453 shares of our common stock to affiliates of Vivo Capital, LLC and Samsara BioCapital, LP, or the Private Placement Purchasers, at a purchase price equal to $4.10 per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share, the price to the public in the public offering. The shares in the private placement were issued pursuant to a stock purchase agreement entered into among us and the Private Placement Purchasers.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net proceeds from the public offering and private placement, after deducting underwriting discounts, placement agent fees and other offering expenses of approximately $10.1 million, was approximately $150.1 million.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December 2019 Follow-on Public Offering</w:t>
      </w:r>
    </w:p>
    <w:p>
      <w:pPr>
        <w:spacing w:after="0" w:line="14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December 2019, we completed an underwritten public offering in which we sold approximately 7,750,000 shares of our common stock, which includes the underwriters' option to purchase additional shares of our common stock, at a public offering price of $4.00 per share, and at a price per share of $3.736 to the underwriters. We also sold to certain investors pre-funded warrants to purchase 3,750,000 shares of our common stock at a public offering price of $3.999 per share underlying each warrant, and at a purchase price of $3.735 per share underlying each warrant to the underwriters.</w:t>
      </w:r>
    </w:p>
    <w:p>
      <w:pPr>
        <w:spacing w:after="0" w:line="184" w:lineRule="exact"/>
        <w:rPr>
          <w:sz w:val="20"/>
          <w:szCs w:val="20"/>
          <w:color w:val="auto"/>
        </w:rPr>
      </w:pPr>
    </w:p>
    <w:p>
      <w:pPr>
        <w:ind w:firstLine="185"/>
        <w:spacing w:after="0" w:line="277" w:lineRule="auto"/>
        <w:rPr>
          <w:sz w:val="20"/>
          <w:szCs w:val="20"/>
          <w:color w:val="auto"/>
        </w:rPr>
      </w:pPr>
      <w:r>
        <w:rPr>
          <w:rFonts w:ascii="Arial" w:cs="Arial" w:eastAsia="Arial" w:hAnsi="Arial"/>
          <w:sz w:val="18"/>
          <w:szCs w:val="18"/>
          <w:color w:val="auto"/>
        </w:rPr>
        <w:t>The net proceeds from the offering, after deducting underwriting discounts and commissions of $3.0 million and other offering expenses of $0.4 million, was approximately $42.6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As of December 31, 2020, we had cash, cash equivalents and available for sale securities totaling $210.0 million and no debt. We primarily invest our cash, cash equivalents and available for sale securities in money market funds, U.S. Treasury securities, asset-backed securities and certain investment-grade corporate debt securities.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years ended December 31, 2020, 2019 and 2018:</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456"/>
              <w:spacing w:after="0"/>
              <w:rPr>
                <w:sz w:val="20"/>
                <w:szCs w:val="20"/>
                <w:color w:val="auto"/>
              </w:rPr>
            </w:pPr>
            <w:r>
              <w:rPr>
                <w:rFonts w:ascii="Arial" w:cs="Arial" w:eastAsia="Arial" w:hAnsi="Arial"/>
                <w:sz w:val="14"/>
                <w:szCs w:val="14"/>
                <w:b w:val="1"/>
                <w:bCs w:val="1"/>
                <w:color w:val="auto"/>
                <w:w w:val="90"/>
              </w:rPr>
              <w:t>Years ended December 31,</w:t>
            </w:r>
          </w:p>
        </w:tc>
        <w:tc>
          <w:tcPr>
            <w:tcW w:w="820" w:type="dxa"/>
            <w:vAlign w:val="bottom"/>
            <w:tcBorders>
              <w:bottom w:val="single" w:sz="8" w:color="auto"/>
            </w:tcBorders>
          </w:tcPr>
          <w:p>
            <w:pPr>
              <w:spacing w:after="0"/>
              <w:rPr>
                <w:sz w:val="16"/>
                <w:szCs w:val="16"/>
                <w:color w:val="auto"/>
              </w:rPr>
            </w:pPr>
          </w:p>
        </w:tc>
      </w:tr>
      <w:tr>
        <w:trPr>
          <w:trHeight w:val="187"/>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r>
      <w:tr>
        <w:trPr>
          <w:trHeight w:val="182"/>
        </w:trPr>
        <w:tc>
          <w:tcPr>
            <w:tcW w:w="7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74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(66,097)</w:t>
            </w:r>
          </w:p>
        </w:tc>
        <w:tc>
          <w:tcPr>
            <w:tcW w:w="120" w:type="dxa"/>
            <w:vAlign w:val="bottom"/>
          </w:tcPr>
          <w:p>
            <w:pPr>
              <w:spacing w:after="0"/>
              <w:rPr>
                <w:sz w:val="19"/>
                <w:szCs w:val="19"/>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(48,490)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(41,911)</w:t>
            </w:r>
          </w:p>
        </w:tc>
      </w:tr>
      <w:tr>
        <w:trPr>
          <w:trHeight w:val="230"/>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6,140</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4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net cash used in operating activities, which was $66.1 million and $48.5 million for the years ended December 31, 2020 and 2019, respectively, relates primarily to net cash used to fund our Zimura clinical trials and manufacturing activities and to support the preclinical development activities of IC-100, IC-200 and IC-500.</w:t>
      </w:r>
    </w:p>
    <w:p>
      <w:pPr>
        <w:spacing w:after="0" w:line="116" w:lineRule="exact"/>
        <w:rPr>
          <w:sz w:val="20"/>
          <w:szCs w:val="20"/>
          <w:color w:val="auto"/>
        </w:rPr>
      </w:pPr>
    </w:p>
    <w:p>
      <w:pPr>
        <w:ind w:left="380" w:right="1200" w:firstLine="284"/>
        <w:spacing w:after="0" w:line="414" w:lineRule="auto"/>
        <w:rPr>
          <w:sz w:val="20"/>
          <w:szCs w:val="20"/>
          <w:color w:val="auto"/>
        </w:rPr>
      </w:pPr>
      <w:r>
        <w:rPr>
          <w:rFonts w:ascii="Arial" w:cs="Arial" w:eastAsia="Arial" w:hAnsi="Arial"/>
          <w:sz w:val="18"/>
          <w:szCs w:val="18"/>
          <w:color w:val="auto"/>
        </w:rPr>
        <w:t xml:space="preserve">See "—Funding Requirements" below for a description of how we expect to use our cash for operating activities in future periods. </w:t>
      </w:r>
      <w:r>
        <w:rPr>
          <w:rFonts w:ascii="Arial" w:cs="Arial" w:eastAsia="Arial" w:hAnsi="Arial"/>
          <w:sz w:val="18"/>
          <w:szCs w:val="18"/>
          <w:b w:val="1"/>
          <w:bCs w:val="1"/>
          <w:i w:val="1"/>
          <w:iCs w:val="1"/>
          <w:color w:val="auto"/>
        </w:rPr>
        <w:t>Cash Flows from Investing Activities</w:t>
      </w:r>
    </w:p>
    <w:p>
      <w:pPr>
        <w:spacing w:after="0" w:line="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Net cash used in investing activities was $143.8 million for the year ended December 31, 2020, which primarily related to the purchase of available for sale securities. Net cash provided by investing activities for the year ended December 31, 2019 was $0.2 million and related to the proceeds received from the sale of manufacturing and clinical equipment.</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58"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Net cash provided by financing activities for the year ended December 31, 2020 was $150.6 million and relates primarily to cash received from our June 2020 public offering of our common stock and concurrent private placement. Net cash provided by financing activities for the year ended December 31, 2019 was $42.8 million and relates primarily to cash received from our December 2019 public offering of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58"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Zimura is in clinical development, our gene therapy product candidates IC-100 and IC-200, and IC-500, the selected product candidate from our HtrA1 inhibitor program, are each in preclinical development, and we are funding multiple ongoing collaborative gene therapy sponsored research programs. We expect our research and development expenses to increase as we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pursue these programs as currently planned. We could incur additional research and development expenses if we modify or further expand the scope of our clinical trials, including if we develop Zimura for additional indications, preclinical development programs or collaborative gene therapy sponsored research programs, or if we in-license or acquire, and undertake development of, additional product candidates and technologies, including any promising product candidates that emerge from our collaborative gene therapy sponsored research programs. We could also incur additional research and development expenses if, for example, we are required by the FDA, the EMA, or regulatory authorities in other jurisdictions to perform clinical trials and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are party to agreements with Archemix Corp., or Archemix, with respect to Zimura, the University of Florida Research Foundation, Incorporated, or UFRF, and Penn with respect to IC-100 and IC-200, UMass with respect to any potential product candidates from our miniCEP290 program, and the former equityholders of Inception 4 with respect to IC-500, in each case, that impose significant milestone payment obligations on us if we achieve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252"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continue the development of Zimura in GA, STGD1 and potentially other indications;</w:t>
      </w:r>
    </w:p>
    <w:p>
      <w:pPr>
        <w:spacing w:after="0" w:line="252"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expand our outsourced manufacturing activities or establish commercial operations or sales, marketing and distribution capabilities, if we receive, or expect to receive, marketing approval for any of our product candidates;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continue the development of IC-100, IC-200 and IC-500 and pursue our collaborative gene therapy sponsored research programs;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in-license or acquire the rights to, and pursue the development of, other product candidates or technologies;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seek marketing approval for any product candidates that successfully complete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95"/>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manufacturing, quality control, quality assurance and scientific personnel;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252" w:lineRule="exact"/>
        <w:rPr>
          <w:sz w:val="20"/>
          <w:szCs w:val="20"/>
          <w:color w:val="auto"/>
        </w:rPr>
      </w:pPr>
    </w:p>
    <w:p>
      <w:pPr>
        <w:ind w:right="20" w:firstLine="170"/>
        <w:spacing w:after="0" w:line="253" w:lineRule="auto"/>
        <w:rPr>
          <w:sz w:val="20"/>
          <w:szCs w:val="20"/>
          <w:color w:val="auto"/>
        </w:rPr>
      </w:pPr>
      <w:r>
        <w:rPr>
          <w:rFonts w:ascii="Arial" w:cs="Arial" w:eastAsia="Arial" w:hAnsi="Arial"/>
          <w:sz w:val="17"/>
          <w:szCs w:val="17"/>
          <w:color w:val="auto"/>
        </w:rPr>
        <w:t>As of December 31, 2020, we had cash, cash equivalents and available for sale securities of $210.0 million. We estimate that our year-end 2021 cash, cash equivalents and available for sale securities will range between $130 million and $140 million. We also estimate that our cash, cash equivalents and available for sale securities will be sufficient to fund our planned capital expenditure requirements and operating expenses, excluding any potential approval or sales milestones payable to Archemix or any commercialization expenses for Zimura, into 2024. These estimates are based on our current business plan, which includes the continuation of our ongoing clinical development programs for Zimura, the progression of our IC-100 and IC-200 programs into the clinic, and the advancement of our IC-500 development program. These estimates also assume that we will enroll approximately 400 patients in the GATHER2 trial. These estimates do not reflect any additional expenditures related to potentially studying Zimura in other indications, or resulting from the potential in-licensing or acquisition of additional product candidates or technologies, commencement of any new sponsored research programs, or any associated development we may pursue. We have based these estimates on assumptions that may prove to be wrong, and we could use our available capital resources sooner than we currently expect.</w:t>
      </w:r>
    </w:p>
    <w:p>
      <w:pPr>
        <w:spacing w:after="0" w:line="20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expect we will require substantial, additional funding in order to complete the activities necessary to develop and commercialize one or more of our product candidates. Although the future development of our product candidates is highly uncertain, we expect the development of our product candidates will continue for at least the next several years. At this time, we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cannot reasonably estimate the total remaining costs necessary to complete development, to complete process development and manufacturing scale-up and validation activities and to potentially seek marketing approval for any of our product candidates.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52" w:lineRule="exact"/>
        <w:rPr>
          <w:sz w:val="20"/>
          <w:szCs w:val="20"/>
          <w:color w:val="auto"/>
        </w:rPr>
      </w:pPr>
    </w:p>
    <w:p>
      <w:pPr>
        <w:ind w:left="980" w:right="120" w:hanging="324"/>
        <w:spacing w:after="0" w:line="277" w:lineRule="auto"/>
        <w:tabs>
          <w:tab w:leader="none" w:pos="9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any future Zimura clinical programs and any further development we may undertake to enable us to file a new drug application, or NDA, for Zimura in one or more indications;</w:t>
      </w:r>
    </w:p>
    <w:p>
      <w:pPr>
        <w:spacing w:after="0" w:line="197" w:lineRule="exact"/>
        <w:rPr>
          <w:rFonts w:ascii="Arial" w:cs="Arial" w:eastAsia="Arial" w:hAnsi="Arial"/>
          <w:sz w:val="18"/>
          <w:szCs w:val="18"/>
          <w:color w:val="auto"/>
        </w:rPr>
      </w:pPr>
    </w:p>
    <w:p>
      <w:pPr>
        <w:ind w:left="980" w:right="880" w:hanging="324"/>
        <w:spacing w:after="0" w:line="308" w:lineRule="auto"/>
        <w:tabs>
          <w:tab w:leader="none" w:pos="97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scope, costs, progress, and results of process development, manufacturing scale-up and validation activities, analytical method development and qualification, and stability studies associated with Zimura and our other product candidates;</w:t>
      </w:r>
    </w:p>
    <w:p>
      <w:pPr>
        <w:spacing w:after="0" w:line="173" w:lineRule="exact"/>
        <w:rPr>
          <w:rFonts w:ascii="Arial" w:cs="Arial" w:eastAsia="Arial" w:hAnsi="Arial"/>
          <w:sz w:val="17"/>
          <w:szCs w:val="17"/>
          <w:color w:val="auto"/>
        </w:rPr>
      </w:pPr>
    </w:p>
    <w:p>
      <w:pPr>
        <w:ind w:left="980" w:right="380" w:hanging="324"/>
        <w:spacing w:after="0" w:line="308" w:lineRule="auto"/>
        <w:tabs>
          <w:tab w:leader="none" w:pos="97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scope, progress, costs and results of our efforts to develop IC-100, IC-200 and IC-500, including activities to establish manufacturing capabilities and other preclinical development activities to enable us to file INDs for these product candidates;</w:t>
      </w:r>
    </w:p>
    <w:p>
      <w:pPr>
        <w:spacing w:after="0" w:line="173" w:lineRule="exact"/>
        <w:rPr>
          <w:rFonts w:ascii="Arial" w:cs="Arial" w:eastAsia="Arial" w:hAnsi="Arial"/>
          <w:sz w:val="17"/>
          <w:szCs w:val="17"/>
          <w:color w:val="auto"/>
        </w:rPr>
      </w:pPr>
    </w:p>
    <w:p>
      <w:pPr>
        <w:ind w:left="980" w:right="420" w:hanging="324"/>
        <w:spacing w:after="0" w:line="308" w:lineRule="auto"/>
        <w:tabs>
          <w:tab w:leader="none" w:pos="97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scope, progress, costs and results from our collaborative gene therapy sponsored research programs, including costs related to the in-license and future development of any promising product candidates and technologies that emerge from these programs;</w:t>
      </w:r>
    </w:p>
    <w:p>
      <w:pPr>
        <w:spacing w:after="0" w:line="173" w:lineRule="exact"/>
        <w:rPr>
          <w:rFonts w:ascii="Arial" w:cs="Arial" w:eastAsia="Arial" w:hAnsi="Arial"/>
          <w:sz w:val="17"/>
          <w:szCs w:val="17"/>
          <w:color w:val="auto"/>
        </w:rPr>
      </w:pPr>
    </w:p>
    <w:p>
      <w:pPr>
        <w:ind w:left="980" w:right="840" w:hanging="324"/>
        <w:spacing w:after="0" w:line="277" w:lineRule="auto"/>
        <w:tabs>
          <w:tab w:leader="none" w:pos="9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any collaboration for the further development and potential commercialization of any of our product candidates;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252" w:lineRule="exact"/>
        <w:rPr>
          <w:rFonts w:ascii="Arial" w:cs="Arial" w:eastAsia="Arial" w:hAnsi="Arial"/>
          <w:sz w:val="18"/>
          <w:szCs w:val="18"/>
          <w:color w:val="auto"/>
        </w:rPr>
      </w:pPr>
    </w:p>
    <w:p>
      <w:pPr>
        <w:ind w:left="980" w:right="940" w:hanging="324"/>
        <w:spacing w:after="0" w:line="277" w:lineRule="auto"/>
        <w:tabs>
          <w:tab w:leader="none" w:pos="9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w:t>
      </w:r>
    </w:p>
    <w:p>
      <w:pPr>
        <w:spacing w:after="0" w:line="252"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w:t>
      </w:r>
    </w:p>
    <w:p>
      <w:pPr>
        <w:spacing w:after="0" w:line="19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timing, scope and cost of commercialization activities for any of our product candidates if we receive, or expect to receive, marketing approval for a product candidate; and</w:t>
      </w:r>
    </w:p>
    <w:p>
      <w:pPr>
        <w:spacing w:after="0" w:line="197" w:lineRule="exact"/>
        <w:rPr>
          <w:rFonts w:ascii="Arial" w:cs="Arial" w:eastAsia="Arial" w:hAnsi="Arial"/>
          <w:sz w:val="18"/>
          <w:szCs w:val="18"/>
          <w:color w:val="auto"/>
        </w:rPr>
      </w:pPr>
    </w:p>
    <w:p>
      <w:pPr>
        <w:ind w:left="980" w:right="560" w:hanging="324"/>
        <w:spacing w:after="0" w:line="277" w:lineRule="auto"/>
        <w:tabs>
          <w:tab w:leader="none" w:pos="9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9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if we experience issues with manufacturing, or if we modify or further expand the scope of our clinical trials, preclinical development programs or collaborative gene therapy sponsored research programs. For example, we have decided to enroll approximately 25 additional patients in our ongoing STAR trial, with the goal of enrolling a total of approximately 120 patients, which will extend the duration of that trial and increase our costs of conducting that trial. Our costs may also exceed our expectations for other reasons, for example, if we are required by the FDA, the EMA, or regulatory authorities in other jurisdictions to perform clinical trials or nonclinical or other studies in addition to those we currently expect to conduct, if we experience issues with process development, establishing or scaling-up of manufacturing activities or activities to enable and qualify second source suppliers, or if we decide to increase preclinical and clinical research and development activities, build internal research capabilities or pursue internal research efforts. For example, we are conducting the GATHER2 trial with the expectation that data collected from such trial, if it is positive, together with data from our GATHER1 trial, will be sufficient to support an application for marketing approval in the United States and the European Union and we may subsequently decide to, or be required by regulatory authorities to, enroll additional patients in the GATHER2 trial beyond our current expectations, conduct additional clinical trials for Zimura in GA or conduct additional non-clinical studies of Zimura in order to seek or maintain marketing approval or qualify for reimbursement approval. In addition, the COVID-19 pandemic may result in</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disruptions to the progress of the GATHER2 trial or the STAR trial, including slowing patient enrollment or causing enrolled patients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We may experience difficulty in enrolling or retaining patients or maintaining scheduled visits and treatments due to patients' fears of visiting clinical trial sites or ongoing restrictive measures requiring social distancing or limiting travel. For example, we are aware that, in the STAR trial, a number of patients initially enrolled in the trial missed consecutive visits during the early months of the COVID-19 pandemic. We do not know yet whether the number of missed visits will increase or decrease among the newly enrolled patients in the STAR trial or how many missed visits will occur in the GATHER2 trial, and whether and to what extent missed visits may impact the results of any of the trials. As a result of any of the above, we may need or may seek to obtain additional funding for our continuing operations sooner or in greater amounts than expected.</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governmental responses to the pandemic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able to raise approximately $150 million in net proceeds through our June 2020 public offering and concurrent private placement, we may not be able to successfully raise additional capital.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collaborative gene therapy sponsored research programs, or our future commercialization efforts.</w:t>
      </w:r>
    </w:p>
    <w:p>
      <w:pPr>
        <w:spacing w:after="0" w:line="19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 In addition, we have issued, and may in the future issue additional, equity securities as consideration for business development transactions, which may also dilute our existing stockholders' ownership interests.</w:t>
      </w:r>
    </w:p>
    <w:p>
      <w:pPr>
        <w:spacing w:after="0" w:line="20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If we raise additional funds through collaborations,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8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Archemix C5 License Agreement</w:t>
      </w:r>
    </w:p>
    <w:p>
      <w:pPr>
        <w:spacing w:after="0" w:line="144"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In September 2011, we entered into the C5 License Agreement with Archemix relating to anti-C5 aptamers. In connection with the C5 License Agreement, as amended, we paid Archemix an upfront licensing fee of $1.0 million and issued to Archemix an aggregate of 2,000,000 shares of our series A-1 preferred stock and 500,000 shares of our series B-1 preferred stock. We have paid Archemix an aggregate of $9.0 million in fees based on our achievement of specified clinical milestone events under the C5 License Agreement, including two milestone payments of $1.0 million and $6.0 million triggered by the positive 12-month data from, and by completion of, the GATHER1 trial, which we paid in March 2020 and October 2020, respectively.</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the C5 License Agreement, for each anti-C5 aptamer product that we may develop under the agreement, including Zimura, we are obligated to make additional payments to Archemix of up to an aggregate of $50.5 million if we achieve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we are also obligated to make additional payments to Archemix of up to an aggregate of $22.5 million if we achieve specified commercial milestones based on net product sales of all anti-C5 products licensed under the agreement. We are also obligated to pay Archemix a double-digit percentage of specified non-royalty payments we may receive from any sublicensee of our rights under the C5 License Agreement. We are not obligated to pay Archemix a running royalty based on net product sales in connection with the C5 License Agreement.</w:t>
      </w:r>
    </w:p>
    <w:p>
      <w:pPr>
        <w:spacing w:after="0" w:line="111" w:lineRule="exact"/>
        <w:rPr>
          <w:sz w:val="20"/>
          <w:szCs w:val="20"/>
          <w:color w:val="auto"/>
        </w:rPr>
      </w:pPr>
    </w:p>
    <w:p>
      <w:pPr>
        <w:ind w:right="360" w:firstLine="180"/>
        <w:spacing w:after="0" w:line="277" w:lineRule="auto"/>
        <w:rPr>
          <w:sz w:val="20"/>
          <w:szCs w:val="20"/>
          <w:color w:val="auto"/>
        </w:rPr>
      </w:pPr>
      <w:r>
        <w:rPr>
          <w:rFonts w:ascii="Arial" w:cs="Arial" w:eastAsia="Arial" w:hAnsi="Arial"/>
          <w:sz w:val="18"/>
          <w:szCs w:val="18"/>
          <w:color w:val="auto"/>
        </w:rPr>
        <w:t>For more information about the C5 License Agreement, please see the section entitled "Licensing and Other Arrangements—Zimura - Archemix C5 License Agreement" in Part I, Item 1 of this Annual Report on Form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Inception 4 Merger Agreement</w:t>
      </w:r>
    </w:p>
    <w:p>
      <w:pPr>
        <w:spacing w:after="0" w:line="144" w:lineRule="exact"/>
        <w:rPr>
          <w:sz w:val="20"/>
          <w:szCs w:val="20"/>
          <w:color w:val="auto"/>
        </w:rPr>
      </w:pPr>
    </w:p>
    <w:p>
      <w:pPr>
        <w:ind w:right="580" w:firstLine="180"/>
        <w:spacing w:after="0" w:line="277" w:lineRule="auto"/>
        <w:rPr>
          <w:sz w:val="20"/>
          <w:szCs w:val="20"/>
          <w:color w:val="auto"/>
        </w:rPr>
      </w:pPr>
      <w:r>
        <w:rPr>
          <w:rFonts w:ascii="Arial" w:cs="Arial" w:eastAsia="Arial" w:hAnsi="Arial"/>
          <w:sz w:val="18"/>
          <w:szCs w:val="18"/>
          <w:color w:val="auto"/>
        </w:rPr>
        <w:t>In October 2018, we and Inception 4 entered into the Inception 4 Merger Agreement, pursuant to which we acquired IC-500 and our other HtrA1 inhibitors through a merger transaction. As part of the transaction, we received approximately $6.1 million in cash.</w:t>
      </w:r>
    </w:p>
    <w:p>
      <w:pPr>
        <w:spacing w:after="0" w:line="103" w:lineRule="exact"/>
        <w:rPr>
          <w:sz w:val="20"/>
          <w:szCs w:val="20"/>
          <w:color w:val="auto"/>
        </w:rPr>
      </w:pPr>
    </w:p>
    <w:p>
      <w:pPr>
        <w:ind w:firstLine="180"/>
        <w:spacing w:after="0" w:line="254" w:lineRule="auto"/>
        <w:rPr>
          <w:sz w:val="20"/>
          <w:szCs w:val="20"/>
          <w:color w:val="auto"/>
        </w:rPr>
      </w:pPr>
      <w:r>
        <w:rPr>
          <w:rFonts w:ascii="Arial" w:cs="Arial" w:eastAsia="Arial" w:hAnsi="Arial"/>
          <w:sz w:val="18"/>
          <w:szCs w:val="18"/>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of the Inception 4 Merger, and will be payable in cash thereafter.</w:t>
      </w:r>
    </w:p>
    <w:p>
      <w:pPr>
        <w:spacing w:after="0" w:line="124" w:lineRule="exact"/>
        <w:rPr>
          <w:sz w:val="20"/>
          <w:szCs w:val="20"/>
          <w:color w:val="auto"/>
        </w:rPr>
      </w:pPr>
    </w:p>
    <w:p>
      <w:pPr>
        <w:ind w:right="100" w:firstLine="180"/>
        <w:spacing w:after="0" w:line="277" w:lineRule="auto"/>
        <w:rPr>
          <w:sz w:val="20"/>
          <w:szCs w:val="20"/>
          <w:color w:val="auto"/>
        </w:rPr>
      </w:pPr>
      <w:r>
        <w:rPr>
          <w:rFonts w:ascii="Arial" w:cs="Arial" w:eastAsia="Arial" w:hAnsi="Arial"/>
          <w:sz w:val="18"/>
          <w:szCs w:val="18"/>
          <w:color w:val="auto"/>
        </w:rPr>
        <w:t>For more information about the Inception 4 Merger Agreement, please see the section entitled "Licensing and Other Arrangements—IC-500 - Inception 4 Merger Agreement" in Part I, Item 1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RHO-adRP Gene Therapy Agreements with UFRF and Penn</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RHO-adRP License Agreement</w:t>
      </w:r>
    </w:p>
    <w:p>
      <w:pPr>
        <w:spacing w:after="0" w:line="158" w:lineRule="exact"/>
        <w:rPr>
          <w:sz w:val="20"/>
          <w:szCs w:val="20"/>
          <w:color w:val="auto"/>
        </w:rPr>
      </w:pPr>
    </w:p>
    <w:p>
      <w:pPr>
        <w:ind w:right="40" w:firstLine="180"/>
        <w:spacing w:after="0" w:line="296" w:lineRule="auto"/>
        <w:rPr>
          <w:sz w:val="20"/>
          <w:szCs w:val="20"/>
          <w:color w:val="auto"/>
        </w:rPr>
      </w:pPr>
      <w:r>
        <w:rPr>
          <w:rFonts w:ascii="Arial" w:cs="Arial" w:eastAsia="Arial" w:hAnsi="Arial"/>
          <w:sz w:val="16"/>
          <w:szCs w:val="16"/>
          <w:color w:val="auto"/>
        </w:rPr>
        <w:t>In June 2018, we paid a $0.5 million upfront license issuance fee to UFRF, on behalf of UFRF and Penn, in connection with entry into the RHO-adRP License Agreement, which was recorded as a research and development expense, as well as accrued patent prosecution expenses of approximately $30 thousand, which was recorded as a general and administrative expense. Under the agreement, we agreed to pay an annual license maintenance fee in the low double-digit thousands of dollars, which will be payable on an annual basis until the first commercial sale of a licensed product. In addition, we agreed to reimburse UFRF for the costs and expenses of patent prosecution and maintenance related to the licensed patent rights.</w:t>
      </w:r>
    </w:p>
    <w:p>
      <w:pPr>
        <w:spacing w:after="0" w:line="94"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further agreed to pay UFRF, on behalf of both licensors, up to an aggregate of $23.5 million if we achieve specified clinical, marketing approval and reimbursement approval milestones with respect to a licensed product and additionally, up to an aggregate of $70.0 million if we achieve specified commercial sales milestones with respect to a licensed product.</w:t>
      </w:r>
    </w:p>
    <w:p>
      <w:pPr>
        <w:spacing w:after="0" w:line="103" w:lineRule="exact"/>
        <w:rPr>
          <w:sz w:val="20"/>
          <w:szCs w:val="20"/>
          <w:color w:val="auto"/>
        </w:rPr>
      </w:pPr>
    </w:p>
    <w:p>
      <w:pPr>
        <w:ind w:right="40" w:firstLine="177"/>
        <w:spacing w:after="0" w:line="259" w:lineRule="auto"/>
        <w:rPr>
          <w:sz w:val="20"/>
          <w:szCs w:val="20"/>
          <w:color w:val="auto"/>
        </w:rPr>
      </w:pPr>
      <w:r>
        <w:rPr>
          <w:rFonts w:ascii="Arial" w:cs="Arial" w:eastAsia="Arial" w:hAnsi="Arial"/>
          <w:sz w:val="18"/>
          <w:szCs w:val="18"/>
          <w:color w:val="auto"/>
        </w:rPr>
        <w:t>We are also obligated to pay UFRF, on behalf of both licensors, royalties at a low single-digit percentage of net sales of licensed products. Such royalties are subject to customary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for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patent rights or other intellectual property rights that are necessary to manufacture, develop and commercialize the licensed product in such country. Our obligation to pay royalties under the RHO-adRP License Agreement will continue on a licensed product-by-licensed product and country-by-country basis until the latest of:</w:t>
      </w:r>
    </w:p>
    <w:p>
      <w:pPr>
        <w:spacing w:after="0" w:line="103"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a licensed product in the country of sale;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a licensed product in the country of sale;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ten years from the first commercial sale of the applicable licensed product in the country of sale.</w:t>
      </w:r>
    </w:p>
    <w:p>
      <w:pPr>
        <w:spacing w:after="0" w:line="14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Beginning on the earlier of the calendar year following the first commercial sale of a licensed product and the first business day of 2031, we are also obligated to pay certain minimum royalties, not to exceed an amount in the low hundreds of thousands of dollars on an annual basis, which minimum royalties are creditable against our royalty obligation with respect to net sales of licensed products due for the year in which the minimum royalty is paid.</w:t>
      </w:r>
    </w:p>
    <w:p>
      <w:pPr>
        <w:spacing w:after="0" w:line="81" w:lineRule="exact"/>
        <w:rPr>
          <w:sz w:val="20"/>
          <w:szCs w:val="20"/>
          <w:color w:val="auto"/>
        </w:rPr>
      </w:pPr>
    </w:p>
    <w:p>
      <w:pPr>
        <w:ind w:right="80" w:firstLine="180"/>
        <w:spacing w:after="0" w:line="263" w:lineRule="auto"/>
        <w:rPr>
          <w:sz w:val="20"/>
          <w:szCs w:val="20"/>
          <w:color w:val="auto"/>
        </w:rPr>
      </w:pPr>
      <w:r>
        <w:rPr>
          <w:rFonts w:ascii="Arial" w:cs="Arial" w:eastAsia="Arial" w:hAnsi="Arial"/>
          <w:sz w:val="18"/>
          <w:szCs w:val="18"/>
          <w:color w:val="auto"/>
        </w:rPr>
        <w:t>If we or an affiliate sublicenses any of the licensed patent rights to a third party, we will be obligated to pay UFRF, on behalf of both licensors, a low double-digit percentage of the consideration received in exchange for such sublicense, with the applicable percentage based upon the stage of development of the sublicensed product at the time we or the applicable affiliate enters into the sublicense.</w:t>
      </w:r>
    </w:p>
    <w:p>
      <w:pPr>
        <w:spacing w:after="0" w:line="116" w:lineRule="exact"/>
        <w:rPr>
          <w:sz w:val="20"/>
          <w:szCs w:val="20"/>
          <w:color w:val="auto"/>
        </w:rPr>
      </w:pPr>
    </w:p>
    <w:p>
      <w:pPr>
        <w:ind w:right="20" w:firstLine="180"/>
        <w:spacing w:after="0" w:line="296" w:lineRule="auto"/>
        <w:rPr>
          <w:sz w:val="20"/>
          <w:szCs w:val="20"/>
          <w:color w:val="auto"/>
        </w:rPr>
      </w:pPr>
      <w:r>
        <w:rPr>
          <w:rFonts w:ascii="Arial" w:cs="Arial" w:eastAsia="Arial" w:hAnsi="Arial"/>
          <w:sz w:val="16"/>
          <w:szCs w:val="16"/>
          <w:color w:val="auto"/>
        </w:rPr>
        <w:t>If we receive a rare pediatric disease priority review voucher from the FDA in connection with obtaining marketing approval for a licensed product and we subsequently use such priority review voucher in connection with a different product candidate, we will be obligated to pay UFRF, on behalf of both licensors, aggregate payments in the low double-digit millions of dollars based on certain marketing approval and commercial sales milestones with respect to such other product candidate. In addition, if we sell such a priority review voucher to a third party, we will be obligated to pay UFRF, on behalf of both licensors, a low double-digit percentage of any consideration received from such third party in connection with such sale.</w:t>
      </w:r>
    </w:p>
    <w:p>
      <w:pPr>
        <w:spacing w:after="0" w:line="80"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For more information about the RHO-adRP License Agreement, please see the section entitled "Licensing and Other Arrangements—License Agreement with UFRF and Penn for IC-100" in Part I, Item 1 of this Annual Report on Form 10-K.</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RHO-adRP Master Sponsored Research Agreement</w:t>
      </w:r>
    </w:p>
    <w:p>
      <w:pPr>
        <w:spacing w:after="0" w:line="158" w:lineRule="exact"/>
        <w:rPr>
          <w:sz w:val="20"/>
          <w:szCs w:val="20"/>
          <w:color w:val="auto"/>
        </w:rPr>
      </w:pPr>
    </w:p>
    <w:p>
      <w:pPr>
        <w:ind w:right="60" w:firstLine="180"/>
        <w:spacing w:after="0" w:line="286" w:lineRule="auto"/>
        <w:rPr>
          <w:sz w:val="20"/>
          <w:szCs w:val="20"/>
          <w:color w:val="auto"/>
        </w:rPr>
      </w:pPr>
      <w:r>
        <w:rPr>
          <w:rFonts w:ascii="Arial" w:cs="Arial" w:eastAsia="Arial" w:hAnsi="Arial"/>
          <w:sz w:val="17"/>
          <w:szCs w:val="17"/>
          <w:color w:val="auto"/>
        </w:rPr>
        <w:t>In June 2018, we also entered into a Master Sponsored Research Agreement, or the RHO-adRP Master SRA, with Penn. Under the RHO-adRP Master SRA, Penn has agreed to perform, on a project basis, certain sponsored research and to provide the results of such research to us. The scope of each project and certain associated terms, including financial terms, are to be specified in a statement of work for each project.</w:t>
      </w:r>
    </w:p>
    <w:p>
      <w:pPr>
        <w:spacing w:after="0" w:line="84" w:lineRule="exact"/>
        <w:rPr>
          <w:sz w:val="20"/>
          <w:szCs w:val="20"/>
          <w:color w:val="auto"/>
        </w:rPr>
      </w:pPr>
    </w:p>
    <w:p>
      <w:pPr>
        <w:ind w:right="120" w:firstLine="180"/>
        <w:spacing w:after="0" w:line="296" w:lineRule="auto"/>
        <w:rPr>
          <w:sz w:val="20"/>
          <w:szCs w:val="20"/>
          <w:color w:val="auto"/>
        </w:rPr>
      </w:pPr>
      <w:r>
        <w:rPr>
          <w:rFonts w:ascii="Arial" w:cs="Arial" w:eastAsia="Arial" w:hAnsi="Arial"/>
          <w:sz w:val="16"/>
          <w:szCs w:val="16"/>
          <w:color w:val="auto"/>
        </w:rPr>
        <w:t>Under the RHO-adRP Master SRA, Penn has granted us an exclusive first option to obtain, for no additional consideration and pursuant to the terms of the RHO-adRP License Agreement, an exclusive license to any patents or patent applications resulting from the sponsored research that is fully-funded by us and that relate to the patent rights licensed under the RHO-adRP License Agreement. In addition, under the RHO-adRP Master SRA, Penn has granted us an exclusive first option to negotiate to acquire an exclusive license, on commercially reasonable terms, to any patents or patent applications resulting from the sponsored research that is not fully funded by us or do not relate to the patent rights licensed under the RHO-adRP License Agreement.</w:t>
      </w:r>
    </w:p>
    <w:p>
      <w:pPr>
        <w:spacing w:after="0" w:line="94" w:lineRule="exact"/>
        <w:rPr>
          <w:sz w:val="20"/>
          <w:szCs w:val="20"/>
          <w:color w:val="auto"/>
        </w:rPr>
      </w:pPr>
    </w:p>
    <w:p>
      <w:pPr>
        <w:ind w:firstLine="177"/>
        <w:spacing w:after="0" w:line="272" w:lineRule="auto"/>
        <w:rPr>
          <w:sz w:val="20"/>
          <w:szCs w:val="20"/>
          <w:color w:val="auto"/>
        </w:rPr>
      </w:pPr>
      <w:r>
        <w:rPr>
          <w:rFonts w:ascii="Arial" w:cs="Arial" w:eastAsia="Arial" w:hAnsi="Arial"/>
          <w:sz w:val="17"/>
          <w:szCs w:val="17"/>
          <w:color w:val="auto"/>
        </w:rPr>
        <w:t>The initial term of the RHO-adRP Master SRA expires on June 6, 2021, provided that in the event of a termination of the RHO-adRP Master SRA, any statements of work in effect at the time of such termination shall continue in effect, subject to the terms of the RHO-adRP Master SRA, until expiration or termination of the applicable statement of work. Either party may terminate the RHO-adRP Master SRA or a statement of work if the other party breaches any of the terms or conditions of the RHO-adRP Master SRA or statement of work, as applicable, and does not cure such breach within a specified cure period. In addition, either party may terminate an applicable statement of work if the services of the applicable principal investigator are no longer available to Penn and an acceptable substitute is not appointed within an agreed-upon period. The RHO-adRP Master SRA contains indemnification and dispute resolution provisions that are customary for agreements of its kind.</w:t>
      </w:r>
    </w:p>
    <w:p>
      <w:pPr>
        <w:spacing w:after="0" w:line="110" w:lineRule="exact"/>
        <w:rPr>
          <w:sz w:val="20"/>
          <w:szCs w:val="20"/>
          <w:color w:val="auto"/>
        </w:rPr>
      </w:pPr>
    </w:p>
    <w:p>
      <w:pPr>
        <w:ind w:right="500" w:firstLine="177"/>
        <w:spacing w:after="0" w:line="311" w:lineRule="auto"/>
        <w:rPr>
          <w:sz w:val="20"/>
          <w:szCs w:val="20"/>
          <w:color w:val="auto"/>
        </w:rPr>
      </w:pPr>
      <w:r>
        <w:rPr>
          <w:rFonts w:ascii="Arial" w:cs="Arial" w:eastAsia="Arial" w:hAnsi="Arial"/>
          <w:sz w:val="16"/>
          <w:szCs w:val="16"/>
          <w:color w:val="auto"/>
        </w:rPr>
        <w:t>We and Penn have entered into a series of statements of work under the RHO-adRP Master SRA pursuant to which Penn has conducted preclinical studies of IC-100 as well as a natural history study of RHO-adRP patients. The total amount of funding for the sponsored research covered by these statements of work that we have committed to date and are expecting to commit to is in the low single-digit millions of dollars.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BEST1 Gene Therapy Agreements with Penn and UFRF</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BEST1 License Agreement</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May 2019, we paid Penn, for the benefit of Penn and UFRF, a $0.2 million upfront license issuance fee in connection with entry into the BEST1 License Agreement, which was recorded as a research and development expense, and we paid UFRF accrued patent prosecution expenses of approximately $18 thousand, which was recorded as a general and administrative expense. We have also agreed to pay Penn, for the benefit of Penn and UFRF, an annual license maintenance fee in the low double-digit thousands of dollars, which fee will be payable on an annual basis until the first commercial sale of a licensed product. In addition, we have agreed to pay Penn, for the benefit of Penn and UFRF, a one-time patent grant fee in the low triple-digit thousands of dollars, upon the issuance of a U.S. patent that claims inventions disclosed in the licensed patent rights or know-how or inventions generated under certain related sponsored research agreements with Penn or UFRF, and that is exclusively licensed to us. Furthermore, we have agreed to reimburse Penn and UFRF for the costs and expenses of patent prosecution and maintenance related to the licensed patent rights.</w:t>
      </w:r>
    </w:p>
    <w:p>
      <w:pPr>
        <w:spacing w:after="0" w:line="19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have further agreed to pay Penn, for the benefit of Penn and UFRF, up to an aggregate of $15.7 million if we achieve specified clinical, marketing approval and reimbursement approval milestones with respect to one licensed product, and up to an aggregate of an additional $3.1 million if we achieve these same milestones with respect to a different licensed product. In addition, we have agreed to pay Penn, for the benefit of Penn and UFRF, up to an aggregate of $48.0 million if we achieve specified commercial sales milestones with respect to one licensed product, and up to an aggregate of an additional $9.6 million if we achieve these same milestones with respect to a different licensed product.</w:t>
      </w:r>
    </w:p>
    <w:p>
      <w:pPr>
        <w:spacing w:after="0" w:line="176"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are also obligated to pay Penn, for the benefit of Penn and UFRF,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royalty payments actually paid by us with respect to such licensed product in such country under third-party licenses to patent rights or other intellectual property rights that are necessary to research, develop, manufacture and commercialize the licensed product in such country. Our obligation to pay royalties under the BEST1 License Agreement will continue on a licensed product-by-licensed product and country-by-country basis until the latest of:</w:t>
      </w:r>
    </w:p>
    <w:p>
      <w:pPr>
        <w:spacing w:after="0" w:line="110" w:lineRule="exact"/>
        <w:rPr>
          <w:sz w:val="20"/>
          <w:szCs w:val="20"/>
          <w:color w:val="auto"/>
        </w:rPr>
      </w:pPr>
    </w:p>
    <w:p>
      <w:pPr>
        <w:ind w:left="980" w:hanging="324"/>
        <w:spacing w:after="0"/>
        <w:tabs>
          <w:tab w:leader="none" w:pos="9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expiration of the last-to-expire licensed patent rights covering the sale of the applicable licensed product in the country of sale;</w:t>
      </w:r>
    </w:p>
    <w:p>
      <w:pPr>
        <w:spacing w:after="0" w:line="155" w:lineRule="exact"/>
        <w:rPr>
          <w:rFonts w:ascii="Arial" w:cs="Arial" w:eastAsia="Arial" w:hAnsi="Arial"/>
          <w:sz w:val="17"/>
          <w:szCs w:val="17"/>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the applicable licensed product in the country of sale;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10 years from the first commercial sale of the applicable licensed product in the country of sale.</w:t>
      </w:r>
    </w:p>
    <w:p>
      <w:pPr>
        <w:spacing w:after="0" w:line="15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Beginning on the earlier of the calendar year following the first commercial sale of a licensed product and calendar year 2032, we are also obligated to pay certain minimum royalties, not to exceed an amount in the mid tens of thousands of dollars on an annual basis, which minimum royalties are creditable against our royalty obligation with respect to net sales of licensed products due in the year the minimum royalty is paid.</w:t>
      </w:r>
    </w:p>
    <w:p>
      <w:pPr>
        <w:spacing w:after="0" w:line="84"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If we or any of our affiliates sublicense any of the licensed patent rights to a third party, we will be obligated to pay Penn, for the benefit of Penn and UFRF, a high single-digit to a mid ten's percentage of the consideration received in exchange for such sublicense, with the applicable percentage based upon the stage of development of the sublicensed product at the time we or the applicable affiliate enters into the sublicense.</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receive a rare pediatric disease priority review voucher from the FDA in connection with obtaining marketing approval for a licensed product and we subsequently use such priority review voucher in connection with a different product candidate outside the scope of the BEST1 License Agreement, we will be obligated to pay Penn, for the benefit of Penn and UFRF, aggregate payments in the low double-digit millions of dollars based on certain approval and commercial sales milestones with respect to such other product candidate. In addition, if we sell such a priority review voucher to a third party, we will be obligated to pay Penn, for the benefit of Penn and UFRF, a high single-digit percentage of any consideration received from such third party in connection with such sale.</w:t>
      </w:r>
    </w:p>
    <w:p>
      <w:pPr>
        <w:spacing w:after="0" w:line="125" w:lineRule="exact"/>
        <w:rPr>
          <w:sz w:val="20"/>
          <w:szCs w:val="20"/>
          <w:color w:val="auto"/>
        </w:rPr>
      </w:pPr>
    </w:p>
    <w:p>
      <w:pPr>
        <w:ind w:right="300" w:firstLine="180"/>
        <w:spacing w:after="0" w:line="277" w:lineRule="auto"/>
        <w:rPr>
          <w:sz w:val="20"/>
          <w:szCs w:val="20"/>
          <w:color w:val="auto"/>
        </w:rPr>
      </w:pPr>
      <w:r>
        <w:rPr>
          <w:rFonts w:ascii="Arial" w:cs="Arial" w:eastAsia="Arial" w:hAnsi="Arial"/>
          <w:sz w:val="18"/>
          <w:szCs w:val="18"/>
          <w:color w:val="auto"/>
        </w:rPr>
        <w:t>For more information about the BEST1 License Agreement, please see the section entitled "Licensing and Other Arrangements—License Agreement with Penn and UFRF for IC-200" in Part I, Item 1 of this Annual Report on Form 10-K.</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BEST1 Master Sponsored Research Agreement</w:t>
      </w:r>
    </w:p>
    <w:p>
      <w:pPr>
        <w:spacing w:after="0" w:line="252" w:lineRule="exact"/>
        <w:rPr>
          <w:sz w:val="20"/>
          <w:szCs w:val="20"/>
          <w:color w:val="auto"/>
        </w:rPr>
      </w:pPr>
    </w:p>
    <w:p>
      <w:pPr>
        <w:ind w:right="340" w:firstLine="180"/>
        <w:spacing w:after="0" w:line="277" w:lineRule="auto"/>
        <w:rPr>
          <w:sz w:val="20"/>
          <w:szCs w:val="20"/>
          <w:color w:val="auto"/>
        </w:rPr>
      </w:pPr>
      <w:r>
        <w:rPr>
          <w:rFonts w:ascii="Arial" w:cs="Arial" w:eastAsia="Arial" w:hAnsi="Arial"/>
          <w:sz w:val="18"/>
          <w:szCs w:val="18"/>
          <w:color w:val="auto"/>
        </w:rPr>
        <w:t>In October 2018, we entered into a master sponsored research agreement with Penn, which we refer to as the BEST1 Master SRA. Under the BEST1 Master SRA, Penn agreed to perform, on a project basis, certain sponsored research and to</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provide the results of such research to us. The scope of each project and certain associated terms, including financial terms, are specified in a statement of work for each project.</w:t>
      </w:r>
    </w:p>
    <w:p>
      <w:pPr>
        <w:spacing w:after="0" w:line="197" w:lineRule="exact"/>
        <w:rPr>
          <w:sz w:val="20"/>
          <w:szCs w:val="20"/>
          <w:color w:val="auto"/>
        </w:rPr>
      </w:pPr>
    </w:p>
    <w:p>
      <w:pPr>
        <w:ind w:right="220" w:firstLine="180"/>
        <w:spacing w:after="0" w:line="301" w:lineRule="auto"/>
        <w:rPr>
          <w:sz w:val="20"/>
          <w:szCs w:val="20"/>
          <w:color w:val="auto"/>
        </w:rPr>
      </w:pPr>
      <w:r>
        <w:rPr>
          <w:rFonts w:ascii="Arial" w:cs="Arial" w:eastAsia="Arial" w:hAnsi="Arial"/>
          <w:sz w:val="16"/>
          <w:szCs w:val="16"/>
          <w:color w:val="auto"/>
        </w:rPr>
        <w:t>Under the BEST1 Master SRA, Penn has granted us an exclusive first option to obtain, for no additional consideration and pursuant to the terms of the BEST1 License Agreement, an exclusive license to any patents or patent applications resulting from the sponsored research that is fully funded by us. In addition, under the BEST1 Master SRA, Penn has granted us an exclusive first option to negotiate to acquire an exclusive license, on commercially reasonable terms, to any patents or patent applications resulting from the sponsored research that is not fully funded by us.</w:t>
      </w:r>
    </w:p>
    <w:p>
      <w:pPr>
        <w:spacing w:after="0" w:line="184" w:lineRule="exact"/>
        <w:rPr>
          <w:sz w:val="20"/>
          <w:szCs w:val="20"/>
          <w:color w:val="auto"/>
        </w:rPr>
      </w:pPr>
    </w:p>
    <w:p>
      <w:pPr>
        <w:ind w:right="120" w:firstLine="177"/>
        <w:spacing w:after="0" w:line="254" w:lineRule="auto"/>
        <w:rPr>
          <w:sz w:val="20"/>
          <w:szCs w:val="20"/>
          <w:color w:val="auto"/>
        </w:rPr>
      </w:pPr>
      <w:r>
        <w:rPr>
          <w:rFonts w:ascii="Arial" w:cs="Arial" w:eastAsia="Arial" w:hAnsi="Arial"/>
          <w:sz w:val="18"/>
          <w:szCs w:val="18"/>
          <w:color w:val="auto"/>
        </w:rPr>
        <w:t>The initial term of the BEST1 Master SRA expires on October 30, 2021, provided that in the event of a termination of the BEST1 Master SRA, any statements of work in effect at the time of such termination shall continue in effect, subject to the terms of the BEST1 Master SRA, until expiration or termination of the applicable statement of work. Either party may terminate the BEST1 Master SRA or a statement of work if the other party breaches any of the terms or conditions of the BEST1 Master SRA or statement of work, as applicable, and does not cure such breach within a specified cure period. In addition, either party may terminate an applicable statement of work if the services of the applicable principal investigator are no longer available to Penn and an acceptable substitute is not appointed within an agreed-upon period. The BEST1 Master SRA contains indemnification and dispute resolution provisions that are customary for agreements of this kind.</w:t>
      </w:r>
    </w:p>
    <w:p>
      <w:pPr>
        <w:spacing w:after="0" w:line="222"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 xml:space="preserve">We and Penn have entered into a series of statements of work under the BEST1 Master SRA pursuant to which Penn is conducting preclinical studies of IC-200, as well as natural history studies of patients with </w:t>
      </w:r>
      <w:r>
        <w:rPr>
          <w:rFonts w:ascii="Arial" w:cs="Arial" w:eastAsia="Arial" w:hAnsi="Arial"/>
          <w:sz w:val="17"/>
          <w:szCs w:val="17"/>
          <w:i w:val="1"/>
          <w:iCs w:val="1"/>
          <w:color w:val="auto"/>
        </w:rPr>
        <w:t>BEST1</w:t>
      </w:r>
      <w:r>
        <w:rPr>
          <w:rFonts w:ascii="Arial" w:cs="Arial" w:eastAsia="Arial" w:hAnsi="Arial"/>
          <w:sz w:val="17"/>
          <w:szCs w:val="17"/>
          <w:color w:val="auto"/>
        </w:rPr>
        <w:t>-related IRDs. The total amount of funding for the sponsored research covered by these statements of work that we have committed to date and expect to commit to is in the low single-digit millions of dollars.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miniCEP290 License Agreement with UMass</w:t>
      </w:r>
    </w:p>
    <w:p>
      <w:pPr>
        <w:spacing w:after="0" w:line="25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In July 2019, we issued to UMass 75,000 shares of our common stock following execution of the miniCEP290 License Agreement pursuant to an exemption from registration afforded by Section 4(a)(2) of the Securities Act. In September 2019, we paid UMass a $0.4 million upfront license fee, which was recorded as a research and development expense, and we paid UMass accrued patent prosecution expenses of approximately $18 thousand, which was recorded as a general and administrative expense.</w:t>
      </w:r>
    </w:p>
    <w:p>
      <w:pPr>
        <w:spacing w:after="0" w:line="21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have also agreed to pay UMass an annual license maintenance fee in the low double-digit thousands of dollars, which fee will be payable on an annual basis until the expiration of the royalty term for the licensed products. Furthermore, we have agreed to reimburse UMass for the costs and expenses of patent prosecution and maintenance related to the licensed patent rights.</w:t>
      </w:r>
    </w:p>
    <w:p>
      <w:pPr>
        <w:spacing w:after="0" w:line="211"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We have further agreed to pay UMass up to an aggregate of $14.75 million in cash and issue up to 75,000 shares of our common stock if we achieve specified clinical and regulatory milestones with respect to a licensed product. In addition, we have agreed to pay UMass up to an aggregate of $48.0 million if we achieve specified commercial sales milestones with respect to a licensed product.</w:t>
      </w:r>
    </w:p>
    <w:p>
      <w:pPr>
        <w:spacing w:after="0" w:line="19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also obligated to pay UMass royalties at a low single-digit percentage of net sales of licensed products. Our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we are also obligated to pay certain minimum royalties, not to exceed an amount in the mid-double-digit thousands of dollars on an annual basis, which minimum royalties are creditable against our royalty obligation with respect to net sales of licensed products due in the year the minimum royalty is paid.</w:t>
      </w:r>
    </w:p>
    <w:p>
      <w:pPr>
        <w:spacing w:after="0" w:line="222"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we or any of our affiliates sublicenses any of the licensed patent rights or know-how to a third party, we will be obligated to pay UMass a high single-digit to a mid-tens percentage of the consideration received in exchange for such sublicense, with the applicable percentage based upon the stage of development of the licensed products at the time we or the applicable affiliate enters into the sublicense.</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receive a rare pediatric disease priority review voucher, or a priority review voucher, from the FDA in connection with obtaining marketing approval for a licensed product, and we subsequently use such priority review voucher in connection with a different product candidate outside the scope of the miniCEP290 License Agreement, we will be obligated to pay UMass a low-tens percentage of the fair market value of the priority review voucher at the time of approval of such product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candidate and a low-twenties percentage of the fair market value of the priority review voucher at the time of achievement of a specified commercial sales milestone for such other product candidate. In addition, if we sell such a priority review voucher to a third party, we will be obligated to pay UMass a low-thirties percentage of any consideration received from such third party in connection with such sale.</w:t>
      </w:r>
    </w:p>
    <w:p>
      <w:pPr>
        <w:spacing w:after="0" w:line="116" w:lineRule="exact"/>
        <w:rPr>
          <w:sz w:val="20"/>
          <w:szCs w:val="20"/>
          <w:color w:val="auto"/>
        </w:rPr>
      </w:pPr>
    </w:p>
    <w:p>
      <w:pPr>
        <w:ind w:right="660" w:firstLine="180"/>
        <w:spacing w:after="0" w:line="277" w:lineRule="auto"/>
        <w:rPr>
          <w:sz w:val="20"/>
          <w:szCs w:val="20"/>
          <w:color w:val="auto"/>
        </w:rPr>
      </w:pPr>
      <w:r>
        <w:rPr>
          <w:rFonts w:ascii="Arial" w:cs="Arial" w:eastAsia="Arial" w:hAnsi="Arial"/>
          <w:sz w:val="18"/>
          <w:szCs w:val="18"/>
          <w:color w:val="auto"/>
        </w:rPr>
        <w:t>For more information about the minicCEP290 License Agreement, please see the section entitled "Licensing and Other Arrangements—License Agreement with UMass for miniCEP290 Program" in Part I, Item 1 of this Annual Report on Form 10-K.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4"/>
                <w:szCs w:val="14"/>
                <w:b w:val="1"/>
                <w:bCs w:val="1"/>
                <w:color w:val="auto"/>
                <w:w w:val="92"/>
              </w:rPr>
              <w:t>Payments Due by Period</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Less than</w:t>
            </w:r>
          </w:p>
        </w:tc>
        <w:tc>
          <w:tcPr>
            <w:tcW w:w="14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1 - 3 years</w:t>
            </w:r>
          </w:p>
        </w:tc>
        <w:tc>
          <w:tcPr>
            <w:tcW w:w="16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1"/>
                <w:szCs w:val="11"/>
                <w:color w:val="auto"/>
              </w:rPr>
            </w:pPr>
          </w:p>
        </w:tc>
        <w:tc>
          <w:tcPr>
            <w:tcW w:w="8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1 year</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Sponsored Research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Purchase Obligations (2)</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(3)</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00" w:type="dxa"/>
            <w:vAlign w:val="bottom"/>
            <w:tcBorders>
              <w:bottom w:val="single" w:sz="8" w:color="auto"/>
            </w:tcBorders>
          </w:tcPr>
          <w:p>
            <w:pPr>
              <w:spacing w:after="0"/>
              <w:rPr>
                <w:sz w:val="23"/>
                <w:szCs w:val="23"/>
                <w:color w:val="auto"/>
              </w:rPr>
            </w:pPr>
          </w:p>
        </w:tc>
        <w:tc>
          <w:tcPr>
            <w:tcW w:w="3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40" w:hanging="308"/>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item includes our contracted obligations under our sponsored research agreements.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item includes our contractual commitments under certain of our manufacturing and supply agreements.</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table does not include:</w:t>
      </w:r>
    </w:p>
    <w:p>
      <w:pPr>
        <w:spacing w:after="0" w:line="158" w:lineRule="exact"/>
        <w:rPr>
          <w:sz w:val="20"/>
          <w:szCs w:val="20"/>
          <w:color w:val="auto"/>
        </w:rPr>
      </w:pPr>
    </w:p>
    <w:p>
      <w:pPr>
        <w:ind w:left="660" w:right="180" w:hanging="328"/>
        <w:spacing w:after="0" w:line="277"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milestone payments which may become payable to third parties under license or acquisition agreements as the timing and likelihood of such payments are not known with certainty;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royalty payments to third parties as the amounts, timing and likelihood of such payments are not known;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anticipated expenditures under supply agreements for periods for which we are not yet bound under binding purchase orders; or</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contracts that are entered into in the ordinary course of business that are not material in the aggregate in any period presented above.</w:t>
      </w:r>
    </w:p>
    <w:p>
      <w:pPr>
        <w:spacing w:after="0" w:line="156"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In addition to the amounts set forth in the table above, we may be required, under the agreements under which we acquired rights to Zimura, IC-100, IC-200, IC-500 and our miniCEP290 program, to make milestone payments and/or pay royalties. These payments are described in further detail in the descriptions of the applicable agreements set forth in this section.</w:t>
      </w:r>
    </w:p>
    <w:p>
      <w:pPr>
        <w:spacing w:after="0" w:line="11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2020 annual meeting of stockholders, as filed with the SEC on April 28, 2020.</w:t>
      </w:r>
    </w:p>
    <w:p>
      <w:pPr>
        <w:spacing w:after="0" w:line="65"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and/or long-term commitments of cash.</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We are exposed to market risk related to changes in interest rates. We had cash, cash equivalents and available for sale securities of $210.0 million as of December 31, 2020, consisting of cash and investments in money market funds, U.S. Treasury securities, corporate debt securities and asset-based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109"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We contract with CROs, CDMOs and certain other vendors to perform services outside the United States. We may be subject to fluctuations in foreign currency rates in connection with certain of these agreements. Transactions denominated in currencies other than the U.S. dollar are recorded based on exchange rates at the time such transactions arise. As of December 31, 2020, substantially all of our total liabilities were denominated in the U.S. dollar.</w:t>
      </w:r>
    </w:p>
    <w:p>
      <w:pPr>
        <w:spacing w:after="0" w:line="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4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financial statements, together with the report of our independent registered public accounting firm, appear on pages F-2 through F-35 of this Annual Report on Form 10-K.</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Based on the evaluation of our disclosure controls and procedures as of December 31, 2020, our Chief Executive Officer and Chief Financial Officer concluded that, as of such date,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6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0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2020. In making this assessment, management used the criteria set forth by the Committee of Sponsoring Organizations of the Treadway Commission (COSO) in the original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updated in 2013. Based on that assessment, our management concluded that, as of December 31, 2020, our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was effective.</w:t>
      </w:r>
    </w:p>
    <w:p>
      <w:pPr>
        <w:spacing w:after="0" w:line="11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2020, has been audited by Ernst &amp; Young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 changes occurred in our internal control over financial reporting (as defined in Rules 13a-15(d) and 15d-15(d) under the Exchange Act) during the quarter ended December 31, 2020 that have materially affected, or are reasonably likely to materially affect, our internal control over financial reporting. Further, we have not experienced any material impact to our internal controls over financial reporting as a result of our employees working remotely due to the COVID-19 pandemic. We are continually monitoring and assessing the impact the COVID-19 pandemic has on the operating effectiveness of our internal controls.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320" w:firstLine="3364"/>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IVERIC bio, Inc.</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9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We have audited IVERIC bio, Inc.’s internal control over financial reporting as of December 31, 2020,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(2013 framework) (the COSO criteria). In our</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IVERIC bio, Inc. (the Company) maintained, in all material respects, effective internal control over financial reporting as of December 31, 2020, based on the COSO criteria</w:t>
      </w:r>
      <w:r>
        <w:rPr>
          <w:rFonts w:ascii="Arial" w:cs="Arial" w:eastAsia="Arial" w:hAnsi="Arial"/>
          <w:sz w:val="18"/>
          <w:szCs w:val="18"/>
          <w:b w:val="1"/>
          <w:bCs w:val="1"/>
          <w:color w:val="auto"/>
        </w:rPr>
        <w:t>.</w:t>
      </w:r>
    </w:p>
    <w:p>
      <w:pPr>
        <w:spacing w:after="0" w:line="2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and the consolidated statements of operations, comprehensive income (loss), stockholders' equity and cash flows for each of the three years in the period ended December 31, 2020 and the related notes and our report dated March 4, 2021 expressed an unqualified opinion thereon.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Iselin, New Jersey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4, 2021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Shareholders and is incorporated in this Annual Report on Form 10-K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Shareholders and is incorporated in this Annual Report on Form 10-K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48"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We have adopted a code of business conduct and ethics, or the Code of Ethics, that applies to our directors and officers (including our principal executive officer, principal financial officer, principal accounting officer or controller, or persons performing similar functions) as well as our other employees. In December 2019, we amended our Code of Ethics to better align the Code of Ethics with our stage of development, including, among other things, updates relating to compliance with laws, rules and regulations applicable to pharmaceutical development, interactions with healthcare providers, data privacy and international trade regulations. In early 2020, we provided training to our employees on our amended Code of Ethics.</w:t>
      </w:r>
    </w:p>
    <w:p>
      <w:pPr>
        <w:spacing w:after="0" w:line="9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copy of our Code of Ethics is available on our website. We intend to post on our website all disclosures that are required by applicable law, the rules of the SEC or Nasdaq concerning any amendment to, or waiver of, our Code of Ethics.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Shareholders and is incorporated in this Annual Report on Form 10-K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6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have separately designated a standing Audit Committee established in accordance with Section 3(a)(58)(A) of the Exchange Act. Additional information regarding the Audit Committee that is required by this item will be set forth in our Proxy Statement for the 2021 Annual Meeting of Shareholders and is incorporated in this Annual Report on Form 10-K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16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board of directors has determined that Jane Henderson is an "audit committee financial expert" as defined by Item 407(d)(5) of Regulation S-K of the Exchange Act and Ms. Henderson and the other members of our Audit Committee are "independent" under the rules of The Nasdaq Global Select Market.</w:t>
      </w:r>
    </w:p>
    <w:p>
      <w:pPr>
        <w:spacing w:after="0" w:line="9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Shareholders and is incorporated in this Annual Report on Form 10-K by reference.</w:t>
      </w:r>
    </w:p>
    <w:p>
      <w:pPr>
        <w:spacing w:after="0" w:line="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Shareholders and is incorporated in this Annual Report on Form 10-K by reference.</w:t>
      </w:r>
    </w:p>
    <w:p>
      <w:pPr>
        <w:spacing w:after="0" w:line="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Shareholders and is incorporated in this Annual Report on Form 10-K by reference.</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49" w:name="page150"/>
    <w:bookmarkEnd w:id="1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48"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The information required by this item will be set forth in our Proxy Statement for the 2021 Annual Meeting of Shareholders and is incorporated in this Annual Report on Form 10-K by reference.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50" w:name="page151"/>
    <w:bookmarkEnd w:id="1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0" w:type="dxa"/>
            <w:vAlign w:val="bottom"/>
            <w:gridSpan w:val="5"/>
          </w:tcPr>
          <w:p>
            <w:pPr>
              <w:ind w:left="76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r>
      <w:tr>
        <w:trPr>
          <w:trHeight w:val="351"/>
        </w:trPr>
        <w:tc>
          <w:tcPr>
            <w:tcW w:w="10500" w:type="dxa"/>
            <w:vAlign w:val="bottom"/>
            <w:gridSpan w:val="7"/>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20" w:type="dxa"/>
            <w:vAlign w:val="bottom"/>
          </w:tcPr>
          <w:p>
            <w:pPr>
              <w:spacing w:after="0"/>
              <w:rPr>
                <w:sz w:val="24"/>
                <w:szCs w:val="24"/>
                <w:color w:val="auto"/>
              </w:rPr>
            </w:pPr>
          </w:p>
        </w:tc>
      </w:tr>
      <w:tr>
        <w:trPr>
          <w:trHeight w:val="364"/>
        </w:trPr>
        <w:tc>
          <w:tcPr>
            <w:tcW w:w="10500" w:type="dxa"/>
            <w:vAlign w:val="bottom"/>
            <w:gridSpan w:val="7"/>
          </w:tcPr>
          <w:p>
            <w:pPr>
              <w:spacing w:after="0"/>
              <w:rPr>
                <w:sz w:val="20"/>
                <w:szCs w:val="20"/>
                <w:color w:val="auto"/>
              </w:rPr>
            </w:pPr>
            <w:r>
              <w:rPr>
                <w:rFonts w:ascii="Arial" w:cs="Arial" w:eastAsia="Arial" w:hAnsi="Arial"/>
                <w:sz w:val="18"/>
                <w:szCs w:val="18"/>
                <w:b w:val="1"/>
                <w:bCs w:val="1"/>
                <w:color w:val="auto"/>
              </w:rPr>
              <w:t>(1) Financial Statements</w:t>
            </w:r>
          </w:p>
        </w:tc>
        <w:tc>
          <w:tcPr>
            <w:tcW w:w="720" w:type="dxa"/>
            <w:vAlign w:val="bottom"/>
          </w:tcPr>
          <w:p>
            <w:pPr>
              <w:spacing w:after="0"/>
              <w:rPr>
                <w:sz w:val="24"/>
                <w:szCs w:val="24"/>
                <w:color w:val="auto"/>
              </w:rPr>
            </w:pPr>
          </w:p>
        </w:tc>
      </w:tr>
      <w:tr>
        <w:trPr>
          <w:trHeight w:val="364"/>
        </w:trPr>
        <w:tc>
          <w:tcPr>
            <w:tcW w:w="10500" w:type="dxa"/>
            <w:vAlign w:val="bottom"/>
            <w:gridSpan w:val="7"/>
          </w:tcPr>
          <w:p>
            <w:pPr>
              <w:ind w:left="660"/>
              <w:spacing w:after="0"/>
              <w:rPr>
                <w:sz w:val="20"/>
                <w:szCs w:val="20"/>
                <w:color w:val="auto"/>
              </w:rPr>
            </w:pPr>
            <w:r>
              <w:rPr>
                <w:rFonts w:ascii="Arial" w:cs="Arial" w:eastAsia="Arial" w:hAnsi="Arial"/>
                <w:sz w:val="18"/>
                <w:szCs w:val="18"/>
                <w:color w:val="auto"/>
              </w:rPr>
              <w:t>The following financial statements are filed as part of this Annual Report on Form 10-K:</w:t>
            </w:r>
          </w:p>
        </w:tc>
        <w:tc>
          <w:tcPr>
            <w:tcW w:w="720" w:type="dxa"/>
            <w:vAlign w:val="bottom"/>
          </w:tcPr>
          <w:p>
            <w:pPr>
              <w:spacing w:after="0"/>
              <w:rPr>
                <w:sz w:val="24"/>
                <w:szCs w:val="24"/>
                <w:color w:val="auto"/>
              </w:rPr>
            </w:pPr>
          </w:p>
        </w:tc>
      </w:tr>
      <w:tr>
        <w:trPr>
          <w:trHeight w:val="479"/>
        </w:trPr>
        <w:tc>
          <w:tcPr>
            <w:tcW w:w="3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Page</w:t>
            </w:r>
          </w:p>
        </w:tc>
      </w:tr>
      <w:tr>
        <w:trPr>
          <w:trHeight w:val="229"/>
        </w:trPr>
        <w:tc>
          <w:tcPr>
            <w:tcW w:w="10500" w:type="dxa"/>
            <w:vAlign w:val="bottom"/>
            <w:gridSpan w:val="7"/>
          </w:tcPr>
          <w:p>
            <w:pPr>
              <w:ind w:left="20"/>
              <w:spacing w:after="0"/>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Report of Independent Registered Public Accounting Firm</w:t>
              </w:r>
            </w:hyperlink>
          </w:p>
        </w:tc>
        <w:tc>
          <w:tcPr>
            <w:tcW w:w="720" w:type="dxa"/>
            <w:vAlign w:val="bottom"/>
          </w:tcPr>
          <w:p>
            <w:pPr>
              <w:jc w:val="right"/>
              <w:spacing w:after="0"/>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2</w:t>
              </w:r>
            </w:hyperlink>
          </w:p>
        </w:tc>
      </w:tr>
      <w:tr>
        <w:trPr>
          <w:trHeight w:val="190"/>
        </w:trPr>
        <w:tc>
          <w:tcPr>
            <w:tcW w:w="10500" w:type="dxa"/>
            <w:vAlign w:val="bottom"/>
            <w:gridSpan w:val="7"/>
          </w:tcPr>
          <w:p>
            <w:pPr>
              <w:ind w:left="20"/>
              <w:spacing w:after="0" w:line="190" w:lineRule="exact"/>
              <w:rPr>
                <w:rFonts w:ascii="Arial" w:cs="Arial" w:eastAsia="Arial" w:hAnsi="Arial"/>
                <w:sz w:val="18"/>
                <w:szCs w:val="18"/>
                <w:color w:val="0000FF"/>
              </w:rPr>
            </w:pPr>
            <w:hyperlink w:anchor="page158">
              <w:r>
                <w:rPr>
                  <w:rFonts w:ascii="Arial" w:cs="Arial" w:eastAsia="Arial" w:hAnsi="Arial"/>
                  <w:sz w:val="18"/>
                  <w:szCs w:val="18"/>
                  <w:u w:val="single" w:color="auto"/>
                  <w:color w:val="0000FF"/>
                </w:rPr>
                <w:t>Consolidated Balance Sheets as of December 31,</w:t>
              </w:r>
              <w:r>
                <w:rPr>
                  <w:rFonts w:ascii="Arial" w:cs="Arial" w:eastAsia="Arial" w:hAnsi="Arial"/>
                  <w:sz w:val="18"/>
                  <w:szCs w:val="18"/>
                  <w:color w:val="0000FF"/>
                </w:rPr>
                <w:t xml:space="preserve"> 2020 and 20</w:t>
              </w:r>
            </w:hyperlink>
            <w:r>
              <w:rPr>
                <w:rFonts w:ascii="Arial" w:cs="Arial" w:eastAsia="Arial" w:hAnsi="Arial"/>
                <w:sz w:val="18"/>
                <w:szCs w:val="18"/>
                <w:color w:val="000000"/>
              </w:rPr>
              <w:t>19</w:t>
            </w:r>
          </w:p>
        </w:tc>
        <w:tc>
          <w:tcPr>
            <w:tcW w:w="720" w:type="dxa"/>
            <w:vAlign w:val="bottom"/>
          </w:tcPr>
          <w:p>
            <w:pPr>
              <w:jc w:val="right"/>
              <w:spacing w:after="0" w:line="190" w:lineRule="exact"/>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4</w:t>
              </w:r>
            </w:hyperlink>
          </w:p>
        </w:tc>
      </w:tr>
      <w:tr>
        <w:trPr>
          <w:trHeight w:val="20"/>
        </w:trPr>
        <w:tc>
          <w:tcPr>
            <w:tcW w:w="37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10500" w:type="dxa"/>
            <w:vAlign w:val="bottom"/>
            <w:gridSpan w:val="7"/>
          </w:tcPr>
          <w:p>
            <w:pPr>
              <w:ind w:left="20"/>
              <w:spacing w:after="0"/>
              <w:rPr>
                <w:rFonts w:ascii="Arial" w:cs="Arial" w:eastAsia="Arial" w:hAnsi="Arial"/>
                <w:sz w:val="18"/>
                <w:szCs w:val="18"/>
                <w:color w:val="0000FF"/>
              </w:rPr>
            </w:pPr>
            <w:hyperlink w:anchor="page159">
              <w:r>
                <w:rPr>
                  <w:rFonts w:ascii="Arial" w:cs="Arial" w:eastAsia="Arial" w:hAnsi="Arial"/>
                  <w:sz w:val="18"/>
                  <w:szCs w:val="18"/>
                  <w:u w:val="single" w:color="auto"/>
                  <w:color w:val="0000FF"/>
                </w:rPr>
                <w:t xml:space="preserve">Consolidated Statements of Operations for the Years Ended December 31, </w:t>
              </w:r>
            </w:hyperlink>
            <w:r>
              <w:rPr>
                <w:rFonts w:ascii="Arial" w:cs="Arial" w:eastAsia="Arial" w:hAnsi="Arial"/>
                <w:sz w:val="18"/>
                <w:szCs w:val="18"/>
                <w:color w:val="0000FF"/>
              </w:rPr>
              <w:t xml:space="preserve">2020, </w:t>
            </w:r>
            <w:hyperlink w:anchor="page159">
              <w:r>
                <w:rPr>
                  <w:rFonts w:ascii="Arial" w:cs="Arial" w:eastAsia="Arial" w:hAnsi="Arial"/>
                  <w:sz w:val="18"/>
                  <w:szCs w:val="18"/>
                  <w:color w:val="0000FF"/>
                </w:rPr>
                <w:t>2019 and 20</w:t>
              </w:r>
            </w:hyperlink>
            <w:r>
              <w:rPr>
                <w:rFonts w:ascii="Arial" w:cs="Arial" w:eastAsia="Arial" w:hAnsi="Arial"/>
                <w:sz w:val="18"/>
                <w:szCs w:val="18"/>
                <w:color w:val="000000"/>
              </w:rPr>
              <w:t>18</w:t>
            </w:r>
          </w:p>
        </w:tc>
        <w:tc>
          <w:tcPr>
            <w:tcW w:w="720" w:type="dxa"/>
            <w:vAlign w:val="bottom"/>
          </w:tcPr>
          <w:p>
            <w:pPr>
              <w:jc w:val="right"/>
              <w:spacing w:after="0"/>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5</w:t>
              </w:r>
            </w:hyperlink>
          </w:p>
        </w:tc>
      </w:tr>
      <w:tr>
        <w:trPr>
          <w:trHeight w:val="20"/>
        </w:trPr>
        <w:tc>
          <w:tcPr>
            <w:tcW w:w="6100" w:type="dxa"/>
            <w:vAlign w:val="bottom"/>
            <w:tcBorders>
              <w:right w:val="single" w:sz="8" w:color="0000FF"/>
            </w:tcBorders>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09"/>
        </w:trPr>
        <w:tc>
          <w:tcPr>
            <w:tcW w:w="10500" w:type="dxa"/>
            <w:vAlign w:val="bottom"/>
            <w:gridSpan w:val="7"/>
          </w:tcPr>
          <w:p>
            <w:pPr>
              <w:ind w:left="20"/>
              <w:spacing w:after="0"/>
              <w:rPr>
                <w:rFonts w:ascii="Arial" w:cs="Arial" w:eastAsia="Arial" w:hAnsi="Arial"/>
                <w:sz w:val="18"/>
                <w:szCs w:val="18"/>
                <w:color w:val="0000FF"/>
              </w:rPr>
            </w:pPr>
            <w:hyperlink w:anchor="page160">
              <w:r>
                <w:rPr>
                  <w:rFonts w:ascii="Arial" w:cs="Arial" w:eastAsia="Arial" w:hAnsi="Arial"/>
                  <w:sz w:val="18"/>
                  <w:szCs w:val="18"/>
                  <w:u w:val="single" w:color="auto"/>
                  <w:color w:val="0000FF"/>
                </w:rPr>
                <w:t xml:space="preserve">Consolidated Statements of Comprehensive Loss for the Years Ended December 31, </w:t>
              </w:r>
            </w:hyperlink>
            <w:r>
              <w:rPr>
                <w:rFonts w:ascii="Arial" w:cs="Arial" w:eastAsia="Arial" w:hAnsi="Arial"/>
                <w:sz w:val="18"/>
                <w:szCs w:val="18"/>
                <w:color w:val="0000FF"/>
              </w:rPr>
              <w:t xml:space="preserve">2020, </w:t>
            </w:r>
            <w:hyperlink w:anchor="page160">
              <w:r>
                <w:rPr>
                  <w:rFonts w:ascii="Arial" w:cs="Arial" w:eastAsia="Arial" w:hAnsi="Arial"/>
                  <w:sz w:val="18"/>
                  <w:szCs w:val="18"/>
                  <w:color w:val="0000FF"/>
                </w:rPr>
                <w:t>2019 and 20</w:t>
              </w:r>
            </w:hyperlink>
            <w:r>
              <w:rPr>
                <w:rFonts w:ascii="Arial" w:cs="Arial" w:eastAsia="Arial" w:hAnsi="Arial"/>
                <w:sz w:val="18"/>
                <w:szCs w:val="18"/>
                <w:color w:val="000000"/>
              </w:rPr>
              <w:t>18</w:t>
            </w:r>
          </w:p>
        </w:tc>
        <w:tc>
          <w:tcPr>
            <w:tcW w:w="720" w:type="dxa"/>
            <w:vAlign w:val="bottom"/>
          </w:tcPr>
          <w:p>
            <w:pPr>
              <w:jc w:val="right"/>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6</w:t>
              </w:r>
            </w:hyperlink>
          </w:p>
        </w:tc>
      </w:tr>
      <w:tr>
        <w:trPr>
          <w:trHeight w:val="20"/>
        </w:trPr>
        <w:tc>
          <w:tcPr>
            <w:tcW w:w="6100" w:type="dxa"/>
            <w:vAlign w:val="bottom"/>
            <w:gridSpan w:val="3"/>
          </w:tcPr>
          <w:p>
            <w:pPr>
              <w:spacing w:after="0" w:line="20" w:lineRule="exact"/>
              <w:rPr>
                <w:sz w:val="1"/>
                <w:szCs w:val="1"/>
                <w:color w:val="auto"/>
              </w:rPr>
            </w:pPr>
          </w:p>
        </w:tc>
        <w:tc>
          <w:tcPr>
            <w:tcW w:w="700" w:type="dxa"/>
            <w:vAlign w:val="bottom"/>
            <w:tcBorders>
              <w:right w:val="single" w:sz="8" w:color="0000FF"/>
            </w:tcBorders>
            <w:gridSpan w:val="2"/>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49"/>
        </w:trPr>
        <w:tc>
          <w:tcPr>
            <w:tcW w:w="10500" w:type="dxa"/>
            <w:vAlign w:val="bottom"/>
            <w:gridSpan w:val="7"/>
          </w:tcPr>
          <w:p>
            <w:pPr>
              <w:ind w:left="20"/>
              <w:spacing w:after="0"/>
              <w:rPr>
                <w:rFonts w:ascii="Arial" w:cs="Arial" w:eastAsia="Arial" w:hAnsi="Arial"/>
                <w:sz w:val="18"/>
                <w:szCs w:val="18"/>
                <w:color w:val="0000FF"/>
              </w:rPr>
            </w:pPr>
            <w:hyperlink w:anchor="page161">
              <w:r>
                <w:rPr>
                  <w:rFonts w:ascii="Arial" w:cs="Arial" w:eastAsia="Arial" w:hAnsi="Arial"/>
                  <w:sz w:val="18"/>
                  <w:szCs w:val="18"/>
                  <w:u w:val="single" w:color="auto"/>
                  <w:color w:val="0000FF"/>
                </w:rPr>
                <w:t>Consolidated Statements of Changes in Stockholders' Equity (Deficit) for the Years Ended December 31, 2020, 2019 and 20</w:t>
              </w:r>
            </w:hyperlink>
            <w:r>
              <w:rPr>
                <w:rFonts w:ascii="Arial" w:cs="Arial" w:eastAsia="Arial" w:hAnsi="Arial"/>
                <w:sz w:val="18"/>
                <w:szCs w:val="18"/>
                <w:color w:val="000000"/>
              </w:rPr>
              <w:t>18</w:t>
            </w:r>
          </w:p>
        </w:tc>
        <w:tc>
          <w:tcPr>
            <w:tcW w:w="720" w:type="dxa"/>
            <w:vAlign w:val="bottom"/>
          </w:tcPr>
          <w:p>
            <w:pPr>
              <w:jc w:val="right"/>
              <w:spacing w:after="0"/>
              <w:rPr>
                <w:rFonts w:ascii="Arial" w:cs="Arial" w:eastAsia="Arial" w:hAnsi="Arial"/>
                <w:sz w:val="18"/>
                <w:szCs w:val="18"/>
                <w:u w:val="single" w:color="auto"/>
                <w:color w:val="0000FF"/>
              </w:rPr>
            </w:pPr>
            <w:hyperlink w:anchor="page161">
              <w:r>
                <w:rPr>
                  <w:rFonts w:ascii="Arial" w:cs="Arial" w:eastAsia="Arial" w:hAnsi="Arial"/>
                  <w:sz w:val="18"/>
                  <w:szCs w:val="18"/>
                  <w:u w:val="single" w:color="auto"/>
                  <w:color w:val="0000FF"/>
                </w:rPr>
                <w:t>7</w:t>
              </w:r>
            </w:hyperlink>
          </w:p>
        </w:tc>
      </w:tr>
      <w:tr>
        <w:trPr>
          <w:trHeight w:val="190"/>
        </w:trPr>
        <w:tc>
          <w:tcPr>
            <w:tcW w:w="10500" w:type="dxa"/>
            <w:vAlign w:val="bottom"/>
            <w:gridSpan w:val="7"/>
          </w:tcPr>
          <w:p>
            <w:pPr>
              <w:ind w:left="20"/>
              <w:spacing w:after="0" w:line="190" w:lineRule="exact"/>
              <w:rPr>
                <w:rFonts w:ascii="Arial" w:cs="Arial" w:eastAsia="Arial" w:hAnsi="Arial"/>
                <w:sz w:val="18"/>
                <w:szCs w:val="18"/>
                <w:color w:val="0000FF"/>
              </w:rPr>
            </w:pPr>
            <w:hyperlink w:anchor="page162">
              <w:r>
                <w:rPr>
                  <w:rFonts w:ascii="Arial" w:cs="Arial" w:eastAsia="Arial" w:hAnsi="Arial"/>
                  <w:sz w:val="18"/>
                  <w:szCs w:val="18"/>
                  <w:u w:val="single" w:color="auto"/>
                  <w:color w:val="0000FF"/>
                </w:rPr>
                <w:t xml:space="preserve">Consolidated Statements of Cash Flows for the Years Ended December 31, </w:t>
              </w:r>
            </w:hyperlink>
            <w:r>
              <w:rPr>
                <w:rFonts w:ascii="Arial" w:cs="Arial" w:eastAsia="Arial" w:hAnsi="Arial"/>
                <w:sz w:val="18"/>
                <w:szCs w:val="18"/>
                <w:color w:val="0000FF"/>
              </w:rPr>
              <w:t xml:space="preserve">2020, </w:t>
            </w:r>
            <w:hyperlink w:anchor="page162">
              <w:r>
                <w:rPr>
                  <w:rFonts w:ascii="Arial" w:cs="Arial" w:eastAsia="Arial" w:hAnsi="Arial"/>
                  <w:sz w:val="18"/>
                  <w:szCs w:val="18"/>
                  <w:color w:val="0000FF"/>
                </w:rPr>
                <w:t>2019 and 20</w:t>
              </w:r>
            </w:hyperlink>
            <w:r>
              <w:rPr>
                <w:rFonts w:ascii="Arial" w:cs="Arial" w:eastAsia="Arial" w:hAnsi="Arial"/>
                <w:sz w:val="18"/>
                <w:szCs w:val="18"/>
                <w:color w:val="000000"/>
              </w:rPr>
              <w:t>18</w:t>
            </w:r>
          </w:p>
        </w:tc>
        <w:tc>
          <w:tcPr>
            <w:tcW w:w="720" w:type="dxa"/>
            <w:vAlign w:val="bottom"/>
          </w:tcPr>
          <w:p>
            <w:pPr>
              <w:jc w:val="right"/>
              <w:spacing w:after="0" w:line="190" w:lineRule="exact"/>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8</w:t>
              </w:r>
            </w:hyperlink>
          </w:p>
        </w:tc>
      </w:tr>
      <w:tr>
        <w:trPr>
          <w:trHeight w:val="250"/>
        </w:trPr>
        <w:tc>
          <w:tcPr>
            <w:tcW w:w="6100" w:type="dxa"/>
            <w:vAlign w:val="bottom"/>
            <w:gridSpan w:val="3"/>
          </w:tcPr>
          <w:p>
            <w:pPr>
              <w:ind w:left="20"/>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Notes to Consolidated Financial Statements</w:t>
              </w:r>
            </w:hyperlink>
          </w:p>
        </w:tc>
        <w:tc>
          <w:tcPr>
            <w:tcW w:w="700" w:type="dxa"/>
            <w:vAlign w:val="bottom"/>
            <w:tcBorders>
              <w:top w:val="single" w:sz="8" w:color="0000FF"/>
            </w:tcBorders>
            <w:gridSpan w:val="2"/>
          </w:tcPr>
          <w:p>
            <w:pPr>
              <w:spacing w:after="0"/>
              <w:rPr>
                <w:sz w:val="21"/>
                <w:szCs w:val="21"/>
                <w:color w:val="auto"/>
              </w:rPr>
            </w:pPr>
          </w:p>
        </w:tc>
        <w:tc>
          <w:tcPr>
            <w:tcW w:w="3700" w:type="dxa"/>
            <w:vAlign w:val="bottom"/>
            <w:gridSpan w:val="2"/>
          </w:tcPr>
          <w:p>
            <w:pPr>
              <w:spacing w:after="0"/>
              <w:rPr>
                <w:sz w:val="21"/>
                <w:szCs w:val="21"/>
                <w:color w:val="auto"/>
              </w:rPr>
            </w:pPr>
          </w:p>
        </w:tc>
        <w:tc>
          <w:tcPr>
            <w:tcW w:w="720" w:type="dxa"/>
            <w:vAlign w:val="bottom"/>
          </w:tcPr>
          <w:p>
            <w:pPr>
              <w:jc w:val="right"/>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9</w:t>
              </w:r>
            </w:hyperlink>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6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 financial statement schedules have been filed as part of this Annual Report on Form 10-K because they are not applicable, not required or because the information is otherwise included in our financial statements or notes thereto.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00" w:lineRule="exact"/>
        <w:rPr>
          <w:sz w:val="20"/>
          <w:szCs w:val="20"/>
          <w:color w:val="auto"/>
        </w:rPr>
      </w:pPr>
    </w:p>
    <w:p>
      <w:pPr>
        <w:spacing w:after="0" w:line="28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740" w:type="dxa"/>
            <w:vAlign w:val="bottom"/>
            <w:vMerge w:val="restart"/>
          </w:tcPr>
          <w:p>
            <w:pPr>
              <w:ind w:left="238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760"/>
        <w:spacing w:after="0" w:line="237" w:lineRule="auto"/>
        <w:rPr>
          <w:rFonts w:ascii="Arial" w:cs="Arial" w:eastAsia="Arial" w:hAnsi="Arial"/>
          <w:sz w:val="17"/>
          <w:szCs w:val="17"/>
          <w:color w:val="0000FF"/>
        </w:rPr>
      </w:pPr>
      <w:hyperlink r:id="rId170">
        <w:r>
          <w:rPr>
            <w:rFonts w:ascii="Arial" w:cs="Arial" w:eastAsia="Arial" w:hAnsi="Arial"/>
            <w:sz w:val="17"/>
            <w:szCs w:val="17"/>
            <w:u w:val="single" w:color="auto"/>
            <w:color w:val="0000FF"/>
          </w:rPr>
          <w:t>2.1</w:t>
        </w:r>
        <w:r>
          <w:rPr>
            <w:rFonts w:ascii="Arial" w:cs="Arial" w:eastAsia="Arial" w:hAnsi="Arial"/>
            <w:sz w:val="17"/>
            <w:szCs w:val="17"/>
            <w:color w:val="0000FF"/>
          </w:rPr>
          <w:t xml:space="preserve"> </w:t>
        </w:r>
      </w:hyperlink>
      <w:r>
        <w:rPr>
          <w:rFonts w:ascii="Arial" w:cs="Arial" w:eastAsia="Arial" w:hAnsi="Arial"/>
          <w:sz w:val="17"/>
          <w:szCs w:val="17"/>
          <w:color w:val="000000"/>
        </w:rPr>
        <w:t>†</w:t>
      </w:r>
      <w:r>
        <w:rPr>
          <w:rFonts w:ascii="Arial" w:cs="Arial" w:eastAsia="Arial" w:hAnsi="Arial"/>
          <w:sz w:val="17"/>
          <w:szCs w:val="17"/>
          <w:color w:val="0000FF"/>
        </w:rPr>
        <w:t xml:space="preserve">  </w:t>
      </w:r>
      <w:hyperlink r:id="rId170">
        <w:r>
          <w:rPr>
            <w:rFonts w:ascii="Arial" w:cs="Arial" w:eastAsia="Arial" w:hAnsi="Arial"/>
            <w:sz w:val="17"/>
            <w:szCs w:val="17"/>
            <w:u w:val="single" w:color="auto"/>
            <w:color w:val="0000FF"/>
          </w:rPr>
          <w:t>Agreement and Plan of Merger, dated October 30, 2018, by and among the Registrant, Orion Ophthalmology Merger Sub Inc., Orion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711517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ind w:left="1220" w:right="300" w:hanging="209"/>
        <w:spacing w:after="0" w:line="233" w:lineRule="auto"/>
        <w:tabs>
          <w:tab w:leader="none" w:pos="1220" w:val="left"/>
        </w:tabs>
        <w:numPr>
          <w:ilvl w:val="0"/>
          <w:numId w:val="101"/>
        </w:numPr>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Ophthalmology LLC, Inception 4, Inc., and solely in its capacity as equityholder representative, Fortis Advisors LLC (incorporated by</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reference to Exhibit 2.1 of the Registrant's Current Report on Form 8-K filed on October 31, 2018)</w:t>
        </w:r>
      </w:hyperlink>
    </w:p>
    <w:p>
      <w:pPr>
        <w:spacing w:after="0" w:line="1" w:lineRule="exact"/>
        <w:rPr>
          <w:rFonts w:ascii="Arial" w:cs="Arial" w:eastAsia="Arial" w:hAnsi="Arial"/>
          <w:sz w:val="18"/>
          <w:szCs w:val="18"/>
          <w:color w:val="auto"/>
        </w:rPr>
      </w:pPr>
    </w:p>
    <w:p>
      <w:pPr>
        <w:ind w:left="760"/>
        <w:spacing w:after="0"/>
        <w:tabs>
          <w:tab w:leader="none" w:pos="1200" w:val="left"/>
        </w:tabs>
        <w:rPr>
          <w:rFonts w:ascii="Arial" w:cs="Arial" w:eastAsia="Arial" w:hAnsi="Arial"/>
          <w:sz w:val="16"/>
          <w:szCs w:val="16"/>
          <w:u w:val="single" w:color="auto"/>
          <w:color w:val="0000FF"/>
        </w:rPr>
      </w:pPr>
      <w:hyperlink w:anchor="page191">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w:anchor="page191">
        <w:r>
          <w:rPr>
            <w:rFonts w:ascii="Arial" w:cs="Arial" w:eastAsia="Arial" w:hAnsi="Arial"/>
            <w:sz w:val="16"/>
            <w:szCs w:val="16"/>
            <w:u w:val="single" w:color="auto"/>
            <w:color w:val="0000FF"/>
          </w:rPr>
          <w:t>Restated Certificate of Incorporation of the Registrant, as amended on April 16, 2019</w:t>
        </w:r>
      </w:hyperlink>
    </w:p>
    <w:p>
      <w:pPr>
        <w:spacing w:after="0" w:line="23" w:lineRule="exact"/>
        <w:rPr>
          <w:sz w:val="20"/>
          <w:szCs w:val="20"/>
          <w:color w:val="auto"/>
        </w:rPr>
      </w:pPr>
    </w:p>
    <w:p>
      <w:pPr>
        <w:ind w:left="1220" w:right="260" w:hanging="475"/>
        <w:spacing w:after="0" w:line="234" w:lineRule="auto"/>
        <w:tabs>
          <w:tab w:leader="none" w:pos="1200" w:val="left"/>
        </w:tabs>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72">
        <w:r>
          <w:rPr>
            <w:rFonts w:ascii="Arial" w:cs="Arial" w:eastAsia="Arial" w:hAnsi="Arial"/>
            <w:sz w:val="18"/>
            <w:szCs w:val="18"/>
            <w:u w:val="single" w:color="auto"/>
            <w:color w:val="0000FF"/>
          </w:rPr>
          <w:t>Amended and Restated Bylaws of the Registrant (incorporated by reference to Exhibit 3.4 of the Registrant's Registration Statement on</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Form S-1, as amended (File No. 333-190643))</w:t>
        </w:r>
      </w:hyperlink>
    </w:p>
    <w:p>
      <w:pPr>
        <w:ind w:left="760"/>
        <w:spacing w:after="0"/>
        <w:tabs>
          <w:tab w:leader="none" w:pos="1200" w:val="left"/>
        </w:tabs>
        <w:rPr>
          <w:rFonts w:ascii="Arial" w:cs="Arial" w:eastAsia="Arial" w:hAnsi="Arial"/>
          <w:sz w:val="16"/>
          <w:szCs w:val="16"/>
          <w:u w:val="single" w:color="auto"/>
          <w:color w:val="0000FF"/>
        </w:rPr>
      </w:pPr>
      <w:hyperlink r:id="rId173">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173">
        <w:r>
          <w:rPr>
            <w:rFonts w:ascii="Arial" w:cs="Arial" w:eastAsia="Arial" w:hAnsi="Arial"/>
            <w:sz w:val="16"/>
            <w:szCs w:val="16"/>
            <w:u w:val="single" w:color="auto"/>
            <w:color w:val="0000FF"/>
          </w:rPr>
          <w:t>Description of Registered Securities of the Registrant (incorporated by reference to Exhibit 4.1 of the Registrant's Annual Report on Form</w:t>
        </w:r>
      </w:hyperlink>
    </w:p>
    <w:p>
      <w:pPr>
        <w:spacing w:after="0" w:line="1" w:lineRule="exact"/>
        <w:rPr>
          <w:sz w:val="20"/>
          <w:szCs w:val="20"/>
          <w:color w:val="auto"/>
        </w:rPr>
      </w:pPr>
    </w:p>
    <w:p>
      <w:pPr>
        <w:ind w:left="1220"/>
        <w:spacing w:after="0"/>
        <w:rPr>
          <w:rFonts w:ascii="Arial" w:cs="Arial" w:eastAsia="Arial" w:hAnsi="Arial"/>
          <w:sz w:val="18"/>
          <w:szCs w:val="18"/>
          <w:color w:val="0000FF"/>
        </w:rPr>
      </w:pPr>
      <w:hyperlink r:id="rId173">
        <w:r>
          <w:rPr>
            <w:rFonts w:ascii="Arial" w:cs="Arial" w:eastAsia="Arial" w:hAnsi="Arial"/>
            <w:sz w:val="18"/>
            <w:szCs w:val="18"/>
            <w:u w:val="single" w:color="auto"/>
            <w:color w:val="0000FF"/>
          </w:rPr>
          <w:t>10-K filed on Feb</w:t>
        </w:r>
        <w:r>
          <w:rPr>
            <w:rFonts w:ascii="Arial" w:cs="Arial" w:eastAsia="Arial" w:hAnsi="Arial"/>
            <w:sz w:val="18"/>
            <w:szCs w:val="18"/>
            <w:color w:val="0000FF"/>
          </w:rPr>
          <w:t xml:space="preserve">ruary </w:t>
        </w:r>
        <w:r>
          <w:rPr>
            <w:rFonts w:ascii="Arial" w:cs="Arial" w:eastAsia="Arial" w:hAnsi="Arial"/>
            <w:sz w:val="18"/>
            <w:szCs w:val="18"/>
            <w:u w:val="single" w:color="auto"/>
            <w:color w:val="0000FF"/>
          </w:rPr>
          <w:t>27, 2020)</w:t>
        </w:r>
      </w:hyperlink>
    </w:p>
    <w:p>
      <w:pPr>
        <w:spacing w:after="0" w:line="7" w:lineRule="exact"/>
        <w:rPr>
          <w:sz w:val="20"/>
          <w:szCs w:val="20"/>
          <w:color w:val="auto"/>
        </w:rPr>
      </w:pPr>
    </w:p>
    <w:p>
      <w:pPr>
        <w:ind w:left="1220" w:right="240" w:hanging="476"/>
        <w:spacing w:after="0" w:line="234" w:lineRule="auto"/>
        <w:tabs>
          <w:tab w:leader="none" w:pos="1200" w:val="left"/>
        </w:tabs>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4.2</w:t>
        </w:r>
      </w:hyperlink>
      <w:r>
        <w:rPr>
          <w:rFonts w:ascii="Arial" w:cs="Arial" w:eastAsia="Arial" w:hAnsi="Arial"/>
          <w:sz w:val="18"/>
          <w:szCs w:val="18"/>
          <w:color w:val="0000FF"/>
        </w:rPr>
        <w:tab/>
      </w:r>
      <w:hyperlink r:id="rId174">
        <w:r>
          <w:rPr>
            <w:rFonts w:ascii="Arial" w:cs="Arial" w:eastAsia="Arial" w:hAnsi="Arial"/>
            <w:sz w:val="18"/>
            <w:szCs w:val="18"/>
            <w:u w:val="single" w:color="auto"/>
            <w:color w:val="0000FF"/>
          </w:rPr>
          <w:t xml:space="preserve">Specimen Stock Certificate evidencing the shares of common stock (incorporated by reference to Exhibit 4.2 </w:t>
        </w:r>
        <w:r>
          <w:rPr>
            <w:rFonts w:ascii="Arial" w:cs="Arial" w:eastAsia="Arial" w:hAnsi="Arial"/>
            <w:sz w:val="18"/>
            <w:szCs w:val="18"/>
            <w:color w:val="0000FF"/>
          </w:rPr>
          <w:t>of the Registrant's Annual</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Report on Form 10-K filed on February 27, 2020)</w:t>
        </w:r>
      </w:hyperlink>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5756910</wp:posOffset>
            </wp:positionH>
            <wp:positionV relativeFrom="paragraph">
              <wp:posOffset>-135890</wp:posOffset>
            </wp:positionV>
            <wp:extent cx="1219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ind w:left="760"/>
        <w:spacing w:after="0"/>
        <w:tabs>
          <w:tab w:leader="none" w:pos="1200" w:val="left"/>
        </w:tabs>
        <w:rPr>
          <w:rFonts w:ascii="Arial" w:cs="Arial" w:eastAsia="Arial" w:hAnsi="Arial"/>
          <w:sz w:val="16"/>
          <w:szCs w:val="16"/>
          <w:u w:val="single" w:color="auto"/>
          <w:color w:val="0000FF"/>
        </w:rPr>
      </w:pPr>
      <w:hyperlink r:id="rId176">
        <w:r>
          <w:rPr>
            <w:rFonts w:ascii="Arial" w:cs="Arial" w:eastAsia="Arial" w:hAnsi="Arial"/>
            <w:sz w:val="18"/>
            <w:szCs w:val="18"/>
            <w:u w:val="single" w:color="auto"/>
            <w:color w:val="0000FF"/>
          </w:rPr>
          <w:t>4.3</w:t>
        </w:r>
      </w:hyperlink>
      <w:r>
        <w:rPr>
          <w:rFonts w:ascii="Arial" w:cs="Arial" w:eastAsia="Arial" w:hAnsi="Arial"/>
          <w:sz w:val="18"/>
          <w:szCs w:val="18"/>
          <w:u w:val="single" w:color="auto"/>
          <w:color w:val="0000FF"/>
        </w:rPr>
        <w:tab/>
      </w:r>
      <w:hyperlink r:id="rId176">
        <w:r>
          <w:rPr>
            <w:rFonts w:ascii="Arial" w:cs="Arial" w:eastAsia="Arial" w:hAnsi="Arial"/>
            <w:sz w:val="16"/>
            <w:szCs w:val="16"/>
            <w:u w:val="single" w:color="auto"/>
            <w:color w:val="0000FF"/>
          </w:rPr>
          <w:t>Form of Pre-Funded Warrant (incorporated by reference to Exhibit 4.1 of the Registrant's Current Report on Form 8-K filed on December</w:t>
        </w:r>
      </w:hyperlink>
    </w:p>
    <w:p>
      <w:pPr>
        <w:spacing w:after="0" w:line="1" w:lineRule="exact"/>
        <w:rPr>
          <w:sz w:val="20"/>
          <w:szCs w:val="20"/>
          <w:color w:val="auto"/>
        </w:rPr>
      </w:pPr>
    </w:p>
    <w:p>
      <w:pPr>
        <w:ind w:left="1220"/>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10, 2019)</w:t>
        </w:r>
      </w:hyperlink>
    </w:p>
    <w:p>
      <w:pPr>
        <w:ind w:left="760"/>
        <w:spacing w:after="0"/>
        <w:tabs>
          <w:tab w:leader="none" w:pos="1200" w:val="left"/>
        </w:tabs>
        <w:rPr>
          <w:rFonts w:ascii="Arial" w:cs="Arial" w:eastAsia="Arial" w:hAnsi="Arial"/>
          <w:sz w:val="16"/>
          <w:szCs w:val="16"/>
          <w:u w:val="single" w:color="auto"/>
          <w:color w:val="0000FF"/>
        </w:rPr>
      </w:pPr>
      <w:hyperlink r:id="rId177">
        <w:r>
          <w:rPr>
            <w:rFonts w:ascii="Arial" w:cs="Arial" w:eastAsia="Arial" w:hAnsi="Arial"/>
            <w:sz w:val="18"/>
            <w:szCs w:val="18"/>
            <w:u w:val="single" w:color="auto"/>
            <w:color w:val="0000FF"/>
          </w:rPr>
          <w:t>4.4</w:t>
        </w:r>
      </w:hyperlink>
      <w:r>
        <w:rPr>
          <w:rFonts w:ascii="Arial" w:cs="Arial" w:eastAsia="Arial" w:hAnsi="Arial"/>
          <w:sz w:val="18"/>
          <w:szCs w:val="18"/>
          <w:u w:val="single" w:color="auto"/>
          <w:color w:val="0000FF"/>
        </w:rPr>
        <w:tab/>
      </w:r>
      <w:hyperlink r:id="rId177">
        <w:r>
          <w:rPr>
            <w:rFonts w:ascii="Arial" w:cs="Arial" w:eastAsia="Arial" w:hAnsi="Arial"/>
            <w:sz w:val="16"/>
            <w:szCs w:val="16"/>
            <w:u w:val="single" w:color="auto"/>
            <w:color w:val="0000FF"/>
          </w:rPr>
          <w:t>Form of Pre-Funded Warrant (incorporated by reference to Exhibit 4.1 of the Registrant's Current Report on Form 8-K filed on June 17,</w:t>
        </w:r>
      </w:hyperlink>
    </w:p>
    <w:p>
      <w:pPr>
        <w:spacing w:after="0" w:line="1" w:lineRule="exact"/>
        <w:rPr>
          <w:sz w:val="20"/>
          <w:szCs w:val="20"/>
          <w:color w:val="auto"/>
        </w:rPr>
      </w:pPr>
    </w:p>
    <w:p>
      <w:pPr>
        <w:ind w:left="1220"/>
        <w:spacing w:after="0"/>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2020)</w:t>
        </w:r>
      </w:hyperlink>
    </w:p>
    <w:p>
      <w:pPr>
        <w:spacing w:after="0" w:line="7" w:lineRule="exact"/>
        <w:rPr>
          <w:sz w:val="20"/>
          <w:szCs w:val="20"/>
          <w:color w:val="auto"/>
        </w:rPr>
      </w:pPr>
    </w:p>
    <w:p>
      <w:pPr>
        <w:ind w:left="1220" w:right="100" w:hanging="566"/>
        <w:spacing w:after="0" w:line="234"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10.1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78">
        <w:r>
          <w:rPr>
            <w:rFonts w:ascii="Arial" w:cs="Arial" w:eastAsia="Arial" w:hAnsi="Arial"/>
            <w:sz w:val="18"/>
            <w:szCs w:val="18"/>
            <w:u w:val="single" w:color="auto"/>
            <w:color w:val="0000FF"/>
          </w:rPr>
          <w:t>Amended and Restated 2007 Stock Incentive Plan, as amended (incorporated by reference to Exhibit 10.1 of the Registrant's Registration</w:t>
        </w:r>
      </w:hyperlink>
      <w:r>
        <w:rPr>
          <w:rFonts w:ascii="Arial" w:cs="Arial" w:eastAsia="Arial" w:hAnsi="Arial"/>
          <w:sz w:val="18"/>
          <w:szCs w:val="18"/>
          <w:color w:val="0000FF"/>
        </w:rPr>
        <w:t xml:space="preserve"> </w:t>
      </w:r>
      <w:hyperlink r:id="rId178">
        <w:r>
          <w:rPr>
            <w:rFonts w:ascii="Arial" w:cs="Arial" w:eastAsia="Arial" w:hAnsi="Arial"/>
            <w:sz w:val="18"/>
            <w:szCs w:val="18"/>
            <w:u w:val="single" w:color="auto"/>
            <w:color w:val="0000FF"/>
          </w:rPr>
          <w:t>Statement on Form S-1 (File No. 333-190643))</w:t>
        </w:r>
      </w:hyperlink>
    </w:p>
    <w:p>
      <w:pPr>
        <w:spacing w:after="0" w:line="1" w:lineRule="exact"/>
        <w:rPr>
          <w:rFonts w:ascii="Arial" w:cs="Arial" w:eastAsia="Arial" w:hAnsi="Arial"/>
          <w:sz w:val="18"/>
          <w:szCs w:val="18"/>
          <w:color w:val="0000FF"/>
        </w:rPr>
      </w:pPr>
    </w:p>
    <w:p>
      <w:pPr>
        <w:ind w:left="660"/>
        <w:spacing w:after="0"/>
        <w:rPr>
          <w:rFonts w:ascii="Arial" w:cs="Arial" w:eastAsia="Arial" w:hAnsi="Arial"/>
          <w:sz w:val="16"/>
          <w:szCs w:val="16"/>
          <w:color w:val="0000FF"/>
        </w:rPr>
      </w:pPr>
      <w:hyperlink r:id="rId179">
        <w:r>
          <w:rPr>
            <w:rFonts w:ascii="Arial" w:cs="Arial" w:eastAsia="Arial" w:hAnsi="Arial"/>
            <w:sz w:val="16"/>
            <w:szCs w:val="16"/>
            <w:u w:val="single" w:color="auto"/>
            <w:color w:val="0000FF"/>
          </w:rPr>
          <w:t>10.2</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79">
        <w:r>
          <w:rPr>
            <w:rFonts w:ascii="Arial" w:cs="Arial" w:eastAsia="Arial" w:hAnsi="Arial"/>
            <w:sz w:val="16"/>
            <w:szCs w:val="16"/>
            <w:u w:val="single" w:color="auto"/>
            <w:color w:val="0000FF"/>
          </w:rPr>
          <w:t>Form of Incentive Stock Option Agreement under Amended and Restated 2007 Stock Incentive Plan (incorporated by reference to Exhibit</w:t>
        </w:r>
      </w:hyperlink>
    </w:p>
    <w:p>
      <w:pPr>
        <w:spacing w:after="0" w:line="7" w:lineRule="exact"/>
        <w:rPr>
          <w:sz w:val="20"/>
          <w:szCs w:val="20"/>
          <w:color w:val="auto"/>
        </w:rPr>
      </w:pPr>
    </w:p>
    <w:p>
      <w:pPr>
        <w:ind w:left="1220"/>
        <w:spacing w:after="0"/>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10.2 of the Registrant's Registration Statement on Form S-1 (File No. 333-190643))</w:t>
        </w:r>
      </w:hyperlink>
    </w:p>
    <w:p>
      <w:pPr>
        <w:spacing w:after="0" w:line="7" w:lineRule="exact"/>
        <w:rPr>
          <w:sz w:val="20"/>
          <w:szCs w:val="20"/>
          <w:color w:val="auto"/>
        </w:rPr>
      </w:pPr>
    </w:p>
    <w:p>
      <w:pPr>
        <w:ind w:left="1220" w:right="340" w:hanging="566"/>
        <w:spacing w:after="0" w:line="234" w:lineRule="auto"/>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10.3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0">
        <w:r>
          <w:rPr>
            <w:rFonts w:ascii="Arial" w:cs="Arial" w:eastAsia="Arial" w:hAnsi="Arial"/>
            <w:sz w:val="18"/>
            <w:szCs w:val="18"/>
            <w:u w:val="single" w:color="auto"/>
            <w:color w:val="0000FF"/>
          </w:rPr>
          <w:t>Form of Nonstatutory Stock Option Agreement under Amended and Restated 2007 Stock Incentive Plan (incorporated by reference to</w:t>
        </w:r>
      </w:hyperlink>
      <w:r>
        <w:rPr>
          <w:rFonts w:ascii="Arial" w:cs="Arial" w:eastAsia="Arial" w:hAnsi="Arial"/>
          <w:sz w:val="18"/>
          <w:szCs w:val="18"/>
          <w:color w:val="0000FF"/>
        </w:rPr>
        <w:t xml:space="preserve"> </w:t>
      </w:r>
      <w:hyperlink r:id="rId180">
        <w:r>
          <w:rPr>
            <w:rFonts w:ascii="Arial" w:cs="Arial" w:eastAsia="Arial" w:hAnsi="Arial"/>
            <w:sz w:val="18"/>
            <w:szCs w:val="18"/>
            <w:u w:val="single" w:color="auto"/>
            <w:color w:val="0000FF"/>
          </w:rPr>
          <w:t>Exhibit 10.3 of the Registrant's Registration Statement on Form S-1 (File No. 333-190643))</w:t>
        </w:r>
      </w:hyperlink>
    </w:p>
    <w:p>
      <w:pPr>
        <w:spacing w:after="0" w:line="1" w:lineRule="exact"/>
        <w:rPr>
          <w:rFonts w:ascii="Arial" w:cs="Arial" w:eastAsia="Arial" w:hAnsi="Arial"/>
          <w:sz w:val="18"/>
          <w:szCs w:val="18"/>
          <w:color w:val="0000FF"/>
        </w:rPr>
      </w:pPr>
    </w:p>
    <w:p>
      <w:pPr>
        <w:ind w:left="660"/>
        <w:spacing w:after="0"/>
        <w:rPr>
          <w:rFonts w:ascii="Arial" w:cs="Arial" w:eastAsia="Arial" w:hAnsi="Arial"/>
          <w:sz w:val="16"/>
          <w:szCs w:val="16"/>
          <w:color w:val="0000FF"/>
        </w:rPr>
      </w:pPr>
      <w:hyperlink r:id="rId181">
        <w:r>
          <w:rPr>
            <w:rFonts w:ascii="Arial" w:cs="Arial" w:eastAsia="Arial" w:hAnsi="Arial"/>
            <w:sz w:val="16"/>
            <w:szCs w:val="16"/>
            <w:u w:val="single" w:color="auto"/>
            <w:color w:val="0000FF"/>
          </w:rPr>
          <w:t>10.4</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81">
        <w:r>
          <w:rPr>
            <w:rFonts w:ascii="Arial" w:cs="Arial" w:eastAsia="Arial" w:hAnsi="Arial"/>
            <w:sz w:val="16"/>
            <w:szCs w:val="16"/>
            <w:u w:val="single" w:color="auto"/>
            <w:color w:val="0000FF"/>
          </w:rPr>
          <w:t>2013 Stock Incentive Plan (incorporated by reference to Exhibit 10.4 of the Registrant's Annual Report on Form 10-K filed on March 2,</w:t>
        </w:r>
      </w:hyperlink>
    </w:p>
    <w:p>
      <w:pPr>
        <w:spacing w:after="0" w:line="7" w:lineRule="exact"/>
        <w:rPr>
          <w:sz w:val="20"/>
          <w:szCs w:val="20"/>
          <w:color w:val="auto"/>
        </w:rPr>
      </w:pPr>
    </w:p>
    <w:p>
      <w:pPr>
        <w:ind w:left="1220"/>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2015)</w:t>
        </w:r>
      </w:hyperlink>
    </w:p>
    <w:p>
      <w:pPr>
        <w:spacing w:after="0" w:line="7" w:lineRule="exact"/>
        <w:rPr>
          <w:sz w:val="20"/>
          <w:szCs w:val="20"/>
          <w:color w:val="auto"/>
        </w:rPr>
      </w:pPr>
    </w:p>
    <w:p>
      <w:pPr>
        <w:ind w:left="1220" w:right="160" w:hanging="566"/>
        <w:spacing w:after="0" w:line="234" w:lineRule="auto"/>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10.5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2">
        <w:r>
          <w:rPr>
            <w:rFonts w:ascii="Arial" w:cs="Arial" w:eastAsia="Arial" w:hAnsi="Arial"/>
            <w:sz w:val="18"/>
            <w:szCs w:val="18"/>
            <w:u w:val="single" w:color="auto"/>
            <w:color w:val="0000FF"/>
          </w:rPr>
          <w:t>Amendment No. 1 to Stock Incentive Plan, adopted June 4, 2015 (incorporated by reference to Exhibit 10.1 of the Registrant's Quarterly</w:t>
        </w:r>
      </w:hyperlink>
      <w:r>
        <w:rPr>
          <w:rFonts w:ascii="Arial" w:cs="Arial" w:eastAsia="Arial" w:hAnsi="Arial"/>
          <w:sz w:val="18"/>
          <w:szCs w:val="18"/>
          <w:color w:val="0000FF"/>
        </w:rPr>
        <w:t xml:space="preserve"> </w:t>
      </w:r>
      <w:hyperlink r:id="rId182">
        <w:r>
          <w:rPr>
            <w:rFonts w:ascii="Arial" w:cs="Arial" w:eastAsia="Arial" w:hAnsi="Arial"/>
            <w:sz w:val="18"/>
            <w:szCs w:val="18"/>
            <w:u w:val="single" w:color="auto"/>
            <w:color w:val="0000FF"/>
          </w:rPr>
          <w:t>Report on Form 10-Q filed on August 10, 2015)</w:t>
        </w:r>
      </w:hyperlink>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70" w:lineRule="exact"/>
        <w:rPr>
          <w:rFonts w:ascii="Arial" w:cs="Arial" w:eastAsia="Arial" w:hAnsi="Arial"/>
          <w:sz w:val="18"/>
          <w:szCs w:val="18"/>
          <w:color w:val="0000FF"/>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1" w:name="page152"/>
    <w:bookmarkEnd w:id="1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right="20" w:hanging="566"/>
        <w:spacing w:after="0" w:line="235" w:lineRule="auto"/>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10.6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4">
        <w:r>
          <w:rPr>
            <w:rFonts w:ascii="Arial" w:cs="Arial" w:eastAsia="Arial" w:hAnsi="Arial"/>
            <w:sz w:val="18"/>
            <w:szCs w:val="18"/>
            <w:u w:val="single" w:color="auto"/>
            <w:color w:val="0000FF"/>
          </w:rPr>
          <w:t>Form of Incentive Stock Option Agreement under 2013 Stock Incentive Plan (incorporated by reference to Exhibit 10.5 of the Registrant's</w:t>
        </w:r>
      </w:hyperlink>
      <w:r>
        <w:rPr>
          <w:rFonts w:ascii="Arial" w:cs="Arial" w:eastAsia="Arial" w:hAnsi="Arial"/>
          <w:sz w:val="18"/>
          <w:szCs w:val="18"/>
          <w:color w:val="0000FF"/>
        </w:rPr>
        <w:t xml:space="preserve"> </w:t>
      </w:r>
      <w:hyperlink r:id="rId184">
        <w:r>
          <w:rPr>
            <w:rFonts w:ascii="Arial" w:cs="Arial" w:eastAsia="Arial" w:hAnsi="Arial"/>
            <w:sz w:val="18"/>
            <w:szCs w:val="18"/>
            <w:u w:val="single" w:color="auto"/>
            <w:color w:val="0000FF"/>
          </w:rPr>
          <w:t>Registration Statement on Form S-1, as amended (File No. 333-190643))</w:t>
        </w:r>
      </w:hyperlink>
    </w:p>
    <w:p>
      <w:pPr>
        <w:ind w:left="1220" w:right="620" w:hanging="566"/>
        <w:spacing w:after="0" w:line="234" w:lineRule="auto"/>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10.7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5">
        <w:r>
          <w:rPr>
            <w:rFonts w:ascii="Arial" w:cs="Arial" w:eastAsia="Arial" w:hAnsi="Arial"/>
            <w:sz w:val="18"/>
            <w:szCs w:val="18"/>
            <w:u w:val="single" w:color="auto"/>
            <w:color w:val="0000FF"/>
          </w:rPr>
          <w:t>Form of Nonqualified Stock Option Agreement under 2013 Stock Incentive Plan (incorporated by reference to Exhibit 10.6 of the</w:t>
        </w:r>
      </w:hyperlink>
      <w:r>
        <w:rPr>
          <w:rFonts w:ascii="Arial" w:cs="Arial" w:eastAsia="Arial" w:hAnsi="Arial"/>
          <w:sz w:val="18"/>
          <w:szCs w:val="18"/>
          <w:color w:val="0000FF"/>
        </w:rPr>
        <w:t xml:space="preserve"> </w:t>
      </w:r>
      <w:hyperlink r:id="rId185">
        <w:r>
          <w:rPr>
            <w:rFonts w:ascii="Arial" w:cs="Arial" w:eastAsia="Arial" w:hAnsi="Arial"/>
            <w:sz w:val="18"/>
            <w:szCs w:val="18"/>
            <w:u w:val="single" w:color="auto"/>
            <w:color w:val="0000FF"/>
          </w:rPr>
          <w:t>Registrant's Registration Statement on Form S-1, as amended (File No. 333-190643))</w:t>
        </w:r>
      </w:hyperlink>
    </w:p>
    <w:p>
      <w:pPr>
        <w:spacing w:after="0" w:line="1" w:lineRule="exact"/>
        <w:rPr>
          <w:rFonts w:ascii="Arial" w:cs="Arial" w:eastAsia="Arial" w:hAnsi="Arial"/>
          <w:sz w:val="18"/>
          <w:szCs w:val="18"/>
          <w:color w:val="0000FF"/>
        </w:rPr>
      </w:pPr>
    </w:p>
    <w:p>
      <w:pPr>
        <w:ind w:left="1220" w:right="140" w:hanging="566"/>
        <w:spacing w:after="0" w:line="234" w:lineRule="auto"/>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10.8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6">
        <w:r>
          <w:rPr>
            <w:rFonts w:ascii="Arial" w:cs="Arial" w:eastAsia="Arial" w:hAnsi="Arial"/>
            <w:sz w:val="18"/>
            <w:szCs w:val="18"/>
            <w:u w:val="single" w:color="auto"/>
            <w:color w:val="0000FF"/>
          </w:rPr>
          <w:t>Form of Restricted Stock Unit Agreement under 2013 Stock Incentive Plan (incorporated by reference to Exhibit 10.7 of the Registrant's</w:t>
        </w:r>
      </w:hyperlink>
      <w:r>
        <w:rPr>
          <w:rFonts w:ascii="Arial" w:cs="Arial" w:eastAsia="Arial" w:hAnsi="Arial"/>
          <w:sz w:val="18"/>
          <w:szCs w:val="18"/>
          <w:color w:val="0000FF"/>
        </w:rPr>
        <w:t xml:space="preserve"> </w:t>
      </w:r>
      <w:hyperlink r:id="rId186">
        <w:r>
          <w:rPr>
            <w:rFonts w:ascii="Arial" w:cs="Arial" w:eastAsia="Arial" w:hAnsi="Arial"/>
            <w:sz w:val="18"/>
            <w:szCs w:val="18"/>
            <w:u w:val="single" w:color="auto"/>
            <w:color w:val="0000FF"/>
          </w:rPr>
          <w:t>Annual Report on Form 10-K filed on March 2, 2015)</w:t>
        </w:r>
      </w:hyperlink>
    </w:p>
    <w:p>
      <w:pPr>
        <w:spacing w:after="0" w:line="1" w:lineRule="exact"/>
        <w:rPr>
          <w:rFonts w:ascii="Arial" w:cs="Arial" w:eastAsia="Arial" w:hAnsi="Arial"/>
          <w:sz w:val="18"/>
          <w:szCs w:val="18"/>
          <w:color w:val="0000FF"/>
        </w:rPr>
      </w:pPr>
    </w:p>
    <w:p>
      <w:pPr>
        <w:ind w:left="1220" w:right="260" w:hanging="566"/>
        <w:spacing w:after="0" w:line="234"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10.9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87">
        <w:r>
          <w:rPr>
            <w:rFonts w:ascii="Arial" w:cs="Arial" w:eastAsia="Arial" w:hAnsi="Arial"/>
            <w:sz w:val="18"/>
            <w:szCs w:val="18"/>
            <w:u w:val="single" w:color="auto"/>
            <w:color w:val="0000FF"/>
          </w:rPr>
          <w:t>2016 Employee Stock Purchase Plan (incorporated by reference to Exhibit 99.1 of the Registrant's Registration Statement on Form S-8</w:t>
        </w:r>
      </w:hyperlink>
      <w:r>
        <w:rPr>
          <w:rFonts w:ascii="Arial" w:cs="Arial" w:eastAsia="Arial" w:hAnsi="Arial"/>
          <w:sz w:val="18"/>
          <w:szCs w:val="18"/>
          <w:color w:val="0000FF"/>
        </w:rPr>
        <w:t xml:space="preserve"> </w:t>
      </w:r>
      <w:hyperlink r:id="rId187">
        <w:r>
          <w:rPr>
            <w:rFonts w:ascii="Arial" w:cs="Arial" w:eastAsia="Arial" w:hAnsi="Arial"/>
            <w:sz w:val="18"/>
            <w:szCs w:val="18"/>
            <w:u w:val="single" w:color="auto"/>
            <w:color w:val="0000FF"/>
          </w:rPr>
          <w:t>(File No. 333-211916))</w:t>
        </w:r>
      </w:hyperlink>
    </w:p>
    <w:p>
      <w:pPr>
        <w:spacing w:after="0" w:line="1" w:lineRule="exact"/>
        <w:rPr>
          <w:rFonts w:ascii="Arial" w:cs="Arial" w:eastAsia="Arial" w:hAnsi="Arial"/>
          <w:sz w:val="18"/>
          <w:szCs w:val="18"/>
          <w:color w:val="0000FF"/>
        </w:rPr>
      </w:pPr>
    </w:p>
    <w:p>
      <w:pPr>
        <w:jc w:val="center"/>
        <w:ind w:right="20"/>
        <w:spacing w:after="0" w:line="248" w:lineRule="auto"/>
        <w:rPr>
          <w:rFonts w:ascii="Arial" w:cs="Arial" w:eastAsia="Arial" w:hAnsi="Arial"/>
          <w:sz w:val="17"/>
          <w:szCs w:val="17"/>
          <w:u w:val="single" w:color="auto"/>
          <w:color w:val="0000FF"/>
        </w:rPr>
      </w:pPr>
      <w:hyperlink r:id="rId188">
        <w:r>
          <w:rPr>
            <w:rFonts w:ascii="Arial" w:cs="Arial" w:eastAsia="Arial" w:hAnsi="Arial"/>
            <w:sz w:val="17"/>
            <w:szCs w:val="17"/>
            <w:u w:val="single" w:color="auto"/>
            <w:color w:val="0000FF"/>
          </w:rPr>
          <w:t>10.10   2019 Inducement Stock Incentive Plan of the Registrant (incorporated by reference to Exhibit 99.1 of the Registrant's Registration</w:t>
        </w:r>
      </w:hyperlink>
      <w:r>
        <w:rPr>
          <w:rFonts w:ascii="Arial" w:cs="Arial" w:eastAsia="Arial" w:hAnsi="Arial"/>
          <w:sz w:val="17"/>
          <w:szCs w:val="17"/>
          <w:u w:val="single" w:color="auto"/>
          <w:color w:val="0000FF"/>
        </w:rPr>
        <w:t xml:space="preserve"> </w:t>
      </w:r>
      <w:hyperlink r:id="rId188">
        <w:r>
          <w:rPr>
            <w:rFonts w:ascii="Arial" w:cs="Arial" w:eastAsia="Arial" w:hAnsi="Arial"/>
            <w:sz w:val="17"/>
            <w:szCs w:val="17"/>
            <w:u w:val="single" w:color="auto"/>
            <w:color w:val="0000FF"/>
          </w:rPr>
          <w:t>Statement on Form S-8 (File No. 333-234404) filed with the Securities and Exchange Commission on October 31, 2019)</w:t>
        </w:r>
      </w:hyperlink>
    </w:p>
    <w:p>
      <w:pPr>
        <w:spacing w:after="0" w:line="1" w:lineRule="exact"/>
        <w:rPr>
          <w:sz w:val="20"/>
          <w:szCs w:val="20"/>
          <w:color w:val="auto"/>
        </w:rPr>
      </w:pPr>
    </w:p>
    <w:p>
      <w:pPr>
        <w:ind w:left="1220" w:right="840" w:hanging="649"/>
        <w:spacing w:after="0" w:line="234" w:lineRule="auto"/>
        <w:tabs>
          <w:tab w:leader="none" w:pos="1200" w:val="left"/>
        </w:tabs>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189">
        <w:r>
          <w:rPr>
            <w:rFonts w:ascii="Arial" w:cs="Arial" w:eastAsia="Arial" w:hAnsi="Arial"/>
            <w:sz w:val="18"/>
            <w:szCs w:val="18"/>
            <w:u w:val="single" w:color="auto"/>
            <w:color w:val="0000FF"/>
          </w:rPr>
          <w:t>Amendment No. 1 to 2019 Inducement Stock Incentive Plan of the Registrant (incorporated by reference to Exhibit 10.1 of the</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Registrant's Quarterly Report on Form 10-Q filed on May 7, 2020)</w:t>
        </w:r>
      </w:hyperlink>
    </w:p>
    <w:p>
      <w:pPr>
        <w:spacing w:after="0" w:line="1" w:lineRule="exact"/>
        <w:rPr>
          <w:rFonts w:ascii="Arial" w:cs="Arial" w:eastAsia="Arial" w:hAnsi="Arial"/>
          <w:sz w:val="18"/>
          <w:szCs w:val="18"/>
          <w:u w:val="single" w:color="auto"/>
          <w:color w:val="0000FF"/>
        </w:rPr>
      </w:pPr>
    </w:p>
    <w:p>
      <w:pPr>
        <w:ind w:left="580"/>
        <w:spacing w:after="0"/>
        <w:tabs>
          <w:tab w:leader="none" w:pos="1200" w:val="left"/>
        </w:tabs>
        <w:rPr>
          <w:rFonts w:ascii="Arial" w:cs="Arial" w:eastAsia="Arial" w:hAnsi="Arial"/>
          <w:sz w:val="16"/>
          <w:szCs w:val="16"/>
          <w:u w:val="single" w:color="auto"/>
          <w:color w:val="0000FF"/>
        </w:rPr>
      </w:pPr>
      <w:hyperlink w:anchor="page203">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w:anchor="page203">
        <w:r>
          <w:rPr>
            <w:rFonts w:ascii="Arial" w:cs="Arial" w:eastAsia="Arial" w:hAnsi="Arial"/>
            <w:sz w:val="16"/>
            <w:szCs w:val="16"/>
            <w:u w:val="single" w:color="auto"/>
            <w:color w:val="0000FF"/>
          </w:rPr>
          <w:t>Amendment No. 2 to 2019 Inducement Stock Incentive Plan of the Registrant</w:t>
        </w:r>
      </w:hyperlink>
    </w:p>
    <w:p>
      <w:pPr>
        <w:spacing w:after="0" w:line="23" w:lineRule="exact"/>
        <w:rPr>
          <w:sz w:val="20"/>
          <w:szCs w:val="20"/>
          <w:color w:val="auto"/>
        </w:rPr>
      </w:pPr>
    </w:p>
    <w:p>
      <w:pPr>
        <w:ind w:left="1220" w:right="20" w:hanging="656"/>
        <w:spacing w:after="0" w:line="224" w:lineRule="auto"/>
        <w:tabs>
          <w:tab w:leader="none" w:pos="1200" w:val="left"/>
        </w:tabs>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190">
        <w:r>
          <w:rPr>
            <w:rFonts w:ascii="Arial" w:cs="Arial" w:eastAsia="Arial" w:hAnsi="Arial"/>
            <w:sz w:val="18"/>
            <w:szCs w:val="18"/>
            <w:u w:val="single" w:color="auto"/>
            <w:color w:val="0000FF"/>
          </w:rPr>
          <w:t>Form of Restricted Stock Unit Agreement under the 2019 Inducement Stock Incentive Plan of the Registrant (incorporated by reference to</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Exhibit 99.2 of the Registrant's Registration Statement on Form S-8 (File No. 333-234404) filed with the Securities and Exchange</w:t>
        </w:r>
      </w:hyperlink>
      <w:r>
        <w:rPr>
          <w:rFonts w:ascii="Arial" w:cs="Arial" w:eastAsia="Arial" w:hAnsi="Arial"/>
          <w:sz w:val="18"/>
          <w:szCs w:val="18"/>
          <w:u w:val="single" w:color="auto"/>
          <w:color w:val="0000FF"/>
        </w:rPr>
        <w:t xml:space="preserve"> </w:t>
      </w:r>
      <w:hyperlink r:id="rId190">
        <w:r>
          <w:rPr>
            <w:rFonts w:ascii="Arial" w:cs="Arial" w:eastAsia="Arial" w:hAnsi="Arial"/>
            <w:sz w:val="18"/>
            <w:szCs w:val="18"/>
            <w:u w:val="single" w:color="auto"/>
            <w:color w:val="0000FF"/>
          </w:rPr>
          <w:t>Commission on October 31, 2019)</w:t>
        </w:r>
      </w:hyperlink>
    </w:p>
    <w:p>
      <w:pPr>
        <w:spacing w:after="0" w:line="1" w:lineRule="exact"/>
        <w:rPr>
          <w:rFonts w:ascii="Arial" w:cs="Arial" w:eastAsia="Arial" w:hAnsi="Arial"/>
          <w:sz w:val="18"/>
          <w:szCs w:val="18"/>
          <w:u w:val="single" w:color="auto"/>
          <w:color w:val="0000FF"/>
        </w:rPr>
      </w:pPr>
    </w:p>
    <w:p>
      <w:pPr>
        <w:jc w:val="both"/>
        <w:ind w:left="1220" w:right="460" w:hanging="656"/>
        <w:spacing w:after="0" w:line="224" w:lineRule="auto"/>
        <w:tabs>
          <w:tab w:leader="none" w:pos="1200" w:val="left"/>
        </w:tabs>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191">
        <w:r>
          <w:rPr>
            <w:rFonts w:ascii="Arial" w:cs="Arial" w:eastAsia="Arial" w:hAnsi="Arial"/>
            <w:sz w:val="18"/>
            <w:szCs w:val="18"/>
            <w:u w:val="single" w:color="auto"/>
            <w:color w:val="0000FF"/>
          </w:rPr>
          <w:t>Form of Nonstatutory Stock Option Agreement under the 2019 Inducement Stock Incentive Plan of the Registrant (incorporated by</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reference to Exhibit 99.3 of the Registrant's Registration Statement on Form S-8 (File No. 333-234404) filed with the Securities and</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Exchange Commission on October 31, 2019)</w:t>
        </w:r>
      </w:hyperlink>
    </w:p>
    <w:p>
      <w:pPr>
        <w:spacing w:after="0" w:line="1" w:lineRule="exact"/>
        <w:rPr>
          <w:rFonts w:ascii="Arial" w:cs="Arial" w:eastAsia="Arial" w:hAnsi="Arial"/>
          <w:sz w:val="18"/>
          <w:szCs w:val="18"/>
          <w:u w:val="single" w:color="auto"/>
          <w:color w:val="0000FF"/>
        </w:rPr>
      </w:pPr>
    </w:p>
    <w:p>
      <w:pPr>
        <w:ind w:left="1220" w:right="120" w:hanging="656"/>
        <w:spacing w:after="0" w:line="252" w:lineRule="auto"/>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10.15</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92">
        <w:r>
          <w:rPr>
            <w:rFonts w:ascii="Arial" w:cs="Arial" w:eastAsia="Arial" w:hAnsi="Arial"/>
            <w:sz w:val="16"/>
            <w:szCs w:val="16"/>
            <w:u w:val="single" w:color="auto"/>
            <w:color w:val="0000FF"/>
          </w:rPr>
          <w:t>Amended and Restated Exclusive License Agreement, dated as of September 12, 2011, by and between the Registrant and Archemix</w:t>
        </w:r>
      </w:hyperlink>
      <w:r>
        <w:rPr>
          <w:rFonts w:ascii="Arial" w:cs="Arial" w:eastAsia="Arial" w:hAnsi="Arial"/>
          <w:sz w:val="16"/>
          <w:szCs w:val="16"/>
          <w:color w:val="0000FF"/>
        </w:rPr>
        <w:t xml:space="preserve"> </w:t>
      </w:r>
      <w:hyperlink r:id="rId192">
        <w:r>
          <w:rPr>
            <w:rFonts w:ascii="Arial" w:cs="Arial" w:eastAsia="Arial" w:hAnsi="Arial"/>
            <w:sz w:val="16"/>
            <w:szCs w:val="16"/>
            <w:u w:val="single" w:color="auto"/>
            <w:color w:val="0000FF"/>
          </w:rPr>
          <w:t>Corp., as amended by Amendment No. 1 thereto dated December 20, 2011 and supplemented by a letter agreement, dated as of April 30,</w:t>
        </w:r>
      </w:hyperlink>
      <w:r>
        <w:rPr>
          <w:rFonts w:ascii="Arial" w:cs="Arial" w:eastAsia="Arial" w:hAnsi="Arial"/>
          <w:sz w:val="16"/>
          <w:szCs w:val="16"/>
          <w:u w:val="single" w:color="auto"/>
          <w:color w:val="0000FF"/>
        </w:rPr>
        <w:t xml:space="preserve"> </w:t>
      </w:r>
      <w:hyperlink r:id="rId192">
        <w:r>
          <w:rPr>
            <w:rFonts w:ascii="Arial" w:cs="Arial" w:eastAsia="Arial" w:hAnsi="Arial"/>
            <w:sz w:val="16"/>
            <w:szCs w:val="16"/>
            <w:u w:val="single" w:color="auto"/>
            <w:color w:val="0000FF"/>
          </w:rPr>
          <w:t>2012 (incorporated by reference to Exhibit 10.11 of the Registrant's Registration Statement on Form S-1 (File No. 333-190643))</w:t>
        </w:r>
      </w:hyperlink>
    </w:p>
    <w:p>
      <w:pPr>
        <w:spacing w:after="0" w:line="1" w:lineRule="exact"/>
        <w:rPr>
          <w:rFonts w:ascii="Arial" w:cs="Arial" w:eastAsia="Arial" w:hAnsi="Arial"/>
          <w:sz w:val="16"/>
          <w:szCs w:val="16"/>
          <w:color w:val="0000FF"/>
        </w:rPr>
      </w:pPr>
    </w:p>
    <w:p>
      <w:pPr>
        <w:ind w:left="1220" w:hanging="656"/>
        <w:spacing w:after="0" w:line="224" w:lineRule="auto"/>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10.16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3">
        <w:r>
          <w:rPr>
            <w:rFonts w:ascii="Arial" w:cs="Arial" w:eastAsia="Arial" w:hAnsi="Arial"/>
            <w:sz w:val="18"/>
            <w:szCs w:val="18"/>
            <w:u w:val="single" w:color="auto"/>
            <w:color w:val="0000FF"/>
          </w:rPr>
          <w:t>Exclusive License Agreement with Know-How by and among The University of Florida Research Foundation, Incorporated, The Trustees</w:t>
        </w:r>
      </w:hyperlink>
      <w:r>
        <w:rPr>
          <w:rFonts w:ascii="Arial" w:cs="Arial" w:eastAsia="Arial" w:hAnsi="Arial"/>
          <w:sz w:val="18"/>
          <w:szCs w:val="18"/>
          <w:color w:val="0000FF"/>
        </w:rPr>
        <w:t xml:space="preserve"> </w:t>
      </w:r>
      <w:hyperlink r:id="rId193">
        <w:r>
          <w:rPr>
            <w:rFonts w:ascii="Arial" w:cs="Arial" w:eastAsia="Arial" w:hAnsi="Arial"/>
            <w:sz w:val="18"/>
            <w:szCs w:val="18"/>
            <w:u w:val="single" w:color="auto"/>
            <w:color w:val="0000FF"/>
          </w:rPr>
          <w:t>of the University of Pennsylvania and the Registrant dated June 6, 2018 (incorporated by reference to Exhibit 10.1 of the Registrant's</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Quarterly Report on Form 10-Q filed on August 1, 2018)</w:t>
        </w:r>
      </w:hyperlink>
    </w:p>
    <w:p>
      <w:pPr>
        <w:spacing w:after="0" w:line="1" w:lineRule="exact"/>
        <w:rPr>
          <w:rFonts w:ascii="Arial" w:cs="Arial" w:eastAsia="Arial" w:hAnsi="Arial"/>
          <w:sz w:val="18"/>
          <w:szCs w:val="18"/>
          <w:color w:val="0000FF"/>
        </w:rPr>
      </w:pPr>
    </w:p>
    <w:p>
      <w:pPr>
        <w:ind w:left="580"/>
        <w:spacing w:after="0"/>
        <w:rPr>
          <w:rFonts w:ascii="Arial" w:cs="Arial" w:eastAsia="Arial" w:hAnsi="Arial"/>
          <w:sz w:val="16"/>
          <w:szCs w:val="16"/>
          <w:color w:val="0000FF"/>
        </w:rPr>
      </w:pPr>
      <w:hyperlink r:id="rId194">
        <w:r>
          <w:rPr>
            <w:rFonts w:ascii="Arial" w:cs="Arial" w:eastAsia="Arial" w:hAnsi="Arial"/>
            <w:sz w:val="16"/>
            <w:szCs w:val="16"/>
            <w:u w:val="single" w:color="auto"/>
            <w:color w:val="0000FF"/>
          </w:rPr>
          <w:t>10.17</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94">
        <w:r>
          <w:rPr>
            <w:rFonts w:ascii="Arial" w:cs="Arial" w:eastAsia="Arial" w:hAnsi="Arial"/>
            <w:sz w:val="16"/>
            <w:szCs w:val="16"/>
            <w:u w:val="single" w:color="auto"/>
            <w:color w:val="0000FF"/>
          </w:rPr>
          <w:t>Master Sponsored Research Agreement by and between The Trustees of the University of Pennsylvania and the Registrant dated June 6,</w:t>
        </w:r>
      </w:hyperlink>
    </w:p>
    <w:p>
      <w:pPr>
        <w:spacing w:after="0" w:line="7" w:lineRule="exact"/>
        <w:rPr>
          <w:sz w:val="20"/>
          <w:szCs w:val="20"/>
          <w:color w:val="auto"/>
        </w:rPr>
      </w:pPr>
    </w:p>
    <w:p>
      <w:pPr>
        <w:ind w:left="1220"/>
        <w:spacing w:after="0"/>
        <w:rPr>
          <w:rFonts w:ascii="Arial" w:cs="Arial" w:eastAsia="Arial" w:hAnsi="Arial"/>
          <w:sz w:val="18"/>
          <w:szCs w:val="18"/>
          <w:u w:val="single" w:color="auto"/>
          <w:color w:val="0000FF"/>
        </w:rPr>
      </w:pPr>
      <w:hyperlink r:id="rId194">
        <w:r>
          <w:rPr>
            <w:rFonts w:ascii="Arial" w:cs="Arial" w:eastAsia="Arial" w:hAnsi="Arial"/>
            <w:sz w:val="18"/>
            <w:szCs w:val="18"/>
            <w:u w:val="single" w:color="auto"/>
            <w:color w:val="0000FF"/>
          </w:rPr>
          <w:t>2018 (incorporated by reference to Exhibit 10.2 of the Registrant's Quarterly Report on Form 10-Q filed on August 1, 2018)</w:t>
        </w:r>
      </w:hyperlink>
    </w:p>
    <w:p>
      <w:pPr>
        <w:spacing w:after="0" w:line="7" w:lineRule="exact"/>
        <w:rPr>
          <w:sz w:val="20"/>
          <w:szCs w:val="20"/>
          <w:color w:val="auto"/>
        </w:rPr>
      </w:pPr>
    </w:p>
    <w:p>
      <w:pPr>
        <w:ind w:left="1220" w:right="220" w:hanging="656"/>
        <w:spacing w:after="0" w:line="224" w:lineRule="auto"/>
        <w:tabs>
          <w:tab w:leader="none" w:pos="1200" w:val="left"/>
        </w:tabs>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195">
        <w:r>
          <w:rPr>
            <w:rFonts w:ascii="Arial" w:cs="Arial" w:eastAsia="Arial" w:hAnsi="Arial"/>
            <w:sz w:val="18"/>
            <w:szCs w:val="18"/>
            <w:u w:val="single" w:color="auto"/>
            <w:color w:val="0000FF"/>
          </w:rPr>
          <w:t>Amendment No. 1 to Master Sponsored Research Agreement by and between The Trustees of the University of Pennsylvania and the</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Registrant dated October 1, 2019 (incorporated by reference to Exhibit 10.3 of the Registrant's Quarterly Report on Form 10-Q filed on</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November 12, 2019)</w:t>
        </w:r>
      </w:hyperlink>
    </w:p>
    <w:p>
      <w:pPr>
        <w:spacing w:after="0" w:line="1" w:lineRule="exact"/>
        <w:rPr>
          <w:rFonts w:ascii="Arial" w:cs="Arial" w:eastAsia="Arial" w:hAnsi="Arial"/>
          <w:sz w:val="18"/>
          <w:szCs w:val="18"/>
          <w:u w:val="single" w:color="auto"/>
          <w:color w:val="0000FF"/>
        </w:rPr>
      </w:pPr>
    </w:p>
    <w:p>
      <w:pPr>
        <w:jc w:val="both"/>
        <w:ind w:left="1220" w:right="80" w:hanging="656"/>
        <w:spacing w:after="0" w:line="224" w:lineRule="auto"/>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10.19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6">
        <w:r>
          <w:rPr>
            <w:rFonts w:ascii="Arial" w:cs="Arial" w:eastAsia="Arial" w:hAnsi="Arial"/>
            <w:sz w:val="18"/>
            <w:szCs w:val="18"/>
            <w:u w:val="single" w:color="auto"/>
            <w:color w:val="0000FF"/>
          </w:rPr>
          <w:t>Exclusive License Agreement with Know-How by and among The Trustees of the University of Pennsylvania, The University of Florida</w:t>
        </w:r>
      </w:hyperlink>
      <w:r>
        <w:rPr>
          <w:rFonts w:ascii="Arial" w:cs="Arial" w:eastAsia="Arial" w:hAnsi="Arial"/>
          <w:sz w:val="18"/>
          <w:szCs w:val="18"/>
          <w:color w:val="0000FF"/>
        </w:rPr>
        <w:t xml:space="preserve"> </w:t>
      </w:r>
      <w:hyperlink r:id="rId196">
        <w:r>
          <w:rPr>
            <w:rFonts w:ascii="Arial" w:cs="Arial" w:eastAsia="Arial" w:hAnsi="Arial"/>
            <w:sz w:val="18"/>
            <w:szCs w:val="18"/>
            <w:u w:val="single" w:color="auto"/>
            <w:color w:val="0000FF"/>
          </w:rPr>
          <w:t>Research Foundation, Incorporated, and the Registrant dated April 10, 2019 (incorporated by reference to Exhibit 10.1 of the Registrant's</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Quarterly Report on Form 10-Q filed on August 1, 2019)</w:t>
        </w:r>
      </w:hyperlink>
    </w:p>
    <w:p>
      <w:pPr>
        <w:spacing w:after="0" w:line="1" w:lineRule="exact"/>
        <w:rPr>
          <w:rFonts w:ascii="Arial" w:cs="Arial" w:eastAsia="Arial" w:hAnsi="Arial"/>
          <w:sz w:val="18"/>
          <w:szCs w:val="18"/>
          <w:color w:val="0000FF"/>
        </w:rPr>
      </w:pPr>
    </w:p>
    <w:p>
      <w:pPr>
        <w:ind w:left="1220" w:right="40" w:hanging="656"/>
        <w:spacing w:after="0" w:line="234" w:lineRule="auto"/>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10.20</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197">
        <w:r>
          <w:rPr>
            <w:rFonts w:ascii="Arial" w:cs="Arial" w:eastAsia="Arial" w:hAnsi="Arial"/>
            <w:sz w:val="18"/>
            <w:szCs w:val="18"/>
            <w:u w:val="single" w:color="auto"/>
            <w:color w:val="0000FF"/>
          </w:rPr>
          <w:t>Amendment No. 1 to Exclusive License Agreement with Know-How, dated May 1, 2020 (incorporated by reference to Exhibit 10.3 of the</w:t>
        </w:r>
      </w:hyperlink>
      <w:r>
        <w:rPr>
          <w:rFonts w:ascii="Arial" w:cs="Arial" w:eastAsia="Arial" w:hAnsi="Arial"/>
          <w:sz w:val="18"/>
          <w:szCs w:val="18"/>
          <w:color w:val="0000FF"/>
        </w:rPr>
        <w:t xml:space="preserve"> </w:t>
      </w:r>
      <w:hyperlink r:id="rId197">
        <w:r>
          <w:rPr>
            <w:rFonts w:ascii="Arial" w:cs="Arial" w:eastAsia="Arial" w:hAnsi="Arial"/>
            <w:sz w:val="18"/>
            <w:szCs w:val="18"/>
            <w:u w:val="single" w:color="auto"/>
            <w:color w:val="0000FF"/>
          </w:rPr>
          <w:t>Registrant's Quarterly Report on Form 10-Q filed on May 7, 2020)</w:t>
        </w:r>
      </w:hyperlink>
    </w:p>
    <w:p>
      <w:pPr>
        <w:spacing w:after="0" w:line="1" w:lineRule="exact"/>
        <w:rPr>
          <w:rFonts w:ascii="Arial" w:cs="Arial" w:eastAsia="Arial" w:hAnsi="Arial"/>
          <w:sz w:val="18"/>
          <w:szCs w:val="18"/>
          <w:color w:val="0000FF"/>
        </w:rPr>
      </w:pPr>
    </w:p>
    <w:p>
      <w:pPr>
        <w:jc w:val="center"/>
        <w:ind w:left="420"/>
        <w:spacing w:after="0"/>
        <w:rPr>
          <w:rFonts w:ascii="Arial" w:cs="Arial" w:eastAsia="Arial" w:hAnsi="Arial"/>
          <w:sz w:val="16"/>
          <w:szCs w:val="16"/>
          <w:color w:val="0000FF"/>
        </w:rPr>
      </w:pPr>
      <w:hyperlink r:id="rId198">
        <w:r>
          <w:rPr>
            <w:rFonts w:ascii="Arial" w:cs="Arial" w:eastAsia="Arial" w:hAnsi="Arial"/>
            <w:sz w:val="16"/>
            <w:szCs w:val="16"/>
            <w:u w:val="single" w:color="auto"/>
            <w:color w:val="0000FF"/>
          </w:rPr>
          <w:t>10.21</w:t>
        </w:r>
        <w:r>
          <w:rPr>
            <w:rFonts w:ascii="Arial" w:cs="Arial" w:eastAsia="Arial" w:hAnsi="Arial"/>
            <w:sz w:val="16"/>
            <w:szCs w:val="16"/>
            <w:color w:val="0000FF"/>
          </w:rPr>
          <w:t xml:space="preserve"> </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198">
        <w:r>
          <w:rPr>
            <w:rFonts w:ascii="Arial" w:cs="Arial" w:eastAsia="Arial" w:hAnsi="Arial"/>
            <w:sz w:val="16"/>
            <w:szCs w:val="16"/>
            <w:u w:val="single" w:color="auto"/>
            <w:color w:val="0000FF"/>
          </w:rPr>
          <w:t>Master Sponsored Research Agreement by and between The Trustees of the University of Pennsylvania and the Registrant dated October</w:t>
        </w:r>
      </w:hyperlink>
    </w:p>
    <w:p>
      <w:pPr>
        <w:spacing w:after="0" w:line="7" w:lineRule="exact"/>
        <w:rPr>
          <w:sz w:val="20"/>
          <w:szCs w:val="20"/>
          <w:color w:val="auto"/>
        </w:rPr>
      </w:pPr>
    </w:p>
    <w:p>
      <w:pPr>
        <w:jc w:val="center"/>
        <w:ind w:left="400"/>
        <w:spacing w:after="0"/>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30, 2018 (incorporated by reference to Exhibit 10.2 of the Registrant's Quarterly Report on Form 10-Q filed on August 1, 2019)</w:t>
        </w:r>
      </w:hyperlink>
    </w:p>
    <w:p>
      <w:pPr>
        <w:spacing w:after="0" w:line="7" w:lineRule="exact"/>
        <w:rPr>
          <w:sz w:val="20"/>
          <w:szCs w:val="20"/>
          <w:color w:val="auto"/>
        </w:rPr>
      </w:pPr>
    </w:p>
    <w:p>
      <w:pPr>
        <w:ind w:left="1220" w:right="220" w:hanging="656"/>
        <w:spacing w:after="0" w:line="224" w:lineRule="auto"/>
        <w:tabs>
          <w:tab w:leader="none" w:pos="1200" w:val="left"/>
        </w:tabs>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199">
        <w:r>
          <w:rPr>
            <w:rFonts w:ascii="Arial" w:cs="Arial" w:eastAsia="Arial" w:hAnsi="Arial"/>
            <w:sz w:val="18"/>
            <w:szCs w:val="18"/>
            <w:u w:val="single" w:color="auto"/>
            <w:color w:val="0000FF"/>
          </w:rPr>
          <w:t>Amendment No. 1 to Master Sponsored Research Agreement by and between The Trustees of the University of Pennsylvania and the</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Registrant dated October 1, 2019 (incorporated by reference to Exhibit 10.2 of the Registrant's Quarterly Report on Form 10-Q filed on</w:t>
        </w:r>
      </w:hyperlink>
      <w:r>
        <w:rPr>
          <w:rFonts w:ascii="Arial" w:cs="Arial" w:eastAsia="Arial" w:hAnsi="Arial"/>
          <w:sz w:val="18"/>
          <w:szCs w:val="18"/>
          <w:u w:val="single" w:color="auto"/>
          <w:color w:val="0000FF"/>
        </w:rPr>
        <w:t xml:space="preserve"> </w:t>
      </w:r>
      <w:hyperlink r:id="rId199">
        <w:r>
          <w:rPr>
            <w:rFonts w:ascii="Arial" w:cs="Arial" w:eastAsia="Arial" w:hAnsi="Arial"/>
            <w:sz w:val="18"/>
            <w:szCs w:val="18"/>
            <w:u w:val="single" w:color="auto"/>
            <w:color w:val="0000FF"/>
          </w:rPr>
          <w:t>November 12, 2019)</w:t>
        </w:r>
      </w:hyperlink>
    </w:p>
    <w:p>
      <w:pPr>
        <w:spacing w:after="0" w:line="1" w:lineRule="exact"/>
        <w:rPr>
          <w:rFonts w:ascii="Arial" w:cs="Arial" w:eastAsia="Arial" w:hAnsi="Arial"/>
          <w:sz w:val="18"/>
          <w:szCs w:val="18"/>
          <w:u w:val="single" w:color="auto"/>
          <w:color w:val="0000FF"/>
        </w:rPr>
      </w:pPr>
    </w:p>
    <w:p>
      <w:pPr>
        <w:ind w:left="1220" w:right="180" w:hanging="656"/>
        <w:spacing w:after="0" w:line="234" w:lineRule="auto"/>
        <w:rPr>
          <w:rFonts w:ascii="Arial" w:cs="Arial" w:eastAsia="Arial" w:hAnsi="Arial"/>
          <w:sz w:val="18"/>
          <w:szCs w:val="18"/>
          <w:u w:val="single" w:color="auto"/>
          <w:color w:val="0000FF"/>
        </w:rPr>
      </w:pPr>
      <w:hyperlink r:id="rId200">
        <w:r>
          <w:rPr>
            <w:rFonts w:ascii="Arial" w:cs="Arial" w:eastAsia="Arial" w:hAnsi="Arial"/>
            <w:sz w:val="18"/>
            <w:szCs w:val="18"/>
            <w:u w:val="single" w:color="auto"/>
            <w:color w:val="0000FF"/>
          </w:rPr>
          <w:t>10.23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0">
        <w:r>
          <w:rPr>
            <w:rFonts w:ascii="Arial" w:cs="Arial" w:eastAsia="Arial" w:hAnsi="Arial"/>
            <w:sz w:val="18"/>
            <w:szCs w:val="18"/>
            <w:u w:val="single" w:color="auto"/>
            <w:color w:val="0000FF"/>
          </w:rPr>
          <w:t>Exclusive License Agreement by and between The University of Massachusetts and the Registrant dated July 22, 2019 (incorporated by</w:t>
        </w:r>
      </w:hyperlink>
      <w:r>
        <w:rPr>
          <w:rFonts w:ascii="Arial" w:cs="Arial" w:eastAsia="Arial" w:hAnsi="Arial"/>
          <w:sz w:val="18"/>
          <w:szCs w:val="18"/>
          <w:color w:val="0000FF"/>
        </w:rPr>
        <w:t xml:space="preserve"> </w:t>
      </w:r>
      <w:hyperlink r:id="rId200">
        <w:r>
          <w:rPr>
            <w:rFonts w:ascii="Arial" w:cs="Arial" w:eastAsia="Arial" w:hAnsi="Arial"/>
            <w:sz w:val="18"/>
            <w:szCs w:val="18"/>
            <w:u w:val="single" w:color="auto"/>
            <w:color w:val="0000FF"/>
          </w:rPr>
          <w:t>reference to Exhibit 10.1 of the Registrant's Quarterly Report on Form 10-Q filed on November 12, 2019)</w:t>
        </w:r>
      </w:hyperlink>
    </w:p>
    <w:p>
      <w:pPr>
        <w:spacing w:after="0" w:line="1" w:lineRule="exact"/>
        <w:rPr>
          <w:rFonts w:ascii="Arial" w:cs="Arial" w:eastAsia="Arial" w:hAnsi="Arial"/>
          <w:sz w:val="18"/>
          <w:szCs w:val="18"/>
          <w:color w:val="0000FF"/>
        </w:rPr>
      </w:pPr>
    </w:p>
    <w:p>
      <w:pPr>
        <w:ind w:left="1220" w:hanging="656"/>
        <w:spacing w:after="0" w:line="234" w:lineRule="auto"/>
        <w:rPr>
          <w:rFonts w:ascii="Arial" w:cs="Arial" w:eastAsia="Arial" w:hAnsi="Arial"/>
          <w:sz w:val="18"/>
          <w:szCs w:val="18"/>
          <w:u w:val="single" w:color="auto"/>
          <w:color w:val="0000FF"/>
        </w:rPr>
      </w:pPr>
      <w:hyperlink r:id="rId201">
        <w:r>
          <w:rPr>
            <w:rFonts w:ascii="Arial" w:cs="Arial" w:eastAsia="Arial" w:hAnsi="Arial"/>
            <w:sz w:val="18"/>
            <w:szCs w:val="18"/>
            <w:u w:val="single" w:color="auto"/>
            <w:color w:val="0000FF"/>
          </w:rPr>
          <w:t>10.24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1">
        <w:r>
          <w:rPr>
            <w:rFonts w:ascii="Arial" w:cs="Arial" w:eastAsia="Arial" w:hAnsi="Arial"/>
            <w:sz w:val="18"/>
            <w:szCs w:val="18"/>
            <w:u w:val="single" w:color="auto"/>
            <w:color w:val="0000FF"/>
          </w:rPr>
          <w:t>Offer of Employment between the Registrant and David Guyer (incorporated by reference to Exhibit 10.14 of the Registrant's Registration</w:t>
        </w:r>
      </w:hyperlink>
      <w:r>
        <w:rPr>
          <w:rFonts w:ascii="Arial" w:cs="Arial" w:eastAsia="Arial" w:hAnsi="Arial"/>
          <w:sz w:val="18"/>
          <w:szCs w:val="18"/>
          <w:color w:val="0000FF"/>
        </w:rPr>
        <w:t xml:space="preserve"> </w:t>
      </w:r>
      <w:hyperlink r:id="rId201">
        <w:r>
          <w:rPr>
            <w:rFonts w:ascii="Arial" w:cs="Arial" w:eastAsia="Arial" w:hAnsi="Arial"/>
            <w:sz w:val="18"/>
            <w:szCs w:val="18"/>
            <w:u w:val="single" w:color="auto"/>
            <w:color w:val="0000FF"/>
          </w:rPr>
          <w:t>Statement on Form S-1, as amended (File No. 333-190643))</w:t>
        </w:r>
      </w:hyperlink>
    </w:p>
    <w:p>
      <w:pPr>
        <w:spacing w:after="0" w:line="1" w:lineRule="exact"/>
        <w:rPr>
          <w:rFonts w:ascii="Arial" w:cs="Arial" w:eastAsia="Arial" w:hAnsi="Arial"/>
          <w:sz w:val="18"/>
          <w:szCs w:val="18"/>
          <w:color w:val="0000FF"/>
        </w:rPr>
      </w:pPr>
    </w:p>
    <w:p>
      <w:pPr>
        <w:ind w:left="1220" w:right="140" w:hanging="656"/>
        <w:spacing w:after="0" w:line="224" w:lineRule="auto"/>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10.25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2">
        <w:r>
          <w:rPr>
            <w:rFonts w:ascii="Arial" w:cs="Arial" w:eastAsia="Arial" w:hAnsi="Arial"/>
            <w:sz w:val="18"/>
            <w:szCs w:val="18"/>
            <w:u w:val="single" w:color="auto"/>
            <w:color w:val="0000FF"/>
          </w:rPr>
          <w:t>Letter Agreement between the Registrant and David R. Guyer dated February 26, 2015, amending the Offer of Employment between the</w:t>
        </w:r>
      </w:hyperlink>
      <w:r>
        <w:rPr>
          <w:rFonts w:ascii="Arial" w:cs="Arial" w:eastAsia="Arial" w:hAnsi="Arial"/>
          <w:sz w:val="18"/>
          <w:szCs w:val="18"/>
          <w:color w:val="0000FF"/>
        </w:rPr>
        <w:t xml:space="preserve"> </w:t>
      </w:r>
      <w:hyperlink r:id="rId202">
        <w:r>
          <w:rPr>
            <w:rFonts w:ascii="Arial" w:cs="Arial" w:eastAsia="Arial" w:hAnsi="Arial"/>
            <w:sz w:val="18"/>
            <w:szCs w:val="18"/>
            <w:u w:val="single" w:color="auto"/>
            <w:color w:val="0000FF"/>
          </w:rPr>
          <w:t>Registrant and David R. Guyer dated April 26, 2013 (incorporated by reference to Exhibit 10.2 of the Registrant's Quarterly Report on</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Form 10-Q filed on May 11, 2015)</w:t>
        </w:r>
      </w:hyperlink>
    </w:p>
    <w:p>
      <w:pPr>
        <w:spacing w:after="0" w:line="1" w:lineRule="exact"/>
        <w:rPr>
          <w:rFonts w:ascii="Arial" w:cs="Arial" w:eastAsia="Arial" w:hAnsi="Arial"/>
          <w:sz w:val="18"/>
          <w:szCs w:val="18"/>
          <w:color w:val="0000FF"/>
        </w:rPr>
      </w:pPr>
    </w:p>
    <w:p>
      <w:pPr>
        <w:ind w:left="1220" w:right="400" w:hanging="656"/>
        <w:spacing w:after="0" w:line="234" w:lineRule="auto"/>
        <w:rPr>
          <w:rFonts w:ascii="Arial" w:cs="Arial" w:eastAsia="Arial" w:hAnsi="Arial"/>
          <w:sz w:val="18"/>
          <w:szCs w:val="18"/>
          <w:u w:val="single" w:color="auto"/>
          <w:color w:val="0000FF"/>
        </w:rPr>
      </w:pPr>
      <w:hyperlink r:id="rId203">
        <w:r>
          <w:rPr>
            <w:rFonts w:ascii="Arial" w:cs="Arial" w:eastAsia="Arial" w:hAnsi="Arial"/>
            <w:sz w:val="18"/>
            <w:szCs w:val="18"/>
            <w:u w:val="single" w:color="auto"/>
            <w:color w:val="0000FF"/>
          </w:rPr>
          <w:t>10.26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3">
        <w:r>
          <w:rPr>
            <w:rFonts w:ascii="Arial" w:cs="Arial" w:eastAsia="Arial" w:hAnsi="Arial"/>
            <w:sz w:val="18"/>
            <w:szCs w:val="18"/>
            <w:u w:val="single" w:color="auto"/>
            <w:color w:val="0000FF"/>
          </w:rPr>
          <w:t>Letter Agreement between the Registrant and David R. Guyer, dated April 24, 2017 (incorporated by reference to Exhibit 10.1 of the</w:t>
        </w:r>
      </w:hyperlink>
      <w:r>
        <w:rPr>
          <w:rFonts w:ascii="Arial" w:cs="Arial" w:eastAsia="Arial" w:hAnsi="Arial"/>
          <w:sz w:val="18"/>
          <w:szCs w:val="18"/>
          <w:color w:val="0000FF"/>
        </w:rPr>
        <w:t xml:space="preserve"> </w:t>
      </w:r>
      <w:hyperlink r:id="rId203">
        <w:r>
          <w:rPr>
            <w:rFonts w:ascii="Arial" w:cs="Arial" w:eastAsia="Arial" w:hAnsi="Arial"/>
            <w:sz w:val="18"/>
            <w:szCs w:val="18"/>
            <w:u w:val="single" w:color="auto"/>
            <w:color w:val="0000FF"/>
          </w:rPr>
          <w:t>Registrant's Quarterly Report on Form 10-Q filed on August 2, 2017)</w:t>
        </w:r>
      </w:hyperlink>
    </w:p>
    <w:p>
      <w:pPr>
        <w:spacing w:after="0" w:line="1" w:lineRule="exact"/>
        <w:rPr>
          <w:rFonts w:ascii="Arial" w:cs="Arial" w:eastAsia="Arial" w:hAnsi="Arial"/>
          <w:sz w:val="18"/>
          <w:szCs w:val="18"/>
          <w:color w:val="0000FF"/>
        </w:rPr>
      </w:pPr>
    </w:p>
    <w:p>
      <w:pPr>
        <w:ind w:left="1220" w:right="20" w:hanging="656"/>
        <w:spacing w:after="0" w:line="234" w:lineRule="auto"/>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10.27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4">
        <w:r>
          <w:rPr>
            <w:rFonts w:ascii="Arial" w:cs="Arial" w:eastAsia="Arial" w:hAnsi="Arial"/>
            <w:sz w:val="18"/>
            <w:szCs w:val="18"/>
            <w:u w:val="single" w:color="auto"/>
            <w:color w:val="0000FF"/>
          </w:rPr>
          <w:t>Letter agreement by and between the Registrant and David R. Guyer dated May 11, 2018 (incorporated by reference to Exhibit 10.4 of the</w:t>
        </w:r>
      </w:hyperlink>
      <w:r>
        <w:rPr>
          <w:rFonts w:ascii="Arial" w:cs="Arial" w:eastAsia="Arial" w:hAnsi="Arial"/>
          <w:sz w:val="18"/>
          <w:szCs w:val="18"/>
          <w:color w:val="0000FF"/>
        </w:rPr>
        <w:t xml:space="preserve"> </w:t>
      </w:r>
      <w:hyperlink r:id="rId204">
        <w:r>
          <w:rPr>
            <w:rFonts w:ascii="Arial" w:cs="Arial" w:eastAsia="Arial" w:hAnsi="Arial"/>
            <w:sz w:val="18"/>
            <w:szCs w:val="18"/>
            <w:u w:val="single" w:color="auto"/>
            <w:color w:val="0000FF"/>
          </w:rPr>
          <w:t>Registrant's Quarterly Report on Form 10-Q filed on August 1, 2018)</w:t>
        </w:r>
      </w:hyperlink>
    </w:p>
    <w:p>
      <w:pPr>
        <w:spacing w:after="0" w:line="200" w:lineRule="exact"/>
        <w:rPr>
          <w:rFonts w:ascii="Arial" w:cs="Arial" w:eastAsia="Arial" w:hAnsi="Arial"/>
          <w:sz w:val="18"/>
          <w:szCs w:val="18"/>
          <w:color w:val="0000FF"/>
        </w:rPr>
      </w:pPr>
    </w:p>
    <w:p>
      <w:pPr>
        <w:spacing w:after="0" w:line="200" w:lineRule="exact"/>
        <w:rPr>
          <w:rFonts w:ascii="Arial" w:cs="Arial" w:eastAsia="Arial" w:hAnsi="Arial"/>
          <w:sz w:val="18"/>
          <w:szCs w:val="18"/>
          <w:color w:val="0000FF"/>
        </w:rPr>
      </w:pPr>
    </w:p>
    <w:p>
      <w:pPr>
        <w:spacing w:after="0" w:line="384" w:lineRule="exact"/>
        <w:rPr>
          <w:rFonts w:ascii="Arial" w:cs="Arial" w:eastAsia="Arial" w:hAnsi="Arial"/>
          <w:sz w:val="18"/>
          <w:szCs w:val="18"/>
          <w:color w:val="0000FF"/>
        </w:rPr>
      </w:pPr>
    </w:p>
    <w:p>
      <w:pPr>
        <w:jc w:val="center"/>
        <w:ind w:right="-59"/>
        <w:spacing w:after="0"/>
        <w:rPr>
          <w:sz w:val="20"/>
          <w:szCs w:val="20"/>
          <w:color w:val="auto"/>
        </w:rPr>
      </w:pPr>
      <w:r>
        <w:rPr>
          <w:rFonts w:ascii="Arial" w:cs="Arial" w:eastAsia="Arial" w:hAnsi="Arial"/>
          <w:sz w:val="18"/>
          <w:szCs w:val="18"/>
          <w:color w:val="auto"/>
        </w:rPr>
        <w:t>150</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2" w:name="page153"/>
    <w:bookmarkEnd w:id="1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right="20" w:hanging="656"/>
        <w:spacing w:after="0" w:line="235" w:lineRule="auto"/>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10.28</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6">
        <w:r>
          <w:rPr>
            <w:rFonts w:ascii="Arial" w:cs="Arial" w:eastAsia="Arial" w:hAnsi="Arial"/>
            <w:sz w:val="18"/>
            <w:szCs w:val="18"/>
            <w:u w:val="single" w:color="auto"/>
            <w:color w:val="0000FF"/>
          </w:rPr>
          <w:t>Letter agreement by and between the Registrant and David R. Guyer dated May 24, 2018 (incorporated by reference to Exhibit 10.5 of the</w:t>
        </w:r>
      </w:hyperlink>
      <w:r>
        <w:rPr>
          <w:rFonts w:ascii="Arial" w:cs="Arial" w:eastAsia="Arial" w:hAnsi="Arial"/>
          <w:sz w:val="18"/>
          <w:szCs w:val="18"/>
          <w:color w:val="0000FF"/>
        </w:rPr>
        <w:t xml:space="preserve"> </w:t>
      </w:r>
      <w:hyperlink r:id="rId206">
        <w:r>
          <w:rPr>
            <w:rFonts w:ascii="Arial" w:cs="Arial" w:eastAsia="Arial" w:hAnsi="Arial"/>
            <w:sz w:val="18"/>
            <w:szCs w:val="18"/>
            <w:u w:val="single" w:color="auto"/>
            <w:color w:val="0000FF"/>
          </w:rPr>
          <w:t>Registrant's Quarterly Report on Form 10-Q filed on August 1, 2018)</w:t>
        </w:r>
      </w:hyperlink>
    </w:p>
    <w:p>
      <w:pPr>
        <w:ind w:left="1220" w:hanging="656"/>
        <w:spacing w:after="0" w:line="234" w:lineRule="auto"/>
        <w:rPr>
          <w:rFonts w:ascii="Arial" w:cs="Arial" w:eastAsia="Arial" w:hAnsi="Arial"/>
          <w:sz w:val="18"/>
          <w:szCs w:val="18"/>
          <w:u w:val="single" w:color="auto"/>
          <w:color w:val="0000FF"/>
        </w:rPr>
      </w:pPr>
      <w:hyperlink r:id="rId207">
        <w:r>
          <w:rPr>
            <w:rFonts w:ascii="Arial" w:cs="Arial" w:eastAsia="Arial" w:hAnsi="Arial"/>
            <w:sz w:val="18"/>
            <w:szCs w:val="18"/>
            <w:u w:val="single" w:color="auto"/>
            <w:color w:val="0000FF"/>
          </w:rPr>
          <w:t>10.29</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7">
        <w:r>
          <w:rPr>
            <w:rFonts w:ascii="Arial" w:cs="Arial" w:eastAsia="Arial" w:hAnsi="Arial"/>
            <w:sz w:val="18"/>
            <w:szCs w:val="18"/>
            <w:u w:val="single" w:color="auto"/>
            <w:color w:val="0000FF"/>
          </w:rPr>
          <w:t>Letter Agreement between the Registrant and Glenn P. Sblendorio, dated January 4, 2016 (incorporated by reference to Exhibit 10.1 of the</w:t>
        </w:r>
      </w:hyperlink>
      <w:r>
        <w:rPr>
          <w:rFonts w:ascii="Arial" w:cs="Arial" w:eastAsia="Arial" w:hAnsi="Arial"/>
          <w:sz w:val="18"/>
          <w:szCs w:val="18"/>
          <w:color w:val="0000FF"/>
        </w:rPr>
        <w:t xml:space="preserve"> </w:t>
      </w:r>
      <w:hyperlink r:id="rId207">
        <w:r>
          <w:rPr>
            <w:rFonts w:ascii="Arial" w:cs="Arial" w:eastAsia="Arial" w:hAnsi="Arial"/>
            <w:sz w:val="18"/>
            <w:szCs w:val="18"/>
            <w:u w:val="single" w:color="auto"/>
            <w:color w:val="0000FF"/>
          </w:rPr>
          <w:t>Registrant's Quarterly Report on Form 10-Q filed on May 9, 2016)</w:t>
        </w:r>
      </w:hyperlink>
    </w:p>
    <w:p>
      <w:pPr>
        <w:spacing w:after="0" w:line="1" w:lineRule="exact"/>
        <w:rPr>
          <w:rFonts w:ascii="Arial" w:cs="Arial" w:eastAsia="Arial" w:hAnsi="Arial"/>
          <w:sz w:val="18"/>
          <w:szCs w:val="18"/>
          <w:color w:val="0000FF"/>
        </w:rPr>
      </w:pPr>
    </w:p>
    <w:p>
      <w:pPr>
        <w:ind w:left="1220" w:hanging="656"/>
        <w:spacing w:after="0" w:line="234" w:lineRule="auto"/>
        <w:rPr>
          <w:rFonts w:ascii="Arial" w:cs="Arial" w:eastAsia="Arial" w:hAnsi="Arial"/>
          <w:sz w:val="18"/>
          <w:szCs w:val="18"/>
          <w:u w:val="single" w:color="auto"/>
          <w:color w:val="0000FF"/>
        </w:rPr>
      </w:pPr>
      <w:hyperlink r:id="rId208">
        <w:r>
          <w:rPr>
            <w:rFonts w:ascii="Arial" w:cs="Arial" w:eastAsia="Arial" w:hAnsi="Arial"/>
            <w:sz w:val="18"/>
            <w:szCs w:val="18"/>
            <w:u w:val="single" w:color="auto"/>
            <w:color w:val="0000FF"/>
          </w:rPr>
          <w:t>10.30</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8">
        <w:r>
          <w:rPr>
            <w:rFonts w:ascii="Arial" w:cs="Arial" w:eastAsia="Arial" w:hAnsi="Arial"/>
            <w:sz w:val="18"/>
            <w:szCs w:val="18"/>
            <w:u w:val="single" w:color="auto"/>
            <w:color w:val="0000FF"/>
          </w:rPr>
          <w:t>Letter Agreement between the Registrant and Glenn P. Sblendorio, dated January 4, 2016 (incorporated by reference to Exhibit 10.2 of the</w:t>
        </w:r>
      </w:hyperlink>
      <w:r>
        <w:rPr>
          <w:rFonts w:ascii="Arial" w:cs="Arial" w:eastAsia="Arial" w:hAnsi="Arial"/>
          <w:sz w:val="18"/>
          <w:szCs w:val="18"/>
          <w:color w:val="0000FF"/>
        </w:rPr>
        <w:t xml:space="preserve"> </w:t>
      </w:r>
      <w:hyperlink r:id="rId208">
        <w:r>
          <w:rPr>
            <w:rFonts w:ascii="Arial" w:cs="Arial" w:eastAsia="Arial" w:hAnsi="Arial"/>
            <w:sz w:val="18"/>
            <w:szCs w:val="18"/>
            <w:u w:val="single" w:color="auto"/>
            <w:color w:val="0000FF"/>
          </w:rPr>
          <w:t>Registrant's Quarterly Report on Form 10-Q filed on May 9, 2016)</w:t>
        </w:r>
      </w:hyperlink>
    </w:p>
    <w:p>
      <w:pPr>
        <w:spacing w:after="0" w:line="1" w:lineRule="exact"/>
        <w:rPr>
          <w:rFonts w:ascii="Arial" w:cs="Arial" w:eastAsia="Arial" w:hAnsi="Arial"/>
          <w:sz w:val="18"/>
          <w:szCs w:val="18"/>
          <w:color w:val="0000FF"/>
        </w:rPr>
      </w:pPr>
    </w:p>
    <w:p>
      <w:pPr>
        <w:ind w:left="1220" w:right="100" w:hanging="656"/>
        <w:spacing w:after="0" w:line="234" w:lineRule="auto"/>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10.31</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09">
        <w:r>
          <w:rPr>
            <w:rFonts w:ascii="Arial" w:cs="Arial" w:eastAsia="Arial" w:hAnsi="Arial"/>
            <w:sz w:val="18"/>
            <w:szCs w:val="18"/>
            <w:u w:val="single" w:color="auto"/>
            <w:color w:val="0000FF"/>
          </w:rPr>
          <w:t>Letter Agreement between the Registrant and Glenn P. Sblendorio, dated April 24, 2017 (incorporated by reference to Exhibit 10.2 of the</w:t>
        </w:r>
      </w:hyperlink>
      <w:r>
        <w:rPr>
          <w:rFonts w:ascii="Arial" w:cs="Arial" w:eastAsia="Arial" w:hAnsi="Arial"/>
          <w:sz w:val="18"/>
          <w:szCs w:val="18"/>
          <w:color w:val="0000FF"/>
        </w:rPr>
        <w:t xml:space="preserve"> </w:t>
      </w:r>
      <w:hyperlink r:id="rId209">
        <w:r>
          <w:rPr>
            <w:rFonts w:ascii="Arial" w:cs="Arial" w:eastAsia="Arial" w:hAnsi="Arial"/>
            <w:sz w:val="18"/>
            <w:szCs w:val="18"/>
            <w:u w:val="single" w:color="auto"/>
            <w:color w:val="0000FF"/>
          </w:rPr>
          <w:t>Registrant's Quarterly Report on Form 10-Q filed on August 2, 2017)</w:t>
        </w:r>
      </w:hyperlink>
    </w:p>
    <w:p>
      <w:pPr>
        <w:spacing w:after="0" w:line="1" w:lineRule="exact"/>
        <w:rPr>
          <w:rFonts w:ascii="Arial" w:cs="Arial" w:eastAsia="Arial" w:hAnsi="Arial"/>
          <w:sz w:val="18"/>
          <w:szCs w:val="18"/>
          <w:color w:val="0000FF"/>
        </w:rPr>
      </w:pPr>
    </w:p>
    <w:p>
      <w:pPr>
        <w:ind w:left="1220" w:right="200" w:hanging="656"/>
        <w:spacing w:after="0" w:line="234" w:lineRule="auto"/>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10.32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0">
        <w:r>
          <w:rPr>
            <w:rFonts w:ascii="Arial" w:cs="Arial" w:eastAsia="Arial" w:hAnsi="Arial"/>
            <w:sz w:val="18"/>
            <w:szCs w:val="18"/>
            <w:u w:val="single" w:color="auto"/>
            <w:color w:val="0000FF"/>
          </w:rPr>
          <w:t>Letter Agreement between the Registrant and David F. Carroll, dated December 11, 2019 (incorporated by reference to Exhibit 10.34 of</w:t>
        </w:r>
      </w:hyperlink>
      <w:r>
        <w:rPr>
          <w:rFonts w:ascii="Arial" w:cs="Arial" w:eastAsia="Arial" w:hAnsi="Arial"/>
          <w:sz w:val="18"/>
          <w:szCs w:val="18"/>
          <w:color w:val="0000FF"/>
        </w:rPr>
        <w:t xml:space="preserve"> </w:t>
      </w:r>
      <w:hyperlink r:id="rId210">
        <w:r>
          <w:rPr>
            <w:rFonts w:ascii="Arial" w:cs="Arial" w:eastAsia="Arial" w:hAnsi="Arial"/>
            <w:sz w:val="18"/>
            <w:szCs w:val="18"/>
            <w:u w:val="single" w:color="auto"/>
            <w:color w:val="0000FF"/>
          </w:rPr>
          <w:t>the Registrant's Annual Report on Form 10-K filed on February 27, 2020)</w:t>
        </w:r>
      </w:hyperlink>
    </w:p>
    <w:p>
      <w:pPr>
        <w:spacing w:after="0" w:line="1" w:lineRule="exact"/>
        <w:rPr>
          <w:rFonts w:ascii="Arial" w:cs="Arial" w:eastAsia="Arial" w:hAnsi="Arial"/>
          <w:sz w:val="18"/>
          <w:szCs w:val="18"/>
          <w:color w:val="0000FF"/>
        </w:rPr>
      </w:pPr>
    </w:p>
    <w:p>
      <w:pPr>
        <w:ind w:left="1220" w:right="440" w:hanging="656"/>
        <w:spacing w:after="0" w:line="234" w:lineRule="auto"/>
        <w:rPr>
          <w:rFonts w:ascii="Arial" w:cs="Arial" w:eastAsia="Arial" w:hAnsi="Arial"/>
          <w:sz w:val="18"/>
          <w:szCs w:val="18"/>
          <w:u w:val="single" w:color="auto"/>
          <w:color w:val="0000FF"/>
        </w:rPr>
      </w:pPr>
      <w:hyperlink r:id="rId211">
        <w:r>
          <w:rPr>
            <w:rFonts w:ascii="Arial" w:cs="Arial" w:eastAsia="Arial" w:hAnsi="Arial"/>
            <w:sz w:val="18"/>
            <w:szCs w:val="18"/>
            <w:u w:val="single" w:color="auto"/>
            <w:color w:val="0000FF"/>
          </w:rPr>
          <w:t>10.33</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1">
        <w:r>
          <w:rPr>
            <w:rFonts w:ascii="Arial" w:cs="Arial" w:eastAsia="Arial" w:hAnsi="Arial"/>
            <w:sz w:val="18"/>
            <w:szCs w:val="18"/>
            <w:u w:val="single" w:color="auto"/>
            <w:color w:val="0000FF"/>
          </w:rPr>
          <w:t>Promotion Letter between the Registrant and Keith Westby, dated January 30, 2017 (incorporated by reference to Exhibit 10.1 of the</w:t>
        </w:r>
      </w:hyperlink>
      <w:r>
        <w:rPr>
          <w:rFonts w:ascii="Arial" w:cs="Arial" w:eastAsia="Arial" w:hAnsi="Arial"/>
          <w:sz w:val="18"/>
          <w:szCs w:val="18"/>
          <w:color w:val="0000FF"/>
        </w:rPr>
        <w:t xml:space="preserve"> </w:t>
      </w:r>
      <w:hyperlink r:id="rId211">
        <w:r>
          <w:rPr>
            <w:rFonts w:ascii="Arial" w:cs="Arial" w:eastAsia="Arial" w:hAnsi="Arial"/>
            <w:sz w:val="18"/>
            <w:szCs w:val="18"/>
            <w:u w:val="single" w:color="auto"/>
            <w:color w:val="0000FF"/>
          </w:rPr>
          <w:t>Registrant's Quarterly Report on Form 10-Q filed on May 3, 2017)</w:t>
        </w:r>
      </w:hyperlink>
    </w:p>
    <w:p>
      <w:pPr>
        <w:spacing w:after="0" w:line="1" w:lineRule="exact"/>
        <w:rPr>
          <w:rFonts w:ascii="Arial" w:cs="Arial" w:eastAsia="Arial" w:hAnsi="Arial"/>
          <w:sz w:val="18"/>
          <w:szCs w:val="18"/>
          <w:color w:val="0000FF"/>
        </w:rPr>
      </w:pPr>
    </w:p>
    <w:p>
      <w:pPr>
        <w:ind w:left="1220" w:right="140" w:hanging="656"/>
        <w:spacing w:after="0" w:line="234" w:lineRule="auto"/>
        <w:rPr>
          <w:rFonts w:ascii="Arial" w:cs="Arial" w:eastAsia="Arial" w:hAnsi="Arial"/>
          <w:sz w:val="18"/>
          <w:szCs w:val="18"/>
          <w:u w:val="single" w:color="auto"/>
          <w:color w:val="0000FF"/>
        </w:rPr>
      </w:pPr>
      <w:hyperlink r:id="rId212">
        <w:r>
          <w:rPr>
            <w:rFonts w:ascii="Arial" w:cs="Arial" w:eastAsia="Arial" w:hAnsi="Arial"/>
            <w:sz w:val="18"/>
            <w:szCs w:val="18"/>
            <w:u w:val="single" w:color="auto"/>
            <w:color w:val="0000FF"/>
          </w:rPr>
          <w:t>10.34</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2">
        <w:r>
          <w:rPr>
            <w:rFonts w:ascii="Arial" w:cs="Arial" w:eastAsia="Arial" w:hAnsi="Arial"/>
            <w:sz w:val="18"/>
            <w:szCs w:val="18"/>
            <w:u w:val="single" w:color="auto"/>
            <w:color w:val="0000FF"/>
          </w:rPr>
          <w:t>Letter Agreement between the Registrant and Keith Westby, dated December 11, 2019 (incorporated by reference to Exhibit 10.36 of the</w:t>
        </w:r>
      </w:hyperlink>
      <w:r>
        <w:rPr>
          <w:rFonts w:ascii="Arial" w:cs="Arial" w:eastAsia="Arial" w:hAnsi="Arial"/>
          <w:sz w:val="18"/>
          <w:szCs w:val="18"/>
          <w:color w:val="0000FF"/>
        </w:rPr>
        <w:t xml:space="preserve"> </w:t>
      </w:r>
      <w:hyperlink r:id="rId212">
        <w:r>
          <w:rPr>
            <w:rFonts w:ascii="Arial" w:cs="Arial" w:eastAsia="Arial" w:hAnsi="Arial"/>
            <w:sz w:val="18"/>
            <w:szCs w:val="18"/>
            <w:u w:val="single" w:color="auto"/>
            <w:color w:val="0000FF"/>
          </w:rPr>
          <w:t>Registrant's Annual Report on Form 10-K filed on February 27, 2020)</w:t>
        </w:r>
      </w:hyperlink>
    </w:p>
    <w:p>
      <w:pPr>
        <w:spacing w:after="0" w:line="1" w:lineRule="exact"/>
        <w:rPr>
          <w:rFonts w:ascii="Arial" w:cs="Arial" w:eastAsia="Arial" w:hAnsi="Arial"/>
          <w:sz w:val="18"/>
          <w:szCs w:val="18"/>
          <w:color w:val="0000FF"/>
        </w:rPr>
      </w:pPr>
    </w:p>
    <w:p>
      <w:pPr>
        <w:ind w:left="1220" w:right="740" w:hanging="656"/>
        <w:spacing w:after="0" w:line="234" w:lineRule="auto"/>
        <w:rPr>
          <w:rFonts w:ascii="Arial" w:cs="Arial" w:eastAsia="Arial" w:hAnsi="Arial"/>
          <w:sz w:val="18"/>
          <w:szCs w:val="18"/>
          <w:u w:val="single" w:color="auto"/>
          <w:color w:val="0000FF"/>
        </w:rPr>
      </w:pPr>
      <w:hyperlink r:id="rId213">
        <w:r>
          <w:rPr>
            <w:rFonts w:ascii="Arial" w:cs="Arial" w:eastAsia="Arial" w:hAnsi="Arial"/>
            <w:sz w:val="18"/>
            <w:szCs w:val="18"/>
            <w:u w:val="single" w:color="auto"/>
            <w:color w:val="0000FF"/>
          </w:rPr>
          <w:t>10.35</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3">
        <w:r>
          <w:rPr>
            <w:rFonts w:ascii="Arial" w:cs="Arial" w:eastAsia="Arial" w:hAnsi="Arial"/>
            <w:sz w:val="18"/>
            <w:szCs w:val="18"/>
            <w:u w:val="single" w:color="auto"/>
            <w:color w:val="0000FF"/>
          </w:rPr>
          <w:t>Offer Letter between the Registrant and Pravin U. Dugel dated March 11, 2020 (incorporated by reference to Exhibit 10.1 of the</w:t>
        </w:r>
      </w:hyperlink>
      <w:r>
        <w:rPr>
          <w:rFonts w:ascii="Arial" w:cs="Arial" w:eastAsia="Arial" w:hAnsi="Arial"/>
          <w:sz w:val="18"/>
          <w:szCs w:val="18"/>
          <w:color w:val="0000FF"/>
        </w:rPr>
        <w:t xml:space="preserve"> </w:t>
      </w:r>
      <w:hyperlink r:id="rId213">
        <w:r>
          <w:rPr>
            <w:rFonts w:ascii="Arial" w:cs="Arial" w:eastAsia="Arial" w:hAnsi="Arial"/>
            <w:sz w:val="18"/>
            <w:szCs w:val="18"/>
            <w:u w:val="single" w:color="auto"/>
            <w:color w:val="0000FF"/>
          </w:rPr>
          <w:t>Registrant's Quarterly Report on Form 10-Q filed on August 6, 2020)</w:t>
        </w:r>
      </w:hyperlink>
    </w:p>
    <w:p>
      <w:pPr>
        <w:spacing w:after="0" w:line="1" w:lineRule="exact"/>
        <w:rPr>
          <w:rFonts w:ascii="Arial" w:cs="Arial" w:eastAsia="Arial" w:hAnsi="Arial"/>
          <w:sz w:val="18"/>
          <w:szCs w:val="18"/>
          <w:color w:val="0000FF"/>
        </w:rPr>
      </w:pPr>
    </w:p>
    <w:p>
      <w:pPr>
        <w:ind w:left="1220" w:right="20" w:hanging="656"/>
        <w:spacing w:after="0" w:line="234" w:lineRule="auto"/>
        <w:rPr>
          <w:rFonts w:ascii="Arial" w:cs="Arial" w:eastAsia="Arial" w:hAnsi="Arial"/>
          <w:sz w:val="18"/>
          <w:szCs w:val="18"/>
          <w:u w:val="single" w:color="auto"/>
          <w:color w:val="0000FF"/>
        </w:rPr>
      </w:pPr>
      <w:hyperlink r:id="rId214">
        <w:r>
          <w:rPr>
            <w:rFonts w:ascii="Arial" w:cs="Arial" w:eastAsia="Arial" w:hAnsi="Arial"/>
            <w:sz w:val="18"/>
            <w:szCs w:val="18"/>
            <w:u w:val="single" w:color="auto"/>
            <w:color w:val="0000FF"/>
          </w:rPr>
          <w:t>10.36</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4">
        <w:r>
          <w:rPr>
            <w:rFonts w:ascii="Arial" w:cs="Arial" w:eastAsia="Arial" w:hAnsi="Arial"/>
            <w:sz w:val="18"/>
            <w:szCs w:val="18"/>
            <w:u w:val="single" w:color="auto"/>
            <w:color w:val="0000FF"/>
          </w:rPr>
          <w:t>Severance Agreement between the Registrant and Pravin U. Dugel dated March 11, 2020 (incorporated by reference to Exhibit 10.2 of the</w:t>
        </w:r>
      </w:hyperlink>
      <w:r>
        <w:rPr>
          <w:rFonts w:ascii="Arial" w:cs="Arial" w:eastAsia="Arial" w:hAnsi="Arial"/>
          <w:sz w:val="18"/>
          <w:szCs w:val="18"/>
          <w:color w:val="0000FF"/>
        </w:rPr>
        <w:t xml:space="preserve"> </w:t>
      </w:r>
      <w:hyperlink r:id="rId214">
        <w:r>
          <w:rPr>
            <w:rFonts w:ascii="Arial" w:cs="Arial" w:eastAsia="Arial" w:hAnsi="Arial"/>
            <w:sz w:val="18"/>
            <w:szCs w:val="18"/>
            <w:u w:val="single" w:color="auto"/>
            <w:color w:val="0000FF"/>
          </w:rPr>
          <w:t>Registrant's Quarterly Report on Form 10-Q filed on August 6, 2020)</w:t>
        </w:r>
      </w:hyperlink>
    </w:p>
    <w:p>
      <w:pPr>
        <w:spacing w:after="0" w:line="1" w:lineRule="exact"/>
        <w:rPr>
          <w:rFonts w:ascii="Arial" w:cs="Arial" w:eastAsia="Arial" w:hAnsi="Arial"/>
          <w:sz w:val="18"/>
          <w:szCs w:val="18"/>
          <w:color w:val="0000FF"/>
        </w:rPr>
      </w:pPr>
    </w:p>
    <w:p>
      <w:pPr>
        <w:ind w:left="1220" w:right="560" w:hanging="656"/>
        <w:spacing w:after="0" w:line="234" w:lineRule="auto"/>
        <w:rPr>
          <w:rFonts w:ascii="Arial" w:cs="Arial" w:eastAsia="Arial" w:hAnsi="Arial"/>
          <w:sz w:val="18"/>
          <w:szCs w:val="18"/>
          <w:u w:val="single" w:color="auto"/>
          <w:color w:val="0000FF"/>
        </w:rPr>
      </w:pPr>
      <w:hyperlink r:id="rId215">
        <w:r>
          <w:rPr>
            <w:rFonts w:ascii="Arial" w:cs="Arial" w:eastAsia="Arial" w:hAnsi="Arial"/>
            <w:sz w:val="18"/>
            <w:szCs w:val="18"/>
            <w:u w:val="single" w:color="auto"/>
            <w:color w:val="0000FF"/>
          </w:rPr>
          <w:t>10.37</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215">
        <w:r>
          <w:rPr>
            <w:rFonts w:ascii="Arial" w:cs="Arial" w:eastAsia="Arial" w:hAnsi="Arial"/>
            <w:sz w:val="18"/>
            <w:szCs w:val="18"/>
            <w:u w:val="single" w:color="auto"/>
            <w:color w:val="0000FF"/>
          </w:rPr>
          <w:t>Form of Indemnification Agreement between the Registrant and each Director and Executive Officer (incorporated by reference to</w:t>
        </w:r>
      </w:hyperlink>
      <w:r>
        <w:rPr>
          <w:rFonts w:ascii="Arial" w:cs="Arial" w:eastAsia="Arial" w:hAnsi="Arial"/>
          <w:sz w:val="18"/>
          <w:szCs w:val="18"/>
          <w:color w:val="0000FF"/>
        </w:rPr>
        <w:t xml:space="preserve"> </w:t>
      </w:r>
      <w:hyperlink r:id="rId215">
        <w:r>
          <w:rPr>
            <w:rFonts w:ascii="Arial" w:cs="Arial" w:eastAsia="Arial" w:hAnsi="Arial"/>
            <w:sz w:val="18"/>
            <w:szCs w:val="18"/>
            <w:u w:val="single" w:color="auto"/>
            <w:color w:val="0000FF"/>
          </w:rPr>
          <w:t>Exhibit 10.2 of the Registrant's Quarterly Report on Form 10-Q filed on August 5, 2016)</w:t>
        </w:r>
      </w:hyperlink>
    </w:p>
    <w:tbl>
      <w:tblPr>
        <w:tblLayout w:type="fixed"/>
        <w:tblInd w:w="300" w:type="dxa"/>
        <w:tblCellMar>
          <w:top w:w="0" w:type="dxa"/>
          <w:left w:w="0" w:type="dxa"/>
          <w:bottom w:w="0" w:type="dxa"/>
          <w:right w:w="0" w:type="dxa"/>
        </w:tblCellMar>
      </w:tblPr>
      <w:tr>
        <w:trPr>
          <w:trHeight w:val="190"/>
        </w:trPr>
        <w:tc>
          <w:tcPr>
            <w:tcW w:w="920" w:type="dxa"/>
            <w:vAlign w:val="bottom"/>
          </w:tcPr>
          <w:p>
            <w:pPr>
              <w:jc w:val="right"/>
              <w:ind w:right="150"/>
              <w:spacing w:after="0" w:line="190" w:lineRule="exact"/>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10.38</w:t>
              </w:r>
            </w:hyperlink>
          </w:p>
        </w:tc>
        <w:tc>
          <w:tcPr>
            <w:tcW w:w="9900" w:type="dxa"/>
            <w:vAlign w:val="bottom"/>
            <w:gridSpan w:val="10"/>
          </w:tcPr>
          <w:p>
            <w:pPr>
              <w:spacing w:after="0" w:line="190" w:lineRule="exact"/>
              <w:rPr>
                <w:rFonts w:ascii="Arial" w:cs="Arial" w:eastAsia="Arial" w:hAnsi="Arial"/>
                <w:sz w:val="18"/>
                <w:szCs w:val="18"/>
                <w:color w:val="0000FF"/>
                <w:w w:val="93"/>
              </w:rPr>
            </w:pPr>
            <w:hyperlink r:id="rId216">
              <w:r>
                <w:rPr>
                  <w:rFonts w:ascii="Arial" w:cs="Arial" w:eastAsia="Arial" w:hAnsi="Arial"/>
                  <w:sz w:val="18"/>
                  <w:szCs w:val="18"/>
                  <w:color w:val="0000FF"/>
                  <w:w w:val="93"/>
                </w:rPr>
                <w:t>Non-Employee Director Compensation Policy of the Registrant (incorporated by reference to Exhibit 10.3 of the Registrant's Quarterly</w:t>
              </w:r>
            </w:hyperlink>
          </w:p>
        </w:tc>
      </w:tr>
      <w:tr>
        <w:trPr>
          <w:trHeight w:val="155"/>
        </w:trPr>
        <w:tc>
          <w:tcPr>
            <w:tcW w:w="920" w:type="dxa"/>
            <w:vAlign w:val="bottom"/>
          </w:tcPr>
          <w:p>
            <w:pPr>
              <w:spacing w:after="0"/>
              <w:rPr>
                <w:sz w:val="13"/>
                <w:szCs w:val="13"/>
                <w:color w:val="auto"/>
              </w:rPr>
            </w:pPr>
          </w:p>
        </w:tc>
        <w:tc>
          <w:tcPr>
            <w:tcW w:w="97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Report on Form 10-Q filed on August 1, 2019)</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0" w:type="dxa"/>
            <w:vAlign w:val="bottom"/>
          </w:tcPr>
          <w:p>
            <w:pPr>
              <w:jc w:val="right"/>
              <w:ind w:right="150"/>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10.39</w:t>
              </w:r>
            </w:hyperlink>
          </w:p>
        </w:tc>
        <w:tc>
          <w:tcPr>
            <w:tcW w:w="9900" w:type="dxa"/>
            <w:vAlign w:val="bottom"/>
            <w:gridSpan w:val="10"/>
          </w:tcPr>
          <w:p>
            <w:pPr>
              <w:spacing w:after="0"/>
              <w:rPr>
                <w:rFonts w:ascii="Arial" w:cs="Arial" w:eastAsia="Arial" w:hAnsi="Arial"/>
                <w:sz w:val="18"/>
                <w:szCs w:val="18"/>
                <w:color w:val="0000FF"/>
                <w:w w:val="93"/>
              </w:rPr>
            </w:pPr>
            <w:hyperlink r:id="rId217">
              <w:r>
                <w:rPr>
                  <w:rFonts w:ascii="Arial" w:cs="Arial" w:eastAsia="Arial" w:hAnsi="Arial"/>
                  <w:sz w:val="18"/>
                  <w:szCs w:val="18"/>
                  <w:color w:val="0000FF"/>
                  <w:w w:val="93"/>
                </w:rPr>
                <w:t>Amendment No. 1 to Non-Employee Director Compensation Policy of the Registrant (incorporated by reference to Exhibit 10.1 of the</w:t>
              </w:r>
            </w:hyperlink>
          </w:p>
        </w:tc>
      </w:tr>
      <w:tr>
        <w:trPr>
          <w:trHeight w:val="155"/>
        </w:trPr>
        <w:tc>
          <w:tcPr>
            <w:tcW w:w="920" w:type="dxa"/>
            <w:vAlign w:val="bottom"/>
          </w:tcPr>
          <w:p>
            <w:pPr>
              <w:spacing w:after="0"/>
              <w:rPr>
                <w:sz w:val="13"/>
                <w:szCs w:val="13"/>
                <w:color w:val="auto"/>
              </w:rPr>
            </w:pPr>
          </w:p>
        </w:tc>
        <w:tc>
          <w:tcPr>
            <w:tcW w:w="96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Registrant's Quarterly Report on Form 10-Q filed on November 3, 2020)</w:t>
              </w:r>
            </w:hyperlink>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0" w:type="dxa"/>
            <w:vAlign w:val="bottom"/>
          </w:tcPr>
          <w:p>
            <w:pPr>
              <w:jc w:val="right"/>
              <w:ind w:right="150"/>
              <w:spacing w:after="0"/>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14.1</w:t>
              </w:r>
            </w:hyperlink>
          </w:p>
        </w:tc>
        <w:tc>
          <w:tcPr>
            <w:tcW w:w="9900" w:type="dxa"/>
            <w:vAlign w:val="bottom"/>
            <w:gridSpan w:val="10"/>
          </w:tcPr>
          <w:p>
            <w:pPr>
              <w:spacing w:after="0"/>
              <w:rPr>
                <w:rFonts w:ascii="Arial" w:cs="Arial" w:eastAsia="Arial" w:hAnsi="Arial"/>
                <w:sz w:val="18"/>
                <w:szCs w:val="18"/>
                <w:color w:val="0000FF"/>
                <w:w w:val="92"/>
              </w:rPr>
            </w:pPr>
            <w:hyperlink r:id="rId218">
              <w:r>
                <w:rPr>
                  <w:rFonts w:ascii="Arial" w:cs="Arial" w:eastAsia="Arial" w:hAnsi="Arial"/>
                  <w:sz w:val="18"/>
                  <w:szCs w:val="18"/>
                  <w:u w:val="single" w:color="auto"/>
                  <w:color w:val="0000FF"/>
                  <w:w w:val="92"/>
                </w:rPr>
                <w:t>Code of Business Conduct and Ethics of the Registrant</w:t>
              </w:r>
              <w:r>
                <w:rPr>
                  <w:rFonts w:ascii="Arial" w:cs="Arial" w:eastAsia="Arial" w:hAnsi="Arial"/>
                  <w:sz w:val="18"/>
                  <w:szCs w:val="18"/>
                  <w:color w:val="0000FF"/>
                  <w:w w:val="92"/>
                </w:rPr>
                <w:t xml:space="preserve"> (incorporated by reference to Exhibit 14.1 of the Registrant's Annual Report on</w:t>
              </w:r>
            </w:hyperlink>
          </w:p>
        </w:tc>
      </w:tr>
      <w:tr>
        <w:trPr>
          <w:trHeight w:val="155"/>
        </w:trPr>
        <w:tc>
          <w:tcPr>
            <w:tcW w:w="920" w:type="dxa"/>
            <w:vAlign w:val="bottom"/>
          </w:tcPr>
          <w:p>
            <w:pPr>
              <w:spacing w:after="0"/>
              <w:rPr>
                <w:sz w:val="13"/>
                <w:szCs w:val="13"/>
                <w:color w:val="auto"/>
              </w:rPr>
            </w:pPr>
          </w:p>
        </w:tc>
        <w:tc>
          <w:tcPr>
            <w:tcW w:w="2620" w:type="dxa"/>
            <w:vAlign w:val="bottom"/>
            <w:tcBorders>
              <w:bottom w:val="single" w:sz="8" w:color="0000FF"/>
            </w:tcBorders>
            <w:gridSpan w:val="2"/>
          </w:tcPr>
          <w:p>
            <w:pPr>
              <w:spacing w:after="0" w:line="156" w:lineRule="exact"/>
              <w:rPr>
                <w:rFonts w:ascii="Arial" w:cs="Arial" w:eastAsia="Arial" w:hAnsi="Arial"/>
                <w:sz w:val="18"/>
                <w:szCs w:val="18"/>
                <w:color w:val="0000FF"/>
                <w:w w:val="92"/>
              </w:rPr>
            </w:pPr>
            <w:hyperlink r:id="rId218">
              <w:r>
                <w:rPr>
                  <w:rFonts w:ascii="Arial" w:cs="Arial" w:eastAsia="Arial" w:hAnsi="Arial"/>
                  <w:sz w:val="18"/>
                  <w:szCs w:val="18"/>
                  <w:color w:val="0000FF"/>
                  <w:w w:val="92"/>
                </w:rPr>
                <w:t>Form 10-K filed February 27, 2020)</w:t>
              </w:r>
            </w:hyperlink>
          </w:p>
        </w:tc>
        <w:tc>
          <w:tcPr>
            <w:tcW w:w="1340" w:type="dxa"/>
            <w:vAlign w:val="bottom"/>
            <w:gridSpan w:val="2"/>
          </w:tcPr>
          <w:p>
            <w:pPr>
              <w:spacing w:after="0"/>
              <w:rPr>
                <w:sz w:val="13"/>
                <w:szCs w:val="13"/>
                <w:color w:val="auto"/>
              </w:rPr>
            </w:pPr>
          </w:p>
        </w:tc>
        <w:tc>
          <w:tcPr>
            <w:tcW w:w="5760" w:type="dxa"/>
            <w:vAlign w:val="bottom"/>
            <w:tcBorders>
              <w:top w:val="single" w:sz="8" w:color="0000FF"/>
            </w:tcBorders>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49"/>
        </w:trPr>
        <w:tc>
          <w:tcPr>
            <w:tcW w:w="920" w:type="dxa"/>
            <w:vAlign w:val="bottom"/>
          </w:tcPr>
          <w:p>
            <w:pPr>
              <w:jc w:val="right"/>
              <w:ind w:right="150"/>
              <w:spacing w:after="0"/>
              <w:rPr>
                <w:rFonts w:ascii="Arial" w:cs="Arial" w:eastAsia="Arial" w:hAnsi="Arial"/>
                <w:sz w:val="18"/>
                <w:szCs w:val="18"/>
                <w:u w:val="single" w:color="auto"/>
                <w:color w:val="0000FF"/>
              </w:rPr>
            </w:pPr>
            <w:hyperlink w:anchor="page204">
              <w:r>
                <w:rPr>
                  <w:rFonts w:ascii="Arial" w:cs="Arial" w:eastAsia="Arial" w:hAnsi="Arial"/>
                  <w:sz w:val="18"/>
                  <w:szCs w:val="18"/>
                  <w:u w:val="single" w:color="auto"/>
                  <w:color w:val="0000FF"/>
                </w:rPr>
                <w:t>21.1</w:t>
              </w:r>
            </w:hyperlink>
          </w:p>
        </w:tc>
        <w:tc>
          <w:tcPr>
            <w:tcW w:w="9900" w:type="dxa"/>
            <w:vAlign w:val="bottom"/>
            <w:gridSpan w:val="10"/>
          </w:tcPr>
          <w:p>
            <w:pPr>
              <w:spacing w:after="0"/>
              <w:rPr>
                <w:rFonts w:ascii="Arial" w:cs="Arial" w:eastAsia="Arial" w:hAnsi="Arial"/>
                <w:sz w:val="18"/>
                <w:szCs w:val="18"/>
                <w:u w:val="single" w:color="auto"/>
                <w:color w:val="0000FF"/>
              </w:rPr>
            </w:pPr>
            <w:hyperlink w:anchor="page204">
              <w:r>
                <w:rPr>
                  <w:rFonts w:ascii="Arial" w:cs="Arial" w:eastAsia="Arial" w:hAnsi="Arial"/>
                  <w:sz w:val="18"/>
                  <w:szCs w:val="18"/>
                  <w:u w:val="single" w:color="auto"/>
                  <w:color w:val="0000FF"/>
                </w:rPr>
                <w:t>List of Subsidiaries</w:t>
              </w:r>
            </w:hyperlink>
          </w:p>
        </w:tc>
      </w:tr>
      <w:tr>
        <w:trPr>
          <w:trHeight w:val="230"/>
        </w:trPr>
        <w:tc>
          <w:tcPr>
            <w:tcW w:w="920" w:type="dxa"/>
            <w:vAlign w:val="bottom"/>
          </w:tcPr>
          <w:p>
            <w:pPr>
              <w:jc w:val="right"/>
              <w:ind w:right="150"/>
              <w:spacing w:after="0"/>
              <w:rPr>
                <w:rFonts w:ascii="Arial" w:cs="Arial" w:eastAsia="Arial" w:hAnsi="Arial"/>
                <w:sz w:val="18"/>
                <w:szCs w:val="18"/>
                <w:u w:val="single" w:color="auto"/>
                <w:color w:val="0000FF"/>
              </w:rPr>
            </w:pPr>
            <w:hyperlink w:anchor="page205">
              <w:r>
                <w:rPr>
                  <w:rFonts w:ascii="Arial" w:cs="Arial" w:eastAsia="Arial" w:hAnsi="Arial"/>
                  <w:sz w:val="18"/>
                  <w:szCs w:val="18"/>
                  <w:u w:val="single" w:color="auto"/>
                  <w:color w:val="0000FF"/>
                </w:rPr>
                <w:t>23.1</w:t>
              </w:r>
            </w:hyperlink>
          </w:p>
        </w:tc>
        <w:tc>
          <w:tcPr>
            <w:tcW w:w="9900" w:type="dxa"/>
            <w:vAlign w:val="bottom"/>
            <w:gridSpan w:val="10"/>
          </w:tcPr>
          <w:p>
            <w:pPr>
              <w:spacing w:after="0"/>
              <w:rPr>
                <w:rFonts w:ascii="Arial" w:cs="Arial" w:eastAsia="Arial" w:hAnsi="Arial"/>
                <w:sz w:val="18"/>
                <w:szCs w:val="18"/>
                <w:u w:val="single" w:color="auto"/>
                <w:color w:val="0000FF"/>
              </w:rPr>
            </w:pPr>
            <w:hyperlink w:anchor="page205">
              <w:r>
                <w:rPr>
                  <w:rFonts w:ascii="Arial" w:cs="Arial" w:eastAsia="Arial" w:hAnsi="Arial"/>
                  <w:sz w:val="18"/>
                  <w:szCs w:val="18"/>
                  <w:u w:val="single" w:color="auto"/>
                  <w:color w:val="0000FF"/>
                </w:rPr>
                <w:t>Consent of Ernst &amp; Young LLP</w:t>
              </w:r>
            </w:hyperlink>
          </w:p>
        </w:tc>
      </w:tr>
      <w:tr>
        <w:trPr>
          <w:trHeight w:val="230"/>
        </w:trPr>
        <w:tc>
          <w:tcPr>
            <w:tcW w:w="920" w:type="dxa"/>
            <w:vAlign w:val="bottom"/>
          </w:tcPr>
          <w:p>
            <w:pPr>
              <w:jc w:val="right"/>
              <w:ind w:right="150"/>
              <w:spacing w:after="0"/>
              <w:rPr>
                <w:rFonts w:ascii="Arial" w:cs="Arial" w:eastAsia="Arial" w:hAnsi="Arial"/>
                <w:sz w:val="18"/>
                <w:szCs w:val="18"/>
                <w:u w:val="single" w:color="auto"/>
                <w:color w:val="0000FF"/>
              </w:rPr>
            </w:pPr>
            <w:hyperlink w:anchor="page206">
              <w:r>
                <w:rPr>
                  <w:rFonts w:ascii="Arial" w:cs="Arial" w:eastAsia="Arial" w:hAnsi="Arial"/>
                  <w:sz w:val="18"/>
                  <w:szCs w:val="18"/>
                  <w:u w:val="single" w:color="auto"/>
                  <w:color w:val="0000FF"/>
                </w:rPr>
                <w:t>31.1</w:t>
              </w:r>
            </w:hyperlink>
          </w:p>
        </w:tc>
        <w:tc>
          <w:tcPr>
            <w:tcW w:w="9900" w:type="dxa"/>
            <w:vAlign w:val="bottom"/>
            <w:gridSpan w:val="10"/>
          </w:tcPr>
          <w:p>
            <w:pPr>
              <w:spacing w:after="0"/>
              <w:rPr>
                <w:rFonts w:ascii="Arial" w:cs="Arial" w:eastAsia="Arial" w:hAnsi="Arial"/>
                <w:sz w:val="18"/>
                <w:szCs w:val="18"/>
                <w:u w:val="single" w:color="auto"/>
                <w:color w:val="0000FF"/>
                <w:w w:val="94"/>
              </w:rPr>
            </w:pPr>
            <w:hyperlink w:anchor="page206">
              <w:r>
                <w:rPr>
                  <w:rFonts w:ascii="Arial" w:cs="Arial" w:eastAsia="Arial" w:hAnsi="Arial"/>
                  <w:sz w:val="18"/>
                  <w:szCs w:val="18"/>
                  <w:u w:val="single" w:color="auto"/>
                  <w:color w:val="0000FF"/>
                  <w:w w:val="94"/>
                </w:rPr>
                <w:t>Certification of principal executive officer pursuant to Rule 13a-14(a)/15d-14(a) of the Securities Exchange Act of 1934, as amended</w:t>
              </w:r>
            </w:hyperlink>
          </w:p>
        </w:tc>
      </w:tr>
      <w:tr>
        <w:trPr>
          <w:trHeight w:val="229"/>
        </w:trPr>
        <w:tc>
          <w:tcPr>
            <w:tcW w:w="920" w:type="dxa"/>
            <w:vAlign w:val="bottom"/>
          </w:tcPr>
          <w:p>
            <w:pPr>
              <w:jc w:val="right"/>
              <w:ind w:right="150"/>
              <w:spacing w:after="0"/>
              <w:rPr>
                <w:rFonts w:ascii="Arial" w:cs="Arial" w:eastAsia="Arial" w:hAnsi="Arial"/>
                <w:sz w:val="18"/>
                <w:szCs w:val="18"/>
                <w:u w:val="single" w:color="auto"/>
                <w:color w:val="0000FF"/>
              </w:rPr>
            </w:pPr>
            <w:hyperlink w:anchor="page207">
              <w:r>
                <w:rPr>
                  <w:rFonts w:ascii="Arial" w:cs="Arial" w:eastAsia="Arial" w:hAnsi="Arial"/>
                  <w:sz w:val="18"/>
                  <w:szCs w:val="18"/>
                  <w:u w:val="single" w:color="auto"/>
                  <w:color w:val="0000FF"/>
                </w:rPr>
                <w:t>31.2</w:t>
              </w:r>
            </w:hyperlink>
          </w:p>
        </w:tc>
        <w:tc>
          <w:tcPr>
            <w:tcW w:w="9900" w:type="dxa"/>
            <w:vAlign w:val="bottom"/>
            <w:gridSpan w:val="10"/>
          </w:tcPr>
          <w:p>
            <w:pPr>
              <w:spacing w:after="0"/>
              <w:rPr>
                <w:rFonts w:ascii="Arial" w:cs="Arial" w:eastAsia="Arial" w:hAnsi="Arial"/>
                <w:sz w:val="18"/>
                <w:szCs w:val="18"/>
                <w:u w:val="single" w:color="auto"/>
                <w:color w:val="0000FF"/>
                <w:w w:val="95"/>
              </w:rPr>
            </w:pPr>
            <w:hyperlink w:anchor="page207">
              <w:r>
                <w:rPr>
                  <w:rFonts w:ascii="Arial" w:cs="Arial" w:eastAsia="Arial" w:hAnsi="Arial"/>
                  <w:sz w:val="18"/>
                  <w:szCs w:val="18"/>
                  <w:u w:val="single" w:color="auto"/>
                  <w:color w:val="0000FF"/>
                  <w:w w:val="95"/>
                </w:rPr>
                <w:t>Certification of principal financial officer pursuant to Rule 13a-14(a)/15d-14(a) of the Securities Exchange Act of 1934, as amended</w:t>
              </w:r>
            </w:hyperlink>
          </w:p>
        </w:tc>
      </w:tr>
      <w:tr>
        <w:trPr>
          <w:trHeight w:val="190"/>
        </w:trPr>
        <w:tc>
          <w:tcPr>
            <w:tcW w:w="920" w:type="dxa"/>
            <w:vAlign w:val="bottom"/>
          </w:tcPr>
          <w:p>
            <w:pPr>
              <w:jc w:val="right"/>
              <w:ind w:right="150"/>
              <w:spacing w:after="0" w:line="190" w:lineRule="exact"/>
              <w:rPr>
                <w:rFonts w:ascii="Arial" w:cs="Arial" w:eastAsia="Arial" w:hAnsi="Arial"/>
                <w:sz w:val="18"/>
                <w:szCs w:val="18"/>
                <w:u w:val="single" w:color="auto"/>
                <w:color w:val="0000FF"/>
              </w:rPr>
            </w:pPr>
            <w:hyperlink w:anchor="page208">
              <w:r>
                <w:rPr>
                  <w:rFonts w:ascii="Arial" w:cs="Arial" w:eastAsia="Arial" w:hAnsi="Arial"/>
                  <w:sz w:val="18"/>
                  <w:szCs w:val="18"/>
                  <w:u w:val="single" w:color="auto"/>
                  <w:color w:val="0000FF"/>
                </w:rPr>
                <w:t>32.1</w:t>
              </w:r>
            </w:hyperlink>
          </w:p>
        </w:tc>
        <w:tc>
          <w:tcPr>
            <w:tcW w:w="9900" w:type="dxa"/>
            <w:vAlign w:val="bottom"/>
            <w:tcBorders>
              <w:bottom w:val="single" w:sz="8" w:color="0000FF"/>
            </w:tcBorders>
            <w:gridSpan w:val="10"/>
          </w:tcPr>
          <w:p>
            <w:pPr>
              <w:spacing w:after="0" w:line="190" w:lineRule="exact"/>
              <w:rPr>
                <w:rFonts w:ascii="Arial" w:cs="Arial" w:eastAsia="Arial" w:hAnsi="Arial"/>
                <w:sz w:val="18"/>
                <w:szCs w:val="18"/>
                <w:color w:val="0000FF"/>
                <w:w w:val="91"/>
              </w:rPr>
            </w:pPr>
            <w:hyperlink w:anchor="page208">
              <w:r>
                <w:rPr>
                  <w:rFonts w:ascii="Arial" w:cs="Arial" w:eastAsia="Arial" w:hAnsi="Arial"/>
                  <w:sz w:val="18"/>
                  <w:szCs w:val="18"/>
                  <w:color w:val="0000FF"/>
                  <w:w w:val="91"/>
                </w:rPr>
                <w:t>Certification of principal executive officer pursuant to 18 U.S.C. §1350, as adopted pursuant to Section 906 of the Sarbanes-Oxley Act of</w:t>
              </w:r>
            </w:hyperlink>
          </w:p>
        </w:tc>
      </w:tr>
      <w:tr>
        <w:trPr>
          <w:trHeight w:val="155"/>
        </w:trPr>
        <w:tc>
          <w:tcPr>
            <w:tcW w:w="92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w:anchor="page208">
              <w:r>
                <w:rPr>
                  <w:rFonts w:ascii="Arial" w:cs="Arial" w:eastAsia="Arial" w:hAnsi="Arial"/>
                  <w:sz w:val="18"/>
                  <w:szCs w:val="18"/>
                  <w:color w:val="0000FF"/>
                  <w:w w:val="84"/>
                </w:rPr>
                <w:t>2002</w:t>
              </w:r>
            </w:hyperlink>
          </w:p>
        </w:tc>
        <w:tc>
          <w:tcPr>
            <w:tcW w:w="2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0"/>
        </w:trPr>
        <w:tc>
          <w:tcPr>
            <w:tcW w:w="920" w:type="dxa"/>
            <w:vAlign w:val="bottom"/>
          </w:tcPr>
          <w:p>
            <w:pPr>
              <w:jc w:val="right"/>
              <w:ind w:right="150"/>
              <w:spacing w:after="0"/>
              <w:rPr>
                <w:rFonts w:ascii="Arial" w:cs="Arial" w:eastAsia="Arial" w:hAnsi="Arial"/>
                <w:sz w:val="18"/>
                <w:szCs w:val="18"/>
                <w:u w:val="single" w:color="auto"/>
                <w:color w:val="0000FF"/>
              </w:rPr>
            </w:pPr>
            <w:hyperlink w:anchor="page209">
              <w:r>
                <w:rPr>
                  <w:rFonts w:ascii="Arial" w:cs="Arial" w:eastAsia="Arial" w:hAnsi="Arial"/>
                  <w:sz w:val="18"/>
                  <w:szCs w:val="18"/>
                  <w:u w:val="single" w:color="auto"/>
                  <w:color w:val="0000FF"/>
                </w:rPr>
                <w:t>32.2</w:t>
              </w:r>
            </w:hyperlink>
          </w:p>
        </w:tc>
        <w:tc>
          <w:tcPr>
            <w:tcW w:w="9900" w:type="dxa"/>
            <w:vAlign w:val="bottom"/>
            <w:gridSpan w:val="10"/>
          </w:tcPr>
          <w:p>
            <w:pPr>
              <w:spacing w:after="0"/>
              <w:rPr>
                <w:rFonts w:ascii="Arial" w:cs="Arial" w:eastAsia="Arial" w:hAnsi="Arial"/>
                <w:sz w:val="18"/>
                <w:szCs w:val="18"/>
                <w:color w:val="0000FF"/>
                <w:w w:val="91"/>
              </w:rPr>
            </w:pPr>
            <w:hyperlink w:anchor="page209">
              <w:r>
                <w:rPr>
                  <w:rFonts w:ascii="Arial" w:cs="Arial" w:eastAsia="Arial" w:hAnsi="Arial"/>
                  <w:sz w:val="18"/>
                  <w:szCs w:val="18"/>
                  <w:color w:val="0000FF"/>
                  <w:w w:val="91"/>
                </w:rPr>
                <w:t>Certification of principal financial officer pursuant to 18 U.S.C. §1350, as adopted pursuant to Section 906 of the Sarbanes-Oxley Act of</w:t>
              </w:r>
            </w:hyperlink>
          </w:p>
        </w:tc>
      </w:tr>
      <w:tr>
        <w:trPr>
          <w:trHeight w:val="155"/>
        </w:trPr>
        <w:tc>
          <w:tcPr>
            <w:tcW w:w="9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209">
              <w:r>
                <w:rPr>
                  <w:rFonts w:ascii="Arial" w:cs="Arial" w:eastAsia="Arial" w:hAnsi="Arial"/>
                  <w:sz w:val="18"/>
                  <w:szCs w:val="18"/>
                  <w:color w:val="0000FF"/>
                  <w:w w:val="84"/>
                </w:rPr>
                <w:t>2002</w:t>
              </w:r>
            </w:hyperlink>
          </w:p>
        </w:tc>
        <w:tc>
          <w:tcPr>
            <w:tcW w:w="22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4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249"/>
        </w:trPr>
        <w:tc>
          <w:tcPr>
            <w:tcW w:w="920" w:type="dxa"/>
            <w:vAlign w:val="bottom"/>
          </w:tcPr>
          <w:p>
            <w:pPr>
              <w:jc w:val="right"/>
              <w:ind w:right="150"/>
              <w:spacing w:after="0"/>
              <w:rPr>
                <w:sz w:val="20"/>
                <w:szCs w:val="20"/>
                <w:color w:val="auto"/>
              </w:rPr>
            </w:pPr>
            <w:r>
              <w:rPr>
                <w:rFonts w:ascii="Arial" w:cs="Arial" w:eastAsia="Arial" w:hAnsi="Arial"/>
                <w:sz w:val="18"/>
                <w:szCs w:val="18"/>
                <w:color w:val="auto"/>
              </w:rPr>
              <w:t>101.INS</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w w:val="90"/>
              </w:rPr>
              <w:t>101.SCH</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w w:val="94"/>
              </w:rPr>
              <w:t>101.CAL</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29"/>
        </w:trPr>
        <w:tc>
          <w:tcPr>
            <w:tcW w:w="920" w:type="dxa"/>
            <w:vAlign w:val="bottom"/>
          </w:tcPr>
          <w:p>
            <w:pPr>
              <w:jc w:val="right"/>
              <w:ind w:right="150"/>
              <w:spacing w:after="0"/>
              <w:rPr>
                <w:sz w:val="20"/>
                <w:szCs w:val="20"/>
                <w:color w:val="auto"/>
              </w:rPr>
            </w:pPr>
            <w:r>
              <w:rPr>
                <w:rFonts w:ascii="Arial" w:cs="Arial" w:eastAsia="Arial" w:hAnsi="Arial"/>
                <w:sz w:val="18"/>
                <w:szCs w:val="18"/>
                <w:color w:val="auto"/>
                <w:w w:val="92"/>
              </w:rPr>
              <w:t>101.DEF</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w w:val="95"/>
              </w:rPr>
              <w:t>101.LAB</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920" w:type="dxa"/>
            <w:vAlign w:val="bottom"/>
          </w:tcPr>
          <w:p>
            <w:pPr>
              <w:jc w:val="right"/>
              <w:ind w:right="150"/>
              <w:spacing w:after="0"/>
              <w:rPr>
                <w:sz w:val="20"/>
                <w:szCs w:val="20"/>
                <w:color w:val="auto"/>
              </w:rPr>
            </w:pPr>
            <w:r>
              <w:rPr>
                <w:rFonts w:ascii="Arial" w:cs="Arial" w:eastAsia="Arial" w:hAnsi="Arial"/>
                <w:sz w:val="18"/>
                <w:szCs w:val="18"/>
                <w:color w:val="auto"/>
                <w:w w:val="91"/>
              </w:rPr>
              <w:t>101.PRE</w:t>
            </w:r>
          </w:p>
        </w:tc>
        <w:tc>
          <w:tcPr>
            <w:tcW w:w="9900" w:type="dxa"/>
            <w:vAlign w:val="bottom"/>
            <w:gridSpan w:val="10"/>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69" w:lineRule="exact"/>
        <w:rPr>
          <w:sz w:val="20"/>
          <w:szCs w:val="20"/>
          <w:color w:val="auto"/>
        </w:rPr>
      </w:pPr>
    </w:p>
    <w:p>
      <w:pPr>
        <w:ind w:left="400" w:right="720" w:hanging="374"/>
        <w:spacing w:after="0" w:line="235" w:lineRule="auto"/>
        <w:tabs>
          <w:tab w:leader="none" w:pos="4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Confidential treatment has been granted as to certain portions, which portions have been omitted and separately filed with the Securities and Exchange Commission.</w:t>
      </w:r>
    </w:p>
    <w:p>
      <w:pPr>
        <w:ind w:left="400" w:hanging="374"/>
        <w:spacing w:after="0"/>
        <w:tabs>
          <w:tab w:leader="none" w:pos="4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in response to Item 15(a)(3) of the Instructions to the Annual Report on Form 10-K.</w:t>
      </w:r>
    </w:p>
    <w:p>
      <w:pPr>
        <w:spacing w:after="0" w:line="46" w:lineRule="exact"/>
        <w:rPr>
          <w:sz w:val="20"/>
          <w:szCs w:val="20"/>
          <w:color w:val="auto"/>
        </w:rPr>
      </w:pPr>
    </w:p>
    <w:p>
      <w:pPr>
        <w:ind w:left="400" w:right="180" w:hanging="374"/>
        <w:spacing w:after="0" w:line="224" w:lineRule="auto"/>
        <w:tabs>
          <w:tab w:leader="none" w:pos="4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Schedules have been omitted from this exhibit pursuant to Item 601(b)(2) of Regulation S-K. A copy of any omitted schedule will be furnished supplementally to the Securities and Exchange Commission upon request; provided, however, that the registrant may request confidential treatment for any document so furnished.</w:t>
      </w:r>
    </w:p>
    <w:p>
      <w:pPr>
        <w:spacing w:after="0" w:line="1" w:lineRule="exact"/>
        <w:rPr>
          <w:sz w:val="20"/>
          <w:szCs w:val="20"/>
          <w:color w:val="auto"/>
        </w:rPr>
      </w:pPr>
    </w:p>
    <w:p>
      <w:pPr>
        <w:ind w:left="400" w:hanging="374"/>
        <w:spacing w:after="0"/>
        <w:tabs>
          <w:tab w:leader="none" w:pos="4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2"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3" w:name="page154"/>
    <w:bookmarkEnd w:id="1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54" w:name="page155"/>
    <w:bookmarkEnd w:id="1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4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March 4, 2021</w:t>
      </w:r>
    </w:p>
    <w:p>
      <w:pPr>
        <w:spacing w:after="0" w:line="185" w:lineRule="exact"/>
        <w:rPr>
          <w:sz w:val="20"/>
          <w:szCs w:val="20"/>
          <w:color w:val="auto"/>
        </w:rPr>
      </w:pPr>
    </w:p>
    <w:tbl>
      <w:tblPr>
        <w:tblLayout w:type="fixed"/>
        <w:tblInd w:w="5460" w:type="dxa"/>
        <w:tblCellMar>
          <w:top w:w="0" w:type="dxa"/>
          <w:left w:w="0" w:type="dxa"/>
          <w:bottom w:w="0" w:type="dxa"/>
          <w:right w:w="0" w:type="dxa"/>
        </w:tblCellMar>
      </w:tblPr>
      <w:tr>
        <w:trPr>
          <w:trHeight w:val="229"/>
        </w:trPr>
        <w:tc>
          <w:tcPr>
            <w:tcW w:w="1640" w:type="dxa"/>
            <w:vAlign w:val="bottom"/>
            <w:gridSpan w:val="2"/>
          </w:tcPr>
          <w:p>
            <w:pPr>
              <w:spacing w:after="0"/>
              <w:rPr>
                <w:sz w:val="20"/>
                <w:szCs w:val="20"/>
                <w:color w:val="auto"/>
              </w:rPr>
            </w:pPr>
            <w:r>
              <w:rPr>
                <w:rFonts w:ascii="Arial" w:cs="Arial" w:eastAsia="Arial" w:hAnsi="Arial"/>
                <w:sz w:val="18"/>
                <w:szCs w:val="18"/>
                <w:color w:val="auto"/>
              </w:rPr>
              <w:t>IVERIC bio, Inc.</w:t>
            </w:r>
          </w:p>
        </w:tc>
        <w:tc>
          <w:tcPr>
            <w:tcW w:w="4120" w:type="dxa"/>
            <w:vAlign w:val="bottom"/>
          </w:tcPr>
          <w:p>
            <w:pPr>
              <w:spacing w:after="0"/>
              <w:rPr>
                <w:sz w:val="19"/>
                <w:szCs w:val="19"/>
                <w:color w:val="auto"/>
              </w:rPr>
            </w:pPr>
          </w:p>
        </w:tc>
      </w:tr>
      <w:tr>
        <w:trPr>
          <w:trHeight w:val="237"/>
        </w:trPr>
        <w:tc>
          <w:tcPr>
            <w:tcW w:w="1640" w:type="dxa"/>
            <w:vAlign w:val="bottom"/>
            <w:gridSpan w:val="2"/>
          </w:tcPr>
          <w:p>
            <w:pPr>
              <w:spacing w:after="0"/>
              <w:rPr>
                <w:sz w:val="20"/>
                <w:szCs w:val="20"/>
                <w:color w:val="auto"/>
              </w:rPr>
            </w:pPr>
            <w:r>
              <w:rPr>
                <w:rFonts w:ascii="Arial" w:cs="Arial" w:eastAsia="Arial" w:hAnsi="Arial"/>
                <w:sz w:val="18"/>
                <w:szCs w:val="18"/>
                <w:color w:val="auto"/>
              </w:rPr>
              <w:t>By:</w:t>
            </w:r>
          </w:p>
        </w:tc>
        <w:tc>
          <w:tcPr>
            <w:tcW w:w="4120" w:type="dxa"/>
            <w:vAlign w:val="bottom"/>
          </w:tcPr>
          <w:p>
            <w:pPr>
              <w:jc w:val="center"/>
              <w:ind w:right="530"/>
              <w:spacing w:after="0"/>
              <w:rPr>
                <w:sz w:val="20"/>
                <w:szCs w:val="20"/>
                <w:color w:val="auto"/>
              </w:rPr>
            </w:pPr>
            <w:r>
              <w:rPr>
                <w:rFonts w:ascii="Arial" w:cs="Arial" w:eastAsia="Arial" w:hAnsi="Arial"/>
                <w:sz w:val="18"/>
                <w:szCs w:val="18"/>
                <w:color w:val="auto"/>
                <w:w w:val="94"/>
              </w:rPr>
              <w:t>/s/ GLENN P. SBLENDORIO</w:t>
            </w:r>
          </w:p>
        </w:tc>
      </w:tr>
      <w:tr>
        <w:trPr>
          <w:trHeight w:val="175"/>
        </w:trPr>
        <w:tc>
          <w:tcPr>
            <w:tcW w:w="10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120" w:type="dxa"/>
            <w:vAlign w:val="bottom"/>
            <w:tcBorders>
              <w:top w:val="single" w:sz="8" w:color="auto"/>
            </w:tcBorders>
          </w:tcPr>
          <w:p>
            <w:pPr>
              <w:jc w:val="center"/>
              <w:ind w:right="530"/>
              <w:spacing w:after="0" w:line="176" w:lineRule="exact"/>
              <w:rPr>
                <w:sz w:val="20"/>
                <w:szCs w:val="20"/>
                <w:color w:val="auto"/>
              </w:rPr>
            </w:pPr>
            <w:r>
              <w:rPr>
                <w:rFonts w:ascii="Arial" w:cs="Arial" w:eastAsia="Arial" w:hAnsi="Arial"/>
                <w:sz w:val="18"/>
                <w:szCs w:val="18"/>
                <w:color w:val="auto"/>
                <w:w w:val="90"/>
              </w:rPr>
              <w:t>Glenn P. Sblendorio</w:t>
            </w:r>
          </w:p>
        </w:tc>
      </w:tr>
      <w:tr>
        <w:trPr>
          <w:trHeight w:val="230"/>
        </w:trPr>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120" w:type="dxa"/>
            <w:vAlign w:val="bottom"/>
          </w:tcPr>
          <w:p>
            <w:pPr>
              <w:jc w:val="center"/>
              <w:ind w:right="490"/>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13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5" w:lineRule="exact"/>
        <w:rPr>
          <w:sz w:val="20"/>
          <w:szCs w:val="20"/>
          <w:color w:val="auto"/>
        </w:rPr>
      </w:pPr>
    </w:p>
    <w:p>
      <w:pPr>
        <w:ind w:left="1860"/>
        <w:spacing w:after="0"/>
        <w:tabs>
          <w:tab w:leader="none" w:pos="6580" w:val="left"/>
          <w:tab w:leader="none" w:pos="100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29210</wp:posOffset>
            </wp:positionV>
            <wp:extent cx="27000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5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Glenn P. Sblendorio</w:t>
      </w:r>
    </w:p>
    <w:p>
      <w:pPr>
        <w:spacing w:after="0" w:line="200" w:lineRule="exact"/>
        <w:rPr>
          <w:sz w:val="20"/>
          <w:szCs w:val="20"/>
          <w:color w:val="auto"/>
        </w:rPr>
      </w:pPr>
    </w:p>
    <w:p>
      <w:pPr>
        <w:spacing w:after="0" w:line="25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David F. Carroll</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MARK BLUMENKRANZ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Mark Blumenkranz</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AXEL BOLTE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Axel Bolte</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ADRIENNE 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Adrienne L. Graves, Ph.D.</w:t>
      </w:r>
    </w:p>
    <w:p>
      <w:pPr>
        <w:spacing w:after="0" w:line="29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DAVID R.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David R. Guyer, M.D.</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JANE P.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Jane P. Henderson</w:t>
      </w:r>
    </w:p>
    <w:p>
      <w:pPr>
        <w:spacing w:after="0" w:line="29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CALVIN W.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27000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2700020" cy="17145"/>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Calvin W. Roberts, M.D.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 and Director (principal</w:t>
            </w:r>
          </w:p>
        </w:tc>
        <w:tc>
          <w:tcPr>
            <w:tcW w:w="1540" w:type="dxa"/>
            <w:vAlign w:val="bottom"/>
            <w:vMerge w:val="restart"/>
          </w:tcPr>
          <w:p>
            <w:pPr>
              <w:ind w:left="480"/>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executive officer)</w:t>
            </w: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4800" w:type="dxa"/>
            <w:vAlign w:val="bottom"/>
          </w:tcPr>
          <w:p>
            <w:pPr>
              <w:spacing w:after="0"/>
              <w:rPr>
                <w:sz w:val="20"/>
                <w:szCs w:val="20"/>
                <w:color w:val="auto"/>
              </w:rPr>
            </w:pPr>
            <w:r>
              <w:rPr>
                <w:rFonts w:ascii="Arial" w:cs="Arial" w:eastAsia="Arial" w:hAnsi="Arial"/>
                <w:sz w:val="18"/>
                <w:szCs w:val="18"/>
                <w:color w:val="auto"/>
              </w:rPr>
              <w:t>Senior Vice President and Chief Financial Officer (principal</w:t>
            </w:r>
          </w:p>
        </w:tc>
        <w:tc>
          <w:tcPr>
            <w:tcW w:w="1540" w:type="dxa"/>
            <w:vAlign w:val="bottom"/>
            <w:vMerge w:val="restart"/>
          </w:tcPr>
          <w:p>
            <w:pPr>
              <w:ind w:left="480"/>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financial and accounting officer)</w:t>
            </w: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4800" w:type="dxa"/>
            <w:vAlign w:val="bottom"/>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ind w:left="480"/>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756"/>
        </w:trPr>
        <w:tc>
          <w:tcPr>
            <w:tcW w:w="4800" w:type="dxa"/>
            <w:vAlign w:val="bottom"/>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ind w:left="480"/>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756"/>
        </w:trPr>
        <w:tc>
          <w:tcPr>
            <w:tcW w:w="4800" w:type="dxa"/>
            <w:vAlign w:val="bottom"/>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ind w:left="480"/>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756"/>
        </w:trPr>
        <w:tc>
          <w:tcPr>
            <w:tcW w:w="4800" w:type="dxa"/>
            <w:vAlign w:val="bottom"/>
          </w:tcPr>
          <w:p>
            <w:pPr>
              <w:spacing w:after="0"/>
              <w:rPr>
                <w:sz w:val="20"/>
                <w:szCs w:val="20"/>
                <w:color w:val="auto"/>
              </w:rPr>
            </w:pPr>
            <w:r>
              <w:rPr>
                <w:rFonts w:ascii="Arial" w:cs="Arial" w:eastAsia="Arial" w:hAnsi="Arial"/>
                <w:sz w:val="18"/>
                <w:szCs w:val="18"/>
                <w:color w:val="auto"/>
              </w:rPr>
              <w:t>Executive Chairman of the Board of Directors</w:t>
            </w:r>
          </w:p>
        </w:tc>
        <w:tc>
          <w:tcPr>
            <w:tcW w:w="1540" w:type="dxa"/>
            <w:vAlign w:val="bottom"/>
          </w:tcPr>
          <w:p>
            <w:pPr>
              <w:ind w:left="480"/>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756"/>
        </w:trPr>
        <w:tc>
          <w:tcPr>
            <w:tcW w:w="4800" w:type="dxa"/>
            <w:vAlign w:val="bottom"/>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ind w:left="480"/>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r>
        <w:trPr>
          <w:trHeight w:val="756"/>
        </w:trPr>
        <w:tc>
          <w:tcPr>
            <w:tcW w:w="4800" w:type="dxa"/>
            <w:vAlign w:val="bottom"/>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ind w:left="480"/>
              <w:spacing w:after="0"/>
              <w:rPr>
                <w:sz w:val="20"/>
                <w:szCs w:val="20"/>
                <w:color w:val="auto"/>
              </w:rPr>
            </w:pPr>
            <w:r>
              <w:rPr>
                <w:rFonts w:ascii="Arial" w:cs="Arial" w:eastAsia="Arial" w:hAnsi="Arial"/>
                <w:sz w:val="18"/>
                <w:szCs w:val="18"/>
                <w:color w:val="auto"/>
                <w:w w:val="90"/>
              </w:rPr>
              <w:t>March 4, 2021</w:t>
            </w:r>
          </w:p>
        </w:tc>
        <w:tc>
          <w:tcPr>
            <w:tcW w:w="0" w:type="dxa"/>
            <w:vAlign w:val="bottom"/>
          </w:tcPr>
          <w:p>
            <w:pPr>
              <w:spacing w:after="0"/>
              <w:rPr>
                <w:sz w:val="1"/>
                <w:szCs w:val="1"/>
                <w:color w:val="auto"/>
              </w:rPr>
            </w:pPr>
          </w:p>
        </w:tc>
      </w:tr>
    </w:tbl>
    <w:p>
      <w:pPr>
        <w:spacing w:after="0" w:line="419" w:lineRule="exact"/>
        <w:rPr>
          <w:sz w:val="20"/>
          <w:szCs w:val="20"/>
          <w:color w:val="auto"/>
        </w:rPr>
      </w:pPr>
    </w:p>
    <w:p>
      <w:pPr>
        <w:sectPr>
          <w:pgSz w:w="11900" w:h="16838" w:orient="portrait"/>
          <w:cols w:equalWidth="0" w:num="2">
            <w:col w:w="3680" w:space="720"/>
            <w:col w:w="68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400" w:type="dxa"/>
            <w:vAlign w:val="bottom"/>
          </w:tcPr>
          <w:p>
            <w:pPr>
              <w:spacing w:after="0"/>
              <w:rPr>
                <w:sz w:val="20"/>
                <w:szCs w:val="20"/>
                <w:color w:val="auto"/>
              </w:rPr>
            </w:pPr>
          </w:p>
        </w:tc>
      </w:tr>
      <w:tr>
        <w:trPr>
          <w:trHeight w:val="918"/>
        </w:trPr>
        <w:tc>
          <w:tcPr>
            <w:tcW w:w="9800" w:type="dxa"/>
            <w:vAlign w:val="bottom"/>
          </w:tcPr>
          <w:p>
            <w:pPr>
              <w:ind w:left="4960"/>
              <w:spacing w:after="0"/>
              <w:rPr>
                <w:sz w:val="20"/>
                <w:szCs w:val="20"/>
                <w:color w:val="auto"/>
              </w:rPr>
            </w:pPr>
            <w:r>
              <w:rPr>
                <w:rFonts w:ascii="Arial" w:cs="Arial" w:eastAsia="Arial" w:hAnsi="Arial"/>
                <w:sz w:val="18"/>
                <w:szCs w:val="18"/>
                <w:b w:val="1"/>
                <w:bCs w:val="1"/>
                <w:color w:val="auto"/>
              </w:rPr>
              <w:t>IVERIC bio, Inc.</w:t>
            </w:r>
          </w:p>
        </w:tc>
        <w:tc>
          <w:tcPr>
            <w:tcW w:w="1400" w:type="dxa"/>
            <w:vAlign w:val="bottom"/>
          </w:tcPr>
          <w:p>
            <w:pPr>
              <w:spacing w:after="0"/>
              <w:rPr>
                <w:sz w:val="24"/>
                <w:szCs w:val="24"/>
                <w:color w:val="auto"/>
              </w:rPr>
            </w:pPr>
          </w:p>
        </w:tc>
      </w:tr>
      <w:tr>
        <w:trPr>
          <w:trHeight w:val="351"/>
        </w:trPr>
        <w:tc>
          <w:tcPr>
            <w:tcW w:w="980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1400" w:type="dxa"/>
            <w:vAlign w:val="bottom"/>
          </w:tcPr>
          <w:p>
            <w:pPr>
              <w:spacing w:after="0"/>
              <w:rPr>
                <w:sz w:val="24"/>
                <w:szCs w:val="24"/>
                <w:color w:val="auto"/>
              </w:rPr>
            </w:pPr>
          </w:p>
        </w:tc>
      </w:tr>
      <w:tr>
        <w:trPr>
          <w:trHeight w:val="404"/>
        </w:trPr>
        <w:tc>
          <w:tcPr>
            <w:tcW w:w="9800" w:type="dxa"/>
            <w:vAlign w:val="bottom"/>
          </w:tcPr>
          <w:p>
            <w:pPr>
              <w:ind w:left="40"/>
              <w:spacing w:after="0"/>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Report of Independent Registered Public Accounting Firm</w:t>
              </w:r>
            </w:hyperlink>
          </w:p>
        </w:tc>
        <w:tc>
          <w:tcPr>
            <w:tcW w:w="1400" w:type="dxa"/>
            <w:vAlign w:val="bottom"/>
          </w:tcPr>
          <w:p>
            <w:pPr>
              <w:jc w:val="right"/>
              <w:spacing w:after="0"/>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2</w:t>
              </w:r>
            </w:hyperlink>
          </w:p>
        </w:tc>
      </w:tr>
      <w:tr>
        <w:trPr>
          <w:trHeight w:val="229"/>
        </w:trPr>
        <w:tc>
          <w:tcPr>
            <w:tcW w:w="9800" w:type="dxa"/>
            <w:vAlign w:val="bottom"/>
          </w:tcPr>
          <w:p>
            <w:pPr>
              <w:ind w:left="40"/>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Consolidated Balance Sheets as of December 31, 2020 and 2019</w:t>
              </w:r>
            </w:hyperlink>
          </w:p>
        </w:tc>
        <w:tc>
          <w:tcPr>
            <w:tcW w:w="1400" w:type="dxa"/>
            <w:vAlign w:val="bottom"/>
          </w:tcPr>
          <w:p>
            <w:pPr>
              <w:jc w:val="right"/>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4</w:t>
              </w:r>
            </w:hyperlink>
          </w:p>
        </w:tc>
      </w:tr>
      <w:tr>
        <w:trPr>
          <w:trHeight w:val="230"/>
        </w:trPr>
        <w:tc>
          <w:tcPr>
            <w:tcW w:w="9800" w:type="dxa"/>
            <w:vAlign w:val="bottom"/>
          </w:tcPr>
          <w:p>
            <w:pPr>
              <w:ind w:left="40"/>
              <w:spacing w:after="0"/>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Consolidated Statements of Operations for the Years Ended December 31, 2020, 2019 and 2018</w:t>
              </w:r>
            </w:hyperlink>
          </w:p>
        </w:tc>
        <w:tc>
          <w:tcPr>
            <w:tcW w:w="1400" w:type="dxa"/>
            <w:vAlign w:val="bottom"/>
          </w:tcPr>
          <w:p>
            <w:pPr>
              <w:jc w:val="right"/>
              <w:spacing w:after="0"/>
              <w:rPr>
                <w:rFonts w:ascii="Arial" w:cs="Arial" w:eastAsia="Arial" w:hAnsi="Arial"/>
                <w:sz w:val="18"/>
                <w:szCs w:val="18"/>
                <w:u w:val="single" w:color="auto"/>
                <w:color w:val="0000FF"/>
              </w:rPr>
            </w:pPr>
            <w:hyperlink w:anchor="page159">
              <w:r>
                <w:rPr>
                  <w:rFonts w:ascii="Arial" w:cs="Arial" w:eastAsia="Arial" w:hAnsi="Arial"/>
                  <w:sz w:val="18"/>
                  <w:szCs w:val="18"/>
                  <w:u w:val="single" w:color="auto"/>
                  <w:color w:val="0000FF"/>
                </w:rPr>
                <w:t>5</w:t>
              </w:r>
            </w:hyperlink>
          </w:p>
        </w:tc>
      </w:tr>
      <w:tr>
        <w:trPr>
          <w:trHeight w:val="229"/>
        </w:trPr>
        <w:tc>
          <w:tcPr>
            <w:tcW w:w="9800" w:type="dxa"/>
            <w:vAlign w:val="bottom"/>
          </w:tcPr>
          <w:p>
            <w:pPr>
              <w:ind w:left="40"/>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Consolidated Statements of Comprehensive Income (Loss) for the Years Ended December 31, 2020, 2019 and 2018</w:t>
              </w:r>
            </w:hyperlink>
          </w:p>
        </w:tc>
        <w:tc>
          <w:tcPr>
            <w:tcW w:w="1400" w:type="dxa"/>
            <w:vAlign w:val="bottom"/>
          </w:tcPr>
          <w:p>
            <w:pPr>
              <w:jc w:val="right"/>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6</w:t>
              </w:r>
            </w:hyperlink>
          </w:p>
        </w:tc>
      </w:tr>
      <w:tr>
        <w:trPr>
          <w:trHeight w:val="230"/>
        </w:trPr>
        <w:tc>
          <w:tcPr>
            <w:tcW w:w="9800" w:type="dxa"/>
            <w:vAlign w:val="bottom"/>
          </w:tcPr>
          <w:p>
            <w:pPr>
              <w:ind w:left="40"/>
              <w:spacing w:after="0"/>
              <w:rPr>
                <w:rFonts w:ascii="Arial" w:cs="Arial" w:eastAsia="Arial" w:hAnsi="Arial"/>
                <w:sz w:val="18"/>
                <w:szCs w:val="18"/>
                <w:u w:val="single" w:color="auto"/>
                <w:color w:val="0000FF"/>
              </w:rPr>
            </w:pPr>
            <w:hyperlink w:anchor="page161">
              <w:r>
                <w:rPr>
                  <w:rFonts w:ascii="Arial" w:cs="Arial" w:eastAsia="Arial" w:hAnsi="Arial"/>
                  <w:sz w:val="18"/>
                  <w:szCs w:val="18"/>
                  <w:u w:val="single" w:color="auto"/>
                  <w:color w:val="0000FF"/>
                </w:rPr>
                <w:t>Consolidated Statements of Changes in Stockholders' Equity for the Years Ended December 31, 2020, 2019 and 2018</w:t>
              </w:r>
            </w:hyperlink>
          </w:p>
        </w:tc>
        <w:tc>
          <w:tcPr>
            <w:tcW w:w="1400" w:type="dxa"/>
            <w:vAlign w:val="bottom"/>
          </w:tcPr>
          <w:p>
            <w:pPr>
              <w:jc w:val="right"/>
              <w:spacing w:after="0"/>
              <w:rPr>
                <w:rFonts w:ascii="Arial" w:cs="Arial" w:eastAsia="Arial" w:hAnsi="Arial"/>
                <w:sz w:val="18"/>
                <w:szCs w:val="18"/>
                <w:u w:val="single" w:color="auto"/>
                <w:color w:val="0000FF"/>
              </w:rPr>
            </w:pPr>
            <w:hyperlink w:anchor="page161">
              <w:r>
                <w:rPr>
                  <w:rFonts w:ascii="Arial" w:cs="Arial" w:eastAsia="Arial" w:hAnsi="Arial"/>
                  <w:sz w:val="18"/>
                  <w:szCs w:val="18"/>
                  <w:u w:val="single" w:color="auto"/>
                  <w:color w:val="0000FF"/>
                </w:rPr>
                <w:t>7</w:t>
              </w:r>
            </w:hyperlink>
          </w:p>
        </w:tc>
      </w:tr>
      <w:tr>
        <w:trPr>
          <w:trHeight w:val="229"/>
        </w:trPr>
        <w:tc>
          <w:tcPr>
            <w:tcW w:w="9800" w:type="dxa"/>
            <w:vAlign w:val="bottom"/>
          </w:tcPr>
          <w:p>
            <w:pPr>
              <w:ind w:left="40"/>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Consolidated Statements of Cash Flows for the Years Ended December 31, 2020, 2019 and 2018</w:t>
              </w:r>
            </w:hyperlink>
          </w:p>
        </w:tc>
        <w:tc>
          <w:tcPr>
            <w:tcW w:w="1400" w:type="dxa"/>
            <w:vAlign w:val="bottom"/>
          </w:tcPr>
          <w:p>
            <w:pPr>
              <w:jc w:val="right"/>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8</w:t>
              </w:r>
            </w:hyperlink>
          </w:p>
        </w:tc>
      </w:tr>
      <w:tr>
        <w:trPr>
          <w:trHeight w:val="230"/>
        </w:trPr>
        <w:tc>
          <w:tcPr>
            <w:tcW w:w="9800" w:type="dxa"/>
            <w:vAlign w:val="bottom"/>
          </w:tcPr>
          <w:p>
            <w:pPr>
              <w:ind w:left="40"/>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Notes to Consolidated Financial Statements</w:t>
              </w:r>
            </w:hyperlink>
          </w:p>
        </w:tc>
        <w:tc>
          <w:tcPr>
            <w:tcW w:w="1400" w:type="dxa"/>
            <w:vAlign w:val="bottom"/>
          </w:tcPr>
          <w:p>
            <w:pPr>
              <w:jc w:val="right"/>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6" w:name="page157"/>
    <w:bookmarkEnd w:id="1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360" w:firstLine="3364"/>
        <w:spacing w:after="0" w:line="41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IVERIC bio, Inc. </w:t>
      </w:r>
      <w:r>
        <w:rPr>
          <w:rFonts w:ascii="Arial" w:cs="Arial" w:eastAsia="Arial" w:hAnsi="Arial"/>
          <w:sz w:val="18"/>
          <w:szCs w:val="18"/>
          <w:b w:val="1"/>
          <w:bCs w:val="1"/>
          <w:color w:val="auto"/>
        </w:rPr>
        <w:t>Opinion on the Financial Statements</w:t>
      </w:r>
    </w:p>
    <w:p>
      <w:pPr>
        <w:spacing w:after="0" w:line="3"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We have audited the accompanying consolidated balance sheets of IVERIC bio, Inc. (the Company) as of December 31, 2020 and 2019, the related consolidated statements of operations, comprehensive income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8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framework), and our report dated March 4, 2021 expressed an unqualified opinion thereon.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7" w:lineRule="exact"/>
        <w:rPr>
          <w:sz w:val="20"/>
          <w:szCs w:val="20"/>
          <w:color w:val="auto"/>
        </w:rPr>
      </w:pPr>
    </w:p>
    <w:p>
      <w:pPr>
        <w:ind w:left="226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71" w:lineRule="exact"/>
        <w:rPr>
          <w:sz w:val="20"/>
          <w:szCs w:val="20"/>
          <w:color w:val="auto"/>
        </w:rPr>
      </w:pPr>
    </w:p>
    <w:p>
      <w:pPr>
        <w:ind w:left="2260" w:right="60" w:hanging="2226"/>
        <w:spacing w:after="0" w:line="239" w:lineRule="auto"/>
        <w:tabs>
          <w:tab w:leader="none" w:pos="22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6"/>
          <w:szCs w:val="16"/>
          <w:color w:val="auto"/>
        </w:rPr>
        <w:t>During 2020, the Company incurred $63 million of research and development expenses and accrued $13 million for research and development expenses as of December 31, 2020. As described in Note 2 to the Financial Statements, service agreements with third party service providers including contract research organizations (“CROs”) and contract development and manufacturing organizations (“CMOs”) comprise a significant component of the Company’s research and development activities. The timing and the amount of payments required under each individual arrangement are often different from the pattern of costs actually incurred. The Company accrues the cost of the services with these third-party organizations based on the extent of activities completed by vendors and measured by internal project managers.</w:t>
      </w:r>
    </w:p>
    <w:p>
      <w:pPr>
        <w:spacing w:after="0" w:line="202" w:lineRule="exact"/>
        <w:rPr>
          <w:sz w:val="20"/>
          <w:szCs w:val="20"/>
          <w:color w:val="auto"/>
        </w:rPr>
      </w:pPr>
    </w:p>
    <w:p>
      <w:pPr>
        <w:ind w:left="1880"/>
        <w:spacing w:after="0" w:line="293" w:lineRule="auto"/>
        <w:rPr>
          <w:sz w:val="20"/>
          <w:szCs w:val="20"/>
          <w:color w:val="auto"/>
        </w:rPr>
      </w:pPr>
      <w:r>
        <w:rPr>
          <w:rFonts w:ascii="Arial" w:cs="Arial" w:eastAsia="Arial" w:hAnsi="Arial"/>
          <w:sz w:val="16"/>
          <w:szCs w:val="16"/>
          <w:color w:val="auto"/>
        </w:rPr>
        <w:t>Auditing management’s accounting for accrued contract research and development expenses is especially challenging because amounts owed to third parties are accrued based upon estimates of the proportion of work completed for each of the individual clinical trial and manufacturing activities in accordance with the unique terms and conditions of each respective CRO and CMO agreement. Estimating the proportion of work completed requires the application of judgments by management that are dependent on inputs, such as the number of sites activated, the number of patients enrolled and the number of patient visits, obtained from clinical personnel and third-party service providers and compiled from multiple sources.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7" w:name="page158"/>
    <w:bookmarkEnd w:id="1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How We Addressed the Matter </w:t>
      </w:r>
      <w:r>
        <w:rPr>
          <w:rFonts w:ascii="Arial" w:cs="Arial" w:eastAsia="Arial" w:hAnsi="Arial"/>
          <w:sz w:val="16"/>
          <w:szCs w:val="16"/>
          <w:color w:val="auto"/>
        </w:rPr>
        <w:t>We obtained an understanding, evaluated the design, and tested the operating effectiveness of internal controls over the</w:t>
      </w:r>
    </w:p>
    <w:p>
      <w:pPr>
        <w:spacing w:after="0" w:line="3" w:lineRule="exact"/>
        <w:rPr>
          <w:sz w:val="20"/>
          <w:szCs w:val="20"/>
          <w:color w:val="auto"/>
        </w:rPr>
      </w:pPr>
    </w:p>
    <w:p>
      <w:pPr>
        <w:ind w:left="20"/>
        <w:spacing w:after="0"/>
        <w:tabs>
          <w:tab w:leader="none" w:pos="2240" w:val="left"/>
        </w:tabs>
        <w:rPr>
          <w:sz w:val="20"/>
          <w:szCs w:val="20"/>
          <w:color w:val="auto"/>
        </w:rPr>
      </w:pPr>
      <w:r>
        <w:rPr>
          <w:rFonts w:ascii="Arial" w:cs="Arial" w:eastAsia="Arial" w:hAnsi="Arial"/>
          <w:sz w:val="18"/>
          <w:szCs w:val="18"/>
          <w:i w:val="1"/>
          <w:iCs w:val="1"/>
          <w:color w:val="auto"/>
        </w:rPr>
        <w:t>in Our Audit</w:t>
      </w:r>
      <w:r>
        <w:rPr>
          <w:sz w:val="20"/>
          <w:szCs w:val="20"/>
          <w:color w:val="auto"/>
        </w:rPr>
        <w:tab/>
      </w:r>
      <w:r>
        <w:rPr>
          <w:rFonts w:ascii="Arial" w:cs="Arial" w:eastAsia="Arial" w:hAnsi="Arial"/>
          <w:sz w:val="16"/>
          <w:szCs w:val="16"/>
          <w:color w:val="auto"/>
        </w:rPr>
        <w:t>completeness and valuation of accrued research and development expenses, including controls over the judgments made by</w:t>
      </w:r>
    </w:p>
    <w:p>
      <w:pPr>
        <w:jc w:val="center"/>
        <w:ind w:right="40"/>
        <w:spacing w:after="0"/>
        <w:rPr>
          <w:sz w:val="20"/>
          <w:szCs w:val="20"/>
          <w:color w:val="auto"/>
        </w:rPr>
      </w:pPr>
      <w:r>
        <w:rPr>
          <w:rFonts w:ascii="Arial" w:cs="Arial" w:eastAsia="Arial" w:hAnsi="Arial"/>
          <w:sz w:val="18"/>
          <w:szCs w:val="18"/>
          <w:color w:val="auto"/>
        </w:rPr>
        <w:t>management and the data obtained from clinical personnel and third-party service providers.</w:t>
      </w:r>
    </w:p>
    <w:p>
      <w:pPr>
        <w:spacing w:after="0" w:line="358" w:lineRule="exact"/>
        <w:rPr>
          <w:sz w:val="20"/>
          <w:szCs w:val="20"/>
          <w:color w:val="auto"/>
        </w:rPr>
      </w:pPr>
    </w:p>
    <w:p>
      <w:pPr>
        <w:ind w:left="1880"/>
        <w:spacing w:after="0" w:line="272" w:lineRule="auto"/>
        <w:rPr>
          <w:sz w:val="20"/>
          <w:szCs w:val="20"/>
          <w:color w:val="auto"/>
        </w:rPr>
      </w:pPr>
      <w:r>
        <w:rPr>
          <w:rFonts w:ascii="Arial" w:cs="Arial" w:eastAsia="Arial" w:hAnsi="Arial"/>
          <w:sz w:val="17"/>
          <w:szCs w:val="17"/>
          <w:color w:val="auto"/>
        </w:rPr>
        <w:t>To test the research and development accrual, our audit procedures included, among others, testing the accuracy and completeness of the underlying data used in the estimates and evaluating the estimated proportion of work completed for each of the individual clinical trial and manufacturing activities used by management to estimate the recorded accruals. We inspected the contracts and any amendments to the contracts with third-party service providers, assessed the progress of clinical trials and other research and development projects with the Company’s research and development personnel that oversee the clinical trials, and obtained information directly from third parties, which included the third parties’ estimates of costs incurred to date. We also inspected subsequent invoices received from third parties.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8" w:name="page159"/>
    <w:bookmarkEnd w:id="1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Balance Sheets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6"/>
                <w:szCs w:val="16"/>
                <w:color w:val="auto"/>
              </w:rPr>
            </w:pPr>
          </w:p>
        </w:tc>
        <w:tc>
          <w:tcPr>
            <w:tcW w:w="13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125,699</w:t>
            </w:r>
          </w:p>
        </w:tc>
        <w:tc>
          <w:tcPr>
            <w:tcW w:w="0" w:type="dxa"/>
            <w:vAlign w:val="bottom"/>
          </w:tcPr>
          <w:p>
            <w:pPr>
              <w:spacing w:after="0"/>
              <w:rPr>
                <w:sz w:val="1"/>
                <w:szCs w:val="1"/>
                <w:color w:val="auto"/>
              </w:rPr>
            </w:pPr>
          </w:p>
        </w:tc>
      </w:tr>
      <w:tr>
        <w:trPr>
          <w:trHeight w:val="229"/>
        </w:trPr>
        <w:tc>
          <w:tcPr>
            <w:tcW w:w="784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143,674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 receivable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128,624</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Income tax receivable, non-current</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84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216,754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130,187</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research and development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30"/>
        </w:trPr>
        <w:tc>
          <w:tcPr>
            <w:tcW w:w="784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current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7840" w:type="dxa"/>
            <w:vAlign w:val="bottom"/>
          </w:tcPr>
          <w:p>
            <w:pPr>
              <w:ind w:left="5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w w:val="98"/>
              </w:rPr>
              <w:t>Preferred stock—$0.001 par value, 5,000,000 shares authorized, no shares issued or outstanding</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Common stock—0.001 par value, 200,000,000 shares authorized, 90,120,797 and 49,627,064 shares</w:t>
            </w: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and outstanding at December 31, 2020 and December 31, 2019, respectively</w:t>
            </w: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756,543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597,679</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(480,526)</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117,203</w:t>
            </w:r>
          </w:p>
        </w:tc>
        <w:tc>
          <w:tcPr>
            <w:tcW w:w="0" w:type="dxa"/>
            <w:vAlign w:val="bottom"/>
          </w:tcPr>
          <w:p>
            <w:pPr>
              <w:spacing w:after="0"/>
              <w:rPr>
                <w:sz w:val="1"/>
                <w:szCs w:val="1"/>
                <w:color w:val="auto"/>
              </w:rPr>
            </w:pPr>
          </w:p>
        </w:tc>
      </w:tr>
      <w:tr>
        <w:trPr>
          <w:trHeight w:val="223"/>
        </w:trPr>
        <w:tc>
          <w:tcPr>
            <w:tcW w:w="7840" w:type="dxa"/>
            <w:vAlign w:val="bottom"/>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216,754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130,187</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159" w:name="page160"/>
    <w:bookmarkEnd w:id="1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62,784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39,644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41,737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23,612</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65,349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(65,349)</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Royalty Purchase Liability</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before income tax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62,024</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(84,547)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(58,859)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63,087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tcPr>
          <w:p>
            <w:pPr>
              <w:ind w:left="340"/>
              <w:spacing w:after="0" w:line="203" w:lineRule="exact"/>
              <w:rPr>
                <w:sz w:val="20"/>
                <w:szCs w:val="20"/>
                <w:color w:val="auto"/>
              </w:rPr>
            </w:pPr>
            <w:r>
              <w:rPr>
                <w:rFonts w:ascii="Arial" w:cs="Arial" w:eastAsia="Arial" w:hAnsi="Arial"/>
                <w:sz w:val="18"/>
                <w:szCs w:val="18"/>
                <w:color w:val="auto"/>
              </w:rPr>
              <w:t>Dilutive</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74,185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37,061</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Dilutive</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0" w:name="page161"/>
    <w:bookmarkEnd w:id="1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r>
      <w:tr>
        <w:trPr>
          <w:trHeight w:val="22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63,087</w:t>
            </w: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available for sale securities, net of tax</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1" w:name="page162"/>
    <w:bookmarkEnd w:id="1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Junior Series A</w:t>
      </w:r>
    </w:p>
    <w:p>
      <w:pPr>
        <w:ind w:left="3840"/>
        <w:spacing w:after="0"/>
        <w:rPr>
          <w:sz w:val="20"/>
          <w:szCs w:val="20"/>
          <w:color w:val="auto"/>
        </w:rPr>
      </w:pPr>
      <w:r>
        <w:rPr>
          <w:rFonts w:ascii="Arial" w:cs="Arial" w:eastAsia="Arial" w:hAnsi="Arial"/>
          <w:sz w:val="13"/>
          <w:szCs w:val="13"/>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10795</wp:posOffset>
            </wp:positionV>
            <wp:extent cx="9683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480" w:type="dxa"/>
            <w:vAlign w:val="bottom"/>
          </w:tcPr>
          <w:p>
            <w:pPr>
              <w:spacing w:after="0"/>
              <w:rPr>
                <w:sz w:val="15"/>
                <w:szCs w:val="15"/>
                <w:color w:val="auto"/>
              </w:rPr>
            </w:pP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0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2017</w:t>
            </w:r>
          </w:p>
        </w:tc>
        <w:tc>
          <w:tcPr>
            <w:tcW w:w="700" w:type="dxa"/>
            <w:vAlign w:val="bottom"/>
            <w:tcBorders>
              <w:top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Issuance of common stock related to acquisition</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3"/>
                <w:szCs w:val="13"/>
                <w:color w:val="auto"/>
                <w:w w:val="93"/>
              </w:rPr>
              <w:t>Issuance of common stock under employee stock compensation</w:t>
            </w:r>
          </w:p>
        </w:tc>
        <w:tc>
          <w:tcPr>
            <w:tcW w:w="8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plans and warrants</w:t>
            </w: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2018</w:t>
            </w:r>
          </w:p>
        </w:tc>
        <w:tc>
          <w:tcPr>
            <w:tcW w:w="700" w:type="dxa"/>
            <w:vAlign w:val="bottom"/>
            <w:tcBorders>
              <w:top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3480" w:type="dxa"/>
            <w:vAlign w:val="bottom"/>
          </w:tcPr>
          <w:p>
            <w:pPr>
              <w:spacing w:after="0" w:line="137" w:lineRule="exact"/>
              <w:rPr>
                <w:sz w:val="20"/>
                <w:szCs w:val="20"/>
                <w:color w:val="auto"/>
              </w:rPr>
            </w:pPr>
            <w:r>
              <w:rPr>
                <w:rFonts w:ascii="Arial" w:cs="Arial" w:eastAsia="Arial" w:hAnsi="Arial"/>
                <w:sz w:val="13"/>
                <w:szCs w:val="13"/>
                <w:color w:val="auto"/>
                <w:w w:val="95"/>
              </w:rPr>
              <w:t>Issuance of common stock through underwritten offering, net of</w:t>
            </w:r>
          </w:p>
        </w:tc>
        <w:tc>
          <w:tcPr>
            <w:tcW w:w="8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issuance costs</w:t>
            </w: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w w:val="93"/>
              </w:rPr>
              <w:t>Issuance of common stock in connection with license acquisition</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3"/>
                <w:szCs w:val="13"/>
                <w:color w:val="auto"/>
                <w:w w:val="93"/>
              </w:rPr>
              <w:t>Issuance of common stock under employee stock compensation</w:t>
            </w:r>
          </w:p>
        </w:tc>
        <w:tc>
          <w:tcPr>
            <w:tcW w:w="8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plans</w:t>
            </w: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20"/>
                <w:szCs w:val="20"/>
                <w:color w:val="auto"/>
              </w:rPr>
            </w:pPr>
            <w:r>
              <w:rPr>
                <w:rFonts w:ascii="Arial" w:cs="Arial" w:eastAsia="Arial" w:hAnsi="Arial"/>
                <w:sz w:val="13"/>
                <w:szCs w:val="13"/>
                <w:color w:val="auto"/>
              </w:rPr>
              <w:t>Net income</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2019</w:t>
            </w:r>
          </w:p>
        </w:tc>
        <w:tc>
          <w:tcPr>
            <w:tcW w:w="700" w:type="dxa"/>
            <w:vAlign w:val="bottom"/>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3480" w:type="dxa"/>
            <w:vAlign w:val="bottom"/>
          </w:tcPr>
          <w:p>
            <w:pPr>
              <w:spacing w:after="0" w:line="137" w:lineRule="exact"/>
              <w:rPr>
                <w:sz w:val="20"/>
                <w:szCs w:val="20"/>
                <w:color w:val="auto"/>
              </w:rPr>
            </w:pPr>
            <w:r>
              <w:rPr>
                <w:rFonts w:ascii="Arial" w:cs="Arial" w:eastAsia="Arial" w:hAnsi="Arial"/>
                <w:sz w:val="13"/>
                <w:szCs w:val="13"/>
                <w:color w:val="auto"/>
                <w:w w:val="99"/>
              </w:rPr>
              <w:t>Issuance of common stock and pre-funded warrants through</w:t>
            </w:r>
          </w:p>
        </w:tc>
        <w:tc>
          <w:tcPr>
            <w:tcW w:w="8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underwritten offering, net of issuance costs</w:t>
            </w: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w w:val="98"/>
              </w:rPr>
              <w:t>Issuance of common stock in connection with private offering</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3480" w:type="dxa"/>
            <w:vAlign w:val="bottom"/>
          </w:tcPr>
          <w:p>
            <w:pPr>
              <w:spacing w:after="0" w:line="138" w:lineRule="exact"/>
              <w:rPr>
                <w:sz w:val="20"/>
                <w:szCs w:val="20"/>
                <w:color w:val="auto"/>
              </w:rPr>
            </w:pPr>
            <w:r>
              <w:rPr>
                <w:rFonts w:ascii="Arial" w:cs="Arial" w:eastAsia="Arial" w:hAnsi="Arial"/>
                <w:sz w:val="13"/>
                <w:szCs w:val="13"/>
                <w:color w:val="auto"/>
                <w:w w:val="98"/>
              </w:rPr>
              <w:t>Issuance of common stock under the excercise of pre-funded</w:t>
            </w:r>
          </w:p>
        </w:tc>
        <w:tc>
          <w:tcPr>
            <w:tcW w:w="8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warrants</w:t>
            </w: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480" w:type="dxa"/>
            <w:vAlign w:val="bottom"/>
          </w:tcPr>
          <w:p>
            <w:pPr>
              <w:spacing w:after="0" w:line="137" w:lineRule="exact"/>
              <w:rPr>
                <w:sz w:val="20"/>
                <w:szCs w:val="20"/>
                <w:color w:val="auto"/>
              </w:rPr>
            </w:pPr>
            <w:r>
              <w:rPr>
                <w:rFonts w:ascii="Arial" w:cs="Arial" w:eastAsia="Arial" w:hAnsi="Arial"/>
                <w:sz w:val="13"/>
                <w:szCs w:val="13"/>
                <w:color w:val="auto"/>
                <w:w w:val="93"/>
              </w:rPr>
              <w:t>Issuance of common stock under employee stock compensation</w:t>
            </w:r>
          </w:p>
        </w:tc>
        <w:tc>
          <w:tcPr>
            <w:tcW w:w="8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3480" w:type="dxa"/>
            <w:vAlign w:val="bottom"/>
          </w:tcPr>
          <w:p>
            <w:pPr>
              <w:spacing w:after="0"/>
              <w:rPr>
                <w:sz w:val="20"/>
                <w:szCs w:val="20"/>
                <w:color w:val="auto"/>
              </w:rPr>
            </w:pPr>
            <w:r>
              <w:rPr>
                <w:rFonts w:ascii="Arial" w:cs="Arial" w:eastAsia="Arial" w:hAnsi="Arial"/>
                <w:sz w:val="13"/>
                <w:szCs w:val="13"/>
                <w:color w:val="auto"/>
              </w:rPr>
              <w:t>plans</w:t>
            </w: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480" w:type="dxa"/>
            <w:vAlign w:val="bottom"/>
          </w:tcPr>
          <w:p>
            <w:pPr>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20"/>
                <w:szCs w:val="20"/>
                <w:color w:val="auto"/>
              </w:rPr>
            </w:pPr>
            <w:r>
              <w:rPr>
                <w:rFonts w:ascii="Arial" w:cs="Arial" w:eastAsia="Arial" w:hAnsi="Arial"/>
                <w:sz w:val="13"/>
                <w:szCs w:val="13"/>
                <w:color w:val="auto"/>
              </w:rPr>
              <w:t>Unrealized gain on available for sale securities, net of tax</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3480" w:type="dxa"/>
            <w:vAlign w:val="bottom"/>
          </w:tcPr>
          <w:p>
            <w:pPr>
              <w:spacing w:after="0"/>
              <w:rPr>
                <w:sz w:val="20"/>
                <w:szCs w:val="20"/>
                <w:color w:val="auto"/>
              </w:rPr>
            </w:pPr>
            <w:r>
              <w:rPr>
                <w:rFonts w:ascii="Arial" w:cs="Arial" w:eastAsia="Arial" w:hAnsi="Arial"/>
                <w:sz w:val="13"/>
                <w:szCs w:val="13"/>
                <w:b w:val="1"/>
                <w:bCs w:val="1"/>
                <w:color w:val="auto"/>
              </w:rPr>
              <w:t>Balance at December 31, 2020</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40" w:type="dxa"/>
            <w:vAlign w:val="bottom"/>
            <w:gridSpan w:val="5"/>
          </w:tcPr>
          <w:p>
            <w:pPr>
              <w:ind w:left="34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8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Comprehensive</w:t>
            </w: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8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line="20" w:lineRule="exact"/>
              <w:rPr>
                <w:sz w:val="1"/>
                <w:szCs w:val="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70"/>
        </w:trPr>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Income (Loss)</w:t>
            </w: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36,110</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522,759</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(484,754)</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38,041</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Arial" w:cs="Arial" w:eastAsia="Arial" w:hAnsi="Arial"/>
                <w:sz w:val="13"/>
                <w:szCs w:val="13"/>
                <w:color w:val="auto"/>
              </w:rPr>
              <w:t>5,175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11,694</w:t>
            </w:r>
          </w:p>
        </w:tc>
        <w:tc>
          <w:tcPr>
            <w:tcW w:w="0" w:type="dxa"/>
            <w:vAlign w:val="bottom"/>
          </w:tcPr>
          <w:p>
            <w:pPr>
              <w:spacing w:after="0"/>
              <w:rPr>
                <w:sz w:val="1"/>
                <w:szCs w:val="1"/>
                <w:color w:val="auto"/>
              </w:rPr>
            </w:pPr>
          </w:p>
        </w:tc>
      </w:tr>
      <w:tr>
        <w:trPr>
          <w:trHeight w:val="297"/>
        </w:trPr>
        <w:tc>
          <w:tcPr>
            <w:tcW w:w="70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75"/>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11,072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11,072</w:t>
            </w:r>
          </w:p>
        </w:tc>
        <w:tc>
          <w:tcPr>
            <w:tcW w:w="0" w:type="dxa"/>
            <w:vAlign w:val="bottom"/>
          </w:tcPr>
          <w:p>
            <w:pPr>
              <w:spacing w:after="0"/>
              <w:rPr>
                <w:sz w:val="1"/>
                <w:szCs w:val="1"/>
                <w:color w:val="auto"/>
              </w:rPr>
            </w:pPr>
          </w:p>
        </w:tc>
      </w:tr>
      <w:tr>
        <w:trPr>
          <w:trHeight w:val="185"/>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63,087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63,087</w:t>
            </w:r>
          </w:p>
        </w:tc>
        <w:tc>
          <w:tcPr>
            <w:tcW w:w="0" w:type="dxa"/>
            <w:vAlign w:val="bottom"/>
          </w:tcPr>
          <w:p>
            <w:pPr>
              <w:spacing w:after="0"/>
              <w:rPr>
                <w:sz w:val="1"/>
                <w:szCs w:val="1"/>
                <w:color w:val="auto"/>
              </w:rPr>
            </w:pPr>
          </w:p>
        </w:tc>
      </w:tr>
      <w:tr>
        <w:trPr>
          <w:trHeight w:val="160"/>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41,397</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545,585</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(421,667)</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123,959</w:t>
            </w:r>
          </w:p>
        </w:tc>
        <w:tc>
          <w:tcPr>
            <w:tcW w:w="0" w:type="dxa"/>
            <w:vAlign w:val="bottom"/>
          </w:tcPr>
          <w:p>
            <w:pPr>
              <w:spacing w:after="0"/>
              <w:rPr>
                <w:sz w:val="1"/>
                <w:szCs w:val="1"/>
                <w:color w:val="auto"/>
              </w:rPr>
            </w:pPr>
          </w:p>
        </w:tc>
      </w:tr>
      <w:tr>
        <w:trPr>
          <w:trHeight w:val="296"/>
        </w:trPr>
        <w:tc>
          <w:tcPr>
            <w:tcW w:w="700" w:type="dxa"/>
            <w:vAlign w:val="bottom"/>
          </w:tcPr>
          <w:p>
            <w:pPr>
              <w:jc w:val="right"/>
              <w:spacing w:after="0"/>
              <w:rPr>
                <w:sz w:val="20"/>
                <w:szCs w:val="20"/>
                <w:color w:val="auto"/>
              </w:rPr>
            </w:pPr>
            <w:r>
              <w:rPr>
                <w:rFonts w:ascii="Arial" w:cs="Arial" w:eastAsia="Arial" w:hAnsi="Arial"/>
                <w:sz w:val="13"/>
                <w:szCs w:val="13"/>
                <w:color w:val="auto"/>
              </w:rPr>
              <w:t>7,750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42,557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42,565</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297"/>
        </w:trPr>
        <w:tc>
          <w:tcPr>
            <w:tcW w:w="700" w:type="dxa"/>
            <w:vAlign w:val="bottom"/>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75"/>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9,180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9,180</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(58,859)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(58,859)</w:t>
            </w:r>
          </w:p>
        </w:tc>
        <w:tc>
          <w:tcPr>
            <w:tcW w:w="0" w:type="dxa"/>
            <w:vAlign w:val="bottom"/>
          </w:tcPr>
          <w:p>
            <w:pPr>
              <w:spacing w:after="0"/>
              <w:rPr>
                <w:sz w:val="1"/>
                <w:szCs w:val="1"/>
                <w:color w:val="auto"/>
              </w:rPr>
            </w:pPr>
          </w:p>
        </w:tc>
      </w:tr>
      <w:tr>
        <w:trPr>
          <w:trHeight w:val="160"/>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49,627</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597,679</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(480,526)</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117,203</w:t>
            </w:r>
          </w:p>
        </w:tc>
        <w:tc>
          <w:tcPr>
            <w:tcW w:w="0" w:type="dxa"/>
            <w:vAlign w:val="bottom"/>
          </w:tcPr>
          <w:p>
            <w:pPr>
              <w:spacing w:after="0"/>
              <w:rPr>
                <w:sz w:val="1"/>
                <w:szCs w:val="1"/>
                <w:color w:val="auto"/>
              </w:rPr>
            </w:pPr>
          </w:p>
        </w:tc>
      </w:tr>
      <w:tr>
        <w:trPr>
          <w:trHeight w:val="296"/>
        </w:trPr>
        <w:tc>
          <w:tcPr>
            <w:tcW w:w="700" w:type="dxa"/>
            <w:vAlign w:val="bottom"/>
          </w:tcPr>
          <w:p>
            <w:pPr>
              <w:jc w:val="right"/>
              <w:spacing w:after="0"/>
              <w:rPr>
                <w:sz w:val="20"/>
                <w:szCs w:val="20"/>
                <w:color w:val="auto"/>
              </w:rPr>
            </w:pPr>
            <w:r>
              <w:rPr>
                <w:rFonts w:ascii="Arial" w:cs="Arial" w:eastAsia="Arial" w:hAnsi="Arial"/>
                <w:sz w:val="13"/>
                <w:szCs w:val="13"/>
                <w:color w:val="auto"/>
              </w:rPr>
              <w:t>28,504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116,855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116,883</w:t>
            </w:r>
          </w:p>
        </w:tc>
        <w:tc>
          <w:tcPr>
            <w:tcW w:w="0" w:type="dxa"/>
            <w:vAlign w:val="bottom"/>
          </w:tcPr>
          <w:p>
            <w:pPr>
              <w:spacing w:after="0"/>
              <w:rPr>
                <w:sz w:val="1"/>
                <w:szCs w:val="1"/>
                <w:color w:val="auto"/>
              </w:rPr>
            </w:pPr>
          </w:p>
        </w:tc>
      </w:tr>
      <w:tr>
        <w:trPr>
          <w:trHeight w:val="176"/>
        </w:trPr>
        <w:tc>
          <w:tcPr>
            <w:tcW w:w="700" w:type="dxa"/>
            <w:vAlign w:val="bottom"/>
          </w:tcPr>
          <w:p>
            <w:pPr>
              <w:jc w:val="right"/>
              <w:spacing w:after="0"/>
              <w:rPr>
                <w:sz w:val="20"/>
                <w:szCs w:val="20"/>
                <w:color w:val="auto"/>
              </w:rPr>
            </w:pPr>
            <w:r>
              <w:rPr>
                <w:rFonts w:ascii="Arial" w:cs="Arial" w:eastAsia="Arial" w:hAnsi="Arial"/>
                <w:sz w:val="13"/>
                <w:szCs w:val="13"/>
                <w:color w:val="auto"/>
              </w:rPr>
              <w:t>8,649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33,228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33,237</w:t>
            </w:r>
          </w:p>
        </w:tc>
        <w:tc>
          <w:tcPr>
            <w:tcW w:w="0" w:type="dxa"/>
            <w:vAlign w:val="bottom"/>
          </w:tcPr>
          <w:p>
            <w:pPr>
              <w:spacing w:after="0"/>
              <w:rPr>
                <w:sz w:val="1"/>
                <w:szCs w:val="1"/>
                <w:color w:val="auto"/>
              </w:rPr>
            </w:pPr>
          </w:p>
        </w:tc>
      </w:tr>
      <w:tr>
        <w:trPr>
          <w:trHeight w:val="297"/>
        </w:trPr>
        <w:tc>
          <w:tcPr>
            <w:tcW w:w="700" w:type="dxa"/>
            <w:vAlign w:val="bottom"/>
          </w:tcPr>
          <w:p>
            <w:pPr>
              <w:jc w:val="right"/>
              <w:spacing w:after="0"/>
              <w:rPr>
                <w:sz w:val="20"/>
                <w:szCs w:val="20"/>
                <w:color w:val="auto"/>
              </w:rPr>
            </w:pPr>
            <w:r>
              <w:rPr>
                <w:rFonts w:ascii="Arial" w:cs="Arial" w:eastAsia="Arial" w:hAnsi="Arial"/>
                <w:sz w:val="13"/>
                <w:szCs w:val="13"/>
                <w:color w:val="auto"/>
              </w:rPr>
              <w:t>2,500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7"/>
        </w:trPr>
        <w:tc>
          <w:tcPr>
            <w:tcW w:w="700" w:type="dxa"/>
            <w:vAlign w:val="bottom"/>
          </w:tcPr>
          <w:p>
            <w:pPr>
              <w:jc w:val="right"/>
              <w:spacing w:after="0"/>
              <w:rPr>
                <w:sz w:val="20"/>
                <w:szCs w:val="20"/>
                <w:color w:val="auto"/>
              </w:rPr>
            </w:pPr>
            <w:r>
              <w:rPr>
                <w:rFonts w:ascii="Arial" w:cs="Arial" w:eastAsia="Arial" w:hAnsi="Arial"/>
                <w:sz w:val="13"/>
                <w:szCs w:val="13"/>
                <w:color w:val="auto"/>
              </w:rPr>
              <w:t>841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461</w:t>
            </w:r>
          </w:p>
        </w:tc>
        <w:tc>
          <w:tcPr>
            <w:tcW w:w="0" w:type="dxa"/>
            <w:vAlign w:val="bottom"/>
          </w:tcPr>
          <w:p>
            <w:pPr>
              <w:spacing w:after="0"/>
              <w:rPr>
                <w:sz w:val="1"/>
                <w:szCs w:val="1"/>
                <w:color w:val="auto"/>
              </w:rPr>
            </w:pPr>
          </w:p>
        </w:tc>
      </w:tr>
      <w:tr>
        <w:trPr>
          <w:trHeight w:val="176"/>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8,323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8,323</w:t>
            </w:r>
          </w:p>
        </w:tc>
        <w:tc>
          <w:tcPr>
            <w:tcW w:w="0" w:type="dxa"/>
            <w:vAlign w:val="bottom"/>
          </w:tcPr>
          <w:p>
            <w:pPr>
              <w:spacing w:after="0"/>
              <w:rPr>
                <w:sz w:val="1"/>
                <w:szCs w:val="1"/>
                <w:color w:val="auto"/>
              </w:rPr>
            </w:pPr>
          </w:p>
        </w:tc>
      </w:tr>
      <w:tr>
        <w:trPr>
          <w:trHeight w:val="175"/>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(84,547)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(84,547)</w:t>
            </w:r>
          </w:p>
        </w:tc>
        <w:tc>
          <w:tcPr>
            <w:tcW w:w="0" w:type="dxa"/>
            <w:vAlign w:val="bottom"/>
          </w:tcPr>
          <w:p>
            <w:pPr>
              <w:spacing w:after="0"/>
              <w:rPr>
                <w:sz w:val="1"/>
                <w:szCs w:val="1"/>
                <w:color w:val="auto"/>
              </w:rPr>
            </w:pPr>
          </w:p>
        </w:tc>
      </w:tr>
      <w:tr>
        <w:trPr>
          <w:trHeight w:val="185"/>
        </w:trPr>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9"/>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90,121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756,543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(565,073)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191,563</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-2759710</wp:posOffset>
            </wp:positionV>
            <wp:extent cx="7132320" cy="120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-2527935</wp:posOffset>
            </wp:positionV>
            <wp:extent cx="713232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-2228215</wp:posOffset>
            </wp:positionV>
            <wp:extent cx="7132320" cy="1111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-1996440</wp:posOffset>
            </wp:positionV>
            <wp:extent cx="713232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-1696720</wp:posOffset>
            </wp:positionV>
            <wp:extent cx="713232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-1396365</wp:posOffset>
            </wp:positionV>
            <wp:extent cx="7132320" cy="1117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-1165225</wp:posOffset>
            </wp:positionV>
            <wp:extent cx="713232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-864870</wp:posOffset>
            </wp:positionV>
            <wp:extent cx="713232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-488315</wp:posOffset>
            </wp:positionV>
            <wp:extent cx="7132320" cy="1117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-264795</wp:posOffset>
            </wp:positionV>
            <wp:extent cx="7132320" cy="1111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120"/>
            <w:col w:w="6100"/>
          </w:cols>
          <w:pgMar w:left="320" w:top="125" w:right="339" w:bottom="1440" w:gutter="0" w:footer="0" w:header="0"/>
          <w:type w:val="continuous"/>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2" w:name="page163"/>
    <w:bookmarkEnd w:id="1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7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w w:val="86"/>
              </w:rPr>
              <w:t>Years ended December 31,</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70"/>
        </w:trPr>
        <w:tc>
          <w:tcPr>
            <w:tcW w:w="74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2018</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(84,547)</w:t>
            </w:r>
          </w:p>
        </w:tc>
        <w:tc>
          <w:tcPr>
            <w:tcW w:w="100" w:type="dxa"/>
            <w:vAlign w:val="bottom"/>
          </w:tcPr>
          <w:p>
            <w:pPr>
              <w:spacing w:after="0"/>
              <w:rPr>
                <w:sz w:val="14"/>
                <w:szCs w:val="14"/>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(58,859)</w:t>
            </w:r>
          </w:p>
        </w:tc>
        <w:tc>
          <w:tcPr>
            <w:tcW w:w="12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63,087</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Depreciation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183"/>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premium and discounts on investment securities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Non-cash charge on acquired in-process research and development</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5,619</w:t>
            </w:r>
          </w:p>
        </w:tc>
      </w:tr>
      <w:tr>
        <w:trPr>
          <w:trHeight w:val="183"/>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 on sale of property and equipment</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Non-cash gain on extinguishment of royalty purchase agreement</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(125,000)</w:t>
            </w:r>
          </w:p>
        </w:tc>
      </w:tr>
      <w:tr>
        <w:trPr>
          <w:trHeight w:val="183"/>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Share-based compensation</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11,072</w:t>
            </w:r>
          </w:p>
        </w:tc>
      </w:tr>
      <w:tr>
        <w:trPr>
          <w:trHeight w:val="168"/>
        </w:trPr>
        <w:tc>
          <w:tcPr>
            <w:tcW w:w="7440" w:type="dxa"/>
            <w:vAlign w:val="bottom"/>
          </w:tcPr>
          <w:p>
            <w:pPr>
              <w:ind w:left="140"/>
              <w:spacing w:after="0"/>
              <w:rPr>
                <w:sz w:val="20"/>
                <w:szCs w:val="20"/>
                <w:color w:val="auto"/>
              </w:rPr>
            </w:pPr>
            <w:r>
              <w:rPr>
                <w:rFonts w:ascii="Arial" w:cs="Arial" w:eastAsia="Arial" w:hAnsi="Arial"/>
                <w:sz w:val="13"/>
                <w:szCs w:val="13"/>
                <w:color w:val="auto"/>
              </w:rPr>
              <w:t>Stock-based consideration in connection with license acquisition</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8"/>
        </w:trPr>
        <w:tc>
          <w:tcPr>
            <w:tcW w:w="7440" w:type="dxa"/>
            <w:vAlign w:val="bottom"/>
          </w:tcPr>
          <w:p>
            <w:pPr>
              <w:ind w:left="220"/>
              <w:spacing w:after="0"/>
              <w:rPr>
                <w:sz w:val="20"/>
                <w:szCs w:val="20"/>
                <w:color w:val="auto"/>
              </w:rPr>
            </w:pPr>
            <w:r>
              <w:rPr>
                <w:rFonts w:ascii="Arial" w:cs="Arial" w:eastAsia="Arial" w:hAnsi="Arial"/>
                <w:sz w:val="13"/>
                <w:szCs w:val="13"/>
                <w:color w:val="auto"/>
              </w:rPr>
              <w:t>Income tax receivable</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1,765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1,387</w:t>
            </w:r>
          </w:p>
        </w:tc>
      </w:tr>
      <w:tr>
        <w:trPr>
          <w:trHeight w:val="183"/>
        </w:trPr>
        <w:tc>
          <w:tcPr>
            <w:tcW w:w="7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 and other assets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w:t>
            </w:r>
          </w:p>
        </w:tc>
      </w:tr>
      <w:tr>
        <w:trPr>
          <w:trHeight w:val="168"/>
        </w:trPr>
        <w:tc>
          <w:tcPr>
            <w:tcW w:w="7440" w:type="dxa"/>
            <w:vAlign w:val="bottom"/>
          </w:tcPr>
          <w:p>
            <w:pPr>
              <w:ind w:left="220"/>
              <w:spacing w:after="0"/>
              <w:rPr>
                <w:sz w:val="20"/>
                <w:szCs w:val="20"/>
                <w:color w:val="auto"/>
              </w:rPr>
            </w:pPr>
            <w:r>
              <w:rPr>
                <w:rFonts w:ascii="Arial" w:cs="Arial" w:eastAsia="Arial" w:hAnsi="Arial"/>
                <w:sz w:val="13"/>
                <w:szCs w:val="13"/>
                <w:color w:val="auto"/>
              </w:rPr>
              <w:t>Accrued interest receivable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Accrued research and development expenses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2,353</w:t>
            </w:r>
          </w:p>
        </w:tc>
      </w:tr>
      <w:tr>
        <w:trPr>
          <w:trHeight w:val="169"/>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Accounts payable and accrued expenses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7,163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(1,682)</w:t>
            </w:r>
          </w:p>
        </w:tc>
      </w:tr>
      <w:tr>
        <w:trPr>
          <w:trHeight w:val="176"/>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used in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(66,097)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(48,490)</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(41,911)</w:t>
            </w:r>
          </w:p>
        </w:tc>
      </w:tr>
      <w:tr>
        <w:trPr>
          <w:trHeight w:val="161"/>
        </w:trPr>
        <w:tc>
          <w:tcPr>
            <w:tcW w:w="74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marketable securities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(143,810)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440" w:type="dxa"/>
            <w:vAlign w:val="bottom"/>
          </w:tcPr>
          <w:p>
            <w:pPr>
              <w:ind w:left="20"/>
              <w:spacing w:after="0"/>
              <w:rPr>
                <w:sz w:val="20"/>
                <w:szCs w:val="20"/>
                <w:color w:val="auto"/>
              </w:rPr>
            </w:pPr>
            <w:r>
              <w:rPr>
                <w:rFonts w:ascii="Arial" w:cs="Arial" w:eastAsia="Arial" w:hAnsi="Arial"/>
                <w:sz w:val="13"/>
                <w:szCs w:val="13"/>
                <w:color w:val="auto"/>
              </w:rPr>
              <w:t>Proceeds from sale of assets</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74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Net cash provided by (used in) investing activities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(143,810)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1"/>
        </w:trPr>
        <w:tc>
          <w:tcPr>
            <w:tcW w:w="744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follow-on public offering, net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116,883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42,565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Proceeds from issuance of common stock related to acquisition</w:t>
            </w:r>
          </w:p>
        </w:tc>
        <w:tc>
          <w:tcPr>
            <w:tcW w:w="28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6,075</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related to private placement</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Proceeds from employee stock plan purchases and stock option exercises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r>
      <w:tr>
        <w:trPr>
          <w:trHeight w:val="175"/>
        </w:trPr>
        <w:tc>
          <w:tcPr>
            <w:tcW w:w="74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cash provided by financing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150,581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42,838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6,140</w:t>
            </w:r>
          </w:p>
        </w:tc>
      </w:tr>
      <w:tr>
        <w:trPr>
          <w:trHeight w:val="163"/>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Net change in cash and cash equivalents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(59,326)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(5,502)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(35,771)</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6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Beginning of period</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125,699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131,201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166,972</w:t>
            </w:r>
          </w:p>
        </w:tc>
      </w:tr>
      <w:tr>
        <w:trPr>
          <w:trHeight w:val="175"/>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End of period</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66,373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125,699</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131,201</w:t>
            </w:r>
          </w:p>
        </w:tc>
      </w:tr>
      <w:tr>
        <w:trPr>
          <w:trHeight w:val="161"/>
        </w:trPr>
        <w:tc>
          <w:tcPr>
            <w:tcW w:w="744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cash paid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taxes received, net</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(2,467)</w:t>
            </w:r>
          </w:p>
        </w:tc>
      </w:tr>
      <w:tr>
        <w:trPr>
          <w:trHeight w:val="170"/>
        </w:trPr>
        <w:tc>
          <w:tcPr>
            <w:tcW w:w="744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disclosures of non-cash information related to investing activities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gain on available for sale securities, net of tax</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440" w:type="dxa"/>
            <w:vAlign w:val="bottom"/>
          </w:tcPr>
          <w:p>
            <w:pPr>
              <w:ind w:left="20"/>
              <w:spacing w:after="0"/>
              <w:rPr>
                <w:sz w:val="20"/>
                <w:szCs w:val="20"/>
                <w:color w:val="auto"/>
              </w:rPr>
            </w:pPr>
            <w:r>
              <w:rPr>
                <w:rFonts w:ascii="Arial" w:cs="Arial" w:eastAsia="Arial" w:hAnsi="Arial"/>
                <w:sz w:val="13"/>
                <w:szCs w:val="13"/>
                <w:color w:val="auto"/>
              </w:rPr>
              <w:t>Common stock issued to acquire net assets of Inception 4, Inc.</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11,694</w:t>
            </w: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right-of-use assets obtained in exchange for lease obligations</w:t>
            </w: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3" w:name="page164"/>
    <w:bookmarkEnd w:id="1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48" w:lineRule="exact"/>
        <w:rPr>
          <w:sz w:val="20"/>
          <w:szCs w:val="20"/>
          <w:color w:val="auto"/>
        </w:rPr>
      </w:pPr>
    </w:p>
    <w:p>
      <w:pPr>
        <w:ind w:right="60" w:firstLine="180"/>
        <w:spacing w:after="0" w:line="257" w:lineRule="auto"/>
        <w:rPr>
          <w:sz w:val="20"/>
          <w:szCs w:val="20"/>
          <w:color w:val="auto"/>
        </w:rPr>
      </w:pPr>
      <w:r>
        <w:rPr>
          <w:rFonts w:ascii="Arial" w:cs="Arial" w:eastAsia="Arial" w:hAnsi="Arial"/>
          <w:sz w:val="18"/>
          <w:szCs w:val="18"/>
          <w:color w:val="auto"/>
        </w:rPr>
        <w:t>IVERIC bio, Inc. (the “Company” or “IVERIC”) is a science-driven biopharmaceutical company focused on the discovery and development of novel treatment options for retinal diseases with significant unmet medical needs. The Company is currently developing both therapeutic product candidates for age-related retinal diseases and gene therapy product candidates for orphan inherited retinal diseases ("IRDs"). The Company believes that both therapeutics and gene therapy serve important roles in drug development and providing potential treatment options for patients suffering from retinal diseases.</w:t>
      </w:r>
    </w:p>
    <w:p>
      <w:pPr>
        <w:spacing w:after="0" w:line="188" w:lineRule="exact"/>
        <w:rPr>
          <w:sz w:val="20"/>
          <w:szCs w:val="20"/>
          <w:color w:val="auto"/>
        </w:rPr>
      </w:pPr>
    </w:p>
    <w:p>
      <w:pPr>
        <w:ind w:right="180" w:firstLine="177"/>
        <w:spacing w:after="0" w:line="342" w:lineRule="auto"/>
        <w:rPr>
          <w:sz w:val="20"/>
          <w:szCs w:val="20"/>
          <w:color w:val="auto"/>
        </w:rPr>
      </w:pPr>
      <w:r>
        <w:rPr>
          <w:rFonts w:ascii="Arial" w:cs="Arial" w:eastAsia="Arial" w:hAnsi="Arial"/>
          <w:sz w:val="16"/>
          <w:szCs w:val="16"/>
          <w:color w:val="auto"/>
        </w:rPr>
        <w:t>The Company's therapeutics portfolio consists of Zimura® (avacincaptad pegol), a complement C5 inhibitor, and its preclinical product candidate IC-500, a High temperature requirement A serine peptidase 1 protein ("HtrA1") inhibitor. The Company is targeting the following diseases with Zimura:</w:t>
      </w:r>
    </w:p>
    <w:p>
      <w:pPr>
        <w:spacing w:after="0" w:line="124" w:lineRule="exact"/>
        <w:rPr>
          <w:sz w:val="20"/>
          <w:szCs w:val="20"/>
          <w:color w:val="auto"/>
        </w:rPr>
      </w:pPr>
    </w:p>
    <w:p>
      <w:pPr>
        <w:ind w:left="66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Geographic Atrophy ("GA"), which is the advanced stage of age-related macular degeneration ("AMD"), and is characterized by marked thinning or atrophy of retinal tissue, leading to irreversible loss of vision; and</w:t>
      </w:r>
    </w:p>
    <w:p>
      <w:pPr>
        <w:spacing w:after="0" w:line="102"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autosomal recessive Stargardt disease ("STGD1"), which is an orphan inherited condition characterized by progressive damage to the central portion of the retina (the "macula") and other retinal tissue, leading to loss of vision.</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previously also evaluated Zimura in combination with Lucentis® (ranibizumab), an anti-vascular endothelial growth factor ("anti-VEGF") agent, for the treatment of wet AMD, for which the Company completed a Phase 2a clinical trial during the fourth quarter of 2018. The Company is developing IC-500 for GA secondary to AMD and potentially other age-related retinal diseases.</w:t>
      </w:r>
    </w:p>
    <w:p>
      <w:pPr>
        <w:spacing w:after="0" w:line="184" w:lineRule="exact"/>
        <w:rPr>
          <w:sz w:val="20"/>
          <w:szCs w:val="20"/>
          <w:color w:val="auto"/>
        </w:rPr>
      </w:pPr>
    </w:p>
    <w:p>
      <w:pPr>
        <w:ind w:right="20" w:firstLine="177"/>
        <w:spacing w:after="0" w:line="263" w:lineRule="auto"/>
        <w:rPr>
          <w:sz w:val="20"/>
          <w:szCs w:val="20"/>
          <w:color w:val="auto"/>
        </w:rPr>
      </w:pPr>
      <w:r>
        <w:rPr>
          <w:rFonts w:ascii="Arial" w:cs="Arial" w:eastAsia="Arial" w:hAnsi="Arial"/>
          <w:sz w:val="18"/>
          <w:szCs w:val="18"/>
          <w:color w:val="auto"/>
        </w:rPr>
        <w:t>The Company's gene therapy portfolio consists of two product candidates in preclinical development (IC-100 and IC-200) and several ongoing research and development programs, each of which uses adeno-associated virus ("AAV") for gene delivery. These AAV mediated gene therapy programs are targeting the following orphan IRDs:</w:t>
      </w:r>
    </w:p>
    <w:p>
      <w:pPr>
        <w:spacing w:after="0" w:line="184" w:lineRule="exact"/>
        <w:rPr>
          <w:sz w:val="20"/>
          <w:szCs w:val="20"/>
          <w:color w:val="auto"/>
        </w:rPr>
      </w:pPr>
    </w:p>
    <w:p>
      <w:pPr>
        <w:ind w:left="660" w:right="16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170" w:lineRule="exact"/>
        <w:rPr>
          <w:rFonts w:ascii="Arial" w:cs="Arial" w:eastAsia="Arial" w:hAnsi="Arial"/>
          <w:sz w:val="18"/>
          <w:szCs w:val="18"/>
          <w:color w:val="auto"/>
        </w:rPr>
      </w:pPr>
    </w:p>
    <w:p>
      <w:pPr>
        <w:ind w:left="660" w:right="880" w:hanging="328"/>
        <w:spacing w:after="0" w:line="308" w:lineRule="auto"/>
        <w:tabs>
          <w:tab w:leader="none" w:pos="65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IRDs associated with mutations in the </w:t>
      </w:r>
      <w:r>
        <w:rPr>
          <w:rFonts w:ascii="Arial" w:cs="Arial" w:eastAsia="Arial" w:hAnsi="Arial"/>
          <w:sz w:val="17"/>
          <w:szCs w:val="17"/>
          <w:i w:val="1"/>
          <w:iCs w:val="1"/>
          <w:color w:val="auto"/>
        </w:rPr>
        <w:t>BEST1</w:t>
      </w:r>
      <w:r>
        <w:rPr>
          <w:rFonts w:ascii="Arial" w:cs="Arial" w:eastAsia="Arial" w:hAnsi="Arial"/>
          <w:sz w:val="17"/>
          <w:szCs w:val="17"/>
          <w:color w:val="auto"/>
        </w:rPr>
        <w:t xml:space="preserve"> gene, including Best vitelliform macular dystrophy ("Best disease"), which is generally characterized by bilateral egg yolk-like lesions in the macula, which, over time, progress to atrophy and loss of vision;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autosomal recessive Stargardt disease; and</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IRDs associated with mutations in the </w:t>
      </w:r>
      <w:r>
        <w:rPr>
          <w:rFonts w:ascii="Arial" w:cs="Arial" w:eastAsia="Arial" w:hAnsi="Arial"/>
          <w:sz w:val="18"/>
          <w:szCs w:val="18"/>
          <w:i w:val="1"/>
          <w:iCs w:val="1"/>
          <w:color w:val="auto"/>
        </w:rPr>
        <w:t>USH2A</w:t>
      </w:r>
      <w:r>
        <w:rPr>
          <w:rFonts w:ascii="Arial" w:cs="Arial" w:eastAsia="Arial" w:hAnsi="Arial"/>
          <w:sz w:val="18"/>
          <w:szCs w:val="18"/>
          <w:color w:val="auto"/>
        </w:rPr>
        <w:t xml:space="preserve"> gene, which include Usher syndrome type 2A and </w:t>
      </w:r>
      <w:r>
        <w:rPr>
          <w:rFonts w:ascii="Arial" w:cs="Arial" w:eastAsia="Arial" w:hAnsi="Arial"/>
          <w:sz w:val="18"/>
          <w:szCs w:val="18"/>
          <w:i w:val="1"/>
          <w:iCs w:val="1"/>
          <w:color w:val="auto"/>
        </w:rPr>
        <w:t>USH2A</w:t>
      </w:r>
      <w:r>
        <w:rPr>
          <w:rFonts w:ascii="Arial" w:cs="Arial" w:eastAsia="Arial" w:hAnsi="Arial"/>
          <w:sz w:val="18"/>
          <w:szCs w:val="18"/>
          <w:color w:val="auto"/>
        </w:rPr>
        <w:t>-associated nonsyndromatic autosomal recessive retinitis pigmentosa.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is developing IC-100 for RHO-adRP and IC-200 for </w:t>
      </w:r>
      <w:r>
        <w:rPr>
          <w:rFonts w:ascii="Arial" w:cs="Arial" w:eastAsia="Arial" w:hAnsi="Arial"/>
          <w:sz w:val="18"/>
          <w:szCs w:val="18"/>
          <w:i w:val="1"/>
          <w:iCs w:val="1"/>
          <w:color w:val="auto"/>
        </w:rPr>
        <w:t>BEST1</w:t>
      </w:r>
      <w:r>
        <w:rPr>
          <w:rFonts w:ascii="Arial" w:cs="Arial" w:eastAsia="Arial" w:hAnsi="Arial"/>
          <w:sz w:val="18"/>
          <w:szCs w:val="18"/>
          <w:color w:val="auto"/>
        </w:rPr>
        <w:t>-related IRDs.</w:t>
      </w:r>
    </w:p>
    <w:p>
      <w:pPr>
        <w:spacing w:after="0" w:line="154" w:lineRule="exact"/>
        <w:rPr>
          <w:sz w:val="20"/>
          <w:szCs w:val="20"/>
          <w:color w:val="auto"/>
        </w:rPr>
      </w:pPr>
    </w:p>
    <w:p>
      <w:pPr>
        <w:ind w:right="7580" w:firstLine="8"/>
        <w:spacing w:after="0" w:line="469" w:lineRule="auto"/>
        <w:tabs>
          <w:tab w:leader="none" w:pos="18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 and Consolidation</w:t>
      </w:r>
    </w:p>
    <w:p>
      <w:pPr>
        <w:ind w:right="340" w:firstLine="177"/>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all adjustments necessary for the fair presentation of</w:t>
      </w:r>
    </w:p>
    <w:p>
      <w:pPr>
        <w:sectPr>
          <w:pgSz w:w="11900" w:h="16838" w:orient="portrait"/>
          <w:cols w:equalWidth="0" w:num="1">
            <w:col w:w="11140"/>
          </w:cols>
          <w:pgMar w:left="32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74" w:right="439" w:bottom="1440" w:gutter="0" w:footer="0" w:header="0"/>
          <w:type w:val="continuous"/>
        </w:sectPr>
      </w:pPr>
    </w:p>
    <w:bookmarkStart w:id="164" w:name="page165"/>
    <w:bookmarkEnd w:id="1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position for the periods presented. The consolidated financial statements include the accounts of the Company and its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and geographic information</w:t>
      </w:r>
    </w:p>
    <w:p>
      <w:pPr>
        <w:spacing w:after="0" w:line="108" w:lineRule="exact"/>
        <w:rPr>
          <w:sz w:val="20"/>
          <w:szCs w:val="20"/>
          <w:color w:val="auto"/>
        </w:rPr>
      </w:pPr>
    </w:p>
    <w:p>
      <w:pPr>
        <w:ind w:right="580" w:firstLine="18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right="120" w:firstLine="177"/>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accounting for share-based compensation and accounting for income taxes. Actual results could differ from those estimates.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Available for Sale Securities</w:t>
      </w:r>
    </w:p>
    <w:p>
      <w:pPr>
        <w:spacing w:after="0" w:line="148" w:lineRule="exact"/>
        <w:rPr>
          <w:sz w:val="20"/>
          <w:szCs w:val="20"/>
          <w:color w:val="auto"/>
        </w:rPr>
      </w:pPr>
    </w:p>
    <w:p>
      <w:pPr>
        <w:jc w:val="both"/>
        <w:ind w:right="180" w:firstLine="177"/>
        <w:spacing w:after="0" w:line="308" w:lineRule="auto"/>
        <w:rPr>
          <w:sz w:val="20"/>
          <w:szCs w:val="20"/>
          <w:color w:val="auto"/>
        </w:rPr>
      </w:pPr>
      <w:r>
        <w:rPr>
          <w:rFonts w:ascii="Arial" w:cs="Arial" w:eastAsia="Arial" w:hAnsi="Arial"/>
          <w:sz w:val="17"/>
          <w:szCs w:val="17"/>
          <w:color w:val="auto"/>
        </w:rPr>
        <w:t>The Company considers all highly liquid investments with an original maturity of 90 days or less when purchased to be cash equivalents. The carrying amounts reported in the Balance Sheets for cash and cash equivalents are valued at cost, which approximates their fair value.</w:t>
      </w:r>
    </w:p>
    <w:p>
      <w:pPr>
        <w:spacing w:after="0" w:line="7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 considers securities with original maturities of greater than 90 days to be available for sale securities. Available for sale securities with original maturities of greater than one year are recorded as non-current assets. Available for sale securities are recorded at fair value and unrealized gains and losses are recorded within other comprehensive income.</w:t>
      </w:r>
    </w:p>
    <w:p>
      <w:pPr>
        <w:spacing w:after="0" w:line="11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a quarterly basis, the Company reviews the status of each security in an unrealized loss position, to evaluate the existence of potential credit losses. The Company first considers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income. For securities that do not meet this criteria, the Company considers a number of factors to determine if the decline in fair value has resulted from credit losses or other factors, including but not limited to: (1) the extent of the decline; (2) changes to the rating of the security by a rating agency; (3) any adverse conditions specific to the security; and (4) other market conditions that may affect the fair value of the security. If this assessment indicates that a credit loss exists and the present value of cash flows expected to be collected is less than the amortized cost basis, an allowance for credit losses is required for the credit loss. Any impairment that has not been recorded through an allowance for credit losses is recognized in other comprehensive income.</w:t>
      </w:r>
    </w:p>
    <w:p>
      <w:pPr>
        <w:spacing w:after="0" w:line="100" w:lineRule="exact"/>
        <w:rPr>
          <w:sz w:val="20"/>
          <w:szCs w:val="20"/>
          <w:color w:val="auto"/>
        </w:rPr>
      </w:pPr>
    </w:p>
    <w:p>
      <w:pPr>
        <w:ind w:right="360" w:firstLine="170"/>
        <w:spacing w:after="0" w:line="311" w:lineRule="auto"/>
        <w:rPr>
          <w:sz w:val="20"/>
          <w:szCs w:val="20"/>
          <w:color w:val="auto"/>
        </w:rPr>
      </w:pPr>
      <w:r>
        <w:rPr>
          <w:rFonts w:ascii="Arial" w:cs="Arial" w:eastAsia="Arial" w:hAnsi="Arial"/>
          <w:sz w:val="16"/>
          <w:szCs w:val="16"/>
          <w:color w:val="auto"/>
        </w:rPr>
        <w:t>As of December 31, 2020, the Company had cash, cash equivalents and available for sale securities of approximately $210.0 million. The Company believes that its cash, cash equivalents and available for sale securities as of December 31, 2020 will be sufficient to fund its operations and capital expenditure requirements as currently planned for at least the next 12 months from the filing of the Company's Annual Report on Form 10-K.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right="180" w:firstLine="177"/>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cash equivalents and available for sale securities. The Company maintains its cash in bank accounts, the balance of which generally exceed federally insured limits. The Company maintains its cash equivalents and available for sale securities in investments in money market funds, in U.S. Treasury securities and asset-backed securities and investment-grade corporate debt securities with original maturities of 90 days or less.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it is not exposed to significant credit risk on its cash and cash equivalents.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4" w:right="379" w:bottom="1440" w:gutter="0" w:footer="0" w:header="0"/>
        </w:sectPr>
      </w:pPr>
    </w:p>
    <w:bookmarkStart w:id="165" w:name="page166"/>
    <w:bookmarkEnd w:id="1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Suppliers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Company historically relied upon a single third-party manufacturer to provide the drug substance for Zimura on a purchase order basis. The Company also historically relied upon a single third-party manufacturer to provide fill/finish services for clinical supplies of Zimura. The Company has engaged one additional third-party manufacturer to provide drug substance for Zimura and one additional third-party manufacturer to provide fill/finish services for clinical supplies of Zimura. In addition, the Company currently relies upon a single third-party supplier to supply on a purchase order basis the polyethylene glycol starting material used to manufacture Zimura.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IC-100 and IC-200, and also relies on sole-source suppliers for certain starting materials used in the manufacture of such product candidates. The Company currently relies upon a single third-party contract manufacturer to conduct process development, scale-up and GMP manufacture of the drug substance for IC-500 for preclinical toxicology studies and early-stage clinical trials and a single third-party contract manufacturer to conduct formulation development activities for IC-500. If the Company’s third-party manufacturers or fill/finish service providers should become unavailable to the Company for any reason, including as a result of capacity constraints, different business objectives, financial difficulties, insolvency or the COVID-19 pandemic, the Company believes that there are a limited number of potential replacement manufacturers, and the Company likely would incur added costs and delays in identifying or qualifying such replacements.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6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62" w:lineRule="exact"/>
        <w:rPr>
          <w:sz w:val="20"/>
          <w:szCs w:val="20"/>
          <w:color w:val="auto"/>
        </w:rPr>
      </w:pPr>
    </w:p>
    <w:p>
      <w:pPr>
        <w:ind w:right="180" w:firstLine="180"/>
        <w:spacing w:after="0" w:line="308" w:lineRule="auto"/>
        <w:rPr>
          <w:sz w:val="20"/>
          <w:szCs w:val="20"/>
          <w:color w:val="auto"/>
        </w:rPr>
      </w:pPr>
      <w:r>
        <w:rPr>
          <w:rFonts w:ascii="Arial" w:cs="Arial" w:eastAsia="Arial" w:hAnsi="Arial"/>
          <w:sz w:val="17"/>
          <w:szCs w:val="17"/>
          <w:color w:val="auto"/>
        </w:rPr>
        <w:t>Cash equivalents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79" w:lineRule="exact"/>
        <w:rPr>
          <w:sz w:val="20"/>
          <w:szCs w:val="20"/>
          <w:color w:val="auto"/>
        </w:rPr>
      </w:pPr>
    </w:p>
    <w:p>
      <w:pPr>
        <w:ind w:right="80" w:firstLine="170"/>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06" w:lineRule="exact"/>
        <w:rPr>
          <w:sz w:val="20"/>
          <w:szCs w:val="20"/>
          <w:color w:val="auto"/>
        </w:rPr>
      </w:pPr>
    </w:p>
    <w:p>
      <w:pPr>
        <w:ind w:right="60" w:firstLine="177"/>
        <w:spacing w:after="0" w:line="296" w:lineRule="auto"/>
        <w:rPr>
          <w:sz w:val="20"/>
          <w:szCs w:val="20"/>
          <w:color w:val="auto"/>
        </w:rPr>
      </w:pPr>
      <w:r>
        <w:rPr>
          <w:rFonts w:ascii="Arial" w:cs="Arial" w:eastAsia="Arial" w:hAnsi="Arial"/>
          <w:sz w:val="16"/>
          <w:szCs w:val="16"/>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jc w:val="both"/>
        <w:ind w:firstLine="177"/>
        <w:spacing w:after="0" w:line="287" w:lineRule="auto"/>
        <w:rPr>
          <w:sz w:val="20"/>
          <w:szCs w:val="20"/>
          <w:color w:val="auto"/>
        </w:rPr>
      </w:pPr>
      <w:r>
        <w:rPr>
          <w:rFonts w:ascii="Arial" w:cs="Arial" w:eastAsia="Arial" w:hAnsi="Arial"/>
          <w:sz w:val="16"/>
          <w:szCs w:val="16"/>
          <w:color w:val="auto"/>
        </w:rPr>
        <w:t>The Company determines if an arrangement contains a lease at inception. For arrangements where the Company is the lessee, it recognizes a right-to-use ("ROU") lease asset and operating lease liability on the Company's Consolidated Balance Sheet. ROU lease assets represent the Company's right to use the underlying asset for the lease term and the lease obligation represents the Company's commitment to make the lease payments arising from the lease.</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The ROU lease asset includes any lease payments made prior to commencement and excludes any lease incentives.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74" w:right="399" w:bottom="1440" w:gutter="0" w:footer="0" w:header="0"/>
        </w:sectPr>
      </w:pPr>
    </w:p>
    <w:bookmarkStart w:id="166" w:name="page167"/>
    <w:bookmarkEnd w:id="1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ind w:right="40" w:firstLine="180"/>
        <w:spacing w:after="0" w:line="259" w:lineRule="auto"/>
        <w:rPr>
          <w:sz w:val="20"/>
          <w:szCs w:val="20"/>
          <w:color w:val="auto"/>
        </w:rPr>
      </w:pPr>
      <w:r>
        <w:rPr>
          <w:rFonts w:ascii="Arial" w:cs="Arial" w:eastAsia="Arial" w:hAnsi="Arial"/>
          <w:sz w:val="18"/>
          <w:szCs w:val="18"/>
          <w:color w:val="auto"/>
        </w:rPr>
        <w:t>Property and equipment, which consists mainly of clinical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60" w:firstLine="177"/>
        <w:spacing w:after="0" w:line="263"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preclinical and clinical testing of the Company's product candidates and costs associated with its collaborative gene therapy sponsored research programs. The Company's research and development expenses consist of:</w:t>
      </w:r>
    </w:p>
    <w:p>
      <w:pPr>
        <w:spacing w:after="0" w:line="116" w:lineRule="exact"/>
        <w:rPr>
          <w:sz w:val="20"/>
          <w:szCs w:val="20"/>
          <w:color w:val="auto"/>
        </w:rPr>
      </w:pPr>
    </w:p>
    <w:p>
      <w:pPr>
        <w:ind w:left="980" w:right="20" w:hanging="324"/>
        <w:spacing w:after="0" w:line="263" w:lineRule="auto"/>
        <w:tabs>
          <w:tab w:leader="none" w:pos="97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210" w:lineRule="exact"/>
        <w:rPr>
          <w:rFonts w:ascii="Arial" w:cs="Arial" w:eastAsia="Arial" w:hAnsi="Arial"/>
          <w:sz w:val="18"/>
          <w:szCs w:val="18"/>
          <w:color w:val="auto"/>
        </w:rPr>
      </w:pPr>
    </w:p>
    <w:p>
      <w:pPr>
        <w:ind w:left="980" w:right="480" w:hanging="324"/>
        <w:spacing w:after="0" w:line="277" w:lineRule="auto"/>
        <w:tabs>
          <w:tab w:leader="none" w:pos="97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89" w:lineRule="exact"/>
        <w:rPr>
          <w:sz w:val="20"/>
          <w:szCs w:val="20"/>
          <w:color w:val="auto"/>
        </w:rPr>
      </w:pPr>
    </w:p>
    <w:p>
      <w:pPr>
        <w:ind w:right="80" w:firstLine="18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56" w:lineRule="exact"/>
        <w:rPr>
          <w:sz w:val="20"/>
          <w:szCs w:val="20"/>
          <w:color w:val="auto"/>
        </w:rPr>
      </w:pPr>
    </w:p>
    <w:p>
      <w:pPr>
        <w:ind w:right="60" w:firstLine="170"/>
        <w:spacing w:after="0" w:line="286"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62" w:lineRule="exact"/>
        <w:rPr>
          <w:sz w:val="20"/>
          <w:szCs w:val="20"/>
          <w:color w:val="auto"/>
        </w:rPr>
      </w:pPr>
    </w:p>
    <w:p>
      <w:pPr>
        <w:ind w:right="80" w:firstLine="177"/>
        <w:spacing w:after="0" w:line="272" w:lineRule="auto"/>
        <w:rPr>
          <w:sz w:val="20"/>
          <w:szCs w:val="20"/>
          <w:color w:val="auto"/>
        </w:rPr>
      </w:pPr>
      <w:r>
        <w:rPr>
          <w:rFonts w:ascii="Arial" w:cs="Arial" w:eastAsia="Arial" w:hAnsi="Arial"/>
          <w:sz w:val="17"/>
          <w:szCs w:val="17"/>
          <w:color w:val="auto"/>
        </w:rPr>
        <w:t xml:space="preserve">The Company follows the provisions of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which requires the measurement and recognition of compensation expense for all share-based payment awards made to employees and non-employee directors and consultants,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67" w:name="page168"/>
    <w:bookmarkEnd w:id="1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then all previously recorded stock-based compensation expense associated with such options will be reversed during the period in which the Company makes this determination.</w:t>
      </w:r>
    </w:p>
    <w:p>
      <w:pPr>
        <w:spacing w:after="0" w:line="103" w:lineRule="exact"/>
        <w:rPr>
          <w:sz w:val="20"/>
          <w:szCs w:val="20"/>
          <w:color w:val="auto"/>
        </w:rPr>
      </w:pPr>
    </w:p>
    <w:p>
      <w:pPr>
        <w:ind w:right="40" w:firstLine="177"/>
        <w:spacing w:after="0" w:line="259" w:lineRule="auto"/>
        <w:rPr>
          <w:sz w:val="20"/>
          <w:szCs w:val="20"/>
          <w:color w:val="auto"/>
        </w:rPr>
      </w:pPr>
      <w:r>
        <w:rPr>
          <w:rFonts w:ascii="Arial" w:cs="Arial" w:eastAsia="Arial" w:hAnsi="Arial"/>
          <w:sz w:val="18"/>
          <w:szCs w:val="18"/>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Stock Options</w:t>
      </w:r>
    </w:p>
    <w:p>
      <w:pPr>
        <w:spacing w:after="0" w:line="144" w:lineRule="exact"/>
        <w:rPr>
          <w:sz w:val="20"/>
          <w:szCs w:val="20"/>
          <w:color w:val="auto"/>
        </w:rPr>
      </w:pPr>
    </w:p>
    <w:p>
      <w:pPr>
        <w:ind w:right="60" w:firstLine="177"/>
        <w:spacing w:after="0" w:line="273" w:lineRule="auto"/>
        <w:rPr>
          <w:sz w:val="20"/>
          <w:szCs w:val="20"/>
          <w:color w:val="auto"/>
        </w:rPr>
      </w:pPr>
      <w:r>
        <w:rPr>
          <w:rFonts w:ascii="Arial" w:cs="Arial" w:eastAsia="Arial" w:hAnsi="Arial"/>
          <w:sz w:val="17"/>
          <w:szCs w:val="17"/>
          <w:color w:val="auto"/>
        </w:rPr>
        <w:t>The Company estimates the fair value of stock options granted to employees, non-employees and non-employee directors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110" w:lineRule="exact"/>
        <w:rPr>
          <w:sz w:val="20"/>
          <w:szCs w:val="20"/>
          <w:color w:val="auto"/>
        </w:rPr>
      </w:pPr>
    </w:p>
    <w:p>
      <w:pPr>
        <w:ind w:right="80" w:firstLine="177"/>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years ended December 31, 2020, 2019 and 2018:</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Years ended December 31,</w:t>
            </w:r>
          </w:p>
        </w:tc>
        <w:tc>
          <w:tcPr>
            <w:tcW w:w="1460" w:type="dxa"/>
            <w:vAlign w:val="bottom"/>
            <w:tcBorders>
              <w:bottom w:val="single" w:sz="8" w:color="auto"/>
            </w:tcBorders>
          </w:tcPr>
          <w:p>
            <w:pPr>
              <w:spacing w:after="0"/>
              <w:rPr>
                <w:sz w:val="16"/>
                <w:szCs w:val="16"/>
                <w:color w:val="auto"/>
              </w:rPr>
            </w:pPr>
          </w:p>
        </w:tc>
      </w:tr>
      <w:tr>
        <w:trPr>
          <w:trHeight w:val="187"/>
        </w:trPr>
        <w:tc>
          <w:tcPr>
            <w:tcW w:w="63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58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24"/>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common stock price volatility</w:t>
            </w: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118%</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85%</w:t>
            </w: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0.22%-1.34%</w:t>
            </w:r>
          </w:p>
        </w:tc>
        <w:tc>
          <w:tcPr>
            <w:tcW w:w="1580" w:type="dxa"/>
            <w:vAlign w:val="bottom"/>
            <w:gridSpan w:val="2"/>
          </w:tcPr>
          <w:p>
            <w:pPr>
              <w:jc w:val="center"/>
              <w:ind w:left="19"/>
              <w:spacing w:after="0"/>
              <w:rPr>
                <w:sz w:val="20"/>
                <w:szCs w:val="20"/>
                <w:color w:val="auto"/>
              </w:rPr>
            </w:pPr>
            <w:r>
              <w:rPr>
                <w:rFonts w:ascii="Arial" w:cs="Arial" w:eastAsia="Arial" w:hAnsi="Arial"/>
                <w:sz w:val="18"/>
                <w:szCs w:val="18"/>
                <w:color w:val="auto"/>
                <w:w w:val="92"/>
              </w:rPr>
              <w:t>1.38%-2.54%</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2.39%-2.95%</w:t>
            </w: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of options (years)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1580" w:type="dxa"/>
            <w:vAlign w:val="bottom"/>
            <w:gridSpan w:val="2"/>
            <w:shd w:val="clear" w:color="auto" w:fill="CCEEFF"/>
          </w:tcPr>
          <w:p>
            <w:pPr>
              <w:jc w:val="center"/>
              <w:ind w:left="19"/>
              <w:spacing w:after="0"/>
              <w:rPr>
                <w:sz w:val="20"/>
                <w:szCs w:val="20"/>
                <w:color w:val="auto"/>
              </w:rPr>
            </w:pPr>
            <w:r>
              <w:rPr>
                <w:rFonts w:ascii="Arial" w:cs="Arial" w:eastAsia="Arial" w:hAnsi="Arial"/>
                <w:sz w:val="18"/>
                <w:szCs w:val="18"/>
                <w:color w:val="auto"/>
                <w:w w:val="95"/>
              </w:rPr>
              <w:t>4.8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RSUs</w:t>
      </w:r>
    </w:p>
    <w:p>
      <w:pPr>
        <w:spacing w:after="0" w:line="144" w:lineRule="exact"/>
        <w:rPr>
          <w:sz w:val="20"/>
          <w:szCs w:val="20"/>
          <w:color w:val="auto"/>
        </w:rPr>
      </w:pPr>
    </w:p>
    <w:p>
      <w:pPr>
        <w:ind w:right="380" w:firstLine="177"/>
        <w:spacing w:after="0" w:line="277" w:lineRule="auto"/>
        <w:rPr>
          <w:sz w:val="20"/>
          <w:szCs w:val="20"/>
          <w:color w:val="auto"/>
        </w:rPr>
      </w:pPr>
      <w:r>
        <w:rPr>
          <w:rFonts w:ascii="Arial" w:cs="Arial" w:eastAsia="Arial" w:hAnsi="Arial"/>
          <w:sz w:val="18"/>
          <w:szCs w:val="18"/>
          <w:color w:val="auto"/>
        </w:rPr>
        <w:t>The Company estimates the fair value of RSUs granted to employees using the closing market price of the Company's common stock on the date of grant.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ESPP</w:t>
      </w:r>
    </w:p>
    <w:p>
      <w:pPr>
        <w:spacing w:after="0" w:line="252"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214" w:lineRule="exact"/>
        <w:rPr>
          <w:sz w:val="20"/>
          <w:szCs w:val="20"/>
          <w:color w:val="auto"/>
        </w:rPr>
      </w:pPr>
    </w:p>
    <w:p>
      <w:pPr>
        <w:jc w:val="both"/>
        <w:ind w:right="60" w:firstLine="180"/>
        <w:spacing w:after="0" w:line="263" w:lineRule="auto"/>
        <w:rPr>
          <w:sz w:val="20"/>
          <w:szCs w:val="20"/>
          <w:color w:val="auto"/>
        </w:rPr>
      </w:pPr>
      <w:r>
        <w:rPr>
          <w:rFonts w:ascii="Arial" w:cs="Arial" w:eastAsia="Arial" w:hAnsi="Arial"/>
          <w:sz w:val="18"/>
          <w:szCs w:val="18"/>
          <w:color w:val="auto"/>
        </w:rPr>
        <w:t>Share-based compensation expense includes expenses related to stock options and RSUs granted to employees, non-employee directors and consultants, as well as the option granted to employees to purchase shares under the ESPP, all of which have been reported in the Company’s Statements of Operations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6"/>
                <w:szCs w:val="16"/>
                <w:color w:val="auto"/>
              </w:rPr>
            </w:pPr>
          </w:p>
        </w:tc>
      </w:tr>
      <w:tr>
        <w:trPr>
          <w:trHeight w:val="187"/>
        </w:trPr>
        <w:tc>
          <w:tcPr>
            <w:tcW w:w="7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r>
      <w:tr>
        <w:trPr>
          <w:trHeight w:val="224"/>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6,105</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274" w:right="37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74" w:right="379" w:bottom="1440" w:gutter="0" w:footer="0" w:header="0"/>
          <w:type w:val="continuous"/>
        </w:sectPr>
      </w:pPr>
    </w:p>
    <w:bookmarkStart w:id="168" w:name="page169"/>
    <w:bookmarkEnd w:id="1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2" w:lineRule="exact"/>
        <w:rPr>
          <w:sz w:val="20"/>
          <w:szCs w:val="20"/>
          <w:color w:val="auto"/>
        </w:rPr>
      </w:pPr>
    </w:p>
    <w:p>
      <w:pPr>
        <w:ind w:right="120" w:firstLine="445"/>
        <w:spacing w:after="0" w:line="257" w:lineRule="auto"/>
        <w:rPr>
          <w:sz w:val="20"/>
          <w:szCs w:val="20"/>
          <w:color w:val="auto"/>
        </w:rPr>
      </w:pPr>
      <w:r>
        <w:rPr>
          <w:rFonts w:ascii="Arial" w:cs="Arial" w:eastAsia="Arial" w:hAnsi="Arial"/>
          <w:sz w:val="17"/>
          <w:szCs w:val="17"/>
          <w:color w:val="auto"/>
        </w:rPr>
        <w:t xml:space="preserve">In June 2016, the Financial Accounting Standards Board (the "FASB") issued Accounting Standard Update ("ASU")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Measurement of Credit Losses on Financial Instrument </w:t>
      </w:r>
      <w:r>
        <w:rPr>
          <w:rFonts w:ascii="Arial" w:cs="Arial" w:eastAsia="Arial" w:hAnsi="Arial"/>
          <w:sz w:val="17"/>
          <w:szCs w:val="17"/>
          <w:color w:val="auto"/>
        </w:rPr>
        <w:t>(“CECL”). ASU 2016-13 requires an allowance for expected credit losses on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be recognized as early as day one of the instrument. This ASU departs from the incurred loss model which means the probability threshold is removed. It considers more forward-looking information and requires the entity to estimate its credit losses as far as it can reasonably estimate. This ASU is effective for fiscal years beginning after December 15, 2019, including interim periods within those fiscal years. The Company adopted this accounting standard effective January 1, 2020 with no material impact to its financial statements.</w:t>
      </w:r>
    </w:p>
    <w:p>
      <w:pPr>
        <w:spacing w:after="0" w:line="202" w:lineRule="exact"/>
        <w:rPr>
          <w:sz w:val="20"/>
          <w:szCs w:val="20"/>
          <w:color w:val="auto"/>
        </w:rPr>
      </w:pPr>
    </w:p>
    <w:p>
      <w:pPr>
        <w:ind w:right="120" w:firstLine="405"/>
        <w:spacing w:after="0" w:line="241"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modifies the disclosure requirements on fair value measurements in Topic 820, Fair Value Measurement, including, among other changes, the consideration of costs and benefits when evaluating disclosure requirements. For public companies, the amendments became effective for annual reporting periods beginning after December 15, 2019, including interim periods within those annual periods. The Company adopted this accounting standard effective January 1, 2020 with no material impact to its financial statements.</w:t>
      </w:r>
    </w:p>
    <w:p>
      <w:pPr>
        <w:spacing w:after="0" w:line="216" w:lineRule="exact"/>
        <w:rPr>
          <w:sz w:val="20"/>
          <w:szCs w:val="20"/>
          <w:color w:val="auto"/>
        </w:rPr>
      </w:pPr>
    </w:p>
    <w:p>
      <w:pPr>
        <w:ind w:right="140" w:firstLine="405"/>
        <w:spacing w:after="0" w:line="276"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w:t>
      </w:r>
      <w:r>
        <w:rPr>
          <w:rFonts w:ascii="Arial" w:cs="Arial" w:eastAsia="Arial" w:hAnsi="Arial"/>
          <w:sz w:val="16"/>
          <w:szCs w:val="16"/>
          <w:color w:val="auto"/>
        </w:rPr>
        <w:t xml:space="preserve"> (Subtopic 350-40): </w:t>
      </w:r>
      <w:r>
        <w:rPr>
          <w:rFonts w:ascii="Arial" w:cs="Arial" w:eastAsia="Arial" w:hAnsi="Arial"/>
          <w:sz w:val="16"/>
          <w:szCs w:val="16"/>
          <w:i w:val="1"/>
          <w:iCs w:val="1"/>
          <w:color w:val="auto"/>
        </w:rPr>
        <w:t>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 consensus of the FASB Emerging Issues</w:t>
      </w:r>
      <w:r>
        <w:rPr>
          <w:rFonts w:ascii="Arial" w:cs="Arial" w:eastAsia="Arial" w:hAnsi="Arial"/>
          <w:sz w:val="16"/>
          <w:szCs w:val="16"/>
          <w:i w:val="1"/>
          <w:iCs w:val="1"/>
          <w:color w:val="auto"/>
        </w:rPr>
        <w:t xml:space="preserve"> </w:t>
      </w:r>
      <w:r>
        <w:rPr>
          <w:rFonts w:ascii="Arial" w:cs="Arial" w:eastAsia="Arial" w:hAnsi="Arial"/>
          <w:sz w:val="16"/>
          <w:szCs w:val="16"/>
          <w:color w:val="auto"/>
        </w:rPr>
        <w:t>Task Force). ASU 2018-15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guidance became effective for fiscal years beginning after December 15, 2019, and for interim periods within those fiscal years. The Company adopted this accounting standard effective January 1, 2020 with no material impact to its financial statements.</w:t>
      </w:r>
    </w:p>
    <w:p>
      <w:pPr>
        <w:spacing w:after="0" w:line="188" w:lineRule="exact"/>
        <w:rPr>
          <w:sz w:val="20"/>
          <w:szCs w:val="20"/>
          <w:color w:val="auto"/>
        </w:rPr>
      </w:pPr>
    </w:p>
    <w:p>
      <w:pPr>
        <w:ind w:firstLine="405"/>
        <w:spacing w:after="0" w:line="243"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w:t>
      </w:r>
      <w:r>
        <w:rPr>
          <w:rFonts w:ascii="Arial" w:cs="Arial" w:eastAsia="Arial" w:hAnsi="Arial"/>
          <w:sz w:val="18"/>
          <w:szCs w:val="18"/>
          <w:color w:val="auto"/>
        </w:rPr>
        <w:t>, which clarifies the interaction between the guidance for collaborative arrangements (Topic 808) and the new revenue recognition standard (Topic 606). For public companies, the amendments became effective for annual reporting periods beginning after December 15, 2019, including interim periods within those annual periods. The Company adopted this accounting standard effective January 1, 2020 with no material impact to its financial statements.</w:t>
      </w:r>
    </w:p>
    <w:p>
      <w:pPr>
        <w:spacing w:after="0" w:line="21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 xml:space="preserve"> (“ASU 2019-12”), which simplifies the accounting for income taxes, eliminates certain exceptions within ASC 740, </w:t>
      </w:r>
      <w:r>
        <w:rPr>
          <w:rFonts w:ascii="Arial" w:cs="Arial" w:eastAsia="Arial" w:hAnsi="Arial"/>
          <w:sz w:val="17"/>
          <w:szCs w:val="17"/>
          <w:i w:val="1"/>
          <w:iCs w:val="1"/>
          <w:color w:val="auto"/>
        </w:rPr>
        <w:t>Income Taxes</w:t>
      </w:r>
      <w:r>
        <w:rPr>
          <w:rFonts w:ascii="Arial" w:cs="Arial" w:eastAsia="Arial" w:hAnsi="Arial"/>
          <w:sz w:val="17"/>
          <w:szCs w:val="17"/>
          <w:color w:val="auto"/>
        </w:rPr>
        <w:t>, and clarifies certain aspects of the current guidance to promote consistency among reporting entities. ASU 2019-12 is effective for fiscal years beginning after December 15, 2021. Most amendments within the standard are required to be applied on a prospective basis, while certain amendments must be applied on a retrospective or modified retrospective basis. The Company adopted this accounting standard effective January 1, 2020 with no material impact to its financial statements.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Public Offering and Private Placement</w:t>
      </w:r>
    </w:p>
    <w:p>
      <w:pPr>
        <w:spacing w:after="0" w:line="158"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June 2020, the Company closed an underwritten public offering in which it sold 28,503,220 shares of its common stock, which includes the exercise in full of the underwriters’ option to purchase additional shares of its common stock, at a price to the public of $4.10 per share, and at a price to the underwriters of $3.854 per share. The Company also sold to certain investors in lieu of common stock, pre-funded warrants to purchase 1,914,280 shares of its common stock at a price to the public of $4.099 per share underlying each pre-funded warrant, and at a price to the underwriters of $3.853 per share underlying each pre-funded warrant. The pre-funded warrants are immediately exercisable with certain restrictions and do not expire.</w:t>
      </w:r>
    </w:p>
    <w:p>
      <w:pPr>
        <w:spacing w:after="0" w:line="80"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Concurrently with the June 2020 public offering, the Company completed a private placement exempt from the registration requirements of the Securities Act of 1933, as amended (the "Securities Act"), in which it sold 8,649,453 shares of its common stock to affiliates of Vivo Capital, LLC and Samsara BioCapital, LP (the "Private Placement Purchasers"), at a</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69" w:name="page170"/>
    <w:bookmarkEnd w:id="1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purchase price equal to $4.10 per share, which is the price to the public in the public offering. The shares in the private placement were issued pursuant to a stock purchase agreement entered into among the Company and the Private Placement Purchasers.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net proceeds from the public offering and private placement, after deducting underwriting discounts, placement agent fees and other offering expenses of approximately $10.1 million, was approximately $150.1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2019 Public Offering</w:t>
      </w:r>
    </w:p>
    <w:p>
      <w:pPr>
        <w:spacing w:after="0" w:line="14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December 6, 2019, the Company completed an underwritten public offering in which it sold 6,250,000 shares of its common stock at a public offering price of $4.00 per share, and it sold to certain investors pre-funded warrants to purchase 3,750,000 shares of its common stock at a public offering price of $3.999 per share underlying each warrant. The offering included an option for the underwriters to purchase up to an additional 1,500,000 shares of its common stock, which was subsequently exercised in full by the underwriters. The shares of its common stock were sold to the underwriters at a purchase price of $3.736 per share and the pre-funded warrants were sold to the underwriters at a purchase price of $3.735 per share underlying each warrant. The pre-funded warrants are immediately exercisable with certain restrictions and do not expire.</w:t>
      </w:r>
    </w:p>
    <w:p>
      <w:pPr>
        <w:spacing w:after="0" w:line="11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net proceeds from the offering, after deducting underwriting discounts and commissions of $3.0 million and other offering expenses of $0.4 million, was approximately $42.6 million.</w:t>
      </w:r>
    </w:p>
    <w:p>
      <w:pPr>
        <w:spacing w:after="0" w:line="10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The Company evaluated the pre-funded warrants for liability or equity classification in accordance with the provisions of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and ASC 815-40,</w:t>
      </w:r>
      <w:r>
        <w:rPr>
          <w:rFonts w:ascii="Arial" w:cs="Arial" w:eastAsia="Arial" w:hAnsi="Arial"/>
          <w:sz w:val="17"/>
          <w:szCs w:val="17"/>
          <w:i w:val="1"/>
          <w:iCs w:val="1"/>
          <w:color w:val="auto"/>
        </w:rPr>
        <w:t xml:space="preserve"> Derivatives and Hedging</w:t>
      </w:r>
      <w:r>
        <w:rPr>
          <w:rFonts w:ascii="Arial" w:cs="Arial" w:eastAsia="Arial" w:hAnsi="Arial"/>
          <w:sz w:val="17"/>
          <w:szCs w:val="17"/>
          <w:color w:val="auto"/>
        </w:rPr>
        <w:t>. Based on the provisions governing the pre-funded warrants in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Company determined that the pre-funded warrants meet the criteria required to be classified as an equity award subject to the guidance in ASC 815-10 and 815-40 and should effectively be treated as outstanding common shares in both basic and diluted EPS calculations.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miniCEP290 Program - University of Massachusetts</w:t>
      </w:r>
    </w:p>
    <w:p>
      <w:pPr>
        <w:spacing w:after="0" w:line="158" w:lineRule="exact"/>
        <w:rPr>
          <w:sz w:val="20"/>
          <w:szCs w:val="20"/>
          <w:color w:val="auto"/>
        </w:rPr>
      </w:pPr>
    </w:p>
    <w:p>
      <w:pPr>
        <w:ind w:right="140" w:firstLine="180"/>
        <w:spacing w:after="0" w:line="301" w:lineRule="auto"/>
        <w:rPr>
          <w:sz w:val="20"/>
          <w:szCs w:val="20"/>
          <w:color w:val="auto"/>
        </w:rPr>
      </w:pPr>
      <w:r>
        <w:rPr>
          <w:rFonts w:ascii="Arial" w:cs="Arial" w:eastAsia="Arial" w:hAnsi="Arial"/>
          <w:sz w:val="16"/>
          <w:szCs w:val="16"/>
          <w:color w:val="auto"/>
        </w:rPr>
        <w:t>On July 22, 2019, the Company entered into its exclusive license agreement with the University of Massachusetts ("UMass") for rights to its miniCEP290 program (the "miniCEP290 License Agreement"). Pursuant to the terms of the miniCEP290 License Agreement, the Company issued to UMass 75,000 shares of the Company's common stock, which were valued at approximately $0.1 million. Based on and relying on certain representations made by UMass, the Company issued those shares pursuant to an exemption from registration afforded by Section 4(a)(2) of the Securities Act.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(Loss) Per Common Share</w:t>
      </w:r>
    </w:p>
    <w:p>
      <w:pPr>
        <w:spacing w:after="0" w:line="16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Basic and diluted net loss per common share is determined by dividing net loss by the weighted average common shares and pre-funded warrants outstanding during the period. Basic and diluted shares outstanding includes the weighted average effect of the Company's outstanding pre-funded warrants as the exercise of such pre-funded warrants requires nominal consideration to be given for the delivery of the corresponding shares of common stock. As of December 31, 2020 and 2019, the Company had 3,164,280 and 3,750,000 pre-funded warrants outstanding, respectively, which if exercised, would increase the number of shares of common stock issued and outstanding.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0" w:name="page171"/>
    <w:bookmarkEnd w:id="1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(Loss) Per Common Share (Continued)</w:t>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income (loss) per common share for the periods indicated: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060"/>
              <w:spacing w:after="0"/>
              <w:rPr>
                <w:sz w:val="20"/>
                <w:szCs w:val="20"/>
                <w:color w:val="auto"/>
              </w:rPr>
            </w:pPr>
            <w:r>
              <w:rPr>
                <w:rFonts w:ascii="Arial" w:cs="Arial" w:eastAsia="Arial" w:hAnsi="Arial"/>
                <w:sz w:val="14"/>
                <w:szCs w:val="14"/>
                <w:b w:val="1"/>
                <w:bCs w:val="1"/>
                <w:color w:val="auto"/>
                <w:w w:val="94"/>
              </w:rPr>
              <w:t>Years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7"/>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2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common share calculation: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(84,547)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(58,859)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63,087</w:t>
            </w:r>
          </w:p>
        </w:tc>
      </w:tr>
      <w:tr>
        <w:trPr>
          <w:trHeight w:val="22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37,061</w:t>
            </w: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Plus: net effect of dilutive stock options and unvested restricted stock units</w:t>
            </w:r>
          </w:p>
        </w:tc>
        <w:tc>
          <w:tcPr>
            <w:tcW w:w="3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dilutive</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37,088</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60" w:type="dxa"/>
            <w:vAlign w:val="bottom"/>
          </w:tcPr>
          <w:p>
            <w:pPr>
              <w:spacing w:after="0" w:line="203" w:lineRule="exact"/>
              <w:rPr>
                <w:sz w:val="20"/>
                <w:szCs w:val="20"/>
                <w:color w:val="auto"/>
              </w:rPr>
            </w:pPr>
            <w:r>
              <w:rPr>
                <w:rFonts w:ascii="Arial" w:cs="Arial" w:eastAsia="Arial" w:hAnsi="Arial"/>
                <w:sz w:val="18"/>
                <w:szCs w:val="18"/>
                <w:color w:val="auto"/>
              </w:rPr>
              <w:t>Net income (loss) per common share - basic</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common share -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Years ended December 31,</w:t>
            </w:r>
          </w:p>
        </w:tc>
        <w:tc>
          <w:tcPr>
            <w:tcW w:w="1320" w:type="dxa"/>
            <w:vAlign w:val="bottom"/>
            <w:tcBorders>
              <w:bottom w:val="single" w:sz="8" w:color="auto"/>
            </w:tcBorders>
          </w:tcPr>
          <w:p>
            <w:pPr>
              <w:spacing w:after="0"/>
              <w:rPr>
                <w:sz w:val="16"/>
                <w:szCs w:val="16"/>
                <w:color w:val="auto"/>
              </w:rPr>
            </w:pPr>
          </w:p>
        </w:tc>
      </w:tr>
      <w:tr>
        <w:trPr>
          <w:trHeight w:val="187"/>
        </w:trPr>
        <w:tc>
          <w:tcPr>
            <w:tcW w:w="67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62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24"/>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8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5,873</w:t>
            </w:r>
          </w:p>
        </w:tc>
      </w:tr>
      <w:tr>
        <w:trPr>
          <w:trHeight w:val="229"/>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r>
      <w:tr>
        <w:trPr>
          <w:trHeight w:val="243"/>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10,886</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Available for Sale Securities</w:t>
      </w:r>
    </w:p>
    <w:p>
      <w:pPr>
        <w:spacing w:after="0" w:line="162"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the date of purchase to be cash equivalents. As of December 31, 2020 and December 31, 2019 the Company had cash and cash equivalents of approximately $66.4 million and $125.7 million, respectively. Cash and cash equivalents at December 31, 2020 and December 31, 2019 included cash of $8.4 million and $3.2 million, respectively. As of December 31, 2020 and December 31, 2019, cash and cash equivalents also included $58.0 million and $122.5 million, respectively, of investments in money market funds and certain short-term investment-grade corporate debt securities with original maturities of 90 days or less.</w:t>
      </w:r>
    </w:p>
    <w:p>
      <w:pPr>
        <w:spacing w:after="0" w:line="80" w:lineRule="exact"/>
        <w:rPr>
          <w:sz w:val="20"/>
          <w:szCs w:val="20"/>
          <w:color w:val="auto"/>
        </w:rPr>
      </w:pPr>
    </w:p>
    <w:p>
      <w:pPr>
        <w:ind w:right="180" w:firstLine="445"/>
        <w:spacing w:after="0" w:line="286" w:lineRule="auto"/>
        <w:rPr>
          <w:sz w:val="20"/>
          <w:szCs w:val="20"/>
          <w:color w:val="auto"/>
        </w:rPr>
      </w:pPr>
      <w:r>
        <w:rPr>
          <w:rFonts w:ascii="Arial" w:cs="Arial" w:eastAsia="Arial" w:hAnsi="Arial"/>
          <w:sz w:val="17"/>
          <w:szCs w:val="17"/>
          <w:color w:val="auto"/>
        </w:rPr>
        <w:t>The Company considers securities with original maturities of greater than 90 days at the date of purchase to be available for sale securities. The Company had available for sale securities of approximately $143.7 million at December 31, 2020. The available for sale securities listed at December 31, 2020 mature in one year or less. The Company held no available for sale securities at December 31, 2019.</w:t>
      </w:r>
    </w:p>
    <w:p>
      <w:pPr>
        <w:spacing w:after="0" w:line="98"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evaluates securities with unrealized losses, if any, to determine whether the decline in fair value has resulted from credit loss or other factors. The Company has determined that there were no credit losses in fair value of its investments as of December 31, 2020. Factors considered in determining whether a loss resulted from a credit loss or other factors included the length of time and extent to which the investment’s fair value has been less than the cost basis, the financial condition and near-term prospects of the investee, the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12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Company classifies these securities as available for sale. However, the Company has not sold and does not currently intend to sell its investments and the Company believes it is more likely than not that the Company will recover the carrying value of these investments.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1" w:name="page172"/>
    <w:bookmarkEnd w:id="1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Available for Sale Securities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 for sale securities, including carrying value and estimated fair values,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As of December 31, 2020</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7"/>
        </w:trPr>
        <w:tc>
          <w:tcPr>
            <w:tcW w:w="2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6"/>
                <w:szCs w:val="16"/>
                <w:color w:val="auto"/>
              </w:rPr>
            </w:pPr>
          </w:p>
        </w:tc>
        <w:tc>
          <w:tcPr>
            <w:tcW w:w="192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Unrealized Gains</w:t>
            </w:r>
          </w:p>
        </w:tc>
        <w:tc>
          <w:tcPr>
            <w:tcW w:w="180" w:type="dxa"/>
            <w:vAlign w:val="bottom"/>
          </w:tcPr>
          <w:p>
            <w:pPr>
              <w:spacing w:after="0"/>
              <w:rPr>
                <w:sz w:val="16"/>
                <w:szCs w:val="16"/>
                <w:color w:val="auto"/>
              </w:rPr>
            </w:pPr>
          </w:p>
        </w:tc>
        <w:tc>
          <w:tcPr>
            <w:tcW w:w="194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Unrealized Losses</w:t>
            </w:r>
          </w:p>
        </w:tc>
        <w:tc>
          <w:tcPr>
            <w:tcW w:w="400" w:type="dxa"/>
            <w:vAlign w:val="bottom"/>
          </w:tcPr>
          <w:p>
            <w:pPr>
              <w:spacing w:after="0"/>
              <w:rPr>
                <w:sz w:val="16"/>
                <w:szCs w:val="16"/>
                <w:color w:val="auto"/>
              </w:rPr>
            </w:pPr>
          </w:p>
        </w:tc>
        <w:tc>
          <w:tcPr>
            <w:tcW w:w="1620" w:type="dxa"/>
            <w:vAlign w:val="bottom"/>
          </w:tcPr>
          <w:p>
            <w:pPr>
              <w:jc w:val="right"/>
              <w:ind w:right="594"/>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center"/>
              <w:ind w:left="141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54,233</w:t>
            </w: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79,282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center"/>
              <w:ind w:left="1414"/>
              <w:spacing w:after="0"/>
              <w:rPr>
                <w:sz w:val="20"/>
                <w:szCs w:val="20"/>
                <w:color w:val="auto"/>
              </w:rPr>
            </w:pPr>
            <w:r>
              <w:rPr>
                <w:rFonts w:ascii="Arial" w:cs="Arial" w:eastAsia="Arial" w:hAnsi="Arial"/>
                <w:sz w:val="18"/>
                <w:szCs w:val="18"/>
                <w:color w:val="auto"/>
                <w:w w:val="93"/>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79,276</w:t>
            </w: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center"/>
              <w:ind w:left="131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143,671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center"/>
              <w:ind w:left="1414"/>
              <w:spacing w:after="0"/>
              <w:rPr>
                <w:sz w:val="20"/>
                <w:szCs w:val="20"/>
                <w:color w:val="auto"/>
              </w:rPr>
            </w:pPr>
            <w:r>
              <w:rPr>
                <w:rFonts w:ascii="Arial" w:cs="Arial" w:eastAsia="Arial" w:hAnsi="Arial"/>
                <w:sz w:val="18"/>
                <w:szCs w:val="18"/>
                <w:color w:val="auto"/>
                <w:w w:val="93"/>
              </w:rPr>
              <w:t>(10)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143,674</w:t>
            </w:r>
          </w:p>
        </w:tc>
      </w:tr>
      <w:tr>
        <w:trPr>
          <w:trHeight w:val="21"/>
        </w:trPr>
        <w:tc>
          <w:tcPr>
            <w:tcW w:w="2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80" w:firstLine="445"/>
        <w:spacing w:after="0" w:line="301" w:lineRule="auto"/>
        <w:rPr>
          <w:sz w:val="20"/>
          <w:szCs w:val="20"/>
          <w:color w:val="auto"/>
        </w:rPr>
      </w:pPr>
      <w:r>
        <w:rPr>
          <w:rFonts w:ascii="Arial" w:cs="Arial" w:eastAsia="Arial" w:hAnsi="Arial"/>
          <w:sz w:val="16"/>
          <w:szCs w:val="16"/>
          <w:color w:val="auto"/>
        </w:rPr>
        <w:t>The Company's available for sale securities are reported at fair value on the Company's balance sheet. Unrealized gains (losses) are reported within accumulated other comprehensive loss in the statements of comprehensive income (loss). The cost of securities sold and any realized gains/losses from the sale of available for sale securities are based on the specific identification method. The changes in accumulated other comprehensive income (loss) associated with the unrealized loss on available for sale securities for the years ended December 31, 2020 and December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74295</wp:posOffset>
            </wp:positionV>
            <wp:extent cx="21342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Borders>
              <w:bottom w:val="single" w:sz="8" w:color="auto"/>
            </w:tcBorders>
          </w:tcPr>
          <w:p>
            <w:pPr>
              <w:spacing w:after="0"/>
              <w:rPr>
                <w:sz w:val="16"/>
                <w:szCs w:val="16"/>
                <w:color w:val="auto"/>
              </w:rPr>
            </w:pPr>
          </w:p>
        </w:tc>
      </w:tr>
      <w:tr>
        <w:trPr>
          <w:trHeight w:val="187"/>
        </w:trPr>
        <w:tc>
          <w:tcPr>
            <w:tcW w:w="78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r>
      <w:tr>
        <w:trPr>
          <w:trHeight w:val="22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60" w:type="dxa"/>
            <w:vAlign w:val="bottom"/>
            <w:shd w:val="clear" w:color="auto" w:fill="CCEEFF"/>
          </w:tcPr>
          <w:p>
            <w:pPr>
              <w:jc w:val="right"/>
              <w:ind w:right="97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Current period changes in fair value before reclassifications, net of tax</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income, net of tax</w:t>
            </w:r>
          </w:p>
        </w:tc>
        <w:tc>
          <w:tcPr>
            <w:tcW w:w="1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23"/>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116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160" w:type="dxa"/>
            <w:vAlign w:val="bottom"/>
            <w:tcBorders>
              <w:bottom w:val="single" w:sz="8" w:color="auto"/>
            </w:tcBorders>
            <w:shd w:val="clear" w:color="auto" w:fill="CCEEFF"/>
          </w:tcPr>
          <w:p>
            <w:pPr>
              <w:jc w:val="right"/>
              <w:ind w:right="97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62"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06"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investment-grade corporate debt securities within the fair value hierarchy as Level 2 assets, as it primarily utilizes quoted market prices or rates for similar instruments to value these securities.</w:t>
      </w:r>
    </w:p>
    <w:p>
      <w:pPr>
        <w:spacing w:after="0" w:line="125"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103" w:lineRule="exact"/>
        <w:rPr>
          <w:sz w:val="20"/>
          <w:szCs w:val="20"/>
          <w:color w:val="auto"/>
        </w:rPr>
      </w:pPr>
    </w:p>
    <w:p>
      <w:pPr>
        <w:ind w:left="660" w:right="8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89"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may consist of investments in investment-grade corporate debt securities.</w:t>
      </w:r>
    </w:p>
    <w:p>
      <w:pPr>
        <w:spacing w:after="0" w:line="116"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2" w:name="page173"/>
    <w:bookmarkEnd w:id="1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(Continued)</w:t>
      </w:r>
    </w:p>
    <w:p>
      <w:pPr>
        <w:spacing w:after="0" w:line="200" w:lineRule="exact"/>
        <w:rPr>
          <w:sz w:val="20"/>
          <w:szCs w:val="20"/>
          <w:color w:val="auto"/>
        </w:rPr>
      </w:pPr>
    </w:p>
    <w:p>
      <w:pPr>
        <w:spacing w:after="0" w:line="326"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The Company classifies its corporate debt securities within the fair value hierarchy as Level 2 assets, as it primarily utilizes quoted market prices or rates for similar instruments to value these securities.</w:t>
      </w:r>
    </w:p>
    <w:p>
      <w:pPr>
        <w:spacing w:after="0" w:line="89" w:lineRule="exact"/>
        <w:rPr>
          <w:sz w:val="20"/>
          <w:szCs w:val="20"/>
          <w:color w:val="auto"/>
        </w:rPr>
      </w:pPr>
    </w:p>
    <w:p>
      <w:pPr>
        <w:ind w:right="640" w:firstLine="445"/>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Quoted prices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6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1"/>
                <w:szCs w:val="11"/>
                <w:color w:val="auto"/>
              </w:rPr>
            </w:pPr>
          </w:p>
        </w:tc>
        <w:tc>
          <w:tcPr>
            <w:tcW w:w="1380" w:type="dxa"/>
            <w:vAlign w:val="bottom"/>
          </w:tcPr>
          <w:p>
            <w:pPr>
              <w:jc w:val="center"/>
              <w:ind w:right="199"/>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8"/>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58,042</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54,233</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79,275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asset-backed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640" w:firstLine="445"/>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2"/>
              </w:rPr>
              <w:t>Quoted prices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62"/>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1"/>
                <w:szCs w:val="11"/>
                <w:color w:val="auto"/>
              </w:rPr>
            </w:pPr>
          </w:p>
        </w:tc>
        <w:tc>
          <w:tcPr>
            <w:tcW w:w="1380" w:type="dxa"/>
            <w:vAlign w:val="bottom"/>
          </w:tcPr>
          <w:p>
            <w:pPr>
              <w:jc w:val="center"/>
              <w:ind w:right="202"/>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108,585</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13,875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20" w:hanging="328"/>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Investments in money market funds and corporate debt securities with maturities less than 90 days are reflected in cash and cash equivalents in the accompanying Balance Sheets.</w:t>
      </w:r>
    </w:p>
    <w:p>
      <w:pPr>
        <w:spacing w:after="0" w:line="103"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No transfer of assets between Level 1 and Level 2 of the fair value measurement hierarchy occurred during the years ended December 31, 2020 or December 31,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Inception 4 Acquisition</w:t>
      </w:r>
    </w:p>
    <w:p>
      <w:pPr>
        <w:spacing w:after="0" w:line="1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October 2018, the Company entered into an Agreement and Plan of Merger (the “Inception 4 Merger Agreement”) by and among the Company, Orion Ophthalmology Merger Sub, Inc., a Delaware corporation and a direct, wholly owned subsidiary of the Company (“Merger Sub I”), Orion Ophthalmology LLC, a Delaware limited liability company and a direct, wholly owned subsidiary of the Company (“Orion”), Inception 4, Inc., a Delaware corporation ("Inception 4"), and, solely in its capacity as the representative, agent and attorney-in-fact of the equityholders of Inception 4, Fortis Advisors LLC, a Delaware limited liability company. Pursuant to the Inception 4 Merger Agreement, in October 2018, the Company acquired Inception 4 through the merger of Merger Sub I with and into Inception 4, with Inception 4 surviving as a direct, wholly owned subsidiary of the Company, and as part of the same overall transaction, the merger of Inception 4 with and into Orion, with Orion surviving as a direct, wholly owned subsidiary of the Company (the transactions are collectively referred to as the "Inception 4 Merger"). Prior to the Inception 4 Merger, Inception 4 was a privately held biotechnology company focused on the research and development of small molecule HtrA1 inhibitors for age-related retinal diseases in humans.</w:t>
      </w:r>
    </w:p>
    <w:p>
      <w:pPr>
        <w:spacing w:after="0" w:line="9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Pursuant to the terms of the Inception 4 Merger Agreement, as upfront consideration, the Company issued approximately 5.2 million shares of the Company’s common stock to the former equityholders of Inception 4, which were valued at approximately $11.7 million based on the closing price of the Company’s common stock on the acquisition date equal</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73" w:name="page174"/>
    <w:bookmarkEnd w:id="1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Inception 4 Acquisition (Continued)</w:t>
      </w:r>
    </w:p>
    <w:p>
      <w:pPr>
        <w:spacing w:after="0" w:line="200" w:lineRule="exact"/>
        <w:rPr>
          <w:sz w:val="20"/>
          <w:szCs w:val="20"/>
          <w:color w:val="auto"/>
        </w:rPr>
      </w:pPr>
    </w:p>
    <w:p>
      <w:pPr>
        <w:spacing w:after="0" w:line="32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to $2.26 per share. Additionally, subject to the terms and conditions of the Inception 4 Merger Agreement, the former equityholders of Inception 4 will be entitled to receive contingent payments up to an aggregate of $105.0 million from the Company for the achievement of specified clinical and regulatory milestones, with $45 million of such potential payments relating to GA and $60 million of such potential payments relating to wet AMD.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the Company's common stock as of the close of business on the business day prior to the closing date of the Inception 4 Merger, and will be payable in cash thereafter.</w:t>
      </w:r>
    </w:p>
    <w:p>
      <w:pPr>
        <w:spacing w:after="0" w:line="97"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At closing, the Company acquired all of Inception 4's assets, which included intellectual property and in-process research and development (“IPR&amp;D”) associated with Inception 4’s HtrA1 inhibitor program and approximately $6.1 million in cash. There were no other tangible assets, leases or liabilities.</w:t>
      </w:r>
    </w:p>
    <w:p>
      <w:pPr>
        <w:spacing w:after="0" w:line="11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Company evaluated the acquisition of Inception 4 under ASU No. 2017-01, Business Combinations: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xml:space="preserve">. Based on the results of the analysis performed, the Company concluded that substantially all of the fair value of the gross assets acquired under the Inception 4 Merger Agreement is concentrated in a single identifiable asset. As a result, the Company concluded that the acquisition of Inception 4 does not represent an acquisition of a business and does not qualify as a business combination to be accounted for under ASC 805. Further, the Company concluded that the legal entity is not a variable interest entity under ASC 810 -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Consequently, the Company concluded that the acquisition of Inception 4 should be accounted for as an asset acquisition under ASC 805-50. As the contingent consideration is not a derivative under ASC 815 -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any contingent payments will be recognized when earned or achieved and such amounts will be expensed upon payment for pre-commercial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and capitalized for regulatory approvals and post-commercial activities. Further, as the acquired IPR&amp;D has no alternative future use, in accordance with ASC 730, at closing, the Company charged to expense its allocated fair value of $6.9 million, which is the total acquisition consideration including transaction costs of $1.3 million less the cash acquired.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Licensing and Commercialization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Zimura License Agreement with Archemix Corp.</w:t>
      </w:r>
    </w:p>
    <w:p>
      <w:pPr>
        <w:spacing w:after="0" w:line="25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September 2011, the Company entered into an amended and restated exclusive license agreement with Archemix Corp. ("Archemix") relating to anti-C5 aptamers (as amended, the "C5 License Agreement"). The C5 License Agreement superseded a July 2007 agreement between the Company and Archemix. Under the C5 License Agreement, the Company holds exclusive worldwide licenses, subject to certain pre–existing rights, under specified patents and technology owned or controlled by Archemix to develop, make, use, sell, offer for sale, distribute for sale, import and export pharmaceutical products comprised of or derived from an anti-C5 aptamer, including Zimura, for the prevention, treatment, cure or control of human indications, diseases, disorders or conditions of the eye, adnexa of the eye, orbit and optic nerve, other than certain expressly excluded applications.</w:t>
      </w:r>
    </w:p>
    <w:p>
      <w:pPr>
        <w:spacing w:after="0" w:line="19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connection with the C5 License Agreement, the Company paid Archemix an upfront licensing fee of $1.0 million and issued to Archemix an aggregate of 2,000,000 shares of its series A-1 preferred stock and 500,000 shares of its series B-1 preferred stock. The Company has paid Archemix an aggregate of $9.0 million in fees based on its achievement of specified clinical milestone events under the C5 License Agreement, including two milestone payments of $1.0 million and $6.0 million, respectively, triggered by the positive 12-month data from, and by completion of, the GATHER1 trial, which the Company paid in March 2020 and October 2020, respectively.</w:t>
      </w:r>
    </w:p>
    <w:p>
      <w:pPr>
        <w:spacing w:after="0" w:line="21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Under the C5 License Agreement, for each anti-C5 aptamer product that the Company may develop under the agreement, including Zimura, it is obligated to make additional payments to Archemix of up to an aggregate of $50.5 million if it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it is also obligated to make additional payments to</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4" w:name="page175"/>
    <w:bookmarkEnd w:id="1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Archemix of up to an aggregate of $22.5 million if it achieves specified commercial milestones based on net product sales of all anti-C5 products licensed under the agreement. It is also obligated to pay Archemix a double-digit percentage of specified non-royalty payments it may receive from any sublicensee of its rights under the C5 License Agreement. The Company is not obligated to pay Archemix a running royalty based on net product sales in connection with the C5 License Agreement.</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Unless earlier terminated, the C5 License Agreement will expire upon the latest of 12 years after the first commercial sale in any country of the last licensed product, the expiration of the last-to-expire valid claim of the licensed patents that covers a licensed product, and the date on which no further payments of sublicensing income are to be received by the Company.</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Either the Company or Archemix may terminate the C5 License Agreement if the other party materially breaches the agreement and the breach remains uncured for a specified period. Archemix may also terminate the C5 License Agreement, or may convert the Company's exclusive license under the agreement to a non-exclusive license, if the Company challenges or assists a third party in challenging the validity or enforceability of any of the patents licensed under the agreement. The Company may terminate the agreement at any time and for any or no reason effective at the end of a specified period following its written notice of termination to Archemix.</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IC-100 Agreements with the University of Florida Research Foundation and the University of Pennsylvania</w:t>
      </w:r>
    </w:p>
    <w:p>
      <w:pPr>
        <w:spacing w:after="0" w:line="144" w:lineRule="exact"/>
        <w:rPr>
          <w:sz w:val="20"/>
          <w:szCs w:val="20"/>
          <w:color w:val="auto"/>
        </w:rPr>
      </w:pPr>
    </w:p>
    <w:p>
      <w:pPr>
        <w:ind w:right="20" w:firstLine="180"/>
        <w:spacing w:after="0" w:line="273" w:lineRule="auto"/>
        <w:rPr>
          <w:sz w:val="20"/>
          <w:szCs w:val="20"/>
          <w:color w:val="auto"/>
        </w:rPr>
      </w:pPr>
      <w:r>
        <w:rPr>
          <w:rFonts w:ascii="Arial" w:cs="Arial" w:eastAsia="Arial" w:hAnsi="Arial"/>
          <w:sz w:val="17"/>
          <w:szCs w:val="17"/>
          <w:color w:val="auto"/>
        </w:rPr>
        <w:t>In June 2018, the Company entered into an exclusive global license agreement (the "RHO-adRP License Agreement") with the University of Florida Research Foundation, Incorporated ("UFRF") and the University of Pennsylvania ("Penn" and collectively with UFRF, the "Licensors"). Under the agreement, the Licensors granted the Company a worldwide, exclusive license under specified patent rights and a worldwide, non-exclusive license under specified know-how, including specified preclinical data, to manufacture, develop and commercialize certain AAV gene therapy products for the treatment of rhodopsin-mediated diseases. The rights granted under the RHO-adRP License Agreement included certain patent rights covering IC-100, the Company's novel AAV gene therapy product candidate intended to treat RHO-adRP.</w:t>
      </w:r>
    </w:p>
    <w:p>
      <w:pPr>
        <w:spacing w:after="0" w:line="110" w:lineRule="exact"/>
        <w:rPr>
          <w:sz w:val="20"/>
          <w:szCs w:val="20"/>
          <w:color w:val="auto"/>
        </w:rPr>
      </w:pPr>
    </w:p>
    <w:p>
      <w:pPr>
        <w:ind w:right="200" w:firstLine="180"/>
        <w:spacing w:after="0" w:line="320" w:lineRule="auto"/>
        <w:rPr>
          <w:sz w:val="20"/>
          <w:szCs w:val="20"/>
          <w:color w:val="auto"/>
        </w:rPr>
      </w:pPr>
      <w:r>
        <w:rPr>
          <w:rFonts w:ascii="Arial" w:cs="Arial" w:eastAsia="Arial" w:hAnsi="Arial"/>
          <w:sz w:val="15"/>
          <w:szCs w:val="15"/>
          <w:color w:val="auto"/>
        </w:rPr>
        <w:t>In June 2018, the Company paid UFRF, on behalf of both Licensors, a $0.5 million upfront license issuance fee in connection with entry into the agreement, which was recorded as a research and development expense, as well as accrued patent prosecution expenses of approximately $30 thousand, which was recorded as a general and administrative expense. Under the agreement, the Company agreed to pay an annual license maintenance fee in the low double-digit thousands of dollars, which will be payable on an annual basis until the first commercial sale of a licensed product. In addition, the Company agreed to reimburse UFRF for the costs and expenses of patent prosecution and maintenance related to the licensed patent rights.</w:t>
      </w:r>
    </w:p>
    <w:p>
      <w:pPr>
        <w:spacing w:after="0" w:line="79" w:lineRule="exact"/>
        <w:rPr>
          <w:sz w:val="20"/>
          <w:szCs w:val="20"/>
          <w:color w:val="auto"/>
        </w:rPr>
      </w:pPr>
    </w:p>
    <w:p>
      <w:pPr>
        <w:jc w:val="both"/>
        <w:ind w:right="80" w:firstLine="177"/>
        <w:spacing w:after="0" w:line="263" w:lineRule="auto"/>
        <w:rPr>
          <w:sz w:val="20"/>
          <w:szCs w:val="20"/>
          <w:color w:val="auto"/>
        </w:rPr>
      </w:pPr>
      <w:r>
        <w:rPr>
          <w:rFonts w:ascii="Arial" w:cs="Arial" w:eastAsia="Arial" w:hAnsi="Arial"/>
          <w:sz w:val="18"/>
          <w:szCs w:val="18"/>
          <w:color w:val="auto"/>
        </w:rPr>
        <w:t>The Company further agreed to pay UFRF, on behalf of both Licensors, up to an aggregate of $23.5 million if the Company achieves specified clinical, marketing approval and reimbursement approval milestones with respect to a licensed product and additionally, up to an aggregate of $70.0 million if the Company achieves specified commercial sales milestones with respect to a licensed product.</w:t>
      </w:r>
    </w:p>
    <w:p>
      <w:pPr>
        <w:spacing w:after="0" w:line="103" w:lineRule="exact"/>
        <w:rPr>
          <w:sz w:val="20"/>
          <w:szCs w:val="20"/>
          <w:color w:val="auto"/>
        </w:rPr>
      </w:pPr>
    </w:p>
    <w:p>
      <w:pPr>
        <w:ind w:firstLine="177"/>
        <w:spacing w:after="0" w:line="273" w:lineRule="auto"/>
        <w:rPr>
          <w:sz w:val="20"/>
          <w:szCs w:val="20"/>
          <w:color w:val="auto"/>
        </w:rPr>
      </w:pPr>
      <w:r>
        <w:rPr>
          <w:rFonts w:ascii="Arial" w:cs="Arial" w:eastAsia="Arial" w:hAnsi="Arial"/>
          <w:sz w:val="17"/>
          <w:szCs w:val="17"/>
          <w:color w:val="auto"/>
        </w:rPr>
        <w:t>The Company is also obligated to pay UFRF, on behalf of both Licensors, royalties at a low single-digit percentage of net sales of licensed products. Such royalties are subject to customary reductions for lack of patent coverage and loss of regulatory exclusivity. In addition, such royalties with respect to any licensed product in any country may be offset by a specified portion of any royalty payments actually paid by the Company in such country under third-party licenses for patent rights or other intellectual property rights that are necessary to manufacture, develop and commercialize the licensed product in such country. The Company's obligation to pay royalties under the RHO-adRP License Agreement will continue on a licensed product-by-licensed product and country-by-country basis until the latest of:</w:t>
      </w:r>
    </w:p>
    <w:p>
      <w:pPr>
        <w:spacing w:after="0" w:line="110"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a licensed product in the country of sale;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a licensed product in the country of sale;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ten years from the first commercial sale of the applicable licensed product in the country of sale.</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Beginning on the earlier of (i) the calendar year following the first commercial sale of a licensed product and (ii) the first business day of 2031, the Company is also obligated to pay certain minimum royalties, not to exceed an amount in the low</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75" w:name="page176"/>
    <w:bookmarkEnd w:id="1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hundreds of thousands of dollars on an annual basis, which minimum royalties are creditable against the Company's royalty obligation with respect to net sales of licensed products due for the year in which the minimum royalty is paid.</w:t>
      </w:r>
    </w:p>
    <w:p>
      <w:pPr>
        <w:spacing w:after="0" w:line="89" w:lineRule="exact"/>
        <w:rPr>
          <w:sz w:val="20"/>
          <w:szCs w:val="20"/>
          <w:color w:val="auto"/>
        </w:rPr>
      </w:pPr>
    </w:p>
    <w:p>
      <w:pPr>
        <w:ind w:right="60" w:firstLine="180"/>
        <w:spacing w:after="0" w:line="291" w:lineRule="auto"/>
        <w:rPr>
          <w:sz w:val="20"/>
          <w:szCs w:val="20"/>
          <w:color w:val="auto"/>
        </w:rPr>
      </w:pPr>
      <w:r>
        <w:rPr>
          <w:rFonts w:ascii="Arial" w:cs="Arial" w:eastAsia="Arial" w:hAnsi="Arial"/>
          <w:sz w:val="16"/>
          <w:szCs w:val="16"/>
          <w:color w:val="auto"/>
        </w:rPr>
        <w:t>In addition, if the Company or an affiliate sublicenses any of the licensed patent rights to a third party, the Company will be obligated to pay UFRF, on behalf of both Licensors, a low double-digit percentage of the consideration received in exchange for such sublicense.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on behalf of both Licensors, aggregate payments in the low double-digit millions of dollars based on certain marketing approval and commercial sales milestones with respect to such other product candidate. If the Company sells such priority review voucher to a third party, it will be obligated to pay UFRF, on behalf of both licensors, a low double-digit percentage of any consideration received from such third party in connection with such sale.</w:t>
      </w:r>
    </w:p>
    <w:p>
      <w:pPr>
        <w:spacing w:after="0" w:line="99" w:lineRule="exact"/>
        <w:rPr>
          <w:sz w:val="20"/>
          <w:szCs w:val="20"/>
          <w:color w:val="auto"/>
        </w:rPr>
      </w:pPr>
    </w:p>
    <w:p>
      <w:pPr>
        <w:ind w:right="340" w:firstLine="180"/>
        <w:spacing w:after="0" w:line="259" w:lineRule="auto"/>
        <w:rPr>
          <w:sz w:val="20"/>
          <w:szCs w:val="20"/>
          <w:color w:val="auto"/>
        </w:rPr>
      </w:pPr>
      <w:r>
        <w:rPr>
          <w:rFonts w:ascii="Arial" w:cs="Arial" w:eastAsia="Arial" w:hAnsi="Arial"/>
          <w:sz w:val="18"/>
          <w:szCs w:val="18"/>
          <w:color w:val="auto"/>
        </w:rPr>
        <w:t>Unless earlier terminated by the Company, the RHO-adRP License Agreement will expire upon the expiration of the Company’s obligation to pay royalties to UFRF on net sales of licensed products. The Company may terminate the agreement at any time for any reason upon prior written notice to UFRF. Penn or UFRF may terminate the RHO-adRP License Agreement in the event of certain breaches by the Company or in the event of certain insolvency events regarding the Company.</w:t>
      </w:r>
    </w:p>
    <w:p>
      <w:pPr>
        <w:spacing w:after="0" w:line="119" w:lineRule="exact"/>
        <w:rPr>
          <w:sz w:val="20"/>
          <w:szCs w:val="20"/>
          <w:color w:val="auto"/>
        </w:rPr>
      </w:pPr>
    </w:p>
    <w:p>
      <w:pPr>
        <w:ind w:right="60" w:firstLine="180"/>
        <w:spacing w:after="0" w:line="301" w:lineRule="auto"/>
        <w:rPr>
          <w:sz w:val="20"/>
          <w:szCs w:val="20"/>
          <w:color w:val="auto"/>
        </w:rPr>
      </w:pPr>
      <w:r>
        <w:rPr>
          <w:rFonts w:ascii="Arial" w:cs="Arial" w:eastAsia="Arial" w:hAnsi="Arial"/>
          <w:sz w:val="16"/>
          <w:szCs w:val="16"/>
          <w:color w:val="auto"/>
        </w:rPr>
        <w:t>In addition to the exclusive license agreement, the Company and Penn also entered into to a Master-Sponsored Research Agreement (the "RHO-adRP MSRA"), facilitated by the Penn Center for Innovation. Under the RHO-adRP MSRA, the Company and Penn conducted several preclinical studies of IC-100, as well as a natural history study of RHO-adRP patients. The total amount of funding for the sponsored research covered by statements of work under the RHO-adRP MSRA that the Company has committed to date and is expecting to commit to is in the low single-digit millions of dollars.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IC-200 Agreements with University of Pennsylvania and University of Florida Research Foundation</w:t>
      </w:r>
    </w:p>
    <w:p>
      <w:pPr>
        <w:spacing w:after="0" w:line="252" w:lineRule="exact"/>
        <w:rPr>
          <w:sz w:val="20"/>
          <w:szCs w:val="20"/>
          <w:color w:val="auto"/>
        </w:rPr>
      </w:pPr>
    </w:p>
    <w:p>
      <w:pPr>
        <w:ind w:right="100" w:firstLine="180"/>
        <w:spacing w:after="0" w:line="296" w:lineRule="auto"/>
        <w:rPr>
          <w:sz w:val="20"/>
          <w:szCs w:val="20"/>
          <w:color w:val="auto"/>
        </w:rPr>
      </w:pPr>
      <w:r>
        <w:rPr>
          <w:rFonts w:ascii="Arial" w:cs="Arial" w:eastAsia="Arial" w:hAnsi="Arial"/>
          <w:sz w:val="16"/>
          <w:szCs w:val="16"/>
          <w:color w:val="auto"/>
        </w:rPr>
        <w:t xml:space="preserve">In April 2019, the Company entered into an exclusive global license agreement (the "BEST1 License Agreement") with Penn and UFRF. The Company entered into the BEST1 License Agreement by exercising its exclusive option rights under an option agreement that it previously entered into with Penn and UFRF in October 2018. Under the BEST1 License Agreement, Penn and UFRF granted the Company a worldwide, exclusive license under specified patent rights and specified know-how and a worldwide, non-exclusive license under other specified know-how to research, develop, manufacture and commercialize certain AAV gene therapy products, including IC-200, for the treatment of Best disease and other </w:t>
      </w:r>
      <w:r>
        <w:rPr>
          <w:rFonts w:ascii="Arial" w:cs="Arial" w:eastAsia="Arial" w:hAnsi="Arial"/>
          <w:sz w:val="16"/>
          <w:szCs w:val="16"/>
          <w:i w:val="1"/>
          <w:iCs w:val="1"/>
          <w:color w:val="auto"/>
        </w:rPr>
        <w:t>BEST1-</w:t>
      </w:r>
      <w:r>
        <w:rPr>
          <w:rFonts w:ascii="Arial" w:cs="Arial" w:eastAsia="Arial" w:hAnsi="Arial"/>
          <w:sz w:val="16"/>
          <w:szCs w:val="16"/>
          <w:color w:val="auto"/>
        </w:rPr>
        <w:t>related IRDs.</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May 2019, the Company paid Penn, for the benefit of the Licensors, a $0.2 million upfront license issuance fee, which was recorded as a research and development expense, and the Company paid UFRF accrued patent prosecution expenses of approximately $18 thousand, which was recorded as a general and administrative expense. The Company has also agreed to pay Penn, for the benefit of the Licensors, an annual license maintenance fee in the low double-digit thousands of dollars, which will be payable on an annual basis until the first commercial sale of a licensed product. In addition, the Company have agreed to pay Penn, for the benefit of the Licensors, a one-time patent grant fee in the low triple-digit thousands of dollars, upon the issuance of a U.S. patent that claims inventions disclosed in the licensed patent rights or know-how or inventions generated under certain related sponsored research agreements with Penn or UFRF, and that is exclusively licensed to the Company. Furthermore, it has agreed to reimburse Penn and UFRF for the costs and expenses of patent prosecution and maintenance related to the licensed patent rights.</w:t>
      </w:r>
    </w:p>
    <w:p>
      <w:pPr>
        <w:spacing w:after="0" w:line="20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has further agreed to pay Penn, for the benefit of the Licensors, up to an aggregate of $15.7 million if it achieves specified clinical, marketing approval and reimbursement approval milestones with respect to one licensed product, and up to an aggregate of an additional $3.1 million if it achieves these same milestones with respect to a different licensed product. In addition, it has agreed to pay Penn, for the benefit of the Licensors, up to an aggregate of $48.0 million if it achieves specified commercial sales milestones with respect to one licensed product, and up to an aggregate of an additional $9.6 million if it achieves these same milestones with respect to a different licensed product.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6" w:name="page177"/>
    <w:bookmarkEnd w:id="1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is also obligated to pay Penn, for the benefit of the Licensors, royalties at a low single-digit percentage of net sales of licensed products. Such royalties are subject to customary deductions, credits, and reductions for lack of patent coverage and loss of regulatory exclusivity. In addition, such royalties with respect to any licensed product in any country may be offset by a specified portion of any royalty payments actually paid by the Company in such country under third-party licenses to patent rights or other intellectual property rights that are necessary to research, develop, manufacture and commercialize the licensed product in such country. Its obligation to pay royalties under the BEST1 License Agreement will continue on a licensed product-by-licensed product and country-by-country basis until the latest of:</w:t>
      </w:r>
    </w:p>
    <w:p>
      <w:pPr>
        <w:spacing w:after="0" w:line="97" w:lineRule="exact"/>
        <w:rPr>
          <w:sz w:val="20"/>
          <w:szCs w:val="20"/>
          <w:color w:val="auto"/>
        </w:rPr>
      </w:pPr>
    </w:p>
    <w:p>
      <w:pPr>
        <w:ind w:left="980" w:hanging="324"/>
        <w:spacing w:after="0"/>
        <w:tabs>
          <w:tab w:leader="none" w:pos="9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expiration of the last-to-expire licensed patent rights covering the sale of the applicable licensed product in the country of sale;</w:t>
      </w:r>
    </w:p>
    <w:p>
      <w:pPr>
        <w:spacing w:after="0" w:line="169" w:lineRule="exact"/>
        <w:rPr>
          <w:rFonts w:ascii="Arial" w:cs="Arial" w:eastAsia="Arial" w:hAnsi="Arial"/>
          <w:sz w:val="17"/>
          <w:szCs w:val="17"/>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expiration of regulatory exclusivity covering the applicable licensed product in the country of sale;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10 years from the first commercial sale of the applicable licensed product in the country of sale.</w:t>
      </w:r>
    </w:p>
    <w:p>
      <w:pPr>
        <w:spacing w:after="0" w:line="14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Beginning on the earlier of the calendar year following the first commercial sale of a licensed product and calendar year 2032, the Company is also obligated to pay certain minimum royalties, not to exceed an amount in the mid tens of thousands of dollars on an annual basis, which minimum royalties are creditable against its royalty obligation with respect to net sales of licensed products due in the year the minimum royalty is paid.</w:t>
      </w:r>
    </w:p>
    <w:p>
      <w:pPr>
        <w:spacing w:after="0" w:line="98"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If the Company or any of its affiliates sublicense any of the licensed patent rights to a third party, it will be obligated to pay Penn, for the benefit of the Licensors, a high single-digit to a mid ten's percentage of the consideration received in exchange for such sublicense, with the applicable percentage based upon the stage of development of the sublicensed product at the time it or the applicable affiliate enters into the sublicense.</w:t>
      </w:r>
    </w:p>
    <w:p>
      <w:pPr>
        <w:spacing w:after="0" w:line="14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BEST1 License Agreement, it will be obligated to pay Penn, for the benefit of the Licensors, aggregate payments in the low double-digit millions of dollars based on certain approval and commercial sales milestones with respect to such other product candidate. In addition, if it sells such a priority review voucher to a third party, it will be obligated to pay Penn, for the benefit of the Licensors, a high single-digit percentage of any consideration received from such third party in connection with such sale.</w:t>
      </w:r>
    </w:p>
    <w:p>
      <w:pPr>
        <w:spacing w:after="0" w:line="21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BEST1 License Agreement, unless earlier terminated by the Company or Penn or UFRF, will expire upon the expiration of the Company's obligation to pay royalties on net sales of licensed products. Before the effectiveness of an IND for a licensed product, the Company may terminate the BEST1 License Agreement with respect to such licensed product or in its entirety, at any time for any reason upon prior written notice to Penn and UFRF. Following the effectiveness of an IND for a licensed product, it may terminate the BEST1 License Agreement with respect to such licensed product by providing Penn prior written notice and a certification that it is ceasing all use, research and development and commercialization of such licensed product, subject to certain limited exceptions. It may also terminate the BEST1 License Agreement if Penn or UFRF materially breaches the BEST1 License Agreement and does not cure such breach within a specified cure period.</w:t>
      </w:r>
    </w:p>
    <w:p>
      <w:pPr>
        <w:spacing w:after="0" w:line="20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Penn or UFRF may terminate the BEST1 License Agreement if the Company materially breaches the BEST1 License Agreement and does not cure such breach within a specified cure period, if it experiences a specified insolvency event, if it ceases to carry on the entirety of its business related to the licensed patent rights, if it ceases for more than four consecutive quarters to make any payment of earned royalties on net sales of licensed products following the commencement of commercialization thereof, unless such cessation is based on safety concerns that the Company is actively attempting to address, or if it, any of its affiliates or any of its sublicensees challenges or assists a third party in challenging the validity, scope, patentability, and/or enforceability of the licensed patent rights. If it materially breaches certain diligence obligations under the BEST1 License Agreement with respect to only one licensed product, then Penn and UFRF may only terminate its rights and licenses under the BEST1 License Agreement for such licensed product, but not for other licensed products.</w:t>
      </w:r>
    </w:p>
    <w:p>
      <w:pPr>
        <w:spacing w:after="0" w:line="111" w:lineRule="exact"/>
        <w:rPr>
          <w:sz w:val="20"/>
          <w:szCs w:val="20"/>
          <w:color w:val="auto"/>
        </w:rPr>
      </w:pPr>
    </w:p>
    <w:p>
      <w:pPr>
        <w:ind w:right="20" w:firstLine="180"/>
        <w:spacing w:after="0" w:line="277" w:lineRule="auto"/>
        <w:rPr>
          <w:sz w:val="20"/>
          <w:szCs w:val="20"/>
          <w:color w:val="auto"/>
        </w:rPr>
      </w:pPr>
      <w:r>
        <w:rPr>
          <w:rFonts w:ascii="Arial" w:cs="Arial" w:eastAsia="Arial" w:hAnsi="Arial"/>
          <w:sz w:val="18"/>
          <w:szCs w:val="18"/>
          <w:color w:val="auto"/>
        </w:rPr>
        <w:t>In addition to the exclusive license agreement, the Company and Penn also entered into a Master-Sponsored Research Agreement (the "BEST1 MSRA"), facilitated by the Penn Center for Innovation. Under the BEST1 MSRA, the Company and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7" w:name="page178"/>
    <w:bookmarkEnd w:id="1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Penn are conducting preclinical studies of IC-200, as well as natural history studies of patients with </w:t>
      </w:r>
      <w:r>
        <w:rPr>
          <w:rFonts w:ascii="Arial" w:cs="Arial" w:eastAsia="Arial" w:hAnsi="Arial"/>
          <w:sz w:val="18"/>
          <w:szCs w:val="18"/>
          <w:i w:val="1"/>
          <w:iCs w:val="1"/>
          <w:color w:val="auto"/>
        </w:rPr>
        <w:t>BEST1</w:t>
      </w:r>
      <w:r>
        <w:rPr>
          <w:rFonts w:ascii="Arial" w:cs="Arial" w:eastAsia="Arial" w:hAnsi="Arial"/>
          <w:sz w:val="18"/>
          <w:szCs w:val="18"/>
          <w:color w:val="auto"/>
        </w:rPr>
        <w:t>-related IRDs. The total amount of funding for the sponsored research covered by statements of work under the BEST1 MSRA that the Company has committed to date and expects to commit to is in the low single-digit millions of dollars.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University of Massachusetts for the miniCEP290 Program</w:t>
      </w:r>
    </w:p>
    <w:p>
      <w:pPr>
        <w:spacing w:after="0" w:line="158" w:lineRule="exact"/>
        <w:rPr>
          <w:sz w:val="20"/>
          <w:szCs w:val="20"/>
          <w:color w:val="auto"/>
        </w:rPr>
      </w:pPr>
    </w:p>
    <w:p>
      <w:pPr>
        <w:ind w:firstLine="180"/>
        <w:spacing w:after="0" w:line="257" w:lineRule="auto"/>
        <w:rPr>
          <w:sz w:val="20"/>
          <w:szCs w:val="20"/>
          <w:color w:val="auto"/>
        </w:rPr>
      </w:pPr>
      <w:r>
        <w:rPr>
          <w:rFonts w:ascii="Arial" w:cs="Arial" w:eastAsia="Arial" w:hAnsi="Arial"/>
          <w:sz w:val="18"/>
          <w:szCs w:val="18"/>
          <w:color w:val="auto"/>
        </w:rPr>
        <w:t xml:space="preserve">In July 2019, the Company entered into the miniCEP290 License Agreement with UMass by exercising its exclusive option rights under an option agreement and a sponsored research agreement that it previously entered into with UMass in February 2018. Under the miniCEP290 License Agreement, UMass granted it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including LCA10.</w:t>
      </w:r>
    </w:p>
    <w:p>
      <w:pPr>
        <w:spacing w:after="0" w:line="215"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In July 2019, the Company issued to UMass 75,000 shares of its common stock following execution of the miniCEP290 License Agreement pursuant to an exemption from registration afforded by Section 4(a)(2) of the Securities Act. In September 2019, it paid UMass a $0.4 million upfront license fee, which was recorded as a research and development expense, and it paid UMass accrued patent prosecution expenses of approximately $18 thousand, which was recorded as a general and administrative expense.</w:t>
      </w:r>
    </w:p>
    <w:p>
      <w:pPr>
        <w:spacing w:after="0" w:line="21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Company has also agreed to pay UMass an annual license maintenance fee in the low double-digit thousands of dollars, which will be payable on an annual basis until the expiration of the royalty term for the licensed products. Furthermore, it has agreed to reimburse UMass for the costs and expenses of patent prosecution and maintenance related to the licensed patent rights.</w:t>
      </w:r>
    </w:p>
    <w:p>
      <w:pPr>
        <w:spacing w:after="0" w:line="21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further agreed to pay UMass up to an aggregate of $14.75 million in cash and issue up to 75,000 shares of its common stock if it achieves specified clinical and regulatory milestones with respect to a licensed product. In addition, the Company has agreed to pay UMass up to an aggregate of $48.0 million if it achieves specified commercial sales milestones with respect to a licensed product.</w:t>
      </w:r>
    </w:p>
    <w:p>
      <w:pPr>
        <w:spacing w:after="0" w:line="19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is also obligated to pay UMass royalties at a low single-digit percentage of net sales of licensed products. Its obligation to pay royalties under the miniCEP290 License Agreement will continue on a licensed product-by-licensed product and country-by-country basis until the later of:</w:t>
      </w:r>
    </w:p>
    <w:p>
      <w:pPr>
        <w:ind w:right="20" w:firstLine="8"/>
        <w:spacing w:after="0" w:line="253" w:lineRule="auto"/>
        <w:tabs>
          <w:tab w:leader="none" w:pos="24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it is also obligated to pay certain minimum royalties, not to exceed an amount in the mid-double-digit thousands of dollars on an annual basis, which minimum royalties are creditable against its royalty obligation with respect to net sales of licensed products due in the year the minimum royalty is paid.</w:t>
      </w:r>
    </w:p>
    <w:p>
      <w:pPr>
        <w:spacing w:after="0" w:line="21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If the Company or any of its affiliates sublicenses any of the licensed patent rights or know-how to a third party, it will be obligated to pay UMass a high single-digit to a mid-tens percentage of the consideration received in exchange for such sublicense, with the applicable percentage based upon the stage of development of the licensed products at the time it or the applicable affiliate enters into the sublicense.</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If the Company receives a rare pediatric disease priority review voucher from the FDA in connection with obtaining marketing approval for a licensed product, and it subsequently uses such priority review voucher in connection with a different product candidate outside the scope of the miniCEP290 License Agreement, it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it sells such a priority review voucher to a third party, it will be obligated to pay UMass a low-thirties percentage of any consideration received from such third party in connection with such sale.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8" w:name="page179"/>
    <w:bookmarkEnd w:id="1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Licensing and Commercialization Agreements (Continued)</w:t>
      </w:r>
    </w:p>
    <w:p>
      <w:pPr>
        <w:spacing w:after="0" w:line="200" w:lineRule="exact"/>
        <w:rPr>
          <w:sz w:val="20"/>
          <w:szCs w:val="20"/>
          <w:color w:val="auto"/>
        </w:rPr>
      </w:pPr>
    </w:p>
    <w:p>
      <w:pPr>
        <w:spacing w:after="0" w:line="32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miniCEP290 License Agreement, unless earlier terminated by the Company or UMass, will expire upon the expiration of its obligation to pay royalties to UMass on net sales of licensed products. The Company may terminate the miniCEP290 License Agreement at any time for any reason upon prior written notice to UMass. It may also terminate the miniCEP290 License Agreement if UMass materially breaches the miniCEP290 License Agreement and does not cure such breach within a specified cure period.</w:t>
      </w:r>
    </w:p>
    <w:p>
      <w:pPr>
        <w:spacing w:after="0" w:line="21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UMass may terminate the miniCEP290 License Agreement if the Company materially breaches the miniCEP290 License Agreement and does not cure such breach within a specified cure period.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Financing Agreement with Novo Holdings A/S</w:t>
      </w:r>
    </w:p>
    <w:p>
      <w:pPr>
        <w:spacing w:after="0" w:line="162" w:lineRule="exact"/>
        <w:rPr>
          <w:sz w:val="20"/>
          <w:szCs w:val="20"/>
          <w:color w:val="auto"/>
        </w:rPr>
      </w:pPr>
    </w:p>
    <w:p>
      <w:pPr>
        <w:ind w:right="100" w:firstLine="180"/>
        <w:spacing w:after="0" w:line="293" w:lineRule="auto"/>
        <w:rPr>
          <w:sz w:val="20"/>
          <w:szCs w:val="20"/>
          <w:color w:val="auto"/>
        </w:rPr>
      </w:pPr>
      <w:r>
        <w:rPr>
          <w:rFonts w:ascii="Arial" w:cs="Arial" w:eastAsia="Arial" w:hAnsi="Arial"/>
          <w:sz w:val="16"/>
          <w:szCs w:val="16"/>
          <w:color w:val="auto"/>
        </w:rPr>
        <w:t>In May 2013, the Company entered into a Purchase and Sale Agreement (the "Novo Agreement") with Novo Holdings A/S ("Novo" and formerly Novo A/S), pursuant to which the Company obtained financing in three tranches in an aggregate amount equal to $125.0 million in return for the sale to Novo of aggregate royalties of a mid-single digit percentage on worldwide sales of (a) Fovista, (b) certain Fovista-related Products ("Fovista-Related Products"), and (c) certain other antagonists of platelet-derived growth factor ("PDGF"), if any, that the Company initiated development activities for prior to the fifth anniversary of the Novo Agreement (collectively, the "Anti-PDGF Royalty Products"). The Company received the cash payments from Novo in each of May 2013, January 2014 and November 2014. the Company received cash payments of $41.7 million, or $125.0 million in the aggregate.</w:t>
      </w:r>
    </w:p>
    <w:p>
      <w:pPr>
        <w:spacing w:after="0" w:line="97" w:lineRule="exact"/>
        <w:rPr>
          <w:sz w:val="20"/>
          <w:szCs w:val="20"/>
          <w:color w:val="auto"/>
        </w:rPr>
      </w:pPr>
    </w:p>
    <w:p>
      <w:pPr>
        <w:ind w:right="140" w:firstLine="177"/>
        <w:spacing w:after="0" w:line="301" w:lineRule="auto"/>
        <w:rPr>
          <w:sz w:val="20"/>
          <w:szCs w:val="20"/>
          <w:color w:val="auto"/>
        </w:rPr>
      </w:pPr>
      <w:r>
        <w:rPr>
          <w:rFonts w:ascii="Arial" w:cs="Arial" w:eastAsia="Arial" w:hAnsi="Arial"/>
          <w:sz w:val="16"/>
          <w:szCs w:val="16"/>
          <w:color w:val="auto"/>
        </w:rPr>
        <w:t xml:space="preserve">The $125.0 million in aggregate proceeds from the three financing tranches under the Novo Agreement represented the full funding available under the Novo Agreement, and prior to December 31, 2018, was recorded as a royalty purchase liability on the Company's Balance Sheet, in accordance with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Because there was a significant related party relationship between the Company and Novo, the Company treated its obligation to make royalty payments under the Novo Agreement as an implicit obligation to repay the funds advanced by Novo.</w:t>
      </w:r>
    </w:p>
    <w:p>
      <w:pPr>
        <w:spacing w:after="0" w:line="76" w:lineRule="exact"/>
        <w:rPr>
          <w:sz w:val="20"/>
          <w:szCs w:val="20"/>
          <w:color w:val="auto"/>
        </w:rPr>
      </w:pPr>
    </w:p>
    <w:p>
      <w:pPr>
        <w:ind w:right="80" w:firstLine="180"/>
        <w:spacing w:after="0" w:line="269" w:lineRule="auto"/>
        <w:rPr>
          <w:sz w:val="20"/>
          <w:szCs w:val="20"/>
          <w:color w:val="auto"/>
        </w:rPr>
      </w:pPr>
      <w:r>
        <w:rPr>
          <w:rFonts w:ascii="Arial" w:cs="Arial" w:eastAsia="Arial" w:hAnsi="Arial"/>
          <w:sz w:val="17"/>
          <w:szCs w:val="17"/>
          <w:color w:val="auto"/>
        </w:rPr>
        <w:t>On December 31, 2018, the Company and Novo entered into a letter agreement (the "Novo Termination Agreement"), that terminated the Novo Agreement. As a result of the Novo Termination Agreement, Novo relinquished all rights to receive royalties based on net sales of Anti-PDGF Royalty Products. In exchange, the Company agreed to forbear from any future filing, prosecution, maintenance or enforcement of any intellectual property rights related to Anti-PDGF Royalty Products, and from granting any third party any right or license in any such intellectual property rights or clinical study data generated by or on behalf of the Company, its affiliates, licensees or sublicensees, for the development, manufacture or commercialization of Anti-PDGF Royalty Products or any other antagonists of PDGF. The foregoing restriction does not apply to gene therapies (so long as the Company does not grant any rights or licenses to intellectual property or clinical study data related to Fovista or Fovista-Related Products). The Company further agreed, until December 31, 2028, not to develop, manufacture, seek or obtain regulatory approval for, or commercialize any Anti-PDGF Royalty Products without the prior written consent of Novo. The foregoing restriction does not apply to any gene therapies (so long as the Company does not utilize data related to Fovista or Fovista-Related Products).</w:t>
      </w:r>
    </w:p>
    <w:p>
      <w:pPr>
        <w:spacing w:after="0" w:line="118" w:lineRule="exact"/>
        <w:rPr>
          <w:sz w:val="20"/>
          <w:szCs w:val="20"/>
          <w:color w:val="auto"/>
        </w:rPr>
      </w:pPr>
    </w:p>
    <w:p>
      <w:pPr>
        <w:ind w:firstLine="170"/>
        <w:spacing w:after="0" w:line="275" w:lineRule="auto"/>
        <w:rPr>
          <w:sz w:val="20"/>
          <w:szCs w:val="20"/>
          <w:color w:val="auto"/>
        </w:rPr>
      </w:pPr>
      <w:r>
        <w:rPr>
          <w:rFonts w:ascii="Arial" w:cs="Arial" w:eastAsia="Arial" w:hAnsi="Arial"/>
          <w:sz w:val="17"/>
          <w:szCs w:val="17"/>
          <w:color w:val="auto"/>
        </w:rPr>
        <w:t>As a result of the Novo Termination Agreement, the Company has no obligation to repay Novo the $125.0 million through future product royalties or any other development activities. Accordingly, the Company extinguished the $125.0 million royalty purchase liability from its Consolidated Balance Sheet at December 31, 2018 and recognized a related gain of $125.0 million in its Consolidated Statements of Operations for the year ended December 31, 2018. The extinguishment of the royalty purchase liability and the related gain did not impact the Company's cash balance during that period, as the Company had received the proceeds related to the royalty purchase liability in prior periods.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9" w:name="page180"/>
    <w:bookmarkEnd w:id="1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and Equipment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as of December 31, 2020 and 2019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780" w:type="dxa"/>
            <w:vAlign w:val="bottom"/>
          </w:tcPr>
          <w:p>
            <w:pPr>
              <w:jc w:val="center"/>
              <w:ind w:left="1099"/>
              <w:spacing w:after="0"/>
              <w:rPr>
                <w:sz w:val="20"/>
                <w:szCs w:val="20"/>
                <w:color w:val="auto"/>
              </w:rPr>
            </w:pPr>
            <w:r>
              <w:rPr>
                <w:rFonts w:ascii="Arial" w:cs="Arial" w:eastAsia="Arial" w:hAnsi="Arial"/>
                <w:sz w:val="14"/>
                <w:szCs w:val="14"/>
                <w:b w:val="1"/>
                <w:bCs w:val="1"/>
                <w:color w:val="auto"/>
                <w:w w:val="94"/>
              </w:rPr>
              <w:t>Useful Life</w:t>
            </w:r>
          </w:p>
        </w:tc>
        <w:tc>
          <w:tcPr>
            <w:tcW w:w="26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80" w:type="dxa"/>
            <w:vAlign w:val="bottom"/>
          </w:tcPr>
          <w:p>
            <w:pPr>
              <w:jc w:val="right"/>
              <w:ind w:right="31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506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jc w:val="center"/>
              <w:ind w:left="1099"/>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24"/>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and clinical equipment</w:t>
            </w:r>
          </w:p>
        </w:tc>
        <w:tc>
          <w:tcPr>
            <w:tcW w:w="27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7-10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software and other office equipment</w:t>
            </w:r>
          </w:p>
        </w:tc>
        <w:tc>
          <w:tcPr>
            <w:tcW w:w="2780" w:type="dxa"/>
            <w:vAlign w:val="bottom"/>
            <w:tcBorders>
              <w:bottom w:val="single" w:sz="8" w:color="CCEEFF"/>
            </w:tcBorders>
          </w:tcPr>
          <w:p>
            <w:pPr>
              <w:jc w:val="right"/>
              <w:ind w:right="679"/>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r>
      <w:tr>
        <w:trPr>
          <w:trHeight w:val="223"/>
        </w:trPr>
        <w:tc>
          <w:tcPr>
            <w:tcW w:w="506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2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48"/>
        </w:trPr>
        <w:tc>
          <w:tcPr>
            <w:tcW w:w="5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net</w:t>
            </w:r>
          </w:p>
        </w:tc>
        <w:tc>
          <w:tcPr>
            <w:tcW w:w="2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2020, 2019 and 2018, depreciation expense was $0.1 million, $0.2 million and $0.2 million, respectively.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62" w:lineRule="exact"/>
        <w:rPr>
          <w:sz w:val="20"/>
          <w:szCs w:val="20"/>
          <w:color w:val="auto"/>
        </w:rPr>
      </w:pPr>
    </w:p>
    <w:p>
      <w:pPr>
        <w:jc w:val="both"/>
        <w:ind w:firstLine="196"/>
        <w:spacing w:after="0" w:line="301" w:lineRule="auto"/>
        <w:rPr>
          <w:sz w:val="20"/>
          <w:szCs w:val="20"/>
          <w:color w:val="auto"/>
        </w:rPr>
      </w:pPr>
      <w:r>
        <w:rPr>
          <w:rFonts w:ascii="Arial" w:cs="Arial" w:eastAsia="Arial" w:hAnsi="Arial"/>
          <w:sz w:val="16"/>
          <w:szCs w:val="16"/>
          <w:color w:val="auto"/>
        </w:rPr>
        <w:t>The Company utilizes the liability method of accounting for deferred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84" w:lineRule="exact"/>
        <w:rPr>
          <w:sz w:val="20"/>
          <w:szCs w:val="20"/>
          <w:color w:val="auto"/>
        </w:rPr>
      </w:pPr>
    </w:p>
    <w:p>
      <w:pPr>
        <w:jc w:val="both"/>
        <w:ind w:firstLine="268"/>
        <w:spacing w:after="0" w:line="342" w:lineRule="auto"/>
        <w:rPr>
          <w:sz w:val="20"/>
          <w:szCs w:val="20"/>
          <w:color w:val="auto"/>
        </w:rPr>
      </w:pPr>
      <w:r>
        <w:rPr>
          <w:rFonts w:ascii="Arial" w:cs="Arial" w:eastAsia="Arial" w:hAnsi="Arial"/>
          <w:sz w:val="16"/>
          <w:szCs w:val="16"/>
          <w:color w:val="auto"/>
        </w:rPr>
        <w:t>Deferred income taxes reflect the net effects of temporary differences between the carrying amounts of assets and liabilities for financial reporting purposes and the amounts used for income tax purposes. A reconciliation of the statutory U.S. federal rate to the Company's effective tax rate is as follows:</w:t>
      </w:r>
    </w:p>
    <w:p>
      <w:pPr>
        <w:spacing w:after="0" w:line="61"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10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7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 of pre-tax income:</w:t>
            </w:r>
          </w:p>
        </w:tc>
        <w:tc>
          <w:tcPr>
            <w:tcW w:w="9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r>
      <w:tr>
        <w:trPr>
          <w:trHeight w:val="230"/>
        </w:trPr>
        <w:tc>
          <w:tcPr>
            <w:tcW w:w="7080" w:type="dxa"/>
            <w:vAlign w:val="bottom"/>
            <w:gridSpan w:val="2"/>
          </w:tcPr>
          <w:p>
            <w:pPr>
              <w:ind w:left="120"/>
              <w:spacing w:after="0"/>
              <w:rPr>
                <w:sz w:val="20"/>
                <w:szCs w:val="20"/>
                <w:color w:val="auto"/>
              </w:rPr>
            </w:pPr>
            <w:r>
              <w:rPr>
                <w:rFonts w:ascii="Arial" w:cs="Arial" w:eastAsia="Arial" w:hAnsi="Arial"/>
                <w:sz w:val="18"/>
                <w:szCs w:val="18"/>
                <w:color w:val="auto"/>
              </w:rPr>
              <w:t>U.S. federal statutory income tax rate</w:t>
            </w:r>
          </w:p>
        </w:tc>
        <w:tc>
          <w:tcPr>
            <w:tcW w:w="64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 taxes, net of federal benefit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29"/>
        </w:trPr>
        <w:tc>
          <w:tcPr>
            <w:tcW w:w="7080" w:type="dxa"/>
            <w:vAlign w:val="bottom"/>
            <w:gridSpan w:val="2"/>
          </w:tcPr>
          <w:p>
            <w:pPr>
              <w:ind w:left="120"/>
              <w:spacing w:after="0"/>
              <w:rPr>
                <w:sz w:val="20"/>
                <w:szCs w:val="20"/>
                <w:color w:val="auto"/>
              </w:rPr>
            </w:pPr>
            <w:r>
              <w:rPr>
                <w:rFonts w:ascii="Arial" w:cs="Arial" w:eastAsia="Arial" w:hAnsi="Arial"/>
                <w:sz w:val="18"/>
                <w:szCs w:val="18"/>
                <w:color w:val="auto"/>
              </w:rPr>
              <w:t>Permanent items</w:t>
            </w: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Impact of state rate changes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70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 credit</w:t>
            </w:r>
          </w:p>
        </w:tc>
        <w:tc>
          <w:tcPr>
            <w:tcW w:w="64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valuation allowance</w:t>
            </w: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(33.6)%</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64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0" w:name="page181"/>
    <w:bookmarkEnd w:id="1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00" w:lineRule="exact"/>
        <w:rPr>
          <w:sz w:val="20"/>
          <w:szCs w:val="20"/>
          <w:color w:val="auto"/>
        </w:rPr>
      </w:pPr>
    </w:p>
    <w:p>
      <w:pPr>
        <w:spacing w:after="0" w:line="3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benefit are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24"/>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380" w:type="dxa"/>
            <w:vAlign w:val="bottom"/>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Deferred:</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30"/>
        </w:trPr>
        <w:tc>
          <w:tcPr>
            <w:tcW w:w="6380" w:type="dxa"/>
            <w:vAlign w:val="bottom"/>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Pr>
          <w:p>
            <w:pPr>
              <w:spacing w:after="0"/>
              <w:rPr>
                <w:sz w:val="19"/>
                <w:szCs w:val="19"/>
                <w:color w:val="auto"/>
              </w:rPr>
            </w:pPr>
          </w:p>
        </w:tc>
        <w:tc>
          <w:tcPr>
            <w:tcW w:w="580" w:type="dxa"/>
            <w:vAlign w:val="bottom"/>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48"/>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(liabilities) for 2020 and 2019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187"/>
        </w:trPr>
        <w:tc>
          <w:tcPr>
            <w:tcW w:w="7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6"/>
              </w:rPr>
              <w:t>2019</w:t>
            </w:r>
          </w:p>
        </w:tc>
      </w:tr>
      <w:tr>
        <w:trPr>
          <w:trHeight w:val="224"/>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License and technology payments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7,479</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7,116</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22,131</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Lease obligation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Federal and state net operating loss carryforwards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130,524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105,375</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credits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171,666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142,324</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(171,666)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(142,324)</w:t>
            </w: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Company considers whether it is more likely than not that some portion or all of the deferred tax assets will not be realized. The ultimate realization of deferred tax assets is dependent upon the generation of taxable income during the periods in which the temporary differences representing net future deductible amounts become deductible.</w:t>
      </w:r>
    </w:p>
    <w:p>
      <w:pPr>
        <w:spacing w:after="0" w:line="21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Company incurred tax losses in 2020 and 2019. The Company has carried forward its federal and state tax losses due to the inability of carryback claims. Federal NOLs incurred prior to 2018 will begin to expire in 2034 if not utilized. Post 2017 Federal NOLs have an unlimited life. The state NOLs are expected to begin to expire in 2028. Due to the Company's history of losses and lack of other positive evidence to support taxable income, the Company has recorded a valuation allowance against those remaining deferred tax assets that are not expected to be realized. As of December 31, 2020, the Company has federal NOL carryforwards of approximately $445.0 million.</w:t>
      </w:r>
    </w:p>
    <w:p>
      <w:pPr>
        <w:spacing w:after="0" w:line="21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For the year ended December 31, 2020, the Company recorded a benefit from income taxes of $3.7 million to reflect the settlement of a local tax audit and the associated decrease in the Company's related uncertain tax position, including interest and penalties. For the years ended December 31, 2019 and 2018, the Company recorded an income tax benefit of $0.1 million and $1.1 million, respectively, due primarily to reflect the settlements of local tax audits. During 2019, the Company received $1.8 million related to the refund of the aforementioned AMT credits and recorded a tax receivable of $1.8 million to reflect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1" w:name="page182"/>
    <w:bookmarkEnd w:id="1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00" w:lineRule="exact"/>
        <w:rPr>
          <w:sz w:val="20"/>
          <w:szCs w:val="20"/>
          <w:color w:val="auto"/>
        </w:rPr>
      </w:pPr>
    </w:p>
    <w:p>
      <w:pPr>
        <w:spacing w:after="0" w:line="32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refund of AMT credits it expects to receive over the next three years. On March 27, 2020, in response to the COVID-19 pandemic, the U.S. Congress enacted the Coronavirus Aid, Relief, and Economic Security Act ("CARES Act"). The CARES Act provides numerous tax provisions and other stimulus measures, including the immediate refund of minimum tax credits. The Company has recorded a current tax receivable of approximately $1.8 million in anticipation of this refund. During 2020, the Company applied for a refund of the remaining AMT credits of $1.8 million and anticipates receiving this refund in 2021.</w:t>
      </w:r>
    </w:p>
    <w:p>
      <w:pPr>
        <w:spacing w:after="0" w:line="215"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The Company generated net income before income taxes for the year ended December 31, 2018. This income was due to the Novo Termination Agreement. With respect to the remaining deferred tax assets, except for the AMT credits previously discussed above, there was no change in the amount of assets realizable at December 31, 2020.</w:t>
      </w:r>
    </w:p>
    <w:p>
      <w:pPr>
        <w:spacing w:after="0" w:line="211" w:lineRule="exact"/>
        <w:rPr>
          <w:sz w:val="20"/>
          <w:szCs w:val="20"/>
          <w:color w:val="auto"/>
        </w:rPr>
      </w:pPr>
    </w:p>
    <w:p>
      <w:pPr>
        <w:jc w:val="both"/>
        <w:ind w:right="160" w:firstLine="405"/>
        <w:spacing w:after="0" w:line="259" w:lineRule="auto"/>
        <w:rPr>
          <w:sz w:val="20"/>
          <w:szCs w:val="20"/>
          <w:color w:val="auto"/>
        </w:rPr>
      </w:pPr>
      <w:r>
        <w:rPr>
          <w:rFonts w:ascii="Arial" w:cs="Arial" w:eastAsia="Arial" w:hAnsi="Arial"/>
          <w:sz w:val="18"/>
          <w:szCs w:val="18"/>
          <w:color w:val="auto"/>
        </w:rPr>
        <w:t xml:space="preserve">Pursuant to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routinely evaluates the likelihood of success if challenged on income tax positions claimed on its income tax returns. During the year ended December 31, 2020, the Company reduced its uncertain tax liability by approximately $5.2 million following the settlement of state tax audits. The Company increased certain deferred tax assets by $0.3 million and increased the corresponding valuation allowance by an equivalent amount.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ind w:left="420"/>
              <w:spacing w:after="0"/>
              <w:rPr>
                <w:sz w:val="20"/>
                <w:szCs w:val="20"/>
                <w:color w:val="auto"/>
              </w:rPr>
            </w:pPr>
            <w:r>
              <w:rPr>
                <w:rFonts w:ascii="Arial" w:cs="Arial" w:eastAsia="Arial" w:hAnsi="Arial"/>
                <w:sz w:val="18"/>
                <w:szCs w:val="18"/>
                <w:color w:val="auto"/>
              </w:rPr>
              <w:t>The Company's position with respect to uncertain tax positions is set forth below:</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08"/>
        </w:trPr>
        <w:tc>
          <w:tcPr>
            <w:tcW w:w="9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Gross amount of increases in unrecognized tax benefits during the period - current year provisions</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 of increases in unrecognized tax benefits during the period - prior year provisions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Gross amount of decreases in unrecognized tax benefits during the period - other</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due to settlement with tax authorities during the period</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Reduction of unrecognized tax benefits due to expiration of the state of limitations during the period</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Closing Balance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Company will continue to evaluate its ability to realize its deferred tax assets on a periodic basis and will adjust such amounts in light of changing facts and circumstances including, but not limited to, future projections of taxable income, tax legislation, rulings by relevant tax authorities, the progress of ongoing tax audits and the regulatory approval of product candidates currently under development. Any additional changes to the valuation allowance recorded on deferred tax assets in the future would impact the Company’s income taxes.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Operating Leases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principal executive offices was previously at One Penn Plaza, New York, NY. The term of this lease expired in December 2020.</w:t>
      </w:r>
    </w:p>
    <w:p>
      <w:pPr>
        <w:spacing w:after="0" w:line="167"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Effective December 1, 2020, the Company changed the location of its principal executive offices to Five Penn Plaza, New York, NY. The Company entered into an office service agreement with Regus Management Group, LLC for use of office space at this location. This agreement currently expires in May 2021.</w:t>
      </w:r>
    </w:p>
    <w:p>
      <w:pPr>
        <w:spacing w:after="0" w:line="114"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8"/>
          <w:szCs w:val="18"/>
          <w:color w:val="auto"/>
        </w:rPr>
        <w:t>The Company leases office space located in Cranbury, New Jersey under non-cancelable operating lease arrangements. The lease for the Company's Cranbury office commenced in February 2020 and expires in February 2023.</w:t>
      </w:r>
    </w:p>
    <w:p>
      <w:pPr>
        <w:spacing w:after="0" w:line="90" w:lineRule="exact"/>
        <w:rPr>
          <w:sz w:val="20"/>
          <w:szCs w:val="20"/>
          <w:color w:val="auto"/>
        </w:rPr>
      </w:pPr>
    </w:p>
    <w:p>
      <w:pPr>
        <w:jc w:val="both"/>
        <w:ind w:firstLine="445"/>
        <w:spacing w:after="0" w:line="248" w:lineRule="auto"/>
        <w:rPr>
          <w:sz w:val="20"/>
          <w:szCs w:val="20"/>
          <w:color w:val="auto"/>
        </w:rPr>
      </w:pPr>
      <w:r>
        <w:rPr>
          <w:rFonts w:ascii="Arial" w:cs="Arial" w:eastAsia="Arial" w:hAnsi="Arial"/>
          <w:sz w:val="18"/>
          <w:szCs w:val="18"/>
          <w:color w:val="auto"/>
        </w:rPr>
        <w:t>In December 2020, the Company entered into a lease agreement for office space located in Parsippany, New Jersey. The Company will recognize a right-to-use asset and lease liability when the term of the lease commences, which is expected to be in early 2021. The term of the lease for the Company's Parsippany office will expire in August 2023.</w:t>
      </w:r>
    </w:p>
    <w:p>
      <w:pPr>
        <w:spacing w:after="0" w:line="114" w:lineRule="exact"/>
        <w:rPr>
          <w:sz w:val="20"/>
          <w:szCs w:val="20"/>
          <w:color w:val="auto"/>
        </w:rPr>
      </w:pPr>
    </w:p>
    <w:p>
      <w:pPr>
        <w:ind w:right="160" w:firstLine="445"/>
        <w:spacing w:after="0" w:line="259" w:lineRule="auto"/>
        <w:rPr>
          <w:sz w:val="20"/>
          <w:szCs w:val="20"/>
          <w:color w:val="auto"/>
        </w:rPr>
      </w:pPr>
      <w:r>
        <w:rPr>
          <w:rFonts w:ascii="Arial" w:cs="Arial" w:eastAsia="Arial" w:hAnsi="Arial"/>
          <w:sz w:val="18"/>
          <w:szCs w:val="18"/>
          <w:color w:val="auto"/>
        </w:rPr>
        <w:t>For the years ended December 31, 2020, 2019 and 2018, lease and rent expense was $0.6 million, $1.0 million, and $0.8 million, respectively. Cash paid from operating cash flows for amounts included in the measurement of lease liabilities was $0.6 million and $1.0 million for the years ended December 31, 2020 and 2019, respectively. At December 31, 2020, the Company's operating leases had a weighted average remaining lease term of 2.1 years and a weighted average estimated incremental borrowing rate of 3.4% .</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2" w:name="page183"/>
    <w:bookmarkEnd w:id="1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ind w:left="460"/>
              <w:spacing w:after="0"/>
              <w:rPr>
                <w:sz w:val="20"/>
                <w:szCs w:val="20"/>
                <w:color w:val="auto"/>
              </w:rPr>
            </w:pPr>
            <w:r>
              <w:rPr>
                <w:rFonts w:ascii="Arial" w:cs="Arial" w:eastAsia="Arial" w:hAnsi="Arial"/>
                <w:sz w:val="18"/>
                <w:szCs w:val="18"/>
                <w:color w:val="auto"/>
                <w:w w:val="98"/>
              </w:rPr>
              <w:t>The following presents the maturity of the Company's operating lease liabilities as of December 31, 2020:</w:t>
            </w: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162"/>
        </w:trPr>
        <w:tc>
          <w:tcPr>
            <w:tcW w:w="8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30"/>
        </w:trPr>
        <w:tc>
          <w:tcPr>
            <w:tcW w:w="8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December 31, 2020</w:t>
            </w:r>
          </w:p>
        </w:tc>
      </w:tr>
      <w:tr>
        <w:trPr>
          <w:trHeight w:val="223"/>
        </w:trPr>
        <w:tc>
          <w:tcPr>
            <w:tcW w:w="8760" w:type="dxa"/>
            <w:vAlign w:val="bottom"/>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2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3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4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operating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Zimura - Archemix Corp.</w:t>
      </w:r>
    </w:p>
    <w:p>
      <w:pPr>
        <w:spacing w:after="0" w:line="15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is party to an agreement with Archemix Corp., or Archemix, under which the Company in-licensed rights in certain patents, patent applications and other intellectual property related to Zimura and pursuant to which the Company may be required to pay sublicense fees and make milestone payments (the "C5 License Agreement"). For each anti-C5 aptamer product that the Company may develop under the agreement, including Zimura, the Company is obligated to make additional payments to Archemix of up to an aggregate of $50.5 million if the Company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licensed products.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IC-100 - University of Florida Research Foundation and the University of Pennsylvania</w:t>
      </w:r>
    </w:p>
    <w:p>
      <w:pPr>
        <w:spacing w:after="0" w:line="144" w:lineRule="exact"/>
        <w:rPr>
          <w:sz w:val="20"/>
          <w:szCs w:val="20"/>
          <w:color w:val="auto"/>
        </w:rPr>
      </w:pPr>
    </w:p>
    <w:p>
      <w:pPr>
        <w:ind w:right="20" w:firstLine="180"/>
        <w:spacing w:after="0" w:line="287" w:lineRule="auto"/>
        <w:rPr>
          <w:sz w:val="20"/>
          <w:szCs w:val="20"/>
          <w:color w:val="auto"/>
        </w:rPr>
      </w:pPr>
      <w:r>
        <w:rPr>
          <w:rFonts w:ascii="Arial" w:cs="Arial" w:eastAsia="Arial" w:hAnsi="Arial"/>
          <w:sz w:val="16"/>
          <w:szCs w:val="16"/>
          <w:color w:val="auto"/>
        </w:rPr>
        <w:t>Under its exclusive license agreement with UFRF and Penn for rights to IC-100, the Company is obligated to make payments to UFRF, for the benefit of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IC-200 - University of Pennsylvania and the University of Florida Research Foundation</w:t>
      </w:r>
    </w:p>
    <w:p>
      <w:pPr>
        <w:spacing w:after="0" w:line="158" w:lineRule="exact"/>
        <w:rPr>
          <w:sz w:val="20"/>
          <w:szCs w:val="20"/>
          <w:color w:val="auto"/>
        </w:rPr>
      </w:pPr>
    </w:p>
    <w:p>
      <w:pPr>
        <w:ind w:right="120" w:firstLine="180"/>
        <w:spacing w:after="0" w:line="263" w:lineRule="auto"/>
        <w:rPr>
          <w:sz w:val="20"/>
          <w:szCs w:val="20"/>
          <w:color w:val="auto"/>
        </w:rPr>
      </w:pPr>
      <w:r>
        <w:rPr>
          <w:rFonts w:ascii="Arial" w:cs="Arial" w:eastAsia="Arial" w:hAnsi="Arial"/>
          <w:sz w:val="18"/>
          <w:szCs w:val="18"/>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3" w:name="page184"/>
    <w:bookmarkEnd w:id="1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00" w:lineRule="exact"/>
        <w:rPr>
          <w:sz w:val="20"/>
          <w:szCs w:val="20"/>
          <w:color w:val="auto"/>
        </w:rPr>
      </w:pPr>
    </w:p>
    <w:p>
      <w:pPr>
        <w:spacing w:after="0" w:line="34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mid-ten's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miniCEP290 Program - University of Massachusetts</w:t>
      </w:r>
    </w:p>
    <w:p>
      <w:pPr>
        <w:spacing w:after="0" w:line="144" w:lineRule="exact"/>
        <w:rPr>
          <w:sz w:val="20"/>
          <w:szCs w:val="20"/>
          <w:color w:val="auto"/>
        </w:rPr>
      </w:pPr>
    </w:p>
    <w:p>
      <w:pPr>
        <w:ind w:firstLine="180"/>
        <w:spacing w:after="0" w:line="286" w:lineRule="auto"/>
        <w:rPr>
          <w:sz w:val="20"/>
          <w:szCs w:val="20"/>
          <w:color w:val="auto"/>
        </w:rPr>
      </w:pPr>
      <w:r>
        <w:rPr>
          <w:rFonts w:ascii="Arial" w:cs="Arial" w:eastAsia="Arial" w:hAnsi="Arial"/>
          <w:sz w:val="16"/>
          <w:szCs w:val="16"/>
          <w:color w:val="auto"/>
        </w:rPr>
        <w:t>Under the miniCEP290 License Agreement,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IC-500 - Former Equityholders of Inception 4</w:t>
      </w:r>
    </w:p>
    <w:p>
      <w:pPr>
        <w:spacing w:after="0" w:line="158" w:lineRule="exact"/>
        <w:rPr>
          <w:sz w:val="20"/>
          <w:szCs w:val="20"/>
          <w:color w:val="auto"/>
        </w:rPr>
      </w:pPr>
    </w:p>
    <w:p>
      <w:pPr>
        <w:ind w:firstLine="180"/>
        <w:spacing w:after="0" w:line="287" w:lineRule="auto"/>
        <w:rPr>
          <w:sz w:val="20"/>
          <w:szCs w:val="20"/>
          <w:color w:val="auto"/>
        </w:rPr>
      </w:pPr>
      <w:r>
        <w:rPr>
          <w:rFonts w:ascii="Arial" w:cs="Arial" w:eastAsia="Arial" w:hAnsi="Arial"/>
          <w:sz w:val="16"/>
          <w:szCs w:val="16"/>
          <w:color w:val="auto"/>
        </w:rPr>
        <w:t>Under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a product candidate from its HtrA1 inhibitor program, including IC-500,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the Company's common stock as of the close of business on the business day prior to the closing date of the Inception 4 Merger,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4" w:name="page185"/>
    <w:bookmarkEnd w:id="1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158" w:lineRule="exact"/>
        <w:rPr>
          <w:sz w:val="20"/>
          <w:szCs w:val="20"/>
          <w:color w:val="auto"/>
        </w:rPr>
      </w:pPr>
    </w:p>
    <w:p>
      <w:pPr>
        <w:jc w:val="both"/>
        <w:ind w:right="380" w:firstLine="177"/>
        <w:spacing w:after="0" w:line="263"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158" w:lineRule="exact"/>
        <w:rPr>
          <w:sz w:val="20"/>
          <w:szCs w:val="20"/>
          <w:color w:val="auto"/>
        </w:rPr>
      </w:pPr>
    </w:p>
    <w:p>
      <w:pPr>
        <w:ind w:right="60" w:firstLine="180"/>
        <w:spacing w:after="0" w:line="301" w:lineRule="auto"/>
        <w:rPr>
          <w:sz w:val="20"/>
          <w:szCs w:val="20"/>
          <w:color w:val="auto"/>
        </w:rPr>
      </w:pPr>
      <w:r>
        <w:rPr>
          <w:rFonts w:ascii="Arial" w:cs="Arial" w:eastAsia="Arial" w:hAnsi="Arial"/>
          <w:sz w:val="16"/>
          <w:szCs w:val="16"/>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January 11, 2017, a putative class action lawsuit was filed against the Company and certain of its current and former executive officers in the United States District Court for the Southern District of New York, captioned Frank Micholle v. IVERIC bio, Inc., et al., No. 1:17-cv-00210. On March 9, 2017, a related putative class action lawsuit was filed against the Company and the same group of its current and former executive officers in the United States District Court for the Southern District of New York, captioned Wasson v. IVERIC bio, Inc.,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On June 12, 2020, the lead plaintiff filed a motion for class certification. On August 11, 2020, the defendants filed a notice of non-opposition to lead plaintiff's motion for class certification. This case is currently in the discovery phase.</w:t>
      </w:r>
    </w:p>
    <w:p>
      <w:pPr>
        <w:spacing w:after="0" w:line="10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February 7, 2018, a shareholder derivative action was filed against the members of the Company’s Board of Directors in the New York Supreme Court Commercial Division, captioned Cano v. Guyer, et al., No. 650601/2018. The complaint alleges that the defendants breached their fiduciary duties to the Company by adopting a compensation plan that overcompensates the non-employee members of the Board relative to boards of companies of comparable market capitalization and size. The complaint also alleges that the defendants were unjustly enriched as a result of the alleged conduct. The complaint purports to seek unspecified damages, on behalf of the Company, attorneys’ fees, and other costs, as well as an order directing the Company to reform and improve its corporate governance and internal procedures to comply with applicable laws. The Company filed a motion to dismiss this case on May 14, 2018. On June 4, 2018, the plaintiff filed an amended complaint. On June 25, 2018, the Company filed a renewed motion to dismiss this case. On December 3, 2018, the parties filed a stipulation of settlement that contemplates that the Company will adopt certain compensation-related governance reforms and does not obligate the defendants or the Company to pay any monetary damages. The court approved the settlement at a hearing on March 12, 2019. As part of the settlement, in April 2019 the Company paid $0.3 million in fees and costs to plaintiff's counsel. As contemplated by the settlement, the Company's board of directors adopted certain compensation-related governance reforms, including a non-employee director compensation policy, which its stockholders approved on May 15, 2019 at its 2019 annual meeting.</w:t>
      </w:r>
    </w:p>
    <w:p>
      <w:pPr>
        <w:spacing w:after="0" w:line="11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5" w:name="page186"/>
    <w:bookmarkEnd w:id="1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200" w:lineRule="exact"/>
        <w:rPr>
          <w:sz w:val="20"/>
          <w:szCs w:val="20"/>
          <w:color w:val="auto"/>
        </w:rPr>
      </w:pPr>
    </w:p>
    <w:p>
      <w:pPr>
        <w:spacing w:after="0" w:line="3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its motion to dismiss this complaint. This matter was subsequently referred to a special litigation committee of the Company's board of directors. On February 18, 2020, the Company filed an answer to the complaint. The Company and the plaintiff agreed to stay this litigation while the special litigation committee conducts its investigation. On May 4, 2020, the court approved the stipulation and stayed the litigation through November 1, 2020. By agreement of the parties, the court has since extended the stay through March 13, 2021. The Company also entered into tolling agreements with the defendant directors to December 2021.</w:t>
      </w:r>
    </w:p>
    <w:p>
      <w:pPr>
        <w:spacing w:after="0" w:line="118"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have been referred to a demand review committee of the Company's board of directors. The Company has entered into tolling agreements with the directors named in the demands to December 2021.</w:t>
      </w:r>
    </w:p>
    <w:p>
      <w:pPr>
        <w:spacing w:after="0" w:line="9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denies any and all allegations of wrongdoing and intends to vigorously defend against these lawsuits. The Company is unable, however, to predict the outcome of these matters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and Compensation Plans</w:t>
      </w:r>
    </w:p>
    <w:p>
      <w:pPr>
        <w:spacing w:after="0" w:line="162" w:lineRule="exact"/>
        <w:rPr>
          <w:sz w:val="20"/>
          <w:szCs w:val="20"/>
          <w:color w:val="auto"/>
        </w:rPr>
      </w:pPr>
    </w:p>
    <w:p>
      <w:pPr>
        <w:jc w:val="both"/>
        <w:ind w:right="140" w:firstLine="648"/>
        <w:spacing w:after="0" w:line="287" w:lineRule="auto"/>
        <w:rPr>
          <w:sz w:val="20"/>
          <w:szCs w:val="20"/>
          <w:color w:val="auto"/>
        </w:rPr>
      </w:pPr>
      <w:r>
        <w:rPr>
          <w:rFonts w:ascii="Arial" w:cs="Arial" w:eastAsia="Arial" w:hAnsi="Arial"/>
          <w:sz w:val="16"/>
          <w:szCs w:val="16"/>
          <w:color w:val="auto"/>
        </w:rPr>
        <w:t>The Company adopted its 2007 Stock Incentive Plan (the "2007 Plan") for employees, non-employee directors and consultants for the purpose of advancing the interests of the Company's stockholders by enhancing its ability to attract, retain and motivate persons who are expected to make important contributions to the Company. The 2007 Plan provided for the granting of stock option awards, RSUs, and other stock-based and cash-based awards.</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Following the effectiveness of the 2013 Stock Incentive Plan described below in connection with the closing of the Company's initial public offering, the Company is no longer granting additional awards under the 2007 Plan.</w:t>
      </w:r>
    </w:p>
    <w:p>
      <w:pPr>
        <w:spacing w:after="0" w:line="104"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In August 2013, the Company's board of directors adopted, and the Company's stockholders approved, the 2013 Stock Incentive Plan (the "2013 Plan"), which became effective immediately prior to the closing of the Company's initial public offering. In June 2015, the Company’s board of directors adopted a first amendment to the 2013 Plan. The 2013 Plan provides for the grant of incentive stock options, nonstatutory stock options, stock appreciation rights, RSUs, restricted stock awards and other stock-based awards. Upon the effectiveness of the 2013 Plan, the number of shares of the Company's common stock that were reserved for issuance under the 2013 Plan was the sum of (1) a number of shares (up to a maximum of approximately 3,359,641 shares) that is equal to the sum of 739,317 shares (the number of shares of the Company's common stock then available for issuance under the 2007 Plan), and such number of shares of the Company's common stock that are subject to outstanding awards under the 2007 Plan that expire, terminate or are otherwise surrendered, canceled, forfeited or repurchased by the Company at their original issuance price pursuant to a contractual repurchase right, plus</w:t>
      </w:r>
    </w:p>
    <w:p>
      <w:pPr>
        <w:spacing w:after="0" w:line="1" w:lineRule="exact"/>
        <w:rPr>
          <w:sz w:val="20"/>
          <w:szCs w:val="20"/>
          <w:color w:val="auto"/>
        </w:rPr>
      </w:pPr>
    </w:p>
    <w:p>
      <w:pPr>
        <w:ind w:right="60" w:firstLine="8"/>
        <w:spacing w:after="0" w:line="255"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annual increase, to be added the first business day of each fiscal year, beginning with the fiscal year ending December 31, 2014 and continuing until, and including, the fiscal year ending December 31, 2023, equal to the lowest of 2,542,372 shares of the Company's common stock, 4% of the number of shares of the Company's common stock outstanding on the first day of the fiscal year and an amount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6" w:name="page187"/>
    <w:bookmarkEnd w:id="1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and Compensation Plans (Continued)</w:t>
      </w:r>
    </w:p>
    <w:p>
      <w:pPr>
        <w:spacing w:after="0" w:line="200" w:lineRule="exact"/>
        <w:rPr>
          <w:sz w:val="20"/>
          <w:szCs w:val="20"/>
          <w:color w:val="auto"/>
        </w:rPr>
      </w:pPr>
    </w:p>
    <w:p>
      <w:pPr>
        <w:spacing w:after="0" w:line="32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determined by its board of directors. The Company's employees, officers, directors, consultants and advisors are eligible to receive awards under the 2013 Plan. However, incentive stock options may only be granted to employees of the Company.</w:t>
      </w:r>
    </w:p>
    <w:p>
      <w:pPr>
        <w:spacing w:after="0" w:line="89"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Annual increases under the evergreen provisions of the 2013 Plan have resulted in the addition of an aggregate of approximately 13,081,000 additional shares to the 2013 Plan, including for 2021, an increase of approximately 2,542,000 shares. As of December 31, 2020, the Company had approximately 421,000 shares available for grant under the 2013 Plan.</w:t>
      </w:r>
    </w:p>
    <w:p>
      <w:pPr>
        <w:spacing w:after="0" w:line="11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October 2019, the Company's board of directors adopted the 2019 Inducement Stock Incentive Plan (the “2019 Inducement Plan”) to reserve 1,000,000 shares of its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In March 2020, the Company's board of directors amended the 2019 Inducement Plan to reserve an additional 1,000,000 shares of its common stock for issuance under the plan and in February 2021, the Company's board of directors further amended the 2019 Inducement Plan to reserve an additional 600,000 shares of its common stock for issuance under the plan. The terms and conditions of the 2019 Inducement Plan are substantially similar to those of the 2013 Plan. As of December 31, 2020, the Company had approximately 555,000 shares available for grant under the 2019 Inducement Plan.</w:t>
      </w:r>
    </w:p>
    <w:p>
      <w:pPr>
        <w:spacing w:after="0" w:line="9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April 2016, the board of directors adopted the ESPP pursuant to which the Company may sell up to an aggregate of 1,000,000 shares of common stock. The ESPP was approved by the Company’s stockholders in June 2016. The ESPP allows eligible employees to purchase common stock at a price per share equal to 85% of the lower of the fair market value of the common stock at the beginning or end of each six month offering period during the term of the ESPP. The first offering period began in September 2016.</w:t>
      </w:r>
    </w:p>
    <w:p>
      <w:pPr>
        <w:spacing w:after="0" w:line="10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December 31, 2020, 2019 and 2018 is as follows (in thousands except weighted average exercise price):</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98"/>
              <w:spacing w:after="0" w:line="130"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center"/>
              <w:ind w:right="78"/>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30"/>
        </w:trPr>
        <w:tc>
          <w:tcPr>
            <w:tcW w:w="41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2,630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21.16</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36.54</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Years ended December 31,</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63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24"/>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2020</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r>
      <w:tr>
        <w:trPr>
          <w:trHeight w:val="23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Weighted average grant date fair value (per share) of options granted during the period  $</w:t>
            </w:r>
          </w:p>
        </w:tc>
        <w:tc>
          <w:tcPr>
            <w:tcW w:w="540" w:type="dxa"/>
            <w:vAlign w:val="bottom"/>
          </w:tcPr>
          <w:p>
            <w:pPr>
              <w:jc w:val="right"/>
              <w:spacing w:after="0"/>
              <w:rPr>
                <w:sz w:val="20"/>
                <w:szCs w:val="20"/>
                <w:color w:val="auto"/>
              </w:rPr>
            </w:pPr>
            <w:r>
              <w:rPr>
                <w:rFonts w:ascii="Arial" w:cs="Arial" w:eastAsia="Arial" w:hAnsi="Arial"/>
                <w:sz w:val="18"/>
                <w:szCs w:val="18"/>
                <w:color w:val="auto"/>
              </w:rPr>
              <w:t>13.51</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120"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As of December 31, 2020, there were approximately 8,526,000 options outstanding, net of estimated forfeitures, that had vested or are expected to vest. The weighted-average exercise price of these options was $9.42 per option; the weighted-average remaining contractual life of these options was</w:t>
      </w:r>
    </w:p>
    <w:p>
      <w:pPr>
        <w:ind w:right="100"/>
        <w:spacing w:after="0" w:line="260" w:lineRule="auto"/>
        <w:rPr>
          <w:sz w:val="20"/>
          <w:szCs w:val="20"/>
          <w:color w:val="auto"/>
        </w:rPr>
      </w:pPr>
      <w:r>
        <w:rPr>
          <w:rFonts w:ascii="Arial" w:cs="Arial" w:eastAsia="Arial" w:hAnsi="Arial"/>
          <w:sz w:val="18"/>
          <w:szCs w:val="18"/>
          <w:color w:val="auto"/>
        </w:rPr>
        <w:t>7.6 years; and the aggregate intrinsic value of these options was approximately $20.6 million. A summary of the stock options outstanding and exercisable as of December 31, 2020 is as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7" w:name="page188"/>
    <w:bookmarkEnd w:id="1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and Compensation Plans (Continued)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follows (in thousands except exercise prices and weighted average exercise price):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ind w:left="62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Pr>
          <w:p>
            <w:pPr>
              <w:spacing w:after="0"/>
              <w:rPr>
                <w:sz w:val="16"/>
                <w:szCs w:val="16"/>
                <w:color w:val="auto"/>
              </w:rPr>
            </w:pPr>
          </w:p>
        </w:tc>
        <w:tc>
          <w:tcPr>
            <w:tcW w:w="2340" w:type="dxa"/>
            <w:vAlign w:val="bottom"/>
            <w:gridSpan w:val="4"/>
          </w:tcPr>
          <w:p>
            <w:pPr>
              <w:jc w:val="right"/>
              <w:ind w:right="557"/>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0"/>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1320" w:type="dxa"/>
            <w:vAlign w:val="bottom"/>
            <w:tcBorders>
              <w:top w:val="single" w:sz="8" w:color="auto"/>
            </w:tcBorders>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8"/>
              <w:spacing w:after="0" w:line="130" w:lineRule="exact"/>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7"/>
              <w:spacing w:after="0" w:line="130"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1"/>
                <w:szCs w:val="11"/>
                <w:color w:val="auto"/>
              </w:rPr>
            </w:pPr>
          </w:p>
        </w:tc>
        <w:tc>
          <w:tcPr>
            <w:tcW w:w="10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60" w:type="dxa"/>
            <w:vAlign w:val="bottom"/>
          </w:tcPr>
          <w:p>
            <w:pPr>
              <w:spacing w:after="0"/>
              <w:rPr>
                <w:sz w:val="11"/>
                <w:szCs w:val="11"/>
                <w:color w:val="auto"/>
              </w:rPr>
            </w:pPr>
          </w:p>
        </w:tc>
        <w:tc>
          <w:tcPr>
            <w:tcW w:w="104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1"/>
                <w:szCs w:val="11"/>
                <w:color w:val="auto"/>
              </w:rPr>
            </w:pPr>
          </w:p>
        </w:tc>
        <w:tc>
          <w:tcPr>
            <w:tcW w:w="13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4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 (Years)</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6"/>
                <w:szCs w:val="16"/>
                <w:color w:val="auto"/>
              </w:rPr>
            </w:pPr>
          </w:p>
        </w:tc>
        <w:tc>
          <w:tcPr>
            <w:tcW w:w="104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Exercisable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$1.13-$2.90</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$2.91-$3.18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$3.19-$4.88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$4.89-$8.77</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$8.78-$73.22</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Aggregate Intrinsic Value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20,553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Cash proceeds from, and the aggregate intrinsic value of, stock options exercised during the years ended December 31, 2020, 2019 and 2018, respectively, were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60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proceeds from options exercised</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Aggregate intrinsic value of options exercised</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connection with stock option awards granted to employees, the Company recognized approximately $4.7 million, $5.9 million and $7.6 million in share-based compensation expense during the years ended December 31, 2020, 2019 and 2018, respectively, net of expected forfeitures. As of December 31, 2020, there were approximately $8.6 million of unrecognized compensation costs, net of estimated forfeitures, related to stock option awards granted to employees, which are expected to be recognized over a remaining weighted average period of 5.8 years.</w:t>
      </w:r>
    </w:p>
    <w:p>
      <w:pPr>
        <w:spacing w:after="0" w:line="9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connection with stock option awards granted to consultants, the Company recognized approximately $0.2 million, $0.3 million and $0.2 million in share-based compensation expense during the years ended December 31, 2020, 2019 and 2018, respectively, net of expected forfeitures. As of December 31, 2020, there were approximately $0.1 million of unrecognized compensation costs, net of estimated forfeitures, related to stock option awards granted to consultants, which are expected to be recognized over a remaining weighted average period of 2.4 years.</w:t>
      </w:r>
    </w:p>
    <w:p>
      <w:pPr>
        <w:spacing w:after="0" w:line="10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December 31, 2020 (in thousands except weighted average grant-date fair value):</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40" w:type="dxa"/>
            <w:vAlign w:val="bottom"/>
          </w:tcPr>
          <w:p>
            <w:pPr>
              <w:jc w:val="center"/>
              <w:ind w:left="468"/>
              <w:spacing w:after="0"/>
              <w:rPr>
                <w:sz w:val="20"/>
                <w:szCs w:val="20"/>
                <w:color w:val="auto"/>
              </w:rPr>
            </w:pPr>
            <w:r>
              <w:rPr>
                <w:rFonts w:ascii="Arial" w:cs="Arial" w:eastAsia="Arial" w:hAnsi="Arial"/>
                <w:sz w:val="14"/>
                <w:szCs w:val="14"/>
                <w:b w:val="1"/>
                <w:bCs w:val="1"/>
                <w:color w:val="auto"/>
                <w:w w:val="90"/>
              </w:rPr>
              <w:t>Restricted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 Average</w:t>
            </w:r>
          </w:p>
        </w:tc>
      </w:tr>
      <w:tr>
        <w:trPr>
          <w:trHeight w:val="135"/>
        </w:trPr>
        <w:tc>
          <w:tcPr>
            <w:tcW w:w="7580" w:type="dxa"/>
            <w:vAlign w:val="bottom"/>
          </w:tcPr>
          <w:p>
            <w:pPr>
              <w:spacing w:after="0"/>
              <w:rPr>
                <w:sz w:val="11"/>
                <w:szCs w:val="11"/>
                <w:color w:val="auto"/>
              </w:rPr>
            </w:pPr>
          </w:p>
        </w:tc>
        <w:tc>
          <w:tcPr>
            <w:tcW w:w="1240" w:type="dxa"/>
            <w:vAlign w:val="bottom"/>
          </w:tcPr>
          <w:p>
            <w:pPr>
              <w:jc w:val="center"/>
              <w:ind w:left="468"/>
              <w:spacing w:after="0" w:line="135" w:lineRule="exact"/>
              <w:rPr>
                <w:sz w:val="20"/>
                <w:szCs w:val="20"/>
                <w:color w:val="auto"/>
              </w:rPr>
            </w:pPr>
            <w:r>
              <w:rPr>
                <w:rFonts w:ascii="Arial" w:cs="Arial" w:eastAsia="Arial" w:hAnsi="Arial"/>
                <w:sz w:val="14"/>
                <w:szCs w:val="14"/>
                <w:b w:val="1"/>
                <w:bCs w:val="1"/>
                <w:color w:val="auto"/>
                <w:w w:val="89"/>
              </w:rPr>
              <w:t>Stock</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6"/>
              </w:rPr>
              <w:t>Grant-Date</w:t>
            </w:r>
          </w:p>
        </w:tc>
      </w:tr>
      <w:tr>
        <w:trPr>
          <w:trHeight w:val="188"/>
        </w:trPr>
        <w:tc>
          <w:tcPr>
            <w:tcW w:w="75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w w:val="91"/>
              </w:rPr>
              <w:t>Units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8"/>
              </w:rPr>
              <w:t>Fair Value</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2019</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30"/>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Awarded</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1,232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30"/>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6.74</w:t>
            </w:r>
          </w:p>
        </w:tc>
      </w:tr>
      <w:tr>
        <w:trPr>
          <w:trHeight w:val="243"/>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8" w:name="page189"/>
    <w:bookmarkEnd w:id="1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and Compensation Plans (Continued)</w:t>
      </w:r>
    </w:p>
    <w:p>
      <w:pPr>
        <w:spacing w:after="0" w:line="200" w:lineRule="exact"/>
        <w:rPr>
          <w:sz w:val="20"/>
          <w:szCs w:val="20"/>
          <w:color w:val="auto"/>
        </w:rPr>
      </w:pPr>
    </w:p>
    <w:p>
      <w:pPr>
        <w:spacing w:after="0" w:line="326" w:lineRule="exact"/>
        <w:rPr>
          <w:sz w:val="20"/>
          <w:szCs w:val="20"/>
          <w:color w:val="auto"/>
        </w:rPr>
      </w:pPr>
    </w:p>
    <w:p>
      <w:pPr>
        <w:jc w:val="both"/>
        <w:ind w:right="660" w:firstLine="445"/>
        <w:spacing w:after="0" w:line="342" w:lineRule="auto"/>
        <w:rPr>
          <w:sz w:val="20"/>
          <w:szCs w:val="20"/>
          <w:color w:val="auto"/>
        </w:rPr>
      </w:pPr>
      <w:r>
        <w:rPr>
          <w:rFonts w:ascii="Arial" w:cs="Arial" w:eastAsia="Arial" w:hAnsi="Arial"/>
          <w:sz w:val="16"/>
          <w:szCs w:val="16"/>
          <w:color w:val="auto"/>
        </w:rPr>
        <w:t>As of December 31, 2020, there were approximately 1,725,000 RSUs outstanding, net of estimated forfeitures, that are expected to vest. The weighted-average fair value of these RSUs was $5.25 per share; and the aggregate intrinsic value of these RSUs was approximately $11.9 million.</w:t>
      </w:r>
    </w:p>
    <w:p>
      <w:pPr>
        <w:spacing w:after="0" w:line="151"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In connection with RSUs granted to employees, the Company recognized approximately $3.3 million, $3.0 million and $3.3 million in share-based compensation expense during the years ended December 31, 2020, 2019 and 2018, respectively, net of expected forfeitures. As of December 31, 2020, there was approximately $14.4 million of unrecognized compensation costs, net of estimated forfeitures, related to RSUs granted to employees, which are expected to be recognized over a remaining weighted average period of 2.0 years. The total fair value of the RSUs that vested during the year ended December 31, 2020 was $4.6 million.</w:t>
      </w:r>
    </w:p>
    <w:p>
      <w:pPr>
        <w:spacing w:after="0" w:line="215" w:lineRule="exact"/>
        <w:rPr>
          <w:sz w:val="20"/>
          <w:szCs w:val="20"/>
          <w:color w:val="auto"/>
        </w:rPr>
      </w:pPr>
    </w:p>
    <w:p>
      <w:pPr>
        <w:jc w:val="both"/>
        <w:ind w:right="100" w:firstLine="445"/>
        <w:spacing w:after="0" w:line="257" w:lineRule="auto"/>
        <w:rPr>
          <w:sz w:val="20"/>
          <w:szCs w:val="20"/>
          <w:color w:val="auto"/>
        </w:rPr>
      </w:pPr>
      <w:r>
        <w:rPr>
          <w:rFonts w:ascii="Arial" w:cs="Arial" w:eastAsia="Arial" w:hAnsi="Arial"/>
          <w:sz w:val="18"/>
          <w:szCs w:val="18"/>
          <w:color w:val="auto"/>
        </w:rPr>
        <w:t>In connection with RSUs granted to consultants, the Company recognized approximately $0.1 million in share-based compensation expense during the year ended December 31, 2020, net of expected forfeitures. In connection with RSUs granted to consultants, the Company recognized approximately a de minimis amount in share-based compensation expense during the year ended December 31, 2019. As of December 31, 2020, there were approximately $0.1 million of unrecognized compensation costs, net of estimated forfeitures, related to RSUs granted to consultants, which are expected to be recognized over a remaining weighted average period of 2.9 years.</w:t>
      </w:r>
    </w:p>
    <w:p>
      <w:pPr>
        <w:spacing w:after="0" w:line="215" w:lineRule="exact"/>
        <w:rPr>
          <w:sz w:val="20"/>
          <w:szCs w:val="20"/>
          <w:color w:val="auto"/>
        </w:rPr>
      </w:pPr>
    </w:p>
    <w:p>
      <w:pPr>
        <w:ind w:right="140" w:firstLine="445"/>
        <w:spacing w:after="0" w:line="293" w:lineRule="auto"/>
        <w:rPr>
          <w:sz w:val="20"/>
          <w:szCs w:val="20"/>
          <w:color w:val="auto"/>
        </w:rPr>
      </w:pPr>
      <w:r>
        <w:rPr>
          <w:rFonts w:ascii="Arial" w:cs="Arial" w:eastAsia="Arial" w:hAnsi="Arial"/>
          <w:sz w:val="16"/>
          <w:szCs w:val="16"/>
          <w:color w:val="auto"/>
        </w:rPr>
        <w:t>In connection with the ESPP made available to employees, the Company recognized approximately $0.1 million and $0.1 million of share-based compensation expense during the years ended December 31, 2020 and December 31, 2019, respectively, net of expected forfeitures. As of December 31, 2020, there was a de minimis amount of unrecognized compensation costs, net of estimated forfeitures, related to the ESPP, which are expected to be recognized over 0.2 years. There were 76,402 shares of common stock issued under the ESPP during the year ended December 31, 2020. Cash proceeds from ESPP purchases were approximately $147 thousand during the year ended December 31, 2020. There were 70,466 shares of common stock issued under the ESPP during the year ended December 31, 2019. As of December 31, 2020, 805,361 shares were available for future purchases under the ESPP.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w:t>
      </w:r>
    </w:p>
    <w:p>
      <w:pPr>
        <w:spacing w:after="0" w:line="256" w:lineRule="exact"/>
        <w:rPr>
          <w:sz w:val="20"/>
          <w:szCs w:val="20"/>
          <w:color w:val="auto"/>
        </w:rPr>
      </w:pPr>
    </w:p>
    <w:p>
      <w:pPr>
        <w:ind w:right="140" w:firstLine="445"/>
        <w:spacing w:after="0" w:line="311" w:lineRule="auto"/>
        <w:rPr>
          <w:sz w:val="20"/>
          <w:szCs w:val="20"/>
          <w:color w:val="auto"/>
        </w:rPr>
      </w:pPr>
      <w:r>
        <w:rPr>
          <w:rFonts w:ascii="Arial" w:cs="Arial" w:eastAsia="Arial" w:hAnsi="Arial"/>
          <w:sz w:val="16"/>
          <w:szCs w:val="16"/>
          <w:color w:val="auto"/>
        </w:rPr>
        <w:t>The Company maintains a defined contribution 401(k) plan available to employees. Employee contributions are voluntary and are determined on an individual basis, limited by the maximum amounts allowable under federal tax regulations. The Company's matching contributions to employees totaled approximately $0.3 million, $0.2 million and $0.2 million during the years ended December 31, 2020, 2019 and 2018, respectively.</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Information (unaudited)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quarterly results of operations for the years ended December 31, 2020 and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32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r>
      <w:tr>
        <w:trPr>
          <w:trHeight w:val="224"/>
        </w:trPr>
        <w:tc>
          <w:tcPr>
            <w:tcW w:w="40" w:type="dxa"/>
            <w:vAlign w:val="bottom"/>
          </w:tcPr>
          <w:p>
            <w:pPr>
              <w:spacing w:after="0"/>
              <w:rPr>
                <w:sz w:val="19"/>
                <w:szCs w:val="19"/>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(15,076)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(18,589)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(25,450)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(25,432)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20"/>
                <w:szCs w:val="20"/>
                <w:color w:val="auto"/>
              </w:rPr>
            </w:pPr>
          </w:p>
        </w:tc>
      </w:tr>
      <w:tr>
        <w:trPr>
          <w:trHeight w:val="890"/>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F-34</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9" w:name="page190"/>
    <w:bookmarkEnd w:id="189"/>
    <w:p>
      <w:pPr>
        <w:jc w:val="center"/>
        <w:ind w:right="20"/>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7"/>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32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11,567</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w:t>
            </w: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(17,842)</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(14,443)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(14,437)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(17,478)</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(0.39)</w:t>
            </w:r>
          </w:p>
        </w:tc>
      </w:tr>
      <w:tr>
        <w:trPr>
          <w:trHeight w:val="890"/>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ind w:left="400"/>
              <w:spacing w:after="0"/>
              <w:rPr>
                <w:sz w:val="20"/>
                <w:szCs w:val="20"/>
                <w:color w:val="auto"/>
              </w:rPr>
            </w:pPr>
            <w:r>
              <w:rPr>
                <w:rFonts w:ascii="Arial" w:cs="Arial" w:eastAsia="Arial" w:hAnsi="Arial"/>
                <w:sz w:val="18"/>
                <w:szCs w:val="18"/>
                <w:color w:val="auto"/>
              </w:rPr>
              <w:t>F-35</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180"/>
          </w:cols>
          <w:pgMar w:left="360" w:top="513" w:right="35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RESTATED CERTIFICATE OF INCORPORATION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OPHTHOTECH CORPORATION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(originally incorporated on January 5, 2007)</w:t>
      </w:r>
    </w:p>
    <w:p>
      <w:pPr>
        <w:spacing w:after="0" w:line="247" w:lineRule="exact"/>
        <w:rPr>
          <w:sz w:val="20"/>
          <w:szCs w:val="20"/>
          <w:color w:val="auto"/>
        </w:rPr>
      </w:pPr>
    </w:p>
    <w:p>
      <w:pPr>
        <w:ind w:right="980"/>
        <w:spacing w:after="0" w:line="249" w:lineRule="auto"/>
        <w:rPr>
          <w:sz w:val="20"/>
          <w:szCs w:val="20"/>
          <w:color w:val="auto"/>
        </w:rPr>
      </w:pPr>
      <w:r>
        <w:rPr>
          <w:rFonts w:ascii="Arial" w:cs="Arial" w:eastAsia="Arial" w:hAnsi="Arial"/>
          <w:sz w:val="22"/>
          <w:szCs w:val="22"/>
          <w:color w:val="auto"/>
        </w:rPr>
        <w:t>Ophthotech Corporation (the “Corporation”), a corporation organized and existing under and by virtue of the provisions of the General Corporation Law of the State of Delaware, does hereby certify as follows:</w:t>
      </w:r>
    </w:p>
    <w:p>
      <w:pPr>
        <w:spacing w:after="0" w:line="231" w:lineRule="exact"/>
        <w:rPr>
          <w:sz w:val="20"/>
          <w:szCs w:val="20"/>
          <w:color w:val="auto"/>
        </w:rPr>
      </w:pPr>
    </w:p>
    <w:p>
      <w:pPr>
        <w:jc w:val="both"/>
        <w:ind w:right="160"/>
        <w:spacing w:after="0" w:line="263" w:lineRule="auto"/>
        <w:rPr>
          <w:sz w:val="20"/>
          <w:szCs w:val="20"/>
          <w:color w:val="auto"/>
        </w:rPr>
      </w:pPr>
      <w:r>
        <w:rPr>
          <w:rFonts w:ascii="Arial" w:cs="Arial" w:eastAsia="Arial" w:hAnsi="Arial"/>
          <w:sz w:val="21"/>
          <w:szCs w:val="21"/>
          <w:color w:val="auto"/>
        </w:rPr>
        <w:t>A. The current name of the Corporation is Ophthotech Corporation. The original Certificate of Incorporation was filed with the Secretary of State of the State of Delaware on January 5, 2007. The Certificate of Incorporation was mostly recently amended and restated on May 22, 2013 and was further amended on July 3, 2013 and September 9, 2013.</w:t>
      </w:r>
    </w:p>
    <w:p>
      <w:pPr>
        <w:spacing w:after="0" w:line="219" w:lineRule="exact"/>
        <w:rPr>
          <w:sz w:val="20"/>
          <w:szCs w:val="20"/>
          <w:color w:val="auto"/>
        </w:rPr>
      </w:pPr>
    </w:p>
    <w:p>
      <w:pPr>
        <w:ind w:right="260"/>
        <w:spacing w:after="0" w:line="244" w:lineRule="auto"/>
        <w:rPr>
          <w:sz w:val="20"/>
          <w:szCs w:val="20"/>
          <w:color w:val="auto"/>
        </w:rPr>
      </w:pPr>
      <w:r>
        <w:rPr>
          <w:rFonts w:ascii="Arial" w:cs="Arial" w:eastAsia="Arial" w:hAnsi="Arial"/>
          <w:sz w:val="22"/>
          <w:szCs w:val="22"/>
          <w:color w:val="auto"/>
        </w:rPr>
        <w:t>B. A resolution was duly adopted by the Board of Directors of the Corporation pursuant to Sections 242 and 245 of the General Corporation Law of the State of Delaware setting forth this Restated Certificate of Incorporation and declaring such Restated Certificate of Incorporation advisable. The stockholders of the Corporation duly approved and adopted this Restated Certificate of Incorporation by written consent in accordance with Sections 228, 242 and 245 of the General Corporation Law of the State of Delaware.</w:t>
      </w:r>
    </w:p>
    <w:p>
      <w:pPr>
        <w:spacing w:after="0" w:line="240"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Accordingly, the Certificate of Incorporation of this Corporation, as previously amended and restated, is hereby further amended and restated in its entirety to read as follows: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FIRST: The name of the Corporation is Ophthotech Corporation.</w:t>
      </w:r>
    </w:p>
    <w:p>
      <w:pPr>
        <w:spacing w:after="0" w:line="247"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SECOND: The address of the Corporation’s registered office in the State of Delaware is Corporation Trust Center, 1209 Orange Street, in the City of Wilmington, County of New Castle, 19801. The name of its registered agent at that address is The Corporation Trust Company.</w:t>
      </w:r>
    </w:p>
    <w:p>
      <w:pPr>
        <w:spacing w:after="0" w:line="235" w:lineRule="exact"/>
        <w:rPr>
          <w:sz w:val="20"/>
          <w:szCs w:val="20"/>
          <w:color w:val="auto"/>
        </w:rPr>
      </w:pPr>
    </w:p>
    <w:p>
      <w:pPr>
        <w:ind w:right="160"/>
        <w:spacing w:after="0" w:line="246" w:lineRule="auto"/>
        <w:rPr>
          <w:sz w:val="20"/>
          <w:szCs w:val="20"/>
          <w:color w:val="auto"/>
        </w:rPr>
      </w:pPr>
      <w:r>
        <w:rPr>
          <w:rFonts w:ascii="Arial" w:cs="Arial" w:eastAsia="Arial" w:hAnsi="Arial"/>
          <w:sz w:val="22"/>
          <w:szCs w:val="22"/>
          <w:color w:val="auto"/>
        </w:rPr>
        <w:t>THIRD: The nature of the business or purposes to be conducted or promoted by the Corporation is to engage in any lawful act or activity for which corporations may be organized under the General Corporation Law of the State of Delaware.</w:t>
      </w:r>
    </w:p>
    <w:p>
      <w:pPr>
        <w:spacing w:after="0" w:line="235" w:lineRule="exact"/>
        <w:rPr>
          <w:sz w:val="20"/>
          <w:szCs w:val="20"/>
          <w:color w:val="auto"/>
        </w:rPr>
      </w:pPr>
    </w:p>
    <w:p>
      <w:pPr>
        <w:ind w:right="220"/>
        <w:spacing w:after="0" w:line="246" w:lineRule="auto"/>
        <w:rPr>
          <w:sz w:val="20"/>
          <w:szCs w:val="20"/>
          <w:color w:val="auto"/>
        </w:rPr>
      </w:pPr>
      <w:r>
        <w:rPr>
          <w:rFonts w:ascii="Arial" w:cs="Arial" w:eastAsia="Arial" w:hAnsi="Arial"/>
          <w:sz w:val="22"/>
          <w:szCs w:val="22"/>
          <w:color w:val="auto"/>
        </w:rPr>
        <w:t>FOURTH: The total number of shares of all classes of stock which the Corporation shall have authority to issue is 205,000,000 shares, consisting of (i) 200,000,000 shares of Common Stock, $0.001 par value per share (“Common Stock”), and (ii) 5,000,000 shares of Preferred Stock, $0.001 par value per share (“Preferred Stock”).</w:t>
      </w:r>
    </w:p>
    <w:p>
      <w:pPr>
        <w:sectPr>
          <w:pgSz w:w="11900" w:h="16838" w:orient="portrait"/>
          <w:cols w:equalWidth="0" w:num="1">
            <w:col w:w="11240"/>
          </w:cols>
          <w:pgMar w:left="320" w:top="147"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900"/>
        <w:spacing w:after="0" w:line="249" w:lineRule="auto"/>
        <w:rPr>
          <w:sz w:val="20"/>
          <w:szCs w:val="20"/>
          <w:color w:val="auto"/>
        </w:rPr>
      </w:pPr>
      <w:r>
        <w:rPr>
          <w:rFonts w:ascii="Arial" w:cs="Arial" w:eastAsia="Arial" w:hAnsi="Arial"/>
          <w:sz w:val="22"/>
          <w:szCs w:val="22"/>
          <w:color w:val="auto"/>
        </w:rPr>
        <w:t>The following is a statement of the designations and the powers, privileges and rights, and the qualifications, limitations or restrictions thereof in respect of each class of capital stock of the Corporation.</w:t>
      </w:r>
    </w:p>
    <w:p>
      <w:pPr>
        <w:spacing w:after="0" w:line="231" w:lineRule="exact"/>
        <w:rPr>
          <w:sz w:val="20"/>
          <w:szCs w:val="20"/>
          <w:color w:val="auto"/>
        </w:rPr>
      </w:pPr>
    </w:p>
    <w:p>
      <w:pPr>
        <w:ind w:left="380" w:hanging="372"/>
        <w:spacing w:after="0"/>
        <w:tabs>
          <w:tab w:leader="none" w:pos="3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COMMON STOCK.</w:t>
      </w:r>
    </w:p>
    <w:p>
      <w:pPr>
        <w:spacing w:after="0" w:line="4" w:lineRule="exact"/>
        <w:rPr>
          <w:sz w:val="20"/>
          <w:szCs w:val="20"/>
          <w:color w:val="auto"/>
        </w:rPr>
      </w:pPr>
    </w:p>
    <w:p>
      <w:pPr>
        <w:ind w:right="680" w:firstLine="8"/>
        <w:spacing w:after="0" w:line="246" w:lineRule="auto"/>
        <w:tabs>
          <w:tab w:leader="none" w:pos="2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General.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spacing w:after="0" w:line="234" w:lineRule="exact"/>
        <w:rPr>
          <w:rFonts w:ascii="Arial" w:cs="Arial" w:eastAsia="Arial" w:hAnsi="Arial"/>
          <w:sz w:val="22"/>
          <w:szCs w:val="22"/>
          <w:color w:val="auto"/>
        </w:rPr>
      </w:pPr>
    </w:p>
    <w:p>
      <w:pPr>
        <w:ind w:firstLine="8"/>
        <w:spacing w:after="0" w:line="244" w:lineRule="auto"/>
        <w:tabs>
          <w:tab w:leader="none" w:pos="24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Voting. The holders of the Common Stock shall have voting rights at all meetings of stockholders, each such holder being entitled to one vote for each share thereof held by such holder; provided, however,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There shall be no cumulative voting.</w:t>
      </w:r>
    </w:p>
    <w:p>
      <w:pPr>
        <w:spacing w:after="0" w:line="238" w:lineRule="exact"/>
        <w:rPr>
          <w:sz w:val="20"/>
          <w:szCs w:val="20"/>
          <w:color w:val="auto"/>
        </w:rPr>
      </w:pPr>
    </w:p>
    <w:p>
      <w:pPr>
        <w:ind w:right="380"/>
        <w:spacing w:after="0" w:line="245" w:lineRule="auto"/>
        <w:rPr>
          <w:sz w:val="20"/>
          <w:szCs w:val="20"/>
          <w:color w:val="auto"/>
        </w:rPr>
      </w:pPr>
      <w:r>
        <w:rPr>
          <w:rFonts w:ascii="Arial" w:cs="Arial" w:eastAsia="Arial" w:hAnsi="Arial"/>
          <w:sz w:val="22"/>
          <w:szCs w:val="22"/>
          <w:color w:val="auto"/>
        </w:rPr>
        <w:t>The number of authorized shares of Common Stock may be increased or decreased (but not below the number of shares thereof then outstanding) by the affirmative vote of the holders of a majority of the stock of the Corporation entitled to vote, irrespective of the provisions of Section 242(b)(2) of the General Corporation Law of the State of Delaware.</w:t>
      </w:r>
    </w:p>
    <w:p>
      <w:pPr>
        <w:spacing w:after="0" w:line="236" w:lineRule="exact"/>
        <w:rPr>
          <w:sz w:val="20"/>
          <w:szCs w:val="20"/>
          <w:color w:val="auto"/>
        </w:rPr>
      </w:pPr>
    </w:p>
    <w:p>
      <w:pPr>
        <w:jc w:val="both"/>
        <w:ind w:right="360" w:firstLine="8"/>
        <w:spacing w:after="0" w:line="246" w:lineRule="auto"/>
        <w:tabs>
          <w:tab w:leader="none" w:pos="2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Dividends. Dividends may be declared and paid on the Common Stock from funds lawfully available therefor as and when determined by the Board of Directors and subject to any preferential dividend or other rights of any then outstanding Preferred Stock.</w:t>
      </w:r>
    </w:p>
    <w:p>
      <w:pPr>
        <w:spacing w:after="0" w:line="234" w:lineRule="exact"/>
        <w:rPr>
          <w:rFonts w:ascii="Arial" w:cs="Arial" w:eastAsia="Arial" w:hAnsi="Arial"/>
          <w:sz w:val="22"/>
          <w:szCs w:val="22"/>
          <w:color w:val="auto"/>
        </w:rPr>
      </w:pPr>
    </w:p>
    <w:p>
      <w:pPr>
        <w:ind w:right="420" w:firstLine="8"/>
        <w:spacing w:after="0" w:line="246" w:lineRule="auto"/>
        <w:tabs>
          <w:tab w:leader="none" w:pos="24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Liquidation. Upon the dissolution or liquidation of the Corporation, whether voluntary or involuntary, holders of Common Stock will be entitled to receive all assets of the Corporation available for distribution to its stockholders, subject to any preferential or other rights of any then outstanding Preferred Stock.</w:t>
      </w:r>
    </w:p>
    <w:p>
      <w:pPr>
        <w:spacing w:after="0" w:line="235" w:lineRule="exact"/>
        <w:rPr>
          <w:sz w:val="20"/>
          <w:szCs w:val="20"/>
          <w:color w:val="auto"/>
        </w:rPr>
      </w:pPr>
    </w:p>
    <w:p>
      <w:pPr>
        <w:ind w:left="400" w:hanging="392"/>
        <w:spacing w:after="0"/>
        <w:tabs>
          <w:tab w:leader="none" w:pos="40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PREFERRED STOCK.</w:t>
      </w:r>
    </w:p>
    <w:p>
      <w:pPr>
        <w:spacing w:after="0" w:line="4" w:lineRule="exact"/>
        <w:rPr>
          <w:sz w:val="20"/>
          <w:szCs w:val="20"/>
          <w:color w:val="auto"/>
        </w:rPr>
      </w:pPr>
    </w:p>
    <w:p>
      <w:pPr>
        <w:ind w:right="260"/>
        <w:spacing w:after="0" w:line="245" w:lineRule="auto"/>
        <w:rPr>
          <w:sz w:val="20"/>
          <w:szCs w:val="20"/>
          <w:color w:val="auto"/>
        </w:rPr>
      </w:pPr>
      <w:r>
        <w:rPr>
          <w:rFonts w:ascii="Arial" w:cs="Arial" w:eastAsia="Arial" w:hAnsi="Arial"/>
          <w:sz w:val="22"/>
          <w:szCs w:val="22"/>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as hereinafter provided. Any shares of Preferred Stock which may be redeemed, purchased or acquired by the Corporation may be reissued except as otherwise provided by law.</w:t>
      </w:r>
    </w:p>
    <w:p>
      <w:pPr>
        <w:sectPr>
          <w:pgSz w:w="11900" w:h="16838" w:orient="portrait"/>
          <w:cols w:equalWidth="0" w:num="1">
            <w:col w:w="11240"/>
          </w:cols>
          <w:pgMar w:left="320" w:top="147"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color w:val="auto"/>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of the State of Delaware,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General Corporation Law of the State of Delaware. Without limiting the generality of the foregoing, the resolutions providing for issuance of any series of Preferred Stock may provide that such series shall be superior or rank equally or be junior to any other series of Preferred Stock to the extent permitted by law.</w:t>
      </w:r>
    </w:p>
    <w:p>
      <w:pPr>
        <w:spacing w:after="0" w:line="247"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The number of authorized shares of Preferred Stock may be increased or decreased (but not below the number of shares then outstanding) by the affirmative vote of the holders of a majority of the voting power of the capital stock of the Corporation entitled to vote thereon, voting as a single class, irrespective of the provisions of Section 242(b)(2) of the General Corporation Law of the State of Delaware.</w:t>
      </w:r>
    </w:p>
    <w:p>
      <w:pPr>
        <w:spacing w:after="0" w:line="236"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color w:val="auto"/>
        </w:rPr>
        <w:t>FIFTH: Except as otherwise provided herein, the Corporation reserves the right to amend, alter, change or repeal any provision contained in this Certificate of Incorporation, in the manner now or hereafter prescribed by statute and this Certificate of Incorporation, and all rights conferred upon stockholders herein are granted subject to this reservation.</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21"/>
          <w:szCs w:val="21"/>
          <w:color w:val="auto"/>
        </w:rPr>
        <w:t>SIXTH: In furtherance and not in limitation of the powers conferred upon it by the General Corporation Law of the State of Delaware, and subject to the terms of any series of Preferred Stock, the Board of Directors shall have the power to adopt, amend, alter or repeal the By-laws of the Corporation by the affirmative vote of a majority of the directors present at any regular or special meeting of the Board of Directors at which a quorum is present.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seventy-five percent (75%) of the votes that all the stockholders would be entitled to cast in any annual election of directors or class of directors. Notwithstanding any other provisions of law, this Certificate of Incorporation or the By-laws of the Corporation, and notwithstanding the fact that a lesser percentage may be specified by law, the affirmative vote of the holders of at least seventy-five percent (75%) of the votes which all the stockholders would be entitled to cast in any annual election of directors or class of directors shall be required to amend or repeal, or to adopt any provision inconsistent with, this Article SIXTH.</w:t>
      </w:r>
    </w:p>
    <w:p>
      <w:pPr>
        <w:sectPr>
          <w:pgSz w:w="11900" w:h="16838" w:orient="portrait"/>
          <w:cols w:equalWidth="0" w:num="1">
            <w:col w:w="11240"/>
          </w:cols>
          <w:pgMar w:left="320" w:top="147"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SEVENTH: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EIGHTH: The Corporation shall provide indemnification as follows:</w:t>
      </w:r>
    </w:p>
    <w:p>
      <w:pPr>
        <w:spacing w:after="0" w:line="247" w:lineRule="exact"/>
        <w:rPr>
          <w:sz w:val="20"/>
          <w:szCs w:val="20"/>
          <w:color w:val="auto"/>
        </w:rPr>
      </w:pPr>
    </w:p>
    <w:p>
      <w:pPr>
        <w:ind w:firstLine="8"/>
        <w:spacing w:after="0" w:line="243" w:lineRule="auto"/>
        <w:tabs>
          <w:tab w:leader="none" w:pos="2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Actions, Suits and Proceedings Other than by or in the Right of the Corporation.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spacing w:after="0" w:line="249" w:lineRule="exact"/>
        <w:rPr>
          <w:rFonts w:ascii="Arial" w:cs="Arial" w:eastAsia="Arial" w:hAnsi="Arial"/>
          <w:sz w:val="22"/>
          <w:szCs w:val="22"/>
          <w:color w:val="auto"/>
        </w:rPr>
      </w:pPr>
    </w:p>
    <w:p>
      <w:pPr>
        <w:jc w:val="both"/>
        <w:ind w:right="80" w:firstLine="8"/>
        <w:spacing w:after="0" w:line="246" w:lineRule="auto"/>
        <w:tabs>
          <w:tab w:leader="none" w:pos="24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Actions or Suits by or in the Right of the Corporation.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w:t>
      </w:r>
    </w:p>
    <w:p>
      <w:pPr>
        <w:sectPr>
          <w:pgSz w:w="11900" w:h="16838" w:orient="portrait"/>
          <w:cols w:equalWidth="0" w:num="1">
            <w:col w:w="11240"/>
          </w:cols>
          <w:pgMar w:left="320" w:top="147"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43" w:lineRule="auto"/>
        <w:rPr>
          <w:sz w:val="20"/>
          <w:szCs w:val="20"/>
          <w:color w:val="auto"/>
        </w:rPr>
      </w:pPr>
      <w:r>
        <w:rPr>
          <w:rFonts w:ascii="Arial" w:cs="Arial" w:eastAsia="Arial" w:hAnsi="Arial"/>
          <w:sz w:val="22"/>
          <w:szCs w:val="22"/>
          <w:color w:val="auto"/>
        </w:rPr>
        <w:t>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Indemnitee is fairly and reasonably entitled to indemnity for such expenses (including attorneys’ fees) which the Court of Chancery of Delaware or such other court shall deem proper.</w:t>
      </w:r>
    </w:p>
    <w:p>
      <w:pPr>
        <w:spacing w:after="0" w:line="248" w:lineRule="exact"/>
        <w:rPr>
          <w:sz w:val="20"/>
          <w:szCs w:val="20"/>
          <w:color w:val="auto"/>
        </w:rPr>
      </w:pPr>
    </w:p>
    <w:p>
      <w:pPr>
        <w:ind w:right="20" w:firstLine="8"/>
        <w:spacing w:after="0" w:line="243" w:lineRule="auto"/>
        <w:tabs>
          <w:tab w:leader="none" w:pos="2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Indemnification for Expenses of Successful Party. Notwithstanding any other provisions of this Article EIGHTH, to the extent that an Indemnitee has been successful, on the merits or otherwise, in defense of any action, suit or proceeding referred to in Sections 1 and 2 of this Article EIGHTH,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nolo contendere by Indemnitee, (iv) an adjudication that Indemnitee did not act in good faith and in a manner he or she reasonably believed to be in or not 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w:t>
      </w:r>
    </w:p>
    <w:p>
      <w:pPr>
        <w:spacing w:after="0" w:line="247" w:lineRule="exact"/>
        <w:rPr>
          <w:rFonts w:ascii="Arial" w:cs="Arial" w:eastAsia="Arial" w:hAnsi="Arial"/>
          <w:sz w:val="22"/>
          <w:szCs w:val="22"/>
          <w:color w:val="auto"/>
        </w:rPr>
      </w:pPr>
    </w:p>
    <w:p>
      <w:pPr>
        <w:ind w:right="40" w:firstLine="8"/>
        <w:spacing w:after="0" w:line="244" w:lineRule="auto"/>
        <w:tabs>
          <w:tab w:leader="none" w:pos="2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Notification and Defense of Claim. As a condition precedent to an Indemnitee’s right to be indemnified, such Indemnitee must notify the Corporation in writing as soon as practicable of any action, suit, proceeding or investigation involving such Indemnitee for which indemnity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w:t>
      </w:r>
    </w:p>
    <w:p>
      <w:pPr>
        <w:sectPr>
          <w:pgSz w:w="11900" w:h="16838" w:orient="portrait"/>
          <w:cols w:equalWidth="0" w:num="1">
            <w:col w:w="11240"/>
          </w:cols>
          <w:pgMar w:left="320" w:top="147"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color w:val="auto"/>
        </w:rPr>
        <w:t>than as provided below in this Section 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EIGHTH. The Corporation shall not be entitled, without the consent of Indemnitee, to assume the defense of any claim brought by or in the right of the Corporation or as to which counsel for Indemnitee shall have reasonably made the conclusion provided for in clause (ii) above. The Corporation shall not be required to indemnify Indemnitee under this Article EIGHTH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spacing w:after="0" w:line="249" w:lineRule="exact"/>
        <w:rPr>
          <w:sz w:val="20"/>
          <w:szCs w:val="20"/>
          <w:color w:val="auto"/>
        </w:rPr>
      </w:pPr>
    </w:p>
    <w:p>
      <w:pPr>
        <w:ind w:right="100" w:firstLine="8"/>
        <w:spacing w:after="0" w:line="243" w:lineRule="auto"/>
        <w:tabs>
          <w:tab w:leader="none" w:pos="24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Advancement of Expenses. Subject to the provisions of Section 6 of this Article EIGHTH, in the event of any threatened or pending action, suit, proceeding or investigation of which the Corporation receives notice under this Article EIGHTH, any expenses (including attorneys’ fees) incurred by or on behalf of Indemnitee in defending an action, suit, proceeding or investigation or any appeal therefrom shall be paid by the Corporation in advance of the final disposition of such matter; provided, however,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authorized in this Article EIGHTH; and provided further that no such advancement of expenses shall be made under this Article EIGHTH if it is determined (in the manner described in Section 6) that (i) Indemnitee did not act in good faith and in a manner he or she reasonably believed to be in, or not opposed to, the best interests of the Corporation, or (ii) with respect to any criminal action or proceeding, Indemnitee had reasonable cause to believe his or her conduct was unlawful. Such undertaking shall be accepted without reference to the financial ability of Indemnitee to make such repayment.</w:t>
      </w:r>
    </w:p>
    <w:p>
      <w:pPr>
        <w:spacing w:after="0" w:line="248" w:lineRule="exact"/>
        <w:rPr>
          <w:rFonts w:ascii="Arial" w:cs="Arial" w:eastAsia="Arial" w:hAnsi="Arial"/>
          <w:sz w:val="22"/>
          <w:szCs w:val="22"/>
          <w:color w:val="auto"/>
        </w:rPr>
      </w:pPr>
    </w:p>
    <w:p>
      <w:pPr>
        <w:ind w:right="20" w:firstLine="8"/>
        <w:spacing w:after="0" w:line="246" w:lineRule="auto"/>
        <w:tabs>
          <w:tab w:leader="none" w:pos="24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Procedure for Indemnification and Advancement of Expenses. In order to obtain indemnification or advancement of expenses pursuant to Section 1, 2, 3 or 5 of this Article EIGHTH, an Indemnitee shall submit to the Corporation a written request. Any such advancement of expenses shall be made promptly, and in any event within 60</w:t>
      </w:r>
    </w:p>
    <w:p>
      <w:pPr>
        <w:sectPr>
          <w:pgSz w:w="11900" w:h="16838" w:orient="portrait"/>
          <w:cols w:equalWidth="0" w:num="1">
            <w:col w:w="11240"/>
          </w:cols>
          <w:pgMar w:left="320" w:top="147"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43" w:lineRule="auto"/>
        <w:rPr>
          <w:sz w:val="20"/>
          <w:szCs w:val="20"/>
          <w:color w:val="auto"/>
        </w:rPr>
      </w:pPr>
      <w:r>
        <w:rPr>
          <w:rFonts w:ascii="Arial" w:cs="Arial" w:eastAsia="Arial" w:hAnsi="Arial"/>
          <w:sz w:val="22"/>
          <w:szCs w:val="22"/>
          <w:color w:val="auto"/>
        </w:rPr>
        <w:t>days after receipt by the Corporation of the written request of Indemnitee, unless (i) the Corporation has assumed the defense pursuant to Section 4 of this Article EIGHTH (and none of the circumstances described in Section 4 of this Article EIGHTH that would nonetheless entitle the Indemnitee to indemnification for the fees and expenses of separate counsel have occurred) or (ii) the Corporation determines within such 60-day period that Indemnitee did not meet the applicable standard of conduct set forth in Section 1, 2 or 5 of this Article EIGHTH, as the case may be. Any such indemnification, unless ordered by a court, shall be made with respect to requests under Section 1 or 2 only as authorized in the specific case upon a determination by the Corporation that the indemnification of Indemnitee is proper because Indemnitee has met the applicable standard of conduct set forth in Section 1 or 2, as the case may be. Such determination shall be made in each instance (a) by a majority vote of the directors of the Corporation consisting of persons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spacing w:after="0" w:line="248" w:lineRule="exact"/>
        <w:rPr>
          <w:sz w:val="20"/>
          <w:szCs w:val="20"/>
          <w:color w:val="auto"/>
        </w:rPr>
      </w:pPr>
    </w:p>
    <w:p>
      <w:pPr>
        <w:ind w:left="240" w:hanging="232"/>
        <w:spacing w:after="0"/>
        <w:tabs>
          <w:tab w:leader="none" w:pos="24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Remedies. The right to indemnification or advancement of expenses as granted by this Article EIGHTH shall be</w:t>
      </w:r>
    </w:p>
    <w:p>
      <w:pPr>
        <w:spacing w:after="0" w:line="3" w:lineRule="exact"/>
        <w:rPr>
          <w:rFonts w:ascii="Arial" w:cs="Arial" w:eastAsia="Arial" w:hAnsi="Arial"/>
          <w:sz w:val="22"/>
          <w:szCs w:val="22"/>
          <w:color w:val="auto"/>
        </w:rPr>
      </w:pPr>
    </w:p>
    <w:p>
      <w:pPr>
        <w:ind w:right="20"/>
        <w:spacing w:after="0" w:line="243" w:lineRule="auto"/>
        <w:rPr>
          <w:rFonts w:ascii="Arial" w:cs="Arial" w:eastAsia="Arial" w:hAnsi="Arial"/>
          <w:sz w:val="22"/>
          <w:szCs w:val="22"/>
          <w:color w:val="auto"/>
        </w:rPr>
      </w:pPr>
      <w:r>
        <w:rPr>
          <w:rFonts w:ascii="Arial" w:cs="Arial" w:eastAsia="Arial" w:hAnsi="Arial"/>
          <w:sz w:val="22"/>
          <w:szCs w:val="22"/>
          <w:color w:val="auto"/>
        </w:rPr>
        <w:t>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6 of this Article EIGHTH that Indemnitee has not met such applicable standard of conduct, shall be a defense to the action or create a presumption that Indemnitee has not met the applicable standard of conduct. In any suit brought by Indemnitee to enforce a right to indemnification, or brought by the Corporation to recover an advancement of expenses pursuant to the terms of an undertaking, the Corporation shall have the burden of proving that Indemnitee is not entitled to be indemnified, or to such advancement of expenses, under this Article EIGHTH. Indemnitee’s expenses (including attorneys’ fees) reasonably incurred in connection with successfully establishing Indemnitee’s right to indemnification, in whole or in part, in any such proceeding shall also be indemnified by the Corporation. Notwithstanding the foregoing, in any suit brought by Indemnitee to enforce a right to indemnification hereunder it shall be a defense that the Indemnitee has not met any applicable standard for indemnification set forth in the General Corporation Law of the State of Delaware.</w:t>
      </w:r>
    </w:p>
    <w:p>
      <w:pPr>
        <w:spacing w:after="0" w:line="247" w:lineRule="exact"/>
        <w:rPr>
          <w:rFonts w:ascii="Arial" w:cs="Arial" w:eastAsia="Arial" w:hAnsi="Arial"/>
          <w:sz w:val="22"/>
          <w:szCs w:val="22"/>
          <w:color w:val="auto"/>
        </w:rPr>
      </w:pPr>
    </w:p>
    <w:p>
      <w:pPr>
        <w:ind w:right="20" w:firstLine="8"/>
        <w:spacing w:after="0" w:line="245" w:lineRule="auto"/>
        <w:tabs>
          <w:tab w:leader="none" w:pos="24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Limitations. Notwithstanding anything to the contrary in this Article EIGHTH, except as set forth in Section 7 of this Article EIGHTH, the Corporation shall not indemnify an Indemnitee pursuant to this Article EIGHTH in connection with a proceeding (or part thereof) initiated by such Indemnitee unless the initiation thereof was approved by the Board of Directors of the Corporation. Notwithstanding anything to the contrary in this</w:t>
      </w:r>
    </w:p>
    <w:p>
      <w:pPr>
        <w:sectPr>
          <w:pgSz w:w="11900" w:h="16838" w:orient="portrait"/>
          <w:cols w:equalWidth="0" w:num="1">
            <w:col w:w="11240"/>
          </w:cols>
          <w:pgMar w:left="320" w:top="147"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45" w:lineRule="auto"/>
        <w:rPr>
          <w:sz w:val="20"/>
          <w:szCs w:val="20"/>
          <w:color w:val="auto"/>
        </w:rPr>
      </w:pPr>
      <w:r>
        <w:rPr>
          <w:rFonts w:ascii="Arial" w:cs="Arial" w:eastAsia="Arial" w:hAnsi="Arial"/>
          <w:sz w:val="22"/>
          <w:szCs w:val="22"/>
          <w:color w:val="auto"/>
        </w:rPr>
        <w:t>Article EIGHTH, the Corporation shall not indemnify an Indemnitee to the extent such Indemnitee is reimbursed from the proceeds of insurance, and in the event the Corporation makes any indemnification payments to an Indemnitee and such Indemnitee is subsequently reimbursed from the proceeds of insurance, such Indemnitee shall promptly refund indemnification payments to the Corporation to the extent of such insurance reimbursement.</w:t>
      </w:r>
    </w:p>
    <w:p>
      <w:pPr>
        <w:spacing w:after="0" w:line="236" w:lineRule="exact"/>
        <w:rPr>
          <w:sz w:val="20"/>
          <w:szCs w:val="20"/>
          <w:color w:val="auto"/>
        </w:rPr>
      </w:pPr>
    </w:p>
    <w:p>
      <w:pPr>
        <w:ind w:right="40" w:firstLine="8"/>
        <w:spacing w:after="0" w:line="244" w:lineRule="auto"/>
        <w:tabs>
          <w:tab w:leader="none" w:pos="2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Subsequent Amendment. No amendment, termination or repeal of this Article EIGHTH or of the relevant provisions of the General Corporation Law of the State of Delaware or any other applicable laws shall adversely affect or diminish in any way the rights of any Indemnitee to indemnification under the provisions hereof with respect to any action, suit, proceeding or investigation arising out of or relating to any actions, transactions or facts occurring prior to the final adoption of such amendment, termination or repeal.</w:t>
      </w:r>
    </w:p>
    <w:p>
      <w:pPr>
        <w:spacing w:after="0" w:line="239" w:lineRule="exact"/>
        <w:rPr>
          <w:rFonts w:ascii="Arial" w:cs="Arial" w:eastAsia="Arial" w:hAnsi="Arial"/>
          <w:sz w:val="22"/>
          <w:szCs w:val="22"/>
          <w:color w:val="auto"/>
        </w:rPr>
      </w:pPr>
    </w:p>
    <w:p>
      <w:pPr>
        <w:ind w:right="60" w:firstLine="8"/>
        <w:spacing w:after="0" w:line="256" w:lineRule="auto"/>
        <w:tabs>
          <w:tab w:leader="none" w:pos="36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Other Rights. The indemnification and advancement of expenses provided by this Article EIGHTH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EIGHTH shall be deemed to prohibit, and the Corporation is specifically authorized to enter into, agreements with officers and directors providing indemnification rights and procedures different from those set forth in this Article EIGHTH. In addition, the Corporation may, to the extent authorized from time to time by its Board of Directors, grant indemnification rights to other employees or agents of the Corporation or other persons serving the Corporation and such rights may be equivalent to, or greater or less than, those set forth in this Article EIGHTH.</w:t>
      </w:r>
    </w:p>
    <w:p>
      <w:pPr>
        <w:spacing w:after="0" w:line="231" w:lineRule="exact"/>
        <w:rPr>
          <w:rFonts w:ascii="Arial" w:cs="Arial" w:eastAsia="Arial" w:hAnsi="Arial"/>
          <w:sz w:val="21"/>
          <w:szCs w:val="21"/>
          <w:color w:val="auto"/>
        </w:rPr>
      </w:pPr>
    </w:p>
    <w:p>
      <w:pPr>
        <w:ind w:right="200" w:firstLine="8"/>
        <w:spacing w:after="0" w:line="257" w:lineRule="auto"/>
        <w:tabs>
          <w:tab w:leader="none" w:pos="36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Partial Indemnification. If an Indemnitee is entitled under any provision of this Article EIGHTH to indemnification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Indemnitee for the portion of such expenses (including attorneys’ fees), liabilities, losses, judgments, fines (including excise taxes and penalties arising under the Employee Retirement Income Security Act of 1974) or amounts paid in settlement to which Indemnitee is entitled.</w:t>
      </w:r>
    </w:p>
    <w:p>
      <w:pPr>
        <w:spacing w:after="0" w:line="226" w:lineRule="exact"/>
        <w:rPr>
          <w:rFonts w:ascii="Arial" w:cs="Arial" w:eastAsia="Arial" w:hAnsi="Arial"/>
          <w:sz w:val="21"/>
          <w:szCs w:val="21"/>
          <w:color w:val="auto"/>
        </w:rPr>
      </w:pPr>
    </w:p>
    <w:p>
      <w:pPr>
        <w:ind w:right="720" w:firstLine="8"/>
        <w:spacing w:after="0" w:line="249" w:lineRule="auto"/>
        <w:tabs>
          <w:tab w:leader="none" w:pos="36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Insurance. The Corporation may purchase and maintain insurance, at its expense, to protect itself and any director, officer, employee or agent of the Corporation or</w:t>
      </w:r>
    </w:p>
    <w:p>
      <w:pPr>
        <w:sectPr>
          <w:pgSz w:w="11900" w:h="16838" w:orient="portrait"/>
          <w:cols w:equalWidth="0" w:num="1">
            <w:col w:w="11240"/>
          </w:cols>
          <w:pgMar w:left="320" w:top="147"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General Corporation Law of the State of Delaware.</w:t>
      </w:r>
    </w:p>
    <w:p>
      <w:pPr>
        <w:spacing w:after="0" w:line="236" w:lineRule="exact"/>
        <w:rPr>
          <w:sz w:val="20"/>
          <w:szCs w:val="20"/>
          <w:color w:val="auto"/>
        </w:rPr>
      </w:pPr>
    </w:p>
    <w:p>
      <w:pPr>
        <w:ind w:right="160" w:firstLine="8"/>
        <w:spacing w:after="0" w:line="244" w:lineRule="auto"/>
        <w:tabs>
          <w:tab w:leader="none" w:pos="3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Savings Clause. If this Article EIGHTH or any portion hereof shall be invalidated on any ground by any court of competent jurisdiction, then the Corporation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EIGHTH that shall not have been invalidated and to the fullest extent permitted by applicable law.</w:t>
      </w:r>
    </w:p>
    <w:p>
      <w:pPr>
        <w:spacing w:after="0" w:line="238" w:lineRule="exact"/>
        <w:rPr>
          <w:rFonts w:ascii="Arial" w:cs="Arial" w:eastAsia="Arial" w:hAnsi="Arial"/>
          <w:sz w:val="22"/>
          <w:szCs w:val="22"/>
          <w:color w:val="auto"/>
        </w:rPr>
      </w:pPr>
    </w:p>
    <w:p>
      <w:pPr>
        <w:ind w:right="200" w:firstLine="8"/>
        <w:spacing w:after="0" w:line="246" w:lineRule="auto"/>
        <w:tabs>
          <w:tab w:leader="none" w:pos="36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Definitions. Terms used herein and defined in Section 145(h) and Section 145(i) of the General Corporation Law of the State of Delaware shall have the respective meanings assigned to such terms in such Section 145(h) and Section 145(i).</w:t>
      </w:r>
    </w:p>
    <w:p>
      <w:pPr>
        <w:spacing w:after="0" w:line="235" w:lineRule="exact"/>
        <w:rPr>
          <w:sz w:val="20"/>
          <w:szCs w:val="20"/>
          <w:color w:val="auto"/>
        </w:rPr>
      </w:pPr>
    </w:p>
    <w:p>
      <w:pPr>
        <w:ind w:right="360"/>
        <w:spacing w:after="0" w:line="249" w:lineRule="auto"/>
        <w:rPr>
          <w:sz w:val="20"/>
          <w:szCs w:val="20"/>
          <w:color w:val="auto"/>
        </w:rPr>
      </w:pPr>
      <w:r>
        <w:rPr>
          <w:rFonts w:ascii="Arial" w:cs="Arial" w:eastAsia="Arial" w:hAnsi="Arial"/>
          <w:sz w:val="22"/>
          <w:szCs w:val="22"/>
          <w:color w:val="auto"/>
        </w:rPr>
        <w:t>NINTH: This Article NINTH is inserted for the management of the business and for the conduct of the affairs of the Corporation.</w:t>
      </w:r>
    </w:p>
    <w:p>
      <w:pPr>
        <w:spacing w:after="0" w:line="231" w:lineRule="exact"/>
        <w:rPr>
          <w:sz w:val="20"/>
          <w:szCs w:val="20"/>
          <w:color w:val="auto"/>
        </w:rPr>
      </w:pPr>
    </w:p>
    <w:p>
      <w:pPr>
        <w:ind w:right="440" w:firstLine="8"/>
        <w:spacing w:after="0" w:line="249" w:lineRule="auto"/>
        <w:tabs>
          <w:tab w:leader="none" w:pos="2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General Powers. The business and affairs of the Corporation shall be managed by or under the direction of the Board of Directors.</w:t>
      </w:r>
    </w:p>
    <w:p>
      <w:pPr>
        <w:spacing w:after="0" w:line="231" w:lineRule="exact"/>
        <w:rPr>
          <w:rFonts w:ascii="Arial" w:cs="Arial" w:eastAsia="Arial" w:hAnsi="Arial"/>
          <w:sz w:val="22"/>
          <w:szCs w:val="22"/>
          <w:color w:val="auto"/>
        </w:rPr>
      </w:pPr>
    </w:p>
    <w:p>
      <w:pPr>
        <w:ind w:right="120" w:firstLine="8"/>
        <w:spacing w:after="0" w:line="246" w:lineRule="auto"/>
        <w:tabs>
          <w:tab w:leader="none" w:pos="2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Number of Directors; Election of Directors. Subject to the rights of holders of any series of Preferred Stock to elect directors, the number of directors of the Corporation shall be established by the Board of Directors. Election of directors need not be by written ballot, except as and to the extent provided in the By-laws of the Corporation.</w:t>
      </w:r>
    </w:p>
    <w:p>
      <w:pPr>
        <w:spacing w:after="0" w:line="234" w:lineRule="exact"/>
        <w:rPr>
          <w:rFonts w:ascii="Arial" w:cs="Arial" w:eastAsia="Arial" w:hAnsi="Arial"/>
          <w:sz w:val="22"/>
          <w:szCs w:val="22"/>
          <w:color w:val="auto"/>
        </w:rPr>
      </w:pPr>
    </w:p>
    <w:p>
      <w:pPr>
        <w:ind w:right="100" w:firstLine="8"/>
        <w:spacing w:after="0" w:line="244" w:lineRule="auto"/>
        <w:tabs>
          <w:tab w:leader="none" w:pos="2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Classes of Directors. Subject to the rights of holders of any series of Preferred Stock to elect directors, the Board of Directors shall be and is divided into three classes, designated Class I, Class II and Class III. Each class shall consist, as nearly as may be possible, of one-third of the total number of directors constituting the entire Board of Directors. The Board of Directors is authorized to assign members of the Board of Directors already in office to Class I, Class II or Class III at the time such classification becomes effective.</w:t>
      </w:r>
    </w:p>
    <w:p>
      <w:pPr>
        <w:spacing w:after="0" w:line="239" w:lineRule="exact"/>
        <w:rPr>
          <w:rFonts w:ascii="Arial" w:cs="Arial" w:eastAsia="Arial" w:hAnsi="Arial"/>
          <w:sz w:val="22"/>
          <w:szCs w:val="22"/>
          <w:color w:val="auto"/>
        </w:rPr>
      </w:pPr>
    </w:p>
    <w:p>
      <w:pPr>
        <w:ind w:right="200" w:firstLine="8"/>
        <w:spacing w:after="0" w:line="244" w:lineRule="auto"/>
        <w:tabs>
          <w:tab w:leader="none" w:pos="24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Terms of Office. Subject to the rights of holders of any series of Preferred Stock to elect directors, each director shall serve for a term ending on the date of the third annual meeting of stockholders following the annual meeting of stockholders at which such director was elected; provided that each director initially assigned to Class I shall serve for a term expiring at the Corporation’s first annual meeting of stockholders held after the effectiveness of this Restated Certificate of Incorporation; each director initially</w:t>
      </w:r>
    </w:p>
    <w:p>
      <w:pPr>
        <w:sectPr>
          <w:pgSz w:w="11900" w:h="16838" w:orient="portrait"/>
          <w:cols w:equalWidth="0" w:num="1">
            <w:col w:w="11240"/>
          </w:cols>
          <w:pgMar w:left="320" w:top="147"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assigned to Class II shall serve for a term expiring at the Corporation’s second annual meeting of stockholders held after the effectiveness of this Restated Certificate of Incorporation; and each director initially assigned to Class III shall serve for a term expiring at the Corporation’s third annual meeting of stockholders held after the effectiveness of this Restated Certificate of Incorporation; provided further, that the term of each director shall continue until the election and qualification of his or her successor and be subject to his or her earlier death, resignation or removal.</w:t>
      </w:r>
    </w:p>
    <w:p>
      <w:pPr>
        <w:spacing w:after="0" w:line="223" w:lineRule="exact"/>
        <w:rPr>
          <w:sz w:val="20"/>
          <w:szCs w:val="20"/>
          <w:color w:val="auto"/>
        </w:rPr>
      </w:pPr>
    </w:p>
    <w:p>
      <w:pPr>
        <w:ind w:right="20" w:firstLine="8"/>
        <w:spacing w:after="0" w:line="244" w:lineRule="auto"/>
        <w:tabs>
          <w:tab w:leader="none" w:pos="24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Quorum. The greater of (a) a majority of the directors at any time in office and (b) one-third of the number of directors fixed pursuant to Section 2 of this Article NINTH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spacing w:after="0" w:line="239" w:lineRule="exact"/>
        <w:rPr>
          <w:rFonts w:ascii="Arial" w:cs="Arial" w:eastAsia="Arial" w:hAnsi="Arial"/>
          <w:sz w:val="22"/>
          <w:szCs w:val="22"/>
          <w:color w:val="auto"/>
        </w:rPr>
      </w:pPr>
    </w:p>
    <w:p>
      <w:pPr>
        <w:ind w:right="80" w:firstLine="8"/>
        <w:spacing w:after="0" w:line="246" w:lineRule="auto"/>
        <w:tabs>
          <w:tab w:leader="none" w:pos="24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Action at Meeting. Every act or decision done or made by a majority of the directors present at a meeting duly held at which a quorum is present shall be regarded as the act of the Board of Directors unless a greater number is required by law or by this Certificate of Incorporation.</w:t>
      </w:r>
    </w:p>
    <w:p>
      <w:pPr>
        <w:spacing w:after="0" w:line="234" w:lineRule="exact"/>
        <w:rPr>
          <w:rFonts w:ascii="Arial" w:cs="Arial" w:eastAsia="Arial" w:hAnsi="Arial"/>
          <w:sz w:val="22"/>
          <w:szCs w:val="22"/>
          <w:color w:val="auto"/>
        </w:rPr>
      </w:pPr>
    </w:p>
    <w:p>
      <w:pPr>
        <w:ind w:right="340" w:firstLine="8"/>
        <w:spacing w:after="0" w:line="263" w:lineRule="auto"/>
        <w:tabs>
          <w:tab w:leader="none" w:pos="24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Removal. Subject to the rights of holders of any series of Preferred Stock, directors of the Corporation may be removed only for cause and only by the affirmative vote of the holders of at least seventy-five percent (75%) of the votes which all the stockholders would be entitled to cast in any annual election of directors or class of directors.</w:t>
      </w:r>
    </w:p>
    <w:p>
      <w:pPr>
        <w:spacing w:after="0" w:line="218" w:lineRule="exact"/>
        <w:rPr>
          <w:rFonts w:ascii="Arial" w:cs="Arial" w:eastAsia="Arial" w:hAnsi="Arial"/>
          <w:sz w:val="21"/>
          <w:szCs w:val="21"/>
          <w:color w:val="auto"/>
        </w:rPr>
      </w:pPr>
    </w:p>
    <w:p>
      <w:pPr>
        <w:ind w:right="60" w:firstLine="8"/>
        <w:spacing w:after="0" w:line="244" w:lineRule="auto"/>
        <w:tabs>
          <w:tab w:leader="none" w:pos="24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Vacancies.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A director elected to fill a vacancy shall hold office until the next election of the class for which such director shall have been chosen, subject to the election and qualification of a successor and to such director’s earlier death, resignation or removal.</w:t>
      </w:r>
    </w:p>
    <w:p>
      <w:pPr>
        <w:spacing w:after="0" w:line="238" w:lineRule="exact"/>
        <w:rPr>
          <w:rFonts w:ascii="Arial" w:cs="Arial" w:eastAsia="Arial" w:hAnsi="Arial"/>
          <w:sz w:val="22"/>
          <w:szCs w:val="22"/>
          <w:color w:val="auto"/>
        </w:rPr>
      </w:pPr>
    </w:p>
    <w:p>
      <w:pPr>
        <w:ind w:right="40" w:firstLine="8"/>
        <w:spacing w:after="0" w:line="246" w:lineRule="auto"/>
        <w:tabs>
          <w:tab w:leader="none" w:pos="24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Stockholder Nominations and Introduction of Business, Etc. Advance notice of stockholder nominations for election of directors and other business to be brought by stockholders before a meeting of stockholders shall be given in the manner provided by the By-laws of the Corporation.</w:t>
      </w:r>
    </w:p>
    <w:p>
      <w:pPr>
        <w:spacing w:after="0" w:line="234" w:lineRule="exact"/>
        <w:rPr>
          <w:rFonts w:ascii="Arial" w:cs="Arial" w:eastAsia="Arial" w:hAnsi="Arial"/>
          <w:sz w:val="22"/>
          <w:szCs w:val="22"/>
          <w:color w:val="auto"/>
        </w:rPr>
      </w:pPr>
    </w:p>
    <w:p>
      <w:pPr>
        <w:ind w:firstLine="8"/>
        <w:spacing w:after="0" w:line="244" w:lineRule="auto"/>
        <w:tabs>
          <w:tab w:leader="none" w:pos="3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Amendments to Article. Notwithstanding any other provisions of law, this Certificate of Incorporation or the By-laws of the Corporation, and notwithstanding the fact that a lesser percentage may be specified by law, the affirmative vote of the holders of at least seventy-five percent (75%) of the votes which all the stockholders would be entitled to cast in any annual election of directors or class of directors shall be required to amend or repeal, or to adopt any provision inconsistent with, this Article NINTH.</w:t>
      </w:r>
    </w:p>
    <w:p>
      <w:pPr>
        <w:sectPr>
          <w:pgSz w:w="11900" w:h="16838" w:orient="portrait"/>
          <w:cols w:equalWidth="0" w:num="1">
            <w:col w:w="11240"/>
          </w:cols>
          <w:pgMar w:left="320" w:top="147"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spacing w:after="0" w:line="244" w:lineRule="auto"/>
        <w:rPr>
          <w:sz w:val="20"/>
          <w:szCs w:val="20"/>
          <w:color w:val="auto"/>
        </w:rPr>
      </w:pPr>
      <w:r>
        <w:rPr>
          <w:rFonts w:ascii="Arial" w:cs="Arial" w:eastAsia="Arial" w:hAnsi="Arial"/>
          <w:sz w:val="22"/>
          <w:szCs w:val="22"/>
          <w:color w:val="auto"/>
        </w:rPr>
        <w:t>TENTH: Stockholders of the Corporation may not take any action by written consent in lieu of a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which all the stockholders would be entitled to cast in any annual election of directors or class of directors shall be required to amend or repeal, or to adopt any provision inconsistent with, this Article TENTH.</w:t>
      </w:r>
    </w:p>
    <w:p>
      <w:pPr>
        <w:spacing w:after="0" w:line="239" w:lineRule="exact"/>
        <w:rPr>
          <w:sz w:val="20"/>
          <w:szCs w:val="20"/>
          <w:color w:val="auto"/>
        </w:rPr>
      </w:pPr>
    </w:p>
    <w:p>
      <w:pPr>
        <w:ind w:right="180"/>
        <w:spacing w:after="0" w:line="257" w:lineRule="auto"/>
        <w:rPr>
          <w:sz w:val="20"/>
          <w:szCs w:val="20"/>
          <w:color w:val="auto"/>
        </w:rPr>
      </w:pPr>
      <w:r>
        <w:rPr>
          <w:rFonts w:ascii="Arial" w:cs="Arial" w:eastAsia="Arial" w:hAnsi="Arial"/>
          <w:sz w:val="21"/>
          <w:szCs w:val="21"/>
          <w:color w:val="auto"/>
        </w:rPr>
        <w:t>ELEVENTH: Special meetings of stockholders for any purpose or purposes may be called at any time by only the Board of Directors, the Chairman of the Board or the Chief Executive Officer, and may not be called by any other person or persons. Business transacted at any special meeting of stockholders shall be limited to matters relating to the purpose or purposes stated in the notice of meeting. Notwithstanding any other provisions of law, this Certificate of Incorporation or the By-laws of the Corporation, and notwithstanding the fact that a lesser percentage may be specified by law, the affirmative vote of the holders of at least seventy-five percent (75%) of the votes which all the stockholders would be entitled to cast in any annual election of directors or class of directors shall be required to amend or repeal, or to adopt any provision inconsistent with, this Article ELEVENTH.</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 * *</w:t>
      </w:r>
    </w:p>
    <w:p>
      <w:pPr>
        <w:spacing w:after="0" w:line="247" w:lineRule="exact"/>
        <w:rPr>
          <w:sz w:val="20"/>
          <w:szCs w:val="20"/>
          <w:color w:val="auto"/>
        </w:rPr>
      </w:pPr>
    </w:p>
    <w:p>
      <w:pPr>
        <w:ind w:right="100"/>
        <w:spacing w:after="0" w:line="249" w:lineRule="auto"/>
        <w:rPr>
          <w:sz w:val="20"/>
          <w:szCs w:val="20"/>
          <w:color w:val="auto"/>
        </w:rPr>
      </w:pPr>
      <w:r>
        <w:rPr>
          <w:rFonts w:ascii="Arial" w:cs="Arial" w:eastAsia="Arial" w:hAnsi="Arial"/>
          <w:sz w:val="22"/>
          <w:szCs w:val="22"/>
          <w:color w:val="auto"/>
        </w:rPr>
        <w:t>IN WITNESS WHEREOF, this Restated Certificate of Incorporation has been executed by a duly authorized officer of this corporation this [ ] day of [ ], 2013.</w:t>
      </w:r>
    </w:p>
    <w:p>
      <w:pPr>
        <w:spacing w:after="0" w:line="200" w:lineRule="exact"/>
        <w:rPr>
          <w:sz w:val="20"/>
          <w:szCs w:val="20"/>
          <w:color w:val="auto"/>
        </w:rPr>
      </w:pPr>
    </w:p>
    <w:p>
      <w:pPr>
        <w:spacing w:after="0" w:line="274"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OPHTHOTECH CORPORATION</w:t>
      </w:r>
    </w:p>
    <w:p>
      <w:pPr>
        <w:spacing w:after="0" w:line="203" w:lineRule="exact"/>
        <w:rPr>
          <w:sz w:val="20"/>
          <w:szCs w:val="20"/>
          <w:color w:val="auto"/>
        </w:rPr>
      </w:pPr>
    </w:p>
    <w:tbl>
      <w:tblPr>
        <w:tblLayout w:type="fixed"/>
        <w:tblInd w:w="3900" w:type="dxa"/>
        <w:tblCellMar>
          <w:top w:w="0" w:type="dxa"/>
          <w:left w:w="0" w:type="dxa"/>
          <w:bottom w:w="0" w:type="dxa"/>
          <w:right w:w="0" w:type="dxa"/>
        </w:tblCellMar>
      </w:tblPr>
      <w:tr>
        <w:trPr>
          <w:trHeight w:val="253"/>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1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David R. Guyer</w:t>
            </w:r>
          </w:p>
        </w:tc>
        <w:tc>
          <w:tcPr>
            <w:tcW w:w="560" w:type="dxa"/>
            <w:vAlign w:val="bottom"/>
          </w:tcPr>
          <w:p>
            <w:pPr>
              <w:spacing w:after="0"/>
              <w:rPr>
                <w:sz w:val="21"/>
                <w:szCs w:val="21"/>
                <w:color w:val="auto"/>
              </w:rPr>
            </w:pPr>
          </w:p>
        </w:tc>
      </w:tr>
      <w:tr>
        <w:trPr>
          <w:trHeight w:val="284"/>
        </w:trPr>
        <w:tc>
          <w:tcPr>
            <w:tcW w:w="840" w:type="dxa"/>
            <w:vAlign w:val="bottom"/>
          </w:tcPr>
          <w:p>
            <w:pPr>
              <w:spacing w:after="0"/>
              <w:rPr>
                <w:sz w:val="20"/>
                <w:szCs w:val="20"/>
                <w:color w:val="auto"/>
              </w:rPr>
            </w:pPr>
            <w:r>
              <w:rPr>
                <w:rFonts w:ascii="Arial" w:cs="Arial" w:eastAsia="Arial" w:hAnsi="Arial"/>
                <w:sz w:val="22"/>
                <w:szCs w:val="22"/>
                <w:color w:val="auto"/>
              </w:rPr>
              <w:t>Name:</w:t>
            </w:r>
          </w:p>
        </w:tc>
        <w:tc>
          <w:tcPr>
            <w:tcW w:w="2340" w:type="dxa"/>
            <w:vAlign w:val="bottom"/>
            <w:gridSpan w:val="2"/>
          </w:tcPr>
          <w:p>
            <w:pPr>
              <w:ind w:left="340"/>
              <w:spacing w:after="0"/>
              <w:rPr>
                <w:sz w:val="20"/>
                <w:szCs w:val="20"/>
                <w:color w:val="auto"/>
              </w:rPr>
            </w:pPr>
            <w:r>
              <w:rPr>
                <w:rFonts w:ascii="Arial" w:cs="Arial" w:eastAsia="Arial" w:hAnsi="Arial"/>
                <w:sz w:val="22"/>
                <w:szCs w:val="22"/>
                <w:color w:val="auto"/>
              </w:rPr>
              <w:t>David R. Guyer</w:t>
            </w:r>
          </w:p>
        </w:tc>
      </w:tr>
      <w:tr>
        <w:trPr>
          <w:trHeight w:val="259"/>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2340" w:type="dxa"/>
            <w:vAlign w:val="bottom"/>
            <w:gridSpan w:val="2"/>
          </w:tcPr>
          <w:p>
            <w:pPr>
              <w:ind w:left="160"/>
              <w:spacing w:after="0"/>
              <w:rPr>
                <w:sz w:val="20"/>
                <w:szCs w:val="20"/>
                <w:color w:val="auto"/>
              </w:rPr>
            </w:pPr>
            <w:r>
              <w:rPr>
                <w:rFonts w:ascii="Arial" w:cs="Arial" w:eastAsia="Arial" w:hAnsi="Arial"/>
                <w:sz w:val="22"/>
                <w:szCs w:val="22"/>
                <w:color w:val="auto"/>
                <w:w w:val="96"/>
              </w:rPr>
              <w:t>Chief Executive Officer</w:t>
            </w:r>
          </w:p>
        </w:tc>
      </w:tr>
    </w:tbl>
    <w:p>
      <w:pPr>
        <w:sectPr>
          <w:pgSz w:w="11900" w:h="16838" w:orient="portrait"/>
          <w:cols w:equalWidth="0" w:num="1">
            <w:col w:w="11240"/>
          </w:cols>
          <w:pgMar w:left="320" w:top="147"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2"/>
          <w:szCs w:val="22"/>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CERTIFICATE OF 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RESTATED CERTIFICATE OF INCORPORATION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OPHTHOTECH CORPORATION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242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General Corporation Law of the State of Delaware)</w:t>
      </w:r>
    </w:p>
    <w:p>
      <w:pPr>
        <w:spacing w:after="0" w:line="247" w:lineRule="exact"/>
        <w:rPr>
          <w:sz w:val="20"/>
          <w:szCs w:val="20"/>
          <w:color w:val="auto"/>
        </w:rPr>
      </w:pPr>
    </w:p>
    <w:p>
      <w:pPr>
        <w:ind w:right="980"/>
        <w:spacing w:after="0" w:line="249" w:lineRule="auto"/>
        <w:rPr>
          <w:sz w:val="20"/>
          <w:szCs w:val="20"/>
          <w:color w:val="auto"/>
        </w:rPr>
      </w:pPr>
      <w:r>
        <w:rPr>
          <w:rFonts w:ascii="Arial" w:cs="Arial" w:eastAsia="Arial" w:hAnsi="Arial"/>
          <w:sz w:val="22"/>
          <w:szCs w:val="22"/>
          <w:color w:val="auto"/>
        </w:rPr>
        <w:t>Ophthotech Corporation (the “Corporation”), a corporation organized and existing under and by virtue of the provisions of the General Corporation Law of the State of Delaware (the “General Corporation Law”),</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DOES HEREBY CERTIFY:</w:t>
      </w:r>
    </w:p>
    <w:p>
      <w:pPr>
        <w:spacing w:after="0" w:line="247"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FIRST: The Board of Directors of the Corporation duly adopted resolutions, pursuant to Section 242 of the General Corporation Law, setting forth an amendment to the Restated Certificate of Incorporation of the Corporation (the “Certificate of Incorporation”) and declaring said amendment to be advisable and in the best interests of the Corporation.</w:t>
      </w:r>
    </w:p>
    <w:p>
      <w:pPr>
        <w:spacing w:after="0" w:line="236" w:lineRule="exact"/>
        <w:rPr>
          <w:sz w:val="20"/>
          <w:szCs w:val="20"/>
          <w:color w:val="auto"/>
        </w:rPr>
      </w:pPr>
    </w:p>
    <w:p>
      <w:pPr>
        <w:ind w:right="460"/>
        <w:spacing w:after="0" w:line="249" w:lineRule="auto"/>
        <w:rPr>
          <w:sz w:val="20"/>
          <w:szCs w:val="20"/>
          <w:color w:val="auto"/>
        </w:rPr>
      </w:pPr>
      <w:r>
        <w:rPr>
          <w:rFonts w:ascii="Arial" w:cs="Arial" w:eastAsia="Arial" w:hAnsi="Arial"/>
          <w:sz w:val="22"/>
          <w:szCs w:val="22"/>
          <w:color w:val="auto"/>
        </w:rPr>
        <w:t>SECOND: The Certificate of Incorporation is hereby amended by deleting in its entirety Article FIRST thereof and inserting in lieu thereof the following replacement Article FIRST: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“The name of the Corporation is IVERIC bio,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THIRD: This Certificate of Amendment shall be effective at 4:00 p.m., Eastern Time, on April 16, 2019.</w:t>
      </w:r>
    </w:p>
    <w:p>
      <w:pPr>
        <w:spacing w:after="0" w:line="247" w:lineRule="exact"/>
        <w:rPr>
          <w:sz w:val="20"/>
          <w:szCs w:val="20"/>
          <w:color w:val="auto"/>
        </w:rPr>
      </w:pPr>
    </w:p>
    <w:p>
      <w:pPr>
        <w:ind w:right="760"/>
        <w:spacing w:after="0" w:line="243" w:lineRule="auto"/>
        <w:rPr>
          <w:sz w:val="20"/>
          <w:szCs w:val="20"/>
          <w:color w:val="auto"/>
        </w:rPr>
      </w:pPr>
      <w:r>
        <w:rPr>
          <w:rFonts w:ascii="Arial" w:cs="Arial" w:eastAsia="Arial" w:hAnsi="Arial"/>
          <w:sz w:val="22"/>
          <w:szCs w:val="22"/>
          <w:color w:val="auto"/>
        </w:rPr>
        <w:t>IN WITNESS WHEREOF, this Certificate of Amendment has been executed by a duly authorized officer of the Corporation on this 15th day of April, 2019.</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Glenn P. Sblendorio</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Glenn P. Sblendorio</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President and Chief Executive Officer</w:t>
      </w:r>
    </w:p>
    <w:p>
      <w:pPr>
        <w:sectPr>
          <w:pgSz w:w="11900" w:h="16838" w:orient="portrait"/>
          <w:cols w:equalWidth="0" w:num="1">
            <w:col w:w="11240"/>
          </w:cols>
          <w:pgMar w:left="320" w:top="147"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2 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2019 INDUCEMENT STOCK INCENTIVE PLAN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IVERIC BIO, INC.</w:t>
      </w:r>
    </w:p>
    <w:p>
      <w:pPr>
        <w:spacing w:after="0" w:line="233" w:lineRule="exact"/>
        <w:rPr>
          <w:sz w:val="20"/>
          <w:szCs w:val="20"/>
          <w:color w:val="auto"/>
        </w:rPr>
      </w:pPr>
    </w:p>
    <w:p>
      <w:pPr>
        <w:ind w:right="20" w:firstLine="441"/>
        <w:spacing w:after="0" w:line="328" w:lineRule="auto"/>
        <w:rPr>
          <w:sz w:val="20"/>
          <w:szCs w:val="20"/>
          <w:color w:val="auto"/>
        </w:rPr>
      </w:pPr>
      <w:r>
        <w:rPr>
          <w:rFonts w:ascii="Arial" w:cs="Arial" w:eastAsia="Arial" w:hAnsi="Arial"/>
          <w:sz w:val="19"/>
          <w:szCs w:val="19"/>
          <w:color w:val="auto"/>
        </w:rPr>
        <w:t>The 2019 Inducement Stock Incentive Plan (the “Plan”) of IVERIC bio, Inc. (the “Company”) is hereby amended as follows (all capitalized terms used and not defined herein shall have the respective meanings ascribed to such terms in the Plan):</w:t>
      </w:r>
    </w:p>
    <w:p>
      <w:pPr>
        <w:spacing w:after="0" w:line="132" w:lineRule="exact"/>
        <w:rPr>
          <w:sz w:val="20"/>
          <w:szCs w:val="20"/>
          <w:color w:val="auto"/>
        </w:rPr>
      </w:pPr>
    </w:p>
    <w:p>
      <w:pPr>
        <w:ind w:left="220" w:hanging="212"/>
        <w:spacing w:after="0"/>
        <w:tabs>
          <w:tab w:leader="none" w:pos="2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Section 4(a)(1) of the Plan be and hereby is deleted in its entirety and the following is inserted in lieu thereof:</w:t>
      </w:r>
    </w:p>
    <w:p>
      <w:pPr>
        <w:spacing w:after="0" w:line="233" w:lineRule="exact"/>
        <w:rPr>
          <w:rFonts w:ascii="Arial" w:cs="Arial" w:eastAsia="Arial" w:hAnsi="Arial"/>
          <w:sz w:val="22"/>
          <w:szCs w:val="22"/>
          <w:color w:val="auto"/>
        </w:rPr>
      </w:pPr>
    </w:p>
    <w:p>
      <w:pPr>
        <w:ind w:left="960" w:hanging="304"/>
        <w:spacing w:after="0"/>
        <w:tabs>
          <w:tab w:leader="none" w:pos="960"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Authorized Number of Shares</w:t>
      </w:r>
      <w:r>
        <w:rPr>
          <w:rFonts w:ascii="Arial" w:cs="Arial" w:eastAsia="Arial" w:hAnsi="Arial"/>
          <w:sz w:val="19"/>
          <w:szCs w:val="19"/>
          <w:color w:val="auto"/>
        </w:rPr>
        <w:t>. Subject to adjustment under Section 9, Awards may be made under the Plan for up to</w:t>
      </w:r>
    </w:p>
    <w:p>
      <w:pPr>
        <w:spacing w:after="0" w:line="42" w:lineRule="exact"/>
        <w:rPr>
          <w:rFonts w:ascii="Arial" w:cs="Arial" w:eastAsia="Arial" w:hAnsi="Arial"/>
          <w:sz w:val="19"/>
          <w:szCs w:val="19"/>
          <w:color w:val="auto"/>
        </w:rPr>
      </w:pPr>
    </w:p>
    <w:p>
      <w:pPr>
        <w:ind w:right="120"/>
        <w:spacing w:after="0" w:line="236" w:lineRule="auto"/>
        <w:rPr>
          <w:rFonts w:ascii="Arial" w:cs="Arial" w:eastAsia="Arial" w:hAnsi="Arial"/>
          <w:sz w:val="19"/>
          <w:szCs w:val="19"/>
          <w:color w:val="auto"/>
        </w:rPr>
      </w:pPr>
      <w:r>
        <w:rPr>
          <w:rFonts w:ascii="Arial" w:cs="Arial" w:eastAsia="Arial" w:hAnsi="Arial"/>
          <w:sz w:val="22"/>
          <w:szCs w:val="22"/>
          <w:color w:val="auto"/>
        </w:rPr>
        <w:t>2,600,000 shares of common stock, $0.001 par value per share, of the Company (the “Common Stock”). Shares issued under the Plan may consist in whole or in part of authorized but unissued shares or treasury shares.</w:t>
      </w:r>
    </w:p>
    <w:p>
      <w:pPr>
        <w:spacing w:after="0" w:line="213" w:lineRule="exact"/>
        <w:rPr>
          <w:rFonts w:ascii="Arial" w:cs="Arial" w:eastAsia="Arial" w:hAnsi="Arial"/>
          <w:sz w:val="19"/>
          <w:szCs w:val="19"/>
          <w:color w:val="auto"/>
        </w:rPr>
      </w:pPr>
    </w:p>
    <w:p>
      <w:pPr>
        <w:ind w:left="220" w:hanging="212"/>
        <w:spacing w:after="0"/>
        <w:tabs>
          <w:tab w:leader="none" w:pos="2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Except as set forth herein, the Plan shall remain in full force and effect.</w:t>
      </w:r>
    </w:p>
    <w:p>
      <w:pPr>
        <w:spacing w:after="0" w:line="233" w:lineRule="exact"/>
        <w:rPr>
          <w:rFonts w:ascii="Arial" w:cs="Arial" w:eastAsia="Arial" w:hAnsi="Arial"/>
          <w:sz w:val="22"/>
          <w:szCs w:val="22"/>
          <w:color w:val="auto"/>
        </w:rPr>
      </w:pPr>
    </w:p>
    <w:p>
      <w:pPr>
        <w:ind w:left="5400"/>
        <w:spacing w:after="0"/>
        <w:rPr>
          <w:rFonts w:ascii="Arial" w:cs="Arial" w:eastAsia="Arial" w:hAnsi="Arial"/>
          <w:sz w:val="22"/>
          <w:szCs w:val="22"/>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Arial" w:cs="Arial" w:eastAsia="Arial" w:hAnsi="Arial"/>
          <w:sz w:val="22"/>
          <w:szCs w:val="22"/>
          <w:i w:val="1"/>
          <w:iCs w:val="1"/>
          <w:color w:val="auto"/>
        </w:rPr>
        <w:t>Approved by the Board of Directors on February 24, 2021.</w:t>
      </w:r>
    </w:p>
    <w:p>
      <w:pPr>
        <w:sectPr>
          <w:pgSz w:w="11900" w:h="16838" w:orient="portrait"/>
          <w:cols w:equalWidth="0" w:num="1">
            <w:col w:w="11240"/>
          </w:cols>
          <w:pgMar w:left="320" w:top="147"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0"/>
          <w:szCs w:val="20"/>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IVERIC bio, Inc.</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IVERIC bio Gene Therapy LLC, a Delaware limited liability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Orion Ophthalmology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6"/>
          <w:szCs w:val="16"/>
          <w:b w:val="1"/>
          <w:bCs w:val="1"/>
          <w:color w:val="auto"/>
        </w:rPr>
        <w:t>Exhibit 23.1</w:t>
      </w:r>
    </w:p>
    <w:p>
      <w:pPr>
        <w:spacing w:after="0" w:line="23" w:lineRule="exact"/>
        <w:rPr>
          <w:sz w:val="20"/>
          <w:szCs w:val="20"/>
          <w:color w:val="auto"/>
        </w:rPr>
      </w:pPr>
    </w:p>
    <w:p>
      <w:pPr>
        <w:ind w:right="2760" w:firstLine="2444"/>
        <w:spacing w:after="0" w:line="257"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213" w:lineRule="exact"/>
        <w:rPr>
          <w:sz w:val="20"/>
          <w:szCs w:val="20"/>
          <w:color w:val="auto"/>
        </w:rPr>
      </w:pPr>
    </w:p>
    <w:p>
      <w:pPr>
        <w:ind w:left="340" w:hanging="328"/>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333-238065) pertaining to the 2019 Inducement Stock Incentive Plan of IVERIC bio, Inc. effective May 7, 2020</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333-236720) pertaining to the 2013 Stock Incentive Plan of IVERIC bio, Inc. effective February 27, 2020</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Registration Statement (Form S-8 No. 333-234404) pertaining to the 2019 Inducement Stock Incentive Plan of IVERIC bio, Inc. effective October 31, 2019</w:t>
      </w:r>
    </w:p>
    <w:p>
      <w:pPr>
        <w:spacing w:after="0" w:line="259" w:lineRule="exact"/>
        <w:rPr>
          <w:rFonts w:ascii="Arial" w:cs="Arial" w:eastAsia="Arial" w:hAnsi="Arial"/>
          <w:sz w:val="15"/>
          <w:szCs w:val="15"/>
          <w:color w:val="auto"/>
        </w:rPr>
      </w:pPr>
    </w:p>
    <w:p>
      <w:pPr>
        <w:ind w:left="340" w:hanging="328"/>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333-229982) pertaining to the 2013 Stock Incentive Plan of IVERIC bio, Inc. effective March 1, 2019,</w:t>
      </w:r>
    </w:p>
    <w:p>
      <w:pPr>
        <w:spacing w:after="0" w:line="260" w:lineRule="exact"/>
        <w:rPr>
          <w:rFonts w:ascii="Arial" w:cs="Arial" w:eastAsia="Arial" w:hAnsi="Arial"/>
          <w:sz w:val="16"/>
          <w:szCs w:val="16"/>
          <w:color w:val="auto"/>
        </w:rPr>
      </w:pPr>
    </w:p>
    <w:p>
      <w:pPr>
        <w:ind w:left="320" w:hanging="308"/>
        <w:spacing w:after="0"/>
        <w:tabs>
          <w:tab w:leader="none" w:pos="320" w:val="left"/>
        </w:tabs>
        <w:numPr>
          <w:ilvl w:val="0"/>
          <w:numId w:val="129"/>
        </w:numPr>
        <w:rPr>
          <w:rFonts w:ascii="Arial" w:cs="Arial" w:eastAsia="Arial" w:hAnsi="Arial"/>
          <w:sz w:val="18"/>
          <w:szCs w:val="18"/>
          <w:color w:val="auto"/>
        </w:rPr>
      </w:pPr>
      <w:r>
        <w:rPr>
          <w:rFonts w:ascii="Arial" w:cs="Arial" w:eastAsia="Arial" w:hAnsi="Arial"/>
          <w:sz w:val="16"/>
          <w:szCs w:val="16"/>
          <w:color w:val="auto"/>
        </w:rPr>
        <w:t>Registration Statement (Form S-3 No. 333-229978) of IVERIC bio, Inc. effective April 25, 2019,</w:t>
      </w:r>
    </w:p>
    <w:p>
      <w:pPr>
        <w:spacing w:after="0" w:line="239" w:lineRule="exact"/>
        <w:rPr>
          <w:rFonts w:ascii="Arial" w:cs="Arial" w:eastAsia="Arial" w:hAnsi="Arial"/>
          <w:sz w:val="18"/>
          <w:szCs w:val="18"/>
          <w:color w:val="auto"/>
        </w:rPr>
      </w:pPr>
    </w:p>
    <w:p>
      <w:pPr>
        <w:ind w:left="340" w:hanging="328"/>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S-3 No. 333-226497) of IVERIC bio, Inc. effective August 15, 2018,</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333-223537) pertaining to the 2013 Stock Incentive Plan of IVERIC bio, Inc. effective March 9, 2018,</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333-219656) pertaining to the 2013 Stock Incentive Plan of IVERIC bio, Inc. effective August 3, 2017,</w:t>
      </w:r>
    </w:p>
    <w:p>
      <w:pPr>
        <w:spacing w:after="0" w:line="248" w:lineRule="exact"/>
        <w:rPr>
          <w:rFonts w:ascii="Arial" w:cs="Arial" w:eastAsia="Arial" w:hAnsi="Arial"/>
          <w:sz w:val="16"/>
          <w:szCs w:val="16"/>
          <w:color w:val="auto"/>
        </w:rPr>
      </w:pPr>
    </w:p>
    <w:p>
      <w:pPr>
        <w:ind w:left="340" w:hanging="328"/>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333-211916) pertaining to the 2016 Employee Stock Purchase Plan of IVERIC bio, Inc. effective June 8, 2016,</w:t>
      </w:r>
    </w:p>
    <w:p>
      <w:pPr>
        <w:spacing w:after="0" w:line="248" w:lineRule="exact"/>
        <w:rPr>
          <w:rFonts w:ascii="Arial" w:cs="Arial" w:eastAsia="Arial" w:hAnsi="Arial"/>
          <w:sz w:val="16"/>
          <w:szCs w:val="16"/>
          <w:color w:val="auto"/>
        </w:rPr>
      </w:pPr>
    </w:p>
    <w:p>
      <w:pPr>
        <w:ind w:left="340" w:right="20" w:hanging="328"/>
        <w:spacing w:after="0" w:line="275" w:lineRule="auto"/>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333-208893) pertaining to the 2013 Stock Incentive Plan and inducement stock option grants of IVERIC bio, Inc., effective January 6, 2016,</w:t>
      </w:r>
    </w:p>
    <w:p>
      <w:pPr>
        <w:spacing w:after="0" w:line="199" w:lineRule="exact"/>
        <w:rPr>
          <w:rFonts w:ascii="Arial" w:cs="Arial" w:eastAsia="Arial" w:hAnsi="Arial"/>
          <w:sz w:val="16"/>
          <w:szCs w:val="16"/>
          <w:color w:val="auto"/>
        </w:rPr>
      </w:pPr>
    </w:p>
    <w:p>
      <w:pPr>
        <w:ind w:left="340" w:right="40" w:hanging="328"/>
        <w:spacing w:after="0" w:line="275" w:lineRule="auto"/>
        <w:tabs>
          <w:tab w:leader="none" w:pos="33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333-202438) pertaining to the 2013 Stock Incentive Plan and inducement stock option grants of IVERIC bio, Inc., effective March 2, 2015,</w:t>
      </w:r>
    </w:p>
    <w:p>
      <w:pPr>
        <w:spacing w:after="0" w:line="199" w:lineRule="exact"/>
        <w:rPr>
          <w:rFonts w:ascii="Arial" w:cs="Arial" w:eastAsia="Arial" w:hAnsi="Arial"/>
          <w:sz w:val="16"/>
          <w:szCs w:val="16"/>
          <w:color w:val="auto"/>
        </w:rPr>
      </w:pPr>
    </w:p>
    <w:p>
      <w:pPr>
        <w:ind w:left="340" w:hanging="328"/>
        <w:spacing w:after="0"/>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333-193694) pertaining to the 2013 Stock Incentive Plan of IVERIC bio, Inc., effective January 31, 2014,</w:t>
      </w:r>
    </w:p>
    <w:p>
      <w:pPr>
        <w:spacing w:after="0" w:line="248" w:lineRule="exact"/>
        <w:rPr>
          <w:rFonts w:ascii="Arial" w:cs="Arial" w:eastAsia="Arial" w:hAnsi="Arial"/>
          <w:sz w:val="16"/>
          <w:szCs w:val="16"/>
          <w:color w:val="auto"/>
        </w:rPr>
      </w:pPr>
    </w:p>
    <w:p>
      <w:pPr>
        <w:ind w:left="340" w:right="560" w:hanging="328"/>
        <w:spacing w:after="0" w:line="275" w:lineRule="auto"/>
        <w:tabs>
          <w:tab w:leader="none" w:pos="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Registration Statement (Form S-8 No. 333-191767) pertaining to the 2013 Stock Incentive Plan and Amended and Restated 2007 Stock Incentive Plan, as amended, of IVERIC bio, Inc., effective October 16, 2013,</w:t>
      </w:r>
    </w:p>
    <w:p>
      <w:pPr>
        <w:spacing w:after="0" w:line="199" w:lineRule="exact"/>
        <w:rPr>
          <w:sz w:val="20"/>
          <w:szCs w:val="20"/>
          <w:color w:val="auto"/>
        </w:rPr>
      </w:pPr>
    </w:p>
    <w:p>
      <w:pPr>
        <w:ind w:left="340" w:right="520"/>
        <w:spacing w:after="0" w:line="310" w:lineRule="auto"/>
        <w:rPr>
          <w:sz w:val="20"/>
          <w:szCs w:val="20"/>
          <w:color w:val="auto"/>
        </w:rPr>
      </w:pPr>
      <w:r>
        <w:rPr>
          <w:rFonts w:ascii="Arial" w:cs="Arial" w:eastAsia="Arial" w:hAnsi="Arial"/>
          <w:sz w:val="15"/>
          <w:szCs w:val="15"/>
          <w:color w:val="auto"/>
        </w:rPr>
        <w:t>of our reports dated March 4, 2021, with respect to the consolidated financial statements of IVERIC bio, Inc., and the effectiveness of internal control over financial reporting of IVERIC bio, Inc. included in this Annual Report (Form 10-K) of IVERIC bio, Inc. for the year ended December 31, 2020.</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Iselin, New Jersey</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77470</wp:posOffset>
            </wp:positionV>
            <wp:extent cx="7115175"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0880"/>
          </w:cols>
          <w:pgMar w:left="640" w:top="895" w:right="379" w:bottom="1440" w:gutter="0" w:footer="0" w:header="0"/>
        </w:sectPr>
      </w:pPr>
    </w:p>
    <w:bookmarkStart w:id="205" w:name="page206"/>
    <w:bookmarkEnd w:id="205"/>
    <w:p>
      <w:pPr>
        <w:ind w:left="10360"/>
        <w:spacing w:after="0"/>
        <w:rPr>
          <w:sz w:val="20"/>
          <w:szCs w:val="20"/>
          <w:color w:val="auto"/>
        </w:rPr>
      </w:pPr>
      <w:r>
        <w:rPr>
          <w:rFonts w:ascii="Arial" w:cs="Arial" w:eastAsia="Arial" w:hAnsi="Arial"/>
          <w:sz w:val="15"/>
          <w:szCs w:val="15"/>
          <w:b w:val="1"/>
          <w:bCs w:val="1"/>
          <w:color w:val="auto"/>
        </w:rPr>
        <w:t>Exhibit 31.1</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234"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2020 of IVERIC bio,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660" w:right="340" w:hanging="328"/>
        <w:spacing w:after="0" w:line="261" w:lineRule="auto"/>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1300" w:right="300" w:hanging="320"/>
        <w:spacing w:after="0" w:line="261" w:lineRule="auto"/>
        <w:tabs>
          <w:tab w:leader="none" w:pos="129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1300" w:right="100" w:hanging="320"/>
        <w:spacing w:after="0" w:line="252" w:lineRule="auto"/>
        <w:tabs>
          <w:tab w:leader="none" w:pos="13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320"/>
        <w:spacing w:after="0" w:line="257" w:lineRule="auto"/>
        <w:tabs>
          <w:tab w:leader="none" w:pos="129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6"/>
          <w:szCs w:val="16"/>
          <w:color w:val="auto"/>
        </w:rPr>
      </w:pPr>
    </w:p>
    <w:p>
      <w:pPr>
        <w:ind w:left="1300" w:right="200" w:hanging="320"/>
        <w:spacing w:after="0" w:line="261" w:lineRule="auto"/>
        <w:tabs>
          <w:tab w:leader="none" w:pos="13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00" w:hanging="328"/>
        <w:spacing w:after="0" w:line="275" w:lineRule="auto"/>
        <w:tabs>
          <w:tab w:leader="none" w:pos="69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1300" w:right="80" w:hanging="320"/>
        <w:spacing w:after="0" w:line="275" w:lineRule="auto"/>
        <w:tabs>
          <w:tab w:leader="none" w:pos="1291"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300" w:hanging="320"/>
        <w:spacing w:after="0" w:line="275" w:lineRule="auto"/>
        <w:tabs>
          <w:tab w:leader="none" w:pos="13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March 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17780</wp:posOffset>
            </wp:positionV>
            <wp:extent cx="22028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Glenn P. Sblendorio</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6" w:name="page207"/>
    <w:bookmarkEnd w:id="206"/>
    <w:p>
      <w:pPr>
        <w:ind w:left="10360"/>
        <w:spacing w:after="0"/>
        <w:rPr>
          <w:sz w:val="20"/>
          <w:szCs w:val="20"/>
          <w:color w:val="auto"/>
        </w:rPr>
      </w:pPr>
      <w:r>
        <w:rPr>
          <w:rFonts w:ascii="Arial" w:cs="Arial" w:eastAsia="Arial" w:hAnsi="Arial"/>
          <w:sz w:val="15"/>
          <w:szCs w:val="15"/>
          <w:b w:val="1"/>
          <w:bCs w:val="1"/>
          <w:color w:val="auto"/>
        </w:rPr>
        <w:t>Exhibit 31.2</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248"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 have reviewed this Annual Report on Form 10-K for the fiscal year ended December 31, 2020 of IVERIC bio,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660" w:right="340" w:hanging="328"/>
        <w:spacing w:after="0" w:line="261" w:lineRule="auto"/>
        <w:tabs>
          <w:tab w:leader="none" w:pos="65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980" w:right="100" w:hanging="324"/>
        <w:spacing w:after="0" w:line="261" w:lineRule="auto"/>
        <w:tabs>
          <w:tab w:leader="none" w:pos="957" w:val="left"/>
        </w:tabs>
        <w:numPr>
          <w:ilvl w:val="1"/>
          <w:numId w:val="1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980" w:right="240" w:hanging="324"/>
        <w:spacing w:after="0" w:line="261" w:lineRule="auto"/>
        <w:tabs>
          <w:tab w:leader="none" w:pos="96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right="260" w:hanging="324"/>
        <w:spacing w:after="0" w:line="275" w:lineRule="auto"/>
        <w:tabs>
          <w:tab w:leader="none" w:pos="957"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right="220" w:hanging="324"/>
        <w:spacing w:after="0" w:line="261" w:lineRule="auto"/>
        <w:tabs>
          <w:tab w:leader="none" w:pos="96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40" w:hanging="328"/>
        <w:spacing w:after="0" w:line="275" w:lineRule="auto"/>
        <w:tabs>
          <w:tab w:leader="none" w:pos="65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980" w:right="440" w:hanging="324"/>
        <w:spacing w:after="0" w:line="275" w:lineRule="auto"/>
        <w:tabs>
          <w:tab w:leader="none" w:pos="948"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right="40" w:hanging="324"/>
        <w:spacing w:after="0" w:line="275" w:lineRule="auto"/>
        <w:tabs>
          <w:tab w:leader="none" w:pos="957"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tabs>
          <w:tab w:leader="none" w:pos="5260" w:val="left"/>
          <w:tab w:leader="none" w:pos="6020" w:val="left"/>
        </w:tabs>
        <w:rPr>
          <w:sz w:val="20"/>
          <w:szCs w:val="20"/>
          <w:color w:val="auto"/>
        </w:rPr>
      </w:pPr>
      <w:r>
        <w:rPr>
          <w:rFonts w:ascii="Arial" w:cs="Arial" w:eastAsia="Arial" w:hAnsi="Arial"/>
          <w:sz w:val="16"/>
          <w:szCs w:val="16"/>
          <w:color w:val="auto"/>
        </w:rPr>
        <w:t>Date: March 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17780</wp:posOffset>
            </wp:positionV>
            <wp:extent cx="32829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David F. Carroll</w:t>
      </w:r>
    </w:p>
    <w:p>
      <w:pPr>
        <w:ind w:left="6040"/>
        <w:spacing w:after="0" w:line="203" w:lineRule="auto"/>
        <w:rPr>
          <w:sz w:val="20"/>
          <w:szCs w:val="20"/>
          <w:color w:val="auto"/>
        </w:rPr>
      </w:pPr>
      <w:r>
        <w:rPr>
          <w:rFonts w:ascii="Arial" w:cs="Arial" w:eastAsia="Arial" w:hAnsi="Arial"/>
          <w:sz w:val="18"/>
          <w:szCs w:val="18"/>
          <w:color w:val="auto"/>
        </w:rPr>
        <w:t>Chief Financial Officer</w:t>
      </w:r>
    </w:p>
    <w:p>
      <w:pPr>
        <w:ind w:left="60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ind w:right="20" w:firstLine="324"/>
        <w:spacing w:after="0" w:line="286" w:lineRule="auto"/>
        <w:rPr>
          <w:sz w:val="20"/>
          <w:szCs w:val="20"/>
          <w:color w:val="auto"/>
        </w:rPr>
      </w:pPr>
      <w:r>
        <w:rPr>
          <w:rFonts w:ascii="Arial" w:cs="Arial" w:eastAsia="Arial" w:hAnsi="Arial"/>
          <w:sz w:val="15"/>
          <w:szCs w:val="15"/>
          <w:color w:val="auto"/>
        </w:rPr>
        <w:t>In connection with the Annual Report on Form 10-K of IVERIC bio, Inc. (the "Company") for the fiscal year ended December 31, 2020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40" w:hanging="308"/>
        <w:spacing w:after="0"/>
        <w:tabs>
          <w:tab w:leader="none" w:pos="6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ind w:left="20"/>
        <w:spacing w:after="0"/>
        <w:tabs>
          <w:tab w:leader="none" w:pos="5680" w:val="left"/>
          <w:tab w:leader="none" w:pos="6440" w:val="left"/>
        </w:tabs>
        <w:rPr>
          <w:sz w:val="20"/>
          <w:szCs w:val="20"/>
          <w:color w:val="auto"/>
        </w:rPr>
      </w:pPr>
      <w:r>
        <w:rPr>
          <w:rFonts w:ascii="Arial" w:cs="Arial" w:eastAsia="Arial" w:hAnsi="Arial"/>
          <w:sz w:val="18"/>
          <w:szCs w:val="18"/>
          <w:color w:val="auto"/>
        </w:rPr>
        <w:t>Date: March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14605</wp:posOffset>
            </wp:positionV>
            <wp:extent cx="30003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Glenn P. Sblendorio</w:t>
      </w:r>
    </w:p>
    <w:p>
      <w:pPr>
        <w:ind w:left="6460"/>
        <w:spacing w:after="0" w:line="203" w:lineRule="auto"/>
        <w:rPr>
          <w:sz w:val="20"/>
          <w:szCs w:val="20"/>
          <w:color w:val="auto"/>
        </w:rPr>
      </w:pPr>
      <w:r>
        <w:rPr>
          <w:rFonts w:ascii="Arial" w:cs="Arial" w:eastAsia="Arial" w:hAnsi="Arial"/>
          <w:sz w:val="18"/>
          <w:szCs w:val="18"/>
          <w:color w:val="auto"/>
        </w:rPr>
        <w:t>Chief Executive Officer</w:t>
      </w:r>
    </w:p>
    <w:p>
      <w:pPr>
        <w:ind w:left="64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4">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208" w:name="page209"/>
    <w:bookmarkEnd w:id="208"/>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5"/>
          <w:szCs w:val="15"/>
          <w:color w:val="auto"/>
        </w:rPr>
        <w:t>In connection with the Annual Report on Form 10-K of IVERIC bio, Inc. (the "Company") for the fiscal year ended December 31, 2020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40" w:hanging="308"/>
        <w:spacing w:after="0"/>
        <w:tabs>
          <w:tab w:leader="none" w:pos="6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ind w:left="20"/>
        <w:spacing w:after="0"/>
        <w:tabs>
          <w:tab w:leader="none" w:pos="5700" w:val="left"/>
          <w:tab w:leader="none" w:pos="6480" w:val="left"/>
        </w:tabs>
        <w:rPr>
          <w:sz w:val="20"/>
          <w:szCs w:val="20"/>
          <w:color w:val="auto"/>
        </w:rPr>
      </w:pPr>
      <w:r>
        <w:rPr>
          <w:rFonts w:ascii="Arial" w:cs="Arial" w:eastAsia="Arial" w:hAnsi="Arial"/>
          <w:sz w:val="16"/>
          <w:szCs w:val="16"/>
          <w:color w:val="auto"/>
        </w:rPr>
        <w:t>Date: March 4, 2021</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29210</wp:posOffset>
            </wp:positionV>
            <wp:extent cx="30003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5">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David F. Carroll</w:t>
      </w:r>
    </w:p>
    <w:p>
      <w:pPr>
        <w:ind w:left="6500"/>
        <w:spacing w:after="0" w:line="203" w:lineRule="auto"/>
        <w:rPr>
          <w:sz w:val="20"/>
          <w:szCs w:val="20"/>
          <w:color w:val="auto"/>
        </w:rPr>
      </w:pPr>
      <w:r>
        <w:rPr>
          <w:rFonts w:ascii="Arial" w:cs="Arial" w:eastAsia="Arial" w:hAnsi="Arial"/>
          <w:sz w:val="18"/>
          <w:szCs w:val="18"/>
          <w:color w:val="auto"/>
        </w:rPr>
        <w:t>Chief Financial Officer</w:t>
      </w:r>
    </w:p>
    <w:p>
      <w:pPr>
        <w:ind w:left="65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7115175"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6">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00"/>
      </w:cols>
      <w:pgMar w:left="320" w:top="1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decimal"/>
      <w:start w:val="1"/>
    </w:lvl>
  </w:abstractNum>
  <w:abstractNum w:abstractNumId="3">
    <w:nsid w:val="100F8FCA"/>
    <w:multiLevelType w:val="hybridMultilevel"/>
    <w:lvl w:ilvl="0">
      <w:lvlJc w:val="left"/>
      <w:lvlText w:val="%1."/>
      <w:numFmt w:val="decimal"/>
      <w:start w:val="2"/>
    </w:lvl>
  </w:abstractNum>
  <w:abstractNum w:abstractNumId="4">
    <w:nsid w:val="6590700B"/>
    <w:multiLevelType w:val="hybridMultilevel"/>
    <w:lvl w:ilvl="0">
      <w:lvlJc w:val="left"/>
      <w:lvlText w:val="%1."/>
      <w:numFmt w:val="decimal"/>
      <w:start w:val="17"/>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lvl w:ilvl="1">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1)"/>
      <w:numFmt w:val="lowerLetter"/>
      <w:start w:val="1"/>
    </w:lvl>
  </w:abstractNum>
  <w:abstractNum w:abstractNumId="17">
    <w:nsid w:val="51D9C564"/>
    <w:multiLevelType w:val="hybridMultilevel"/>
    <w:lvl w:ilvl="0">
      <w:lvlJc w:val="left"/>
      <w:lvlText w:val="(%1)"/>
      <w:numFmt w:val="lowerLetter"/>
      <w:start w:val="1"/>
    </w:lvl>
  </w:abstractNum>
  <w:abstractNum w:abstractNumId="18">
    <w:nsid w:val="613EFDC5"/>
    <w:multiLevelType w:val="hybridMultilevel"/>
    <w:lvl w:ilvl="0">
      <w:lvlJc w:val="left"/>
      <w:lvlText w:val="(%1)"/>
      <w:numFmt w:val="lowerLetter"/>
      <w:start w:val="1"/>
    </w:lvl>
  </w:abstractNum>
  <w:abstractNum w:abstractNumId="19">
    <w:nsid w:val="BF72B14"/>
    <w:multiLevelType w:val="hybridMultilevel"/>
    <w:lvl w:ilvl="0">
      <w:lvlJc w:val="left"/>
      <w:lvlText w:val="(%1)"/>
      <w:numFmt w:val="lowerLetter"/>
      <w:start w:val="1"/>
    </w:lvl>
  </w:abstractNum>
  <w:abstractNum w:abstractNumId="20">
    <w:nsid w:val="11447B73"/>
    <w:multiLevelType w:val="hybridMultilevel"/>
    <w:lvl w:ilvl="0">
      <w:lvlJc w:val="left"/>
      <w:lvlText w:val="(%1)"/>
      <w:numFmt w:val="lowerLetter"/>
      <w:start w:val="1"/>
    </w:lvl>
  </w:abstractNum>
  <w:abstractNum w:abstractNumId="21">
    <w:nsid w:val="42963E5A"/>
    <w:multiLevelType w:val="hybridMultilevel"/>
    <w:lvl w:ilvl="0">
      <w:lvlJc w:val="left"/>
      <w:lvlText w:val="(%1)"/>
      <w:numFmt w:val="lowerLetter"/>
      <w:start w:val="1"/>
    </w:lvl>
  </w:abstractNum>
  <w:abstractNum w:abstractNumId="22">
    <w:nsid w:val="A0382C5"/>
    <w:multiLevelType w:val="hybridMultilevel"/>
    <w:lvl w:ilvl="0">
      <w:lvlJc w:val="left"/>
      <w:lvlText w:val="(%1)"/>
      <w:numFmt w:val="lowerLetter"/>
      <w:start w:val="1"/>
    </w:lvl>
  </w:abstractNum>
  <w:abstractNum w:abstractNumId="23">
    <w:nsid w:val="8F2B15E"/>
    <w:multiLevelType w:val="hybridMultilevel"/>
    <w:lvl w:ilvl="0">
      <w:lvlJc w:val="left"/>
      <w:lvlText w:val="(%1)"/>
      <w:numFmt w:val="lowerLetter"/>
      <w:start w:val="1"/>
    </w:lvl>
  </w:abstractNum>
  <w:abstractNum w:abstractNumId="24">
    <w:nsid w:val="1A32234B"/>
    <w:multiLevelType w:val="hybridMultilevel"/>
    <w:lvl w:ilvl="0">
      <w:lvlJc w:val="left"/>
      <w:lvlText w:val="(%1)"/>
      <w:numFmt w:val="lowerLetter"/>
      <w:start w:val="1"/>
    </w:lvl>
  </w:abstractNum>
  <w:abstractNum w:abstractNumId="25">
    <w:nsid w:val="3B0FD379"/>
    <w:multiLevelType w:val="hybridMultilevel"/>
    <w:lvl w:ilvl="0">
      <w:lvlJc w:val="left"/>
      <w:lvlText w:val="(%1)"/>
      <w:numFmt w:val="lowerLetter"/>
      <w:start w:val="1"/>
    </w:lvl>
  </w:abstractNum>
  <w:abstractNum w:abstractNumId="26">
    <w:nsid w:val="68EB2F63"/>
    <w:multiLevelType w:val="hybridMultilevel"/>
    <w:lvl w:ilvl="0">
      <w:lvlJc w:val="left"/>
      <w:lvlText w:val="(%1)"/>
      <w:numFmt w:val="lowerLetter"/>
      <w:start w:val="1"/>
    </w:lvl>
  </w:abstractNum>
  <w:abstractNum w:abstractNumId="27">
    <w:nsid w:val="4962813B"/>
    <w:multiLevelType w:val="hybridMultilevel"/>
    <w:lvl w:ilvl="0">
      <w:lvlJc w:val="left"/>
      <w:lvlText w:val="(%1)"/>
      <w:numFmt w:val="lowerLetter"/>
      <w:start w:val="1"/>
    </w:lvl>
  </w:abstractNum>
  <w:abstractNum w:abstractNumId="28">
    <w:nsid w:val="60B6DF70"/>
    <w:multiLevelType w:val="hybridMultilevel"/>
    <w:lvl w:ilvl="0">
      <w:lvlJc w:val="left"/>
      <w:lvlText w:val="(%1)"/>
      <w:numFmt w:val="lowerLetter"/>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
      <w:numFmt w:val="bullet"/>
      <w:start w:val="1"/>
    </w:lvl>
    <w:lvl w:ilvl="1">
      <w:lvlJc w:val="left"/>
      <w:lvlText w:val="◦"/>
      <w:numFmt w:val="bullet"/>
      <w:start w:val="1"/>
    </w:lvl>
  </w:abstractNum>
  <w:abstractNum w:abstractNumId="32">
    <w:nsid w:val="1A27709E"/>
    <w:multiLevelType w:val="hybridMultilevel"/>
    <w:lvl w:ilvl="0">
      <w:lvlJc w:val="left"/>
      <w:lvlText w:val="•"/>
      <w:numFmt w:val="bullet"/>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
      <w:numFmt w:val="bullet"/>
      <w:start w:val="1"/>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lvl w:ilvl="1">
      <w:lvlJc w:val="left"/>
      <w:lvlText w:val="•"/>
      <w:numFmt w:val="bullet"/>
      <w:start w:val="1"/>
    </w:lvl>
  </w:abstractNum>
  <w:abstractNum w:abstractNumId="43">
    <w:nsid w:val="14E17E33"/>
    <w:multiLevelType w:val="hybridMultilevel"/>
    <w:lvl w:ilvl="0">
      <w:lvlJc w:val="left"/>
      <w:lvlText w:val="•"/>
      <w:numFmt w:val="bullet"/>
      <w:start w:val="1"/>
    </w:lvl>
    <w:lvl w:ilvl="1">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
      <w:numFmt w:val="bullet"/>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
      <w:numFmt w:val="bullet"/>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
      <w:numFmt w:val="bullet"/>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
      <w:numFmt w:val="bullet"/>
      <w:start w:val="1"/>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
      <w:numFmt w:val="bullet"/>
      <w:start w:val="1"/>
    </w:lvl>
  </w:abstractNum>
  <w:abstractNum w:abstractNumId="65">
    <w:nsid w:val="6FC75AF8"/>
    <w:multiLevelType w:val="hybridMultilevel"/>
    <w:lvl w:ilvl="0">
      <w:lvlJc w:val="left"/>
      <w:lvlText w:val="•"/>
      <w:numFmt w:val="bullet"/>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
      <w:numFmt w:val="bullet"/>
      <w:start w:val="1"/>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
      <w:numFmt w:val="bullet"/>
      <w:start w:val="1"/>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
      <w:numFmt w:val="bullet"/>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
      <w:numFmt w:val="bullet"/>
      <w:start w:val="1"/>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
      <w:numFmt w:val="bullet"/>
      <w:start w:val="1"/>
    </w:lvl>
  </w:abstractNum>
  <w:abstractNum w:abstractNumId="88">
    <w:nsid w:val="53584BCB"/>
    <w:multiLevelType w:val="hybridMultilevel"/>
    <w:lvl w:ilvl="0">
      <w:lvlJc w:val="left"/>
      <w:lvlText w:val="•"/>
      <w:numFmt w:val="bullet"/>
      <w:start w:val="1"/>
    </w:lvl>
  </w:abstractNum>
  <w:abstractNum w:abstractNumId="89">
    <w:nsid w:val="415E286C"/>
    <w:multiLevelType w:val="hybridMultilevel"/>
    <w:lvl w:ilvl="0">
      <w:lvlJc w:val="left"/>
      <w:lvlText w:val="•"/>
      <w:numFmt w:val="bullet"/>
      <w:start w:val="1"/>
    </w:lvl>
  </w:abstractNum>
  <w:abstractNum w:abstractNumId="90">
    <w:nsid w:val="7C58FD05"/>
    <w:multiLevelType w:val="hybridMultilevel"/>
    <w:lvl w:ilvl="0">
      <w:lvlJc w:val="left"/>
      <w:lvlText w:val="•"/>
      <w:numFmt w:val="bullet"/>
      <w:start w:val="1"/>
    </w:lvl>
  </w:abstractNum>
  <w:abstractNum w:abstractNumId="91">
    <w:nsid w:val="23D86AAC"/>
    <w:multiLevelType w:val="hybridMultilevel"/>
    <w:lvl w:ilvl="0">
      <w:lvlJc w:val="left"/>
      <w:lvlText w:val="•"/>
      <w:numFmt w:val="bullet"/>
      <w:start w:val="1"/>
    </w:lvl>
  </w:abstractNum>
  <w:abstractNum w:abstractNumId="92">
    <w:nsid w:val="45E6D486"/>
    <w:multiLevelType w:val="hybridMultilevel"/>
    <w:lvl w:ilvl="0">
      <w:lvlJc w:val="left"/>
      <w:lvlText w:val="•"/>
      <w:numFmt w:val="bullet"/>
      <w:start w:val="1"/>
    </w:lvl>
  </w:abstractNum>
  <w:abstractNum w:abstractNumId="93">
    <w:nsid w:val="5C10FE21"/>
    <w:multiLevelType w:val="hybridMultilevel"/>
    <w:lvl w:ilvl="0">
      <w:lvlJc w:val="left"/>
      <w:lvlText w:val="•"/>
      <w:numFmt w:val="bullet"/>
      <w:start w:val="1"/>
    </w:lvl>
  </w:abstractNum>
  <w:abstractNum w:abstractNumId="94">
    <w:nsid w:val="E7FFA2B"/>
    <w:multiLevelType w:val="hybridMultilevel"/>
    <w:lvl w:ilvl="0">
      <w:lvlJc w:val="left"/>
      <w:lvlText w:val="•"/>
      <w:numFmt w:val="bullet"/>
      <w:start w:val="1"/>
    </w:lvl>
  </w:abstractNum>
  <w:abstractNum w:abstractNumId="95">
    <w:nsid w:val="3C5991AA"/>
    <w:multiLevelType w:val="hybridMultilevel"/>
    <w:lvl w:ilvl="0">
      <w:lvlJc w:val="left"/>
      <w:lvlText w:val="•"/>
      <w:numFmt w:val="bullet"/>
      <w:start w:val="1"/>
    </w:lvl>
  </w:abstractNum>
  <w:abstractNum w:abstractNumId="96">
    <w:nsid w:val="4BD8591A"/>
    <w:multiLevelType w:val="hybridMultilevel"/>
    <w:lvl w:ilvl="0">
      <w:lvlJc w:val="left"/>
      <w:lvlText w:val="•"/>
      <w:numFmt w:val="bullet"/>
      <w:start w:val="1"/>
    </w:lvl>
  </w:abstractNum>
  <w:abstractNum w:abstractNumId="97">
    <w:nsid w:val="78DF6A55"/>
    <w:multiLevelType w:val="hybridMultilevel"/>
    <w:lvl w:ilvl="0">
      <w:lvlJc w:val="left"/>
      <w:lvlText w:val="•"/>
      <w:numFmt w:val="bullet"/>
      <w:start w:val="1"/>
    </w:lvl>
  </w:abstractNum>
  <w:abstractNum w:abstractNumId="98">
    <w:nsid w:val="39B7AAA2"/>
    <w:multiLevelType w:val="hybridMultilevel"/>
    <w:lvl w:ilvl="0">
      <w:lvlJc w:val="left"/>
      <w:lvlText w:val="(%1)"/>
      <w:numFmt w:val="decimal"/>
      <w:start w:val="1"/>
    </w:lvl>
  </w:abstractNum>
  <w:abstractNum w:abstractNumId="99">
    <w:nsid w:val="2B0D8DBE"/>
    <w:multiLevelType w:val="hybridMultilevel"/>
    <w:lvl w:ilvl="0">
      <w:lvlJc w:val="left"/>
      <w:lvlText w:val="•"/>
      <w:numFmt w:val="bullet"/>
      <w:start w:val="1"/>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
      <w:numFmt w:val="bullet"/>
      <w:start w:val="1"/>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
      <w:numFmt w:val="bullet"/>
      <w:start w:val="1"/>
    </w:lvl>
  </w:abstractNum>
  <w:abstractNum w:abstractNumId="104">
    <w:nsid w:val="4C9B0904"/>
    <w:multiLevelType w:val="hybridMultilevel"/>
    <w:lvl w:ilvl="0">
      <w:lvlJc w:val="left"/>
      <w:lvlText w:val="^"/>
      <w:numFmt w:val="bullet"/>
      <w:start w:val="1"/>
    </w:lvl>
  </w:abstractNum>
  <w:abstractNum w:abstractNumId="105">
    <w:nsid w:val="6AA7B75C"/>
    <w:multiLevelType w:val="hybridMultilevel"/>
    <w:lvl w:ilvl="0">
      <w:lvlJc w:val="left"/>
      <w:lvlText w:val="•"/>
      <w:numFmt w:val="bullet"/>
      <w:start w:val="1"/>
    </w:lvl>
  </w:abstractNum>
  <w:abstractNum w:abstractNumId="106">
    <w:nsid w:val="1DF029D3"/>
    <w:multiLevelType w:val="hybridMultilevel"/>
    <w:lvl w:ilvl="0">
      <w:lvlJc w:val="left"/>
      <w:lvlText w:val="•"/>
      <w:numFmt w:val="bullet"/>
      <w:start w:val="1"/>
    </w:lvl>
  </w:abstractNum>
  <w:abstractNum w:abstractNumId="107">
    <w:nsid w:val="5675FF36"/>
    <w:multiLevelType w:val="hybridMultilevel"/>
    <w:lvl w:ilvl="0">
      <w:lvlJc w:val="left"/>
      <w:lvlText w:val="%1."/>
      <w:numFmt w:val="decimal"/>
      <w:start w:val="2"/>
    </w:lvl>
  </w:abstractNum>
  <w:abstractNum w:abstractNumId="108">
    <w:nsid w:val="3DD15094"/>
    <w:multiLevelType w:val="hybridMultilevel"/>
    <w:lvl w:ilvl="0">
      <w:lvlJc w:val="left"/>
      <w:lvlText w:val="•"/>
      <w:numFmt w:val="bullet"/>
      <w:start w:val="1"/>
    </w:lvl>
  </w:abstractNum>
  <w:abstractNum w:abstractNumId="109">
    <w:nsid w:val="3DB012B3"/>
    <w:multiLevelType w:val="hybridMultilevel"/>
    <w:lvl w:ilvl="0">
      <w:lvlJc w:val="left"/>
      <w:lvlText w:val="•"/>
      <w:numFmt w:val="bullet"/>
      <w:start w:val="1"/>
    </w:lvl>
  </w:abstractNum>
  <w:abstractNum w:abstractNumId="110">
    <w:nsid w:val="2708C9AF"/>
    <w:multiLevelType w:val="hybridMultilevel"/>
    <w:lvl w:ilvl="0">
      <w:lvlJc w:val="left"/>
      <w:lvlText w:val="*"/>
      <w:numFmt w:val="bullet"/>
      <w:start w:val="1"/>
    </w:lvl>
  </w:abstractNum>
  <w:abstractNum w:abstractNumId="111">
    <w:nsid w:val="5B25ACE2"/>
    <w:multiLevelType w:val="hybridMultilevel"/>
    <w:lvl w:ilvl="0">
      <w:lvlJc w:val="left"/>
      <w:lvlText w:val="•"/>
      <w:numFmt w:val="bullet"/>
      <w:start w:val="1"/>
    </w:lvl>
  </w:abstractNum>
  <w:abstractNum w:abstractNumId="112">
    <w:nsid w:val="175DFCF0"/>
    <w:multiLevelType w:val="hybridMultilevel"/>
    <w:lvl w:ilvl="0">
      <w:lvlJc w:val="left"/>
      <w:lvlText w:val="•"/>
      <w:numFmt w:val="bullet"/>
      <w:start w:val="1"/>
    </w:lvl>
  </w:abstractNum>
  <w:abstractNum w:abstractNumId="113">
    <w:nsid w:val="4F97E3E4"/>
    <w:multiLevelType w:val="hybridMultilevel"/>
    <w:lvl w:ilvl="0">
      <w:lvlJc w:val="left"/>
      <w:lvlText w:val="(%1)"/>
      <w:numFmt w:val="lowerLetter"/>
      <w:start w:val="1"/>
    </w:lvl>
  </w:abstractNum>
  <w:abstractNum w:abstractNumId="114">
    <w:nsid w:val="53B0A9E"/>
    <w:multiLevelType w:val="hybridMultilevel"/>
    <w:lvl w:ilvl="0">
      <w:lvlJc w:val="left"/>
      <w:lvlText w:val="(%1)"/>
      <w:numFmt w:val="decimal"/>
      <w:start w:val="2"/>
    </w:lvl>
  </w:abstractNum>
  <w:abstractNum w:abstractNumId="115">
    <w:nsid w:val="34FD6B4F"/>
    <w:multiLevelType w:val="hybridMultilevel"/>
    <w:lvl w:ilvl="0">
      <w:lvlJc w:val="left"/>
      <w:lvlText w:val="A"/>
      <w:numFmt w:val="bullet"/>
      <w:start w:val="1"/>
    </w:lvl>
  </w:abstractNum>
  <w:abstractNum w:abstractNumId="116">
    <w:nsid w:val="5915FF32"/>
    <w:multiLevelType w:val="hybridMultilevel"/>
    <w:lvl w:ilvl="0">
      <w:lvlJc w:val="left"/>
      <w:lvlText w:val="%1."/>
      <w:numFmt w:val="decimal"/>
      <w:start w:val="1"/>
    </w:lvl>
  </w:abstractNum>
  <w:abstractNum w:abstractNumId="117">
    <w:nsid w:val="56438D15"/>
    <w:multiLevelType w:val="hybridMultilevel"/>
    <w:lvl w:ilvl="0">
      <w:lvlJc w:val="left"/>
      <w:lvlText w:val="%1."/>
      <w:numFmt w:val="decimal"/>
      <w:start w:val="3"/>
    </w:lvl>
  </w:abstractNum>
  <w:abstractNum w:abstractNumId="118">
    <w:nsid w:val="519E3149"/>
    <w:multiLevelType w:val="hybridMultilevel"/>
    <w:lvl w:ilvl="0">
      <w:lvlJc w:val="left"/>
      <w:lvlText w:val="B"/>
      <w:numFmt w:val="bullet"/>
      <w:start w:val="1"/>
    </w:lvl>
  </w:abstractNum>
  <w:abstractNum w:abstractNumId="119">
    <w:nsid w:val="2C6E4AFD"/>
    <w:multiLevelType w:val="hybridMultilevel"/>
    <w:lvl w:ilvl="0">
      <w:lvlJc w:val="left"/>
      <w:lvlText w:val="%1."/>
      <w:numFmt w:val="decimal"/>
      <w:start w:val="1"/>
    </w:lvl>
  </w:abstractNum>
  <w:abstractNum w:abstractNumId="120">
    <w:nsid w:val="17A1B582"/>
    <w:multiLevelType w:val="hybridMultilevel"/>
    <w:lvl w:ilvl="0">
      <w:lvlJc w:val="left"/>
      <w:lvlText w:val="%1."/>
      <w:numFmt w:val="decimal"/>
      <w:start w:val="3"/>
    </w:lvl>
  </w:abstractNum>
  <w:abstractNum w:abstractNumId="121">
    <w:nsid w:val="4DF72E4E"/>
    <w:multiLevelType w:val="hybridMultilevel"/>
    <w:lvl w:ilvl="0">
      <w:lvlJc w:val="left"/>
      <w:lvlText w:val="%1."/>
      <w:numFmt w:val="decimal"/>
      <w:start w:val="5"/>
    </w:lvl>
  </w:abstractNum>
  <w:abstractNum w:abstractNumId="122">
    <w:nsid w:val="5046B5A9"/>
    <w:multiLevelType w:val="hybridMultilevel"/>
    <w:lvl w:ilvl="0">
      <w:lvlJc w:val="left"/>
      <w:lvlText w:val="%1."/>
      <w:numFmt w:val="decimal"/>
      <w:start w:val="7"/>
    </w:lvl>
  </w:abstractNum>
  <w:abstractNum w:abstractNumId="123">
    <w:nsid w:val="5D888A08"/>
    <w:multiLevelType w:val="hybridMultilevel"/>
    <w:lvl w:ilvl="0">
      <w:lvlJc w:val="left"/>
      <w:lvlText w:val="%1."/>
      <w:numFmt w:val="decimal"/>
      <w:start w:val="9"/>
    </w:lvl>
  </w:abstractNum>
  <w:abstractNum w:abstractNumId="124">
    <w:nsid w:val="2A082C70"/>
    <w:multiLevelType w:val="hybridMultilevel"/>
    <w:lvl w:ilvl="0">
      <w:lvlJc w:val="left"/>
      <w:lvlText w:val="%1."/>
      <w:numFmt w:val="decimal"/>
      <w:start w:val="13"/>
    </w:lvl>
  </w:abstractNum>
  <w:abstractNum w:abstractNumId="125">
    <w:nsid w:val="5EC6AFD4"/>
    <w:multiLevelType w:val="hybridMultilevel"/>
    <w:lvl w:ilvl="0">
      <w:lvlJc w:val="left"/>
      <w:lvlText w:val="%1."/>
      <w:numFmt w:val="decimal"/>
      <w:start w:val="1"/>
    </w:lvl>
  </w:abstractNum>
  <w:abstractNum w:abstractNumId="126">
    <w:nsid w:val="19E21BB2"/>
    <w:multiLevelType w:val="hybridMultilevel"/>
    <w:lvl w:ilvl="0">
      <w:lvlJc w:val="left"/>
      <w:lvlText w:val="%1."/>
      <w:numFmt w:val="decimal"/>
      <w:start w:val="5"/>
    </w:lvl>
  </w:abstractNum>
  <w:abstractNum w:abstractNumId="127">
    <w:nsid w:val="75E0858A"/>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128">
    <w:nsid w:val="57A61A29"/>
    <w:multiLevelType w:val="hybridMultilevel"/>
    <w:lvl w:ilvl="0">
      <w:lvlJc w:val="left"/>
      <w:lvlText w:val="(%1)"/>
      <w:numFmt w:val="decimal"/>
      <w:start w:val="1"/>
    </w:lvl>
  </w:abstractNum>
  <w:abstractNum w:abstractNumId="129">
    <w:nsid w:val="5399C654"/>
    <w:multiLevelType w:val="hybridMultilevel"/>
    <w:lvl w:ilvl="0">
      <w:lvlJc w:val="left"/>
      <w:lvlText w:val="%1."/>
      <w:numFmt w:val="decimal"/>
      <w:start w:val="1"/>
    </w:lvl>
    <w:lvl w:ilvl="1">
      <w:lvlJc w:val="left"/>
      <w:lvlText w:val="%2."/>
      <w:numFmt w:val="lowerLetter"/>
      <w:start w:val="1"/>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1" Type="http://schemas.openxmlformats.org/officeDocument/2006/relationships/image" Target="media/image163.png"/><Relationship Id="rId175" Type="http://schemas.openxmlformats.org/officeDocument/2006/relationships/image" Target="media/image164.png"/><Relationship Id="rId183" Type="http://schemas.openxmlformats.org/officeDocument/2006/relationships/image" Target="media/image165.png"/><Relationship Id="rId205"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283" Type="http://schemas.openxmlformats.org/officeDocument/2006/relationships/image" Target="media/image231.png"/><Relationship Id="rId284" Type="http://schemas.openxmlformats.org/officeDocument/2006/relationships/image" Target="media/image232.png"/><Relationship Id="rId285" Type="http://schemas.openxmlformats.org/officeDocument/2006/relationships/image" Target="media/image233.png"/><Relationship Id="rId286" Type="http://schemas.openxmlformats.org/officeDocument/2006/relationships/image" Target="media/image234.png"/><Relationship Id="rId170" Type="http://schemas.openxmlformats.org/officeDocument/2006/relationships/hyperlink" Target="http://www.sec.gov/Archives/edgar/data/1410939/000110465918064869/a18-38248_1ex2d1.htm" TargetMode="External"/><Relationship Id="rId172" Type="http://schemas.openxmlformats.org/officeDocument/2006/relationships/hyperlink" Target="http://www.sec.gov/Archives/edgar/data/1410939/000119312513360785/d560505dex34.htm" TargetMode="External"/><Relationship Id="rId173" Type="http://schemas.openxmlformats.org/officeDocument/2006/relationships/hyperlink" Target="https://www.sec.gov/Archives/edgar/data/1410939/000141093920000009/exhibit41.htm" TargetMode="External"/><Relationship Id="rId174" Type="http://schemas.openxmlformats.org/officeDocument/2006/relationships/hyperlink" Target="https://www.sec.gov/Archives/edgar/data/1410939/000141093920000009/iseestockcertificate.htm" TargetMode="External"/><Relationship Id="rId176" Type="http://schemas.openxmlformats.org/officeDocument/2006/relationships/hyperlink" Target="http://www.sec.gov/Archives/edgar/data/1410939/000110465919071176/tm1924813d1_ex4-1.htm" TargetMode="External"/><Relationship Id="rId177" Type="http://schemas.openxmlformats.org/officeDocument/2006/relationships/hyperlink" Target="https://www.sec.gov/Archives/edgar/data/1410939/000110465920075248/tm2022716d6_ex4-1.htm" TargetMode="External"/><Relationship Id="rId178" Type="http://schemas.openxmlformats.org/officeDocument/2006/relationships/hyperlink" Target="http://www.sec.gov/Archives/edgar/data/1410939/000119312513336689/d560505dex101.htm" TargetMode="External"/><Relationship Id="rId179" Type="http://schemas.openxmlformats.org/officeDocument/2006/relationships/hyperlink" Target="http://www.sec.gov/Archives/edgar/data/1410939/000119312513336689/d560505dex102.htm" TargetMode="External"/><Relationship Id="rId180" Type="http://schemas.openxmlformats.org/officeDocument/2006/relationships/hyperlink" Target="http://www.sec.gov/Archives/edgar/data/1410939/000119312513336689/d560505dex103.htm" TargetMode="External"/><Relationship Id="rId181" Type="http://schemas.openxmlformats.org/officeDocument/2006/relationships/hyperlink" Target="http://www.sec.gov/Archives/edgar/data/1410939/000104746915001507/a2223280zex-10_4.htm" TargetMode="External"/><Relationship Id="rId182" Type="http://schemas.openxmlformats.org/officeDocument/2006/relationships/hyperlink" Target="http://www.sec.gov/Archives/edgar/data/1410939/000110465915058291/a15-11945_1ex10d1.htm" TargetMode="External"/><Relationship Id="rId184" Type="http://schemas.openxmlformats.org/officeDocument/2006/relationships/hyperlink" Target="http://www.sec.gov/Archives/edgar/data/1410939/000119312513360785/d560505dex105.htm" TargetMode="External"/><Relationship Id="rId185" Type="http://schemas.openxmlformats.org/officeDocument/2006/relationships/hyperlink" Target="http://www.sec.gov/Archives/edgar/data/1410939/000119312513360785/d560505dex106.htm" TargetMode="External"/><Relationship Id="rId186" Type="http://schemas.openxmlformats.org/officeDocument/2006/relationships/hyperlink" Target="http://www.sec.gov/Archives/edgar/data/1410939/000104746915001507/a2223280zex-10_7.htm" TargetMode="External"/><Relationship Id="rId187" Type="http://schemas.openxmlformats.org/officeDocument/2006/relationships/hyperlink" Target="http://www.sec.gov/Archives/edgar/data/1410939/000110465916126161/a16-13043_1ex99d1.htm" TargetMode="External"/><Relationship Id="rId188" Type="http://schemas.openxmlformats.org/officeDocument/2006/relationships/hyperlink" Target="http://www.sec.gov/Archives/edgar/data/1410939/000141093919000057/iveric-2019inducementstock.htm" TargetMode="External"/><Relationship Id="rId189" Type="http://schemas.openxmlformats.org/officeDocument/2006/relationships/hyperlink" Target="https://www.sec.gov/Archives/edgar/data/1410939/000141093920000023/inducementplanamendment.htm" TargetMode="External"/><Relationship Id="rId190" Type="http://schemas.openxmlformats.org/officeDocument/2006/relationships/hyperlink" Target="http://www.sec.gov/Archives/edgar/data/1410939/000141093919000057/formofinducementrsuagreeme.htm" TargetMode="External"/><Relationship Id="rId191" Type="http://schemas.openxmlformats.org/officeDocument/2006/relationships/hyperlink" Target="http://www.sec.gov/Archives/edgar/data/1410939/000141093919000057/formofinducementoptionagre.htm" TargetMode="External"/><Relationship Id="rId192" Type="http://schemas.openxmlformats.org/officeDocument/2006/relationships/hyperlink" Target="http://www.sec.gov/Archives/edgar/data/1410939/000119312513336689/d560505dex1011.htm" TargetMode="External"/><Relationship Id="rId193" Type="http://schemas.openxmlformats.org/officeDocument/2006/relationships/hyperlink" Target="http://www.sec.gov/Archives/edgar/data/1410939/000141093918000047/a101ophthotechuniversityof.htm" TargetMode="External"/><Relationship Id="rId194" Type="http://schemas.openxmlformats.org/officeDocument/2006/relationships/hyperlink" Target="http://www.sec.gov/Archives/edgar/data/1410939/000141093918000047/a102ophthotechpennmastersp.htm" TargetMode="External"/><Relationship Id="rId195" Type="http://schemas.openxmlformats.org/officeDocument/2006/relationships/hyperlink" Target="http://www.sec.gov/Archives/edgar/data/1410939/000141093919000061/adrpsraamendment1.htm" TargetMode="External"/><Relationship Id="rId196" Type="http://schemas.openxmlformats.org/officeDocument/2006/relationships/hyperlink" Target="http://www.sec.gov/Archives/edgar/data/1410939/000141093919000045/a101_ivericxbest1xlicensex.htm" TargetMode="External"/><Relationship Id="rId197" Type="http://schemas.openxmlformats.org/officeDocument/2006/relationships/hyperlink" Target="https://www.sec.gov/Archives/edgar/data/1410939/000141093920000023/ivericbioamendmenttobe.htm" TargetMode="External"/><Relationship Id="rId198" Type="http://schemas.openxmlformats.org/officeDocument/2006/relationships/hyperlink" Target="http://www.sec.gov/Archives/edgar/data/1410939/000141093919000045/a102_ivericxpennxsra.htm" TargetMode="External"/><Relationship Id="rId199" Type="http://schemas.openxmlformats.org/officeDocument/2006/relationships/hyperlink" Target="http://www.sec.gov/Archives/edgar/data/1410939/000141093919000061/best1sraamendment1.htm" TargetMode="External"/><Relationship Id="rId200" Type="http://schemas.openxmlformats.org/officeDocument/2006/relationships/hyperlink" Target="http://www.sec.gov/Archives/edgar/data/1410939/000141093919000061/cep290license.htm" TargetMode="External"/><Relationship Id="rId201" Type="http://schemas.openxmlformats.org/officeDocument/2006/relationships/hyperlink" Target="http://www.sec.gov/Archives/edgar/data/1410939/000119312513360785/d560505dex1014.htm" TargetMode="External"/><Relationship Id="rId202" Type="http://schemas.openxmlformats.org/officeDocument/2006/relationships/hyperlink" Target="http://www.sec.gov/Archives/edgar/data/1410939/000110465915036833/a15-7161_1ex10d2.htm" TargetMode="External"/><Relationship Id="rId203" Type="http://schemas.openxmlformats.org/officeDocument/2006/relationships/hyperlink" Target="http://www.sec.gov/Archives/edgar/data/1410939/000141093917000011/guyeramendment-101.htm" TargetMode="External"/><Relationship Id="rId204" Type="http://schemas.openxmlformats.org/officeDocument/2006/relationships/hyperlink" Target="http://www.sec.gov/Archives/edgar/data/1410939/000141093918000047/a104guyeramendment_5-12x18.htm" TargetMode="External"/><Relationship Id="rId206" Type="http://schemas.openxmlformats.org/officeDocument/2006/relationships/hyperlink" Target="http://www.sec.gov/Archives/edgar/data/1410939/000141093918000047/a105guyeramendment_5-24x18.htm" TargetMode="External"/><Relationship Id="rId207" Type="http://schemas.openxmlformats.org/officeDocument/2006/relationships/hyperlink" Target="http://www.sec.gov/Archives/edgar/data/1410939/000110465916119294/a16-6529_1ex10d1.htm" TargetMode="External"/><Relationship Id="rId208" Type="http://schemas.openxmlformats.org/officeDocument/2006/relationships/hyperlink" Target="http://www.sec.gov/Archives/edgar/data/1410939/000110465916119294/a16-6529_1ex10d2.htm" TargetMode="External"/><Relationship Id="rId209" Type="http://schemas.openxmlformats.org/officeDocument/2006/relationships/hyperlink" Target="http://www.sec.gov/Archives/edgar/data/1410939/000141093917000011/sblendorioamendment-102.htm" TargetMode="External"/><Relationship Id="rId210" Type="http://schemas.openxmlformats.org/officeDocument/2006/relationships/hyperlink" Target="https://www.sec.gov/Archives/edgar/data/1410939/000141093920000009/davidcarrollletter1219.htm" TargetMode="External"/><Relationship Id="rId211" Type="http://schemas.openxmlformats.org/officeDocument/2006/relationships/hyperlink" Target="http://www.sec.gov/Archives/edgar/data/1410939/000162828017004784/opht-03312017xex101.htm" TargetMode="External"/><Relationship Id="rId212" Type="http://schemas.openxmlformats.org/officeDocument/2006/relationships/hyperlink" Target="https://www.sec.gov/Archives/edgar/data/1410939/000141093920000009/keithwestbyletter1219.htm" TargetMode="External"/><Relationship Id="rId213" Type="http://schemas.openxmlformats.org/officeDocument/2006/relationships/hyperlink" Target="https://www.sec.gov/Archives/edgar/data/1410939/000141093920000037/pdugelofferv2.htm" TargetMode="External"/><Relationship Id="rId214" Type="http://schemas.openxmlformats.org/officeDocument/2006/relationships/hyperlink" Target="https://www.sec.gov/Archives/edgar/data/1410939/000141093920000037/pdugelseveranceagreement.htm" TargetMode="External"/><Relationship Id="rId215" Type="http://schemas.openxmlformats.org/officeDocument/2006/relationships/hyperlink" Target="http://www.sec.gov/Archives/edgar/data/1410939/000110465916137636/a16-11623_1ex10d2.htm" TargetMode="External"/><Relationship Id="rId216" Type="http://schemas.openxmlformats.org/officeDocument/2006/relationships/hyperlink" Target="http://www.sec.gov/Archives/edgar/data/1410939/000141093919000045/non-employeedirectorcomppl.htm" TargetMode="External"/><Relationship Id="rId217" Type="http://schemas.openxmlformats.org/officeDocument/2006/relationships/hyperlink" Target="https://www.sec.gov/Archives/edgar/data/1410939/000141093920000032/amendmentno1tonedcp.htm" TargetMode="External"/><Relationship Id="rId218" Type="http://schemas.openxmlformats.org/officeDocument/2006/relationships/hyperlink" Target="https://www.sec.gov/Archives/edgar/data/1410939/000141093920000009/ivericbiocodeofbusiness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2021-03-04T15:13:01Z</dcterms:created>
  <dcterms:modified xsi:type="dcterms:W3CDTF">2021-03-04T15:13:01Z</dcterms:modified>
</cp:coreProperties>
</file>