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 w:lineRule="exact"/>
        <w:rPr>
          <w:sz w:val="24"/>
          <w:szCs w:val="24"/>
          <w:color w:val="auto"/>
        </w:rPr>
      </w:pPr>
    </w:p>
    <w:p>
      <w:pPr>
        <w:spacing w:after="0"/>
        <w:rPr>
          <w:rFonts w:ascii="Arial" w:cs="Arial" w:eastAsia="Arial" w:hAnsi="Arial"/>
          <w:sz w:val="14"/>
          <w:szCs w:val="14"/>
          <w:u w:val="single" w:color="auto"/>
          <w:color w:val="0000EE"/>
        </w:rPr>
      </w:pPr>
      <w:hyperlink w:anchor="page114">
        <w:r>
          <w:rPr>
            <w:rFonts w:ascii="Arial" w:cs="Arial" w:eastAsia="Arial" w:hAnsi="Arial"/>
            <w:sz w:val="14"/>
            <w:szCs w:val="14"/>
            <w:u w:val="single" w:color="auto"/>
            <w:color w:val="0000EE"/>
          </w:rPr>
          <w:t>PART IV</w:t>
        </w:r>
      </w:hyperlink>
    </w:p>
    <w:p>
      <w:pPr>
        <w:spacing w:after="0" w:line="1" w:lineRule="exact"/>
        <w:rPr>
          <w:sz w:val="24"/>
          <w:szCs w:val="24"/>
          <w:color w:val="auto"/>
        </w:rPr>
      </w:pPr>
    </w:p>
    <w:p>
      <w:pPr>
        <w:spacing w:after="0"/>
        <w:rPr>
          <w:rFonts w:ascii="Arial" w:cs="Arial" w:eastAsia="Arial" w:hAnsi="Arial"/>
          <w:sz w:val="14"/>
          <w:szCs w:val="14"/>
          <w:u w:val="single" w:color="auto"/>
          <w:color w:val="0000EE"/>
        </w:rPr>
      </w:pPr>
      <w:hyperlink w:anchor="page118">
        <w:r>
          <w:rPr>
            <w:rFonts w:ascii="Arial" w:cs="Arial" w:eastAsia="Arial" w:hAnsi="Arial"/>
            <w:sz w:val="14"/>
            <w:szCs w:val="14"/>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7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90805</wp:posOffset>
            </wp:positionV>
            <wp:extent cx="13290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17145"/>
                    </a:xfrm>
                    <a:prstGeom prst="rect">
                      <a:avLst/>
                    </a:prstGeom>
                    <a:noFill/>
                  </pic:spPr>
                </pic:pic>
              </a:graphicData>
            </a:graphic>
          </wp:anchor>
        </w:drawing>
      </w:r>
    </w:p>
    <w:p>
      <w:pPr>
        <w:spacing w:after="0" w:line="35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pacing w:after="0" w:line="172"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ind w:left="4360" w:right="2340" w:hanging="3373"/>
        <w:spacing w:after="0" w:line="322" w:lineRule="auto"/>
        <w:tabs>
          <w:tab w:leader="none" w:pos="197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2018</w:t>
      </w:r>
    </w:p>
    <w:p>
      <w:pPr>
        <w:ind w:left="56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42" w:lineRule="exact"/>
        <w:rPr>
          <w:sz w:val="24"/>
          <w:szCs w:val="24"/>
          <w:color w:val="auto"/>
        </w:rPr>
      </w:pPr>
    </w:p>
    <w:p>
      <w:pPr>
        <w:ind w:left="1980" w:hanging="961"/>
        <w:spacing w:after="0"/>
        <w:tabs>
          <w:tab w:leader="none" w:pos="19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2" w:lineRule="exact"/>
        <w:rPr>
          <w:sz w:val="24"/>
          <w:szCs w:val="24"/>
          <w:color w:val="auto"/>
        </w:rPr>
      </w:pPr>
    </w:p>
    <w:p>
      <w:pPr>
        <w:ind w:left="4340"/>
        <w:spacing w:after="0"/>
        <w:tabs>
          <w:tab w:leader="none" w:pos="66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Commission file number 001-36080</w:t>
      </w:r>
    </w:p>
    <w:p>
      <w:pPr>
        <w:spacing w:after="0" w:line="10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OPHTHOTECH CORPORATION</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299" w:lineRule="exact"/>
        <w:rPr>
          <w:sz w:val="24"/>
          <w:szCs w:val="24"/>
          <w:color w:val="auto"/>
        </w:rPr>
      </w:pPr>
    </w:p>
    <w:tbl>
      <w:tblPr>
        <w:tblLayout w:type="fixed"/>
        <w:tblInd w:w="164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74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380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20-8185347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jc w:val="center"/>
              <w:ind w:right="2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gridSpan w:val="2"/>
          </w:tcPr>
          <w:p>
            <w:pPr>
              <w:jc w:val="center"/>
              <w:ind w:left="118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86"/>
        </w:trPr>
        <w:tc>
          <w:tcPr>
            <w:tcW w:w="800" w:type="dxa"/>
            <w:vAlign w:val="bottom"/>
          </w:tcPr>
          <w:p>
            <w:pPr>
              <w:spacing w:after="0"/>
              <w:rPr>
                <w:sz w:val="24"/>
                <w:szCs w:val="24"/>
                <w:color w:val="auto"/>
              </w:rPr>
            </w:pPr>
          </w:p>
        </w:tc>
        <w:tc>
          <w:tcPr>
            <w:tcW w:w="2740" w:type="dxa"/>
            <w:vAlign w:val="bottom"/>
          </w:tcPr>
          <w:p>
            <w:pPr>
              <w:jc w:val="center"/>
              <w:ind w:right="828"/>
              <w:spacing w:after="0"/>
              <w:rPr>
                <w:sz w:val="20"/>
                <w:szCs w:val="20"/>
                <w:color w:val="auto"/>
              </w:rPr>
            </w:pPr>
            <w:r>
              <w:rPr>
                <w:rFonts w:ascii="Arial" w:cs="Arial" w:eastAsia="Arial" w:hAnsi="Arial"/>
                <w:sz w:val="14"/>
                <w:szCs w:val="14"/>
                <w:b w:val="1"/>
                <w:bCs w:val="1"/>
                <w:color w:val="auto"/>
                <w:w w:val="93"/>
              </w:rPr>
              <w:t>One Penn Plaza, 35th Floor</w:t>
            </w:r>
          </w:p>
        </w:tc>
        <w:tc>
          <w:tcPr>
            <w:tcW w:w="3800" w:type="dxa"/>
            <w:vAlign w:val="bottom"/>
            <w:gridSpan w:val="3"/>
            <w:vMerge w:val="restart"/>
          </w:tcPr>
          <w:p>
            <w:pPr>
              <w:jc w:val="right"/>
              <w:ind w:right="668"/>
              <w:spacing w:after="0"/>
              <w:rPr>
                <w:sz w:val="20"/>
                <w:szCs w:val="20"/>
                <w:color w:val="auto"/>
              </w:rPr>
            </w:pPr>
            <w:r>
              <w:rPr>
                <w:rFonts w:ascii="Arial" w:cs="Arial" w:eastAsia="Arial" w:hAnsi="Arial"/>
                <w:sz w:val="14"/>
                <w:szCs w:val="14"/>
                <w:b w:val="1"/>
                <w:bCs w:val="1"/>
                <w:color w:val="auto"/>
              </w:rPr>
              <w:t>10119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2740" w:type="dxa"/>
            <w:vAlign w:val="bottom"/>
          </w:tcPr>
          <w:p>
            <w:pPr>
              <w:jc w:val="center"/>
              <w:ind w:right="828"/>
              <w:spacing w:after="0" w:line="153" w:lineRule="exact"/>
              <w:rPr>
                <w:sz w:val="20"/>
                <w:szCs w:val="20"/>
                <w:color w:val="auto"/>
              </w:rPr>
            </w:pPr>
            <w:r>
              <w:rPr>
                <w:rFonts w:ascii="Arial" w:cs="Arial" w:eastAsia="Arial" w:hAnsi="Arial"/>
                <w:sz w:val="14"/>
                <w:szCs w:val="14"/>
                <w:b w:val="1"/>
                <w:bCs w:val="1"/>
                <w:color w:val="auto"/>
                <w:w w:val="96"/>
              </w:rPr>
              <w:t>New York, NY</w:t>
            </w:r>
          </w:p>
        </w:tc>
        <w:tc>
          <w:tcPr>
            <w:tcW w:w="38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jc w:val="center"/>
              <w:ind w:right="28"/>
              <w:spacing w:after="0"/>
              <w:rPr>
                <w:sz w:val="20"/>
                <w:szCs w:val="20"/>
                <w:color w:val="auto"/>
              </w:rPr>
            </w:pPr>
            <w:r>
              <w:rPr>
                <w:rFonts w:ascii="Arial" w:cs="Arial" w:eastAsia="Arial" w:hAnsi="Arial"/>
                <w:sz w:val="14"/>
                <w:szCs w:val="14"/>
                <w:color w:val="auto"/>
                <w:w w:val="95"/>
              </w:rPr>
              <w:t>(Address of principal executive offices)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gridSpan w:val="2"/>
          </w:tcPr>
          <w:p>
            <w:pPr>
              <w:jc w:val="center"/>
              <w:ind w:left="118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800" w:type="dxa"/>
            <w:vAlign w:val="bottom"/>
            <w:gridSpan w:val="3"/>
          </w:tcPr>
          <w:p>
            <w:pPr>
              <w:jc w:val="center"/>
              <w:ind w:right="2668"/>
              <w:spacing w:after="0"/>
              <w:rPr>
                <w:sz w:val="20"/>
                <w:szCs w:val="20"/>
                <w:color w:val="auto"/>
              </w:rPr>
            </w:pPr>
            <w:r>
              <w:rPr>
                <w:rFonts w:ascii="Arial" w:cs="Arial" w:eastAsia="Arial" w:hAnsi="Arial"/>
                <w:sz w:val="14"/>
                <w:szCs w:val="14"/>
                <w:b w:val="1"/>
                <w:bCs w:val="1"/>
                <w:color w:val="auto"/>
                <w:w w:val="93"/>
              </w:rPr>
              <w:t>(212) 845-8200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666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(Registrant's telephone number, including area code)</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6660" w:type="dxa"/>
            <w:vAlign w:val="bottom"/>
            <w:gridSpan w:val="5"/>
          </w:tcPr>
          <w:p>
            <w:pPr>
              <w:jc w:val="center"/>
              <w:ind w:right="10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330"/>
        </w:trPr>
        <w:tc>
          <w:tcPr>
            <w:tcW w:w="800" w:type="dxa"/>
            <w:vAlign w:val="bottom"/>
          </w:tcPr>
          <w:p>
            <w:pPr>
              <w:spacing w:after="0"/>
              <w:rPr>
                <w:sz w:val="24"/>
                <w:szCs w:val="24"/>
                <w:color w:val="auto"/>
              </w:rPr>
            </w:pPr>
          </w:p>
        </w:tc>
        <w:tc>
          <w:tcPr>
            <w:tcW w:w="27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Title of each class</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2740" w:type="dxa"/>
            <w:vAlign w:val="bottom"/>
          </w:tcPr>
          <w:p>
            <w:pPr>
              <w:jc w:val="center"/>
              <w:ind w:left="408"/>
              <w:spacing w:after="0"/>
              <w:rPr>
                <w:sz w:val="20"/>
                <w:szCs w:val="20"/>
                <w:color w:val="auto"/>
              </w:rPr>
            </w:pPr>
            <w:r>
              <w:rPr>
                <w:rFonts w:ascii="Arial" w:cs="Arial" w:eastAsia="Arial" w:hAnsi="Arial"/>
                <w:sz w:val="14"/>
                <w:szCs w:val="14"/>
                <w:color w:val="auto"/>
                <w:w w:val="93"/>
              </w:rPr>
              <w:t>Common Stock, $0.001 par value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51"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118110</wp:posOffset>
            </wp:positionV>
            <wp:extent cx="26670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2603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spacing w:after="0" w:line="150" w:lineRule="exact"/>
        <w:tabs>
          <w:tab w:leader="none" w:pos="724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283" w:lineRule="exact"/>
        <w:rPr>
          <w:sz w:val="24"/>
          <w:szCs w:val="24"/>
          <w:color w:val="auto"/>
        </w:rPr>
      </w:pPr>
    </w:p>
    <w:p>
      <w:pPr>
        <w:spacing w:after="0" w:line="161" w:lineRule="exact"/>
        <w:tabs>
          <w:tab w:leader="none" w:pos="736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299"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35"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3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2" w:lineRule="exact"/>
        <w:rPr>
          <w:sz w:val="24"/>
          <w:szCs w:val="24"/>
          <w:color w:val="auto"/>
        </w:rPr>
      </w:pPr>
    </w:p>
    <w:p>
      <w:pPr>
        <w:ind w:right="24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p>
      <w:pPr>
        <w:ind w:left="380"/>
        <w:spacing w:after="0" w:line="184" w:lineRule="exact"/>
        <w:tabs>
          <w:tab w:leader="none" w:pos="2760" w:val="left"/>
          <w:tab w:leader="none" w:pos="4580" w:val="left"/>
          <w:tab w:leader="none" w:pos="6700" w:val="left"/>
          <w:tab w:leader="none" w:pos="91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x</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 x</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373" w:lineRule="exact"/>
        <w:rPr>
          <w:sz w:val="24"/>
          <w:szCs w:val="24"/>
          <w:color w:val="auto"/>
        </w:rPr>
      </w:pPr>
    </w:p>
    <w:p>
      <w:pPr>
        <w:ind w:left="40" w:right="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5" w:lineRule="exact"/>
        <w:rPr>
          <w:sz w:val="24"/>
          <w:szCs w:val="24"/>
          <w:color w:val="auto"/>
        </w:rPr>
      </w:pPr>
    </w:p>
    <w:p>
      <w:pPr>
        <w:spacing w:after="0" w:line="150" w:lineRule="exact"/>
        <w:tabs>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310"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As of June 30, 2018, the aggregate market value of the voting and non-voting common equity held by non-affiliates of the registrant was approximately $98.5 million, based on the closing price of the registrant's common stock on June 29, 2018.</w:t>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class of common stock, as of February 27, 2019: 41,421,548</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DOCUMENTS INCORPORATED BY REFERENCE</w:t>
      </w:r>
    </w:p>
    <w:p>
      <w:pPr>
        <w:sectPr>
          <w:pgSz w:w="11900" w:h="16838" w:orient="portrait"/>
          <w:cols w:equalWidth="0" w:num="1">
            <w:col w:w="11340"/>
          </w:cols>
          <w:pgMar w:left="240" w:top="229" w:right="319" w:bottom="759" w:gutter="0" w:footer="0" w:header="0"/>
        </w:sectPr>
      </w:pPr>
    </w:p>
    <w:p>
      <w:pPr>
        <w:spacing w:after="0" w:line="388"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40"/>
          </w:cols>
          <w:pgMar w:left="240" w:top="229" w:right="319" w:bottom="759"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spacing w:after="0"/>
        <w:rPr>
          <w:rFonts w:ascii="Arial" w:cs="Arial" w:eastAsia="Arial" w:hAnsi="Arial"/>
          <w:sz w:val="14"/>
          <w:szCs w:val="14"/>
          <w:u w:val="single" w:color="auto"/>
          <w:color w:val="0000EE"/>
        </w:rPr>
      </w:pPr>
      <w:hyperlink w:anchor="page114">
        <w:r>
          <w:rPr>
            <w:rFonts w:ascii="Arial" w:cs="Arial" w:eastAsia="Arial" w:hAnsi="Arial"/>
            <w:sz w:val="14"/>
            <w:szCs w:val="14"/>
            <w:u w:val="single" w:color="auto"/>
            <w:color w:val="0000EE"/>
          </w:rPr>
          <w:t>PART IV</w:t>
        </w:r>
      </w:hyperlink>
    </w:p>
    <w:p>
      <w:pPr>
        <w:spacing w:after="0" w:line="1" w:lineRule="exact"/>
        <w:rPr>
          <w:sz w:val="20"/>
          <w:szCs w:val="20"/>
          <w:color w:val="auto"/>
        </w:rPr>
      </w:pPr>
    </w:p>
    <w:p>
      <w:pPr>
        <w:spacing w:after="0"/>
        <w:rPr>
          <w:rFonts w:ascii="Arial" w:cs="Arial" w:eastAsia="Arial" w:hAnsi="Arial"/>
          <w:sz w:val="14"/>
          <w:szCs w:val="14"/>
          <w:u w:val="single" w:color="auto"/>
          <w:color w:val="0000EE"/>
        </w:rPr>
      </w:pPr>
      <w:hyperlink w:anchor="page118">
        <w:r>
          <w:rPr>
            <w:rFonts w:ascii="Arial" w:cs="Arial" w:eastAsia="Arial" w:hAnsi="Arial"/>
            <w:sz w:val="14"/>
            <w:szCs w:val="14"/>
            <w:u w:val="single" w:color="auto"/>
            <w:color w:val="0000EE"/>
          </w:rPr>
          <w:t>INDEX TO FINANCIAL STATEMENTS</w:t>
        </w:r>
      </w:hyperlink>
    </w:p>
    <w:p>
      <w:pPr>
        <w:spacing w:after="0" w:line="394" w:lineRule="exact"/>
        <w:rPr>
          <w:sz w:val="20"/>
          <w:szCs w:val="20"/>
          <w:color w:val="auto"/>
        </w:rPr>
      </w:pPr>
    </w:p>
    <w:p>
      <w:pPr>
        <w:spacing w:after="0" w:line="353" w:lineRule="auto"/>
        <w:rPr>
          <w:sz w:val="20"/>
          <w:szCs w:val="20"/>
          <w:color w:val="auto"/>
        </w:rPr>
      </w:pPr>
      <w:r>
        <w:rPr>
          <w:rFonts w:ascii="Arial" w:cs="Arial" w:eastAsia="Arial" w:hAnsi="Arial"/>
          <w:sz w:val="14"/>
          <w:szCs w:val="14"/>
          <w:color w:val="auto"/>
        </w:rPr>
        <w:t>Part III of this Annual Report incorporates by reference information from the definitive Proxy Statement for the registrant's 2019 Annual Meeting of Shareholders, which is expected to be filed with the Securities and Exchange Commission not later than 120 days after the registrant's fiscal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1" w:right="2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80" w:type="dxa"/>
            <w:vAlign w:val="bottom"/>
            <w:gridSpan w:val="16"/>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40" w:type="dxa"/>
            <w:vAlign w:val="bottom"/>
            <w:gridSpan w:val="12"/>
          </w:tcPr>
          <w:p>
            <w:pPr>
              <w:jc w:val="center"/>
              <w:ind w:right="436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4320" w:type="dxa"/>
            <w:vAlign w:val="bottom"/>
            <w:gridSpan w:val="16"/>
          </w:tcPr>
          <w:p>
            <w:pPr>
              <w:ind w:left="420"/>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1"/>
                <w:szCs w:val="21"/>
                <w:color w:val="auto"/>
              </w:rPr>
            </w:pPr>
          </w:p>
        </w:tc>
        <w:tc>
          <w:tcPr>
            <w:tcW w:w="4360" w:type="dxa"/>
            <w:vAlign w:val="bottom"/>
            <w:gridSpan w:val="9"/>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3"/>
              </w:rPr>
            </w:pPr>
            <w:hyperlink w:anchor="page41">
              <w:r>
                <w:rPr>
                  <w:rFonts w:ascii="Arial" w:cs="Arial" w:eastAsia="Arial" w:hAnsi="Arial"/>
                  <w:sz w:val="18"/>
                  <w:szCs w:val="18"/>
                  <w:color w:val="0000EE"/>
                  <w:w w:val="83"/>
                </w:rPr>
                <w:t>Item 1A.</w:t>
              </w:r>
            </w:hyperlink>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40" w:type="dxa"/>
            <w:vAlign w:val="bottom"/>
            <w:gridSpan w:val="2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104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3"/>
              </w:rPr>
            </w:pPr>
            <w:hyperlink w:anchor="page84">
              <w:r>
                <w:rPr>
                  <w:rFonts w:ascii="Arial" w:cs="Arial" w:eastAsia="Arial" w:hAnsi="Arial"/>
                  <w:sz w:val="18"/>
                  <w:szCs w:val="18"/>
                  <w:color w:val="0000EE"/>
                  <w:w w:val="83"/>
                </w:rPr>
                <w:t>Item 1B.</w:t>
              </w:r>
            </w:hyperlink>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40" w:type="dxa"/>
            <w:vAlign w:val="bottom"/>
            <w:gridSpan w:val="2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Unresolved Staff Comments</w:t>
              </w:r>
            </w:hyperlink>
          </w:p>
        </w:tc>
        <w:tc>
          <w:tcPr>
            <w:tcW w:w="1040" w:type="dxa"/>
            <w:vAlign w:val="bottom"/>
            <w:gridSpan w:val="4"/>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2.</w:t>
              </w:r>
            </w:hyperlink>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Properties</w:t>
              </w:r>
            </w:hyperlink>
          </w:p>
        </w:tc>
        <w:tc>
          <w:tcPr>
            <w:tcW w:w="6800" w:type="dxa"/>
            <w:vAlign w:val="bottom"/>
            <w:gridSpan w:val="18"/>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3.</w:t>
              </w:r>
            </w:hyperlink>
          </w:p>
        </w:tc>
        <w:tc>
          <w:tcPr>
            <w:tcW w:w="9260" w:type="dxa"/>
            <w:vAlign w:val="bottom"/>
            <w:gridSpan w:val="28"/>
          </w:tcPr>
          <w:p>
            <w:pPr>
              <w:ind w:left="420"/>
              <w:spacing w:after="0"/>
              <w:rPr>
                <w:rFonts w:ascii="Arial" w:cs="Arial" w:eastAsia="Arial" w:hAnsi="Arial"/>
                <w:sz w:val="18"/>
                <w:szCs w:val="18"/>
                <w:color w:val="0000EE"/>
              </w:rPr>
            </w:pPr>
            <w:hyperlink w:anchor="page84">
              <w:r>
                <w:rPr>
                  <w:rFonts w:ascii="Arial" w:cs="Arial" w:eastAsia="Arial" w:hAnsi="Arial"/>
                  <w:sz w:val="18"/>
                  <w:szCs w:val="18"/>
                  <w:color w:val="0000EE"/>
                </w:rPr>
                <w:t>Legal Proceedings</w:t>
              </w:r>
            </w:hyperlink>
          </w:p>
        </w:tc>
        <w:tc>
          <w:tcPr>
            <w:tcW w:w="1040" w:type="dxa"/>
            <w:vAlign w:val="bottom"/>
            <w:gridSpan w:val="4"/>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4.</w:t>
              </w:r>
            </w:hyperlink>
          </w:p>
        </w:tc>
        <w:tc>
          <w:tcPr>
            <w:tcW w:w="9260" w:type="dxa"/>
            <w:vAlign w:val="bottom"/>
            <w:gridSpan w:val="28"/>
          </w:tcPr>
          <w:p>
            <w:pPr>
              <w:ind w:left="420"/>
              <w:spacing w:after="0"/>
              <w:rPr>
                <w:rFonts w:ascii="Arial" w:cs="Arial" w:eastAsia="Arial" w:hAnsi="Arial"/>
                <w:sz w:val="18"/>
                <w:szCs w:val="18"/>
                <w:color w:val="0000EE"/>
              </w:rPr>
            </w:pPr>
            <w:hyperlink w:anchor="page85">
              <w:r>
                <w:rPr>
                  <w:rFonts w:ascii="Arial" w:cs="Arial" w:eastAsia="Arial" w:hAnsi="Arial"/>
                  <w:sz w:val="18"/>
                  <w:szCs w:val="18"/>
                  <w:color w:val="0000EE"/>
                </w:rPr>
                <w:t>Mine Safety Disclosures</w:t>
              </w:r>
            </w:hyperlink>
          </w:p>
        </w:tc>
        <w:tc>
          <w:tcPr>
            <w:tcW w:w="1040" w:type="dxa"/>
            <w:vAlign w:val="bottom"/>
            <w:gridSpan w:val="4"/>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13"/>
          </w:tcPr>
          <w:p>
            <w:pPr>
              <w:jc w:val="center"/>
              <w:ind w:right="4320"/>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II</w:t>
              </w:r>
            </w:hyperlink>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5.</w:t>
              </w:r>
            </w:hyperlink>
          </w:p>
        </w:tc>
        <w:tc>
          <w:tcPr>
            <w:tcW w:w="9260" w:type="dxa"/>
            <w:vAlign w:val="bottom"/>
            <w:gridSpan w:val="28"/>
          </w:tcPr>
          <w:p>
            <w:pPr>
              <w:ind w:left="420"/>
              <w:spacing w:after="0"/>
              <w:rPr>
                <w:rFonts w:ascii="Arial" w:cs="Arial" w:eastAsia="Arial" w:hAnsi="Arial"/>
                <w:sz w:val="18"/>
                <w:szCs w:val="18"/>
                <w:color w:val="0000EE"/>
                <w:w w:val="99"/>
              </w:rPr>
            </w:pPr>
            <w:hyperlink w:anchor="page86">
              <w:r>
                <w:rPr>
                  <w:rFonts w:ascii="Arial" w:cs="Arial" w:eastAsia="Arial" w:hAnsi="Arial"/>
                  <w:sz w:val="18"/>
                  <w:szCs w:val="18"/>
                  <w:color w:val="0000EE"/>
                  <w:w w:val="99"/>
                </w:rPr>
                <w:t>Market for Registrant's Common Equity, Related Stockholder Matters and Issuer Purchases of Equity Securities</w:t>
              </w:r>
            </w:hyperlink>
          </w:p>
        </w:tc>
        <w:tc>
          <w:tcPr>
            <w:tcW w:w="1040" w:type="dxa"/>
            <w:vAlign w:val="bottom"/>
            <w:gridSpan w:val="4"/>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Item 6.</w:t>
              </w:r>
            </w:hyperlink>
          </w:p>
        </w:tc>
        <w:tc>
          <w:tcPr>
            <w:tcW w:w="9260" w:type="dxa"/>
            <w:vAlign w:val="bottom"/>
            <w:gridSpan w:val="28"/>
          </w:tcPr>
          <w:p>
            <w:pPr>
              <w:ind w:left="420"/>
              <w:spacing w:after="0"/>
              <w:rPr>
                <w:rFonts w:ascii="Arial" w:cs="Arial" w:eastAsia="Arial" w:hAnsi="Arial"/>
                <w:sz w:val="18"/>
                <w:szCs w:val="18"/>
                <w:color w:val="0000EE"/>
              </w:rPr>
            </w:pPr>
            <w:hyperlink w:anchor="page88">
              <w:r>
                <w:rPr>
                  <w:rFonts w:ascii="Arial" w:cs="Arial" w:eastAsia="Arial" w:hAnsi="Arial"/>
                  <w:sz w:val="18"/>
                  <w:szCs w:val="18"/>
                  <w:color w:val="0000EE"/>
                </w:rPr>
                <w:t>Selected Financial Data</w:t>
              </w:r>
            </w:hyperlink>
          </w:p>
        </w:tc>
        <w:tc>
          <w:tcPr>
            <w:tcW w:w="1040" w:type="dxa"/>
            <w:vAlign w:val="bottom"/>
            <w:gridSpan w:val="4"/>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7.</w:t>
              </w:r>
            </w:hyperlink>
          </w:p>
        </w:tc>
        <w:tc>
          <w:tcPr>
            <w:tcW w:w="9260" w:type="dxa"/>
            <w:vAlign w:val="bottom"/>
            <w:gridSpan w:val="28"/>
          </w:tcPr>
          <w:p>
            <w:pPr>
              <w:ind w:left="420"/>
              <w:spacing w:after="0"/>
              <w:rPr>
                <w:rFonts w:ascii="Arial" w:cs="Arial" w:eastAsia="Arial" w:hAnsi="Arial"/>
                <w:sz w:val="18"/>
                <w:szCs w:val="18"/>
                <w:color w:val="0000EE"/>
              </w:rPr>
            </w:pPr>
            <w:hyperlink w:anchor="page89">
              <w:r>
                <w:rPr>
                  <w:rFonts w:ascii="Arial" w:cs="Arial" w:eastAsia="Arial" w:hAnsi="Arial"/>
                  <w:sz w:val="18"/>
                  <w:szCs w:val="18"/>
                  <w:color w:val="0000EE"/>
                </w:rPr>
                <w:t>Management's Discussion and Analysis of Financial Condition and Results of Operations</w:t>
              </w:r>
            </w:hyperlink>
          </w:p>
        </w:tc>
        <w:tc>
          <w:tcPr>
            <w:tcW w:w="1040" w:type="dxa"/>
            <w:vAlign w:val="bottom"/>
            <w:gridSpan w:val="4"/>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109">
              <w:r>
                <w:rPr>
                  <w:rFonts w:ascii="Arial" w:cs="Arial" w:eastAsia="Arial" w:hAnsi="Arial"/>
                  <w:sz w:val="18"/>
                  <w:szCs w:val="18"/>
                  <w:color w:val="0000EE"/>
                  <w:w w:val="83"/>
                </w:rPr>
                <w:t>Item 7A.</w:t>
              </w:r>
            </w:hyperlink>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109">
              <w:r>
                <w:rPr>
                  <w:rFonts w:ascii="Arial" w:cs="Arial" w:eastAsia="Arial" w:hAnsi="Arial"/>
                  <w:sz w:val="18"/>
                  <w:szCs w:val="18"/>
                  <w:color w:val="0000EE"/>
                  <w:w w:val="92"/>
                </w:rPr>
                <w:t>Quantitative and Qualitative Disclosures About Market Risk</w:t>
              </w:r>
            </w:hyperlink>
          </w:p>
        </w:tc>
        <w:tc>
          <w:tcPr>
            <w:tcW w:w="4480" w:type="dxa"/>
            <w:vAlign w:val="bottom"/>
            <w:gridSpan w:val="10"/>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106</w:t>
              </w:r>
            </w:hyperlink>
          </w:p>
        </w:tc>
      </w:tr>
      <w:tr>
        <w:trPr>
          <w:trHeight w:val="250"/>
        </w:trPr>
        <w:tc>
          <w:tcPr>
            <w:tcW w:w="1060" w:type="dxa"/>
            <w:vAlign w:val="bottom"/>
            <w:gridSpan w:val="4"/>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8.</w:t>
              </w:r>
            </w:hyperlink>
          </w:p>
        </w:tc>
        <w:tc>
          <w:tcPr>
            <w:tcW w:w="9260" w:type="dxa"/>
            <w:vAlign w:val="bottom"/>
            <w:gridSpan w:val="28"/>
          </w:tcPr>
          <w:p>
            <w:pPr>
              <w:ind w:left="420"/>
              <w:spacing w:after="0"/>
              <w:rPr>
                <w:rFonts w:ascii="Arial" w:cs="Arial" w:eastAsia="Arial" w:hAnsi="Arial"/>
                <w:sz w:val="18"/>
                <w:szCs w:val="18"/>
                <w:color w:val="0000EE"/>
              </w:rPr>
            </w:pPr>
            <w:hyperlink w:anchor="page109">
              <w:r>
                <w:rPr>
                  <w:rFonts w:ascii="Arial" w:cs="Arial" w:eastAsia="Arial" w:hAnsi="Arial"/>
                  <w:sz w:val="18"/>
                  <w:szCs w:val="18"/>
                  <w:color w:val="0000EE"/>
                </w:rPr>
                <w:t>Financial Statements and Supplementary Data</w:t>
              </w:r>
            </w:hyperlink>
          </w:p>
        </w:tc>
        <w:tc>
          <w:tcPr>
            <w:tcW w:w="104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1060" w:type="dxa"/>
            <w:vAlign w:val="bottom"/>
            <w:gridSpan w:val="4"/>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9.</w:t>
              </w:r>
            </w:hyperlink>
          </w:p>
        </w:tc>
        <w:tc>
          <w:tcPr>
            <w:tcW w:w="9260" w:type="dxa"/>
            <w:vAlign w:val="bottom"/>
            <w:gridSpan w:val="28"/>
          </w:tcPr>
          <w:p>
            <w:pPr>
              <w:ind w:left="420"/>
              <w:spacing w:after="0"/>
              <w:rPr>
                <w:rFonts w:ascii="Arial" w:cs="Arial" w:eastAsia="Arial" w:hAnsi="Arial"/>
                <w:sz w:val="18"/>
                <w:szCs w:val="18"/>
                <w:color w:val="0000EE"/>
              </w:rPr>
            </w:pPr>
            <w:hyperlink w:anchor="page109">
              <w:r>
                <w:rPr>
                  <w:rFonts w:ascii="Arial" w:cs="Arial" w:eastAsia="Arial" w:hAnsi="Arial"/>
                  <w:sz w:val="18"/>
                  <w:szCs w:val="18"/>
                  <w:color w:val="0000EE"/>
                </w:rPr>
                <w:t>Changes in and Disagreements With Accountants on Accounting and Financial Disclosure</w:t>
              </w:r>
            </w:hyperlink>
          </w:p>
        </w:tc>
        <w:tc>
          <w:tcPr>
            <w:tcW w:w="1040" w:type="dxa"/>
            <w:vAlign w:val="bottom"/>
            <w:gridSpan w:val="4"/>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109">
              <w:r>
                <w:rPr>
                  <w:rFonts w:ascii="Arial" w:cs="Arial" w:eastAsia="Arial" w:hAnsi="Arial"/>
                  <w:sz w:val="18"/>
                  <w:szCs w:val="18"/>
                  <w:color w:val="0000EE"/>
                  <w:w w:val="83"/>
                </w:rPr>
                <w:t>Item 9A.</w:t>
              </w:r>
            </w:hyperlink>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09">
              <w:r>
                <w:rPr>
                  <w:rFonts w:ascii="Arial" w:cs="Arial" w:eastAsia="Arial" w:hAnsi="Arial"/>
                  <w:sz w:val="18"/>
                  <w:szCs w:val="18"/>
                  <w:color w:val="0000EE"/>
                  <w:w w:val="88"/>
                </w:rPr>
                <w:t>Controls and Procedures</w:t>
              </w:r>
            </w:hyperlink>
          </w:p>
        </w:tc>
        <w:tc>
          <w:tcPr>
            <w:tcW w:w="7060" w:type="dxa"/>
            <w:vAlign w:val="bottom"/>
            <w:gridSpan w:val="20"/>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09">
              <w:r>
                <w:rPr>
                  <w:rFonts w:ascii="Arial" w:cs="Arial" w:eastAsia="Arial" w:hAnsi="Arial"/>
                  <w:sz w:val="18"/>
                  <w:szCs w:val="18"/>
                  <w:color w:val="0000EE"/>
                  <w:w w:val="79"/>
                </w:rPr>
                <w:t>106</w:t>
              </w:r>
            </w:hyperlink>
          </w:p>
        </w:tc>
      </w:tr>
      <w:tr>
        <w:trPr>
          <w:trHeight w:val="250"/>
        </w:trPr>
        <w:tc>
          <w:tcPr>
            <w:tcW w:w="1060" w:type="dxa"/>
            <w:vAlign w:val="bottom"/>
            <w:gridSpan w:val="4"/>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9B.</w:t>
              </w:r>
            </w:hyperlink>
          </w:p>
        </w:tc>
        <w:tc>
          <w:tcPr>
            <w:tcW w:w="9260" w:type="dxa"/>
            <w:vAlign w:val="bottom"/>
            <w:gridSpan w:val="28"/>
          </w:tcPr>
          <w:p>
            <w:pPr>
              <w:ind w:left="420"/>
              <w:spacing w:after="0"/>
              <w:rPr>
                <w:rFonts w:ascii="Arial" w:cs="Arial" w:eastAsia="Arial" w:hAnsi="Arial"/>
                <w:sz w:val="18"/>
                <w:szCs w:val="18"/>
                <w:color w:val="0000EE"/>
              </w:rPr>
            </w:pPr>
            <w:hyperlink w:anchor="page112">
              <w:r>
                <w:rPr>
                  <w:rFonts w:ascii="Arial" w:cs="Arial" w:eastAsia="Arial" w:hAnsi="Arial"/>
                  <w:sz w:val="18"/>
                  <w:szCs w:val="18"/>
                  <w:color w:val="0000EE"/>
                </w:rPr>
                <w:t>Other Information</w:t>
              </w:r>
            </w:hyperlink>
          </w:p>
        </w:tc>
        <w:tc>
          <w:tcPr>
            <w:tcW w:w="1040" w:type="dxa"/>
            <w:vAlign w:val="bottom"/>
            <w:gridSpan w:val="4"/>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109</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PART III</w:t>
              </w:r>
            </w:hyperlink>
          </w:p>
        </w:tc>
        <w:tc>
          <w:tcPr>
            <w:tcW w:w="4260" w:type="dxa"/>
            <w:vAlign w:val="bottom"/>
            <w:gridSpan w:val="6"/>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Item 10.</w:t>
              </w:r>
            </w:hyperlink>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Directors, Executive Officers and Corporate Governance</w:t>
              </w:r>
            </w:hyperlink>
          </w:p>
        </w:tc>
        <w:tc>
          <w:tcPr>
            <w:tcW w:w="4740" w:type="dxa"/>
            <w:vAlign w:val="bottom"/>
            <w:gridSpan w:val="11"/>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109</w:t>
              </w:r>
            </w:hyperlink>
          </w:p>
        </w:tc>
      </w:tr>
      <w:tr>
        <w:trPr>
          <w:trHeight w:val="250"/>
        </w:trPr>
        <w:tc>
          <w:tcPr>
            <w:tcW w:w="1060" w:type="dxa"/>
            <w:vAlign w:val="bottom"/>
            <w:gridSpan w:val="4"/>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11.</w:t>
              </w:r>
            </w:hyperlink>
          </w:p>
        </w:tc>
        <w:tc>
          <w:tcPr>
            <w:tcW w:w="9260" w:type="dxa"/>
            <w:vAlign w:val="bottom"/>
            <w:gridSpan w:val="28"/>
          </w:tcPr>
          <w:p>
            <w:pPr>
              <w:ind w:left="420"/>
              <w:spacing w:after="0"/>
              <w:rPr>
                <w:rFonts w:ascii="Arial" w:cs="Arial" w:eastAsia="Arial" w:hAnsi="Arial"/>
                <w:sz w:val="18"/>
                <w:szCs w:val="18"/>
                <w:color w:val="0000EE"/>
              </w:rPr>
            </w:pPr>
            <w:hyperlink w:anchor="page112">
              <w:r>
                <w:rPr>
                  <w:rFonts w:ascii="Arial" w:cs="Arial" w:eastAsia="Arial" w:hAnsi="Arial"/>
                  <w:sz w:val="18"/>
                  <w:szCs w:val="18"/>
                  <w:color w:val="0000EE"/>
                </w:rPr>
                <w:t>Executive Compensation</w:t>
              </w:r>
            </w:hyperlink>
          </w:p>
        </w:tc>
        <w:tc>
          <w:tcPr>
            <w:tcW w:w="1040" w:type="dxa"/>
            <w:vAlign w:val="bottom"/>
            <w:gridSpan w:val="4"/>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109</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Item 12.</w:t>
              </w:r>
            </w:hyperlink>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30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Security Ownership of Certain Beneficial Owners and Management and Related Stockholder Matters</w:t>
              </w:r>
            </w:hyperlink>
          </w:p>
        </w:tc>
        <w:tc>
          <w:tcPr>
            <w:tcW w:w="1540" w:type="dxa"/>
            <w:vAlign w:val="bottom"/>
            <w:gridSpan w:val="2"/>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109</w:t>
              </w:r>
            </w:hyperlink>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Item 13.</w:t>
              </w:r>
            </w:hyperlink>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Certain Relationships and Related Transactions, and Director Independence</w:t>
              </w:r>
            </w:hyperlink>
          </w:p>
        </w:tc>
        <w:tc>
          <w:tcPr>
            <w:tcW w:w="3380" w:type="dxa"/>
            <w:vAlign w:val="bottom"/>
            <w:gridSpan w:val="5"/>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109</w:t>
              </w:r>
            </w:hyperlink>
          </w:p>
        </w:tc>
      </w:tr>
      <w:tr>
        <w:trPr>
          <w:trHeight w:val="250"/>
        </w:trPr>
        <w:tc>
          <w:tcPr>
            <w:tcW w:w="1060" w:type="dxa"/>
            <w:vAlign w:val="bottom"/>
            <w:gridSpan w:val="4"/>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14.</w:t>
              </w:r>
            </w:hyperlink>
          </w:p>
        </w:tc>
        <w:tc>
          <w:tcPr>
            <w:tcW w:w="9260" w:type="dxa"/>
            <w:vAlign w:val="bottom"/>
            <w:gridSpan w:val="28"/>
          </w:tcPr>
          <w:p>
            <w:pPr>
              <w:ind w:left="420"/>
              <w:spacing w:after="0"/>
              <w:rPr>
                <w:rFonts w:ascii="Arial" w:cs="Arial" w:eastAsia="Arial" w:hAnsi="Arial"/>
                <w:sz w:val="18"/>
                <w:szCs w:val="18"/>
                <w:color w:val="0000EE"/>
              </w:rPr>
            </w:pPr>
            <w:hyperlink w:anchor="page113">
              <w:r>
                <w:rPr>
                  <w:rFonts w:ascii="Arial" w:cs="Arial" w:eastAsia="Arial" w:hAnsi="Arial"/>
                  <w:sz w:val="18"/>
                  <w:szCs w:val="18"/>
                  <w:color w:val="0000EE"/>
                </w:rPr>
                <w:t>Principal Accountant Fees and Services</w:t>
              </w:r>
            </w:hyperlink>
          </w:p>
        </w:tc>
        <w:tc>
          <w:tcPr>
            <w:tcW w:w="1040" w:type="dxa"/>
            <w:vAlign w:val="bottom"/>
            <w:gridSpan w:val="4"/>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110</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114">
              <w:r>
                <w:rPr>
                  <w:rFonts w:ascii="Arial" w:cs="Arial" w:eastAsia="Arial" w:hAnsi="Arial"/>
                  <w:sz w:val="18"/>
                  <w:szCs w:val="18"/>
                  <w:b w:val="1"/>
                  <w:bCs w:val="1"/>
                  <w:color w:val="0000EE"/>
                  <w:w w:val="98"/>
                </w:rPr>
                <w:t>PART IV</w:t>
              </w:r>
            </w:hyperlink>
          </w:p>
        </w:tc>
        <w:tc>
          <w:tcPr>
            <w:tcW w:w="4280" w:type="dxa"/>
            <w:vAlign w:val="bottom"/>
            <w:gridSpan w:val="7"/>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Item 15.</w:t>
              </w:r>
            </w:hyperlink>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160" w:type="dxa"/>
            <w:vAlign w:val="bottom"/>
            <w:gridSpan w:val="11"/>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Exhibits and Financial Statement Schedules</w:t>
              </w:r>
            </w:hyperlink>
          </w:p>
        </w:tc>
        <w:tc>
          <w:tcPr>
            <w:tcW w:w="5680" w:type="dxa"/>
            <w:vAlign w:val="bottom"/>
            <w:gridSpan w:val="16"/>
          </w:tcPr>
          <w:p>
            <w:pPr>
              <w:spacing w:after="0"/>
              <w:rPr>
                <w:sz w:val="21"/>
                <w:szCs w:val="21"/>
                <w:color w:val="auto"/>
              </w:rPr>
            </w:pPr>
          </w:p>
        </w:tc>
        <w:tc>
          <w:tcPr>
            <w:tcW w:w="1040" w:type="dxa"/>
            <w:vAlign w:val="bottom"/>
            <w:gridSpan w:val="4"/>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111</w:t>
              </w:r>
            </w:hyperlink>
          </w:p>
        </w:tc>
      </w:tr>
      <w:tr>
        <w:trPr>
          <w:trHeight w:val="20"/>
        </w:trPr>
        <w:tc>
          <w:tcPr>
            <w:tcW w:w="60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568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Item 16.</w:t>
              </w:r>
            </w:hyperlink>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16">
              <w:r>
                <w:rPr>
                  <w:rFonts w:ascii="Arial" w:cs="Arial" w:eastAsia="Arial" w:hAnsi="Arial"/>
                  <w:sz w:val="18"/>
                  <w:szCs w:val="18"/>
                  <w:color w:val="0000EE"/>
                  <w:w w:val="92"/>
                </w:rPr>
                <w:t>Form 10-K Summary</w:t>
              </w:r>
            </w:hyperlink>
          </w:p>
        </w:tc>
        <w:tc>
          <w:tcPr>
            <w:tcW w:w="1600" w:type="dxa"/>
            <w:vAlign w:val="bottom"/>
            <w:gridSpan w:val="6"/>
          </w:tcPr>
          <w:p>
            <w:pPr>
              <w:spacing w:after="0"/>
              <w:rPr>
                <w:sz w:val="21"/>
                <w:szCs w:val="21"/>
                <w:color w:val="auto"/>
              </w:rPr>
            </w:pPr>
          </w:p>
        </w:tc>
        <w:tc>
          <w:tcPr>
            <w:tcW w:w="5680" w:type="dxa"/>
            <w:vAlign w:val="bottom"/>
            <w:gridSpan w:val="16"/>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16">
              <w:r>
                <w:rPr>
                  <w:rFonts w:ascii="Arial" w:cs="Arial" w:eastAsia="Arial" w:hAnsi="Arial"/>
                  <w:sz w:val="18"/>
                  <w:szCs w:val="18"/>
                  <w:color w:val="0000EE"/>
                  <w:w w:val="79"/>
                </w:rPr>
                <w:t>113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185" w:lineRule="exact"/>
        <w:rPr>
          <w:sz w:val="20"/>
          <w:szCs w:val="20"/>
          <w:color w:val="auto"/>
        </w:rPr>
      </w:pPr>
    </w:p>
    <w:p>
      <w:pPr>
        <w:ind w:left="660" w:right="2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to develop Zimura® (avacincaptad pegol) in geographic atrophy secondary to dry age-related macular degeneration and autosomal recessive Stargardt disease, to progress the development of our HtrA1 inhibitor program in geographic atrophy secondary to dry age-related macular degeneration, to develop our gene therapy product candidate for rhodopsin-mediated autosomal dominant retinitis pigmentosa, to develop gene therapy product candidates for Best vitelliform macular dystrophy and other bestrophinopathies for which we hold an exclusive option, and to potentially further expand our product pipeline, including through our collaborative gene therapy sponsored research programs;</w:t>
      </w:r>
    </w:p>
    <w:p>
      <w:pPr>
        <w:spacing w:after="0" w:line="193"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advantages and limitations of inhibition of the complement system and HtrA1, gene therapy and other mechanisms of action in which we are pursuing development of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costs, conduct and outcome of our ongoing research and preclinical development activities, including statements regarding the timing of the initiation of and completion of these activities, and the costs to obtain and timing of receipt of results from, and the completion of, such activities;</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clinical trials, including statements regarding the timing of the initiation of and completion of such trials, and the costs to obtain and timing of receipt of initial results from, and the completion of, such trials;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in-license or acquire additional products, product candidates or technologies to treat ophthalmic diseases and the timing, costs, conduct and outcome of preclinical development or clinical trials we undertake for these newly acquired assets;</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 and other technologies that we are pursuing;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manufacture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36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212"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a science-driven biopharmaceutical company specializing in the development of novel therapies to treat ophthalmic diseases, with a focus on age-related and orphan retinal diseases. We are seeking to leverage our development platform, clinical experience and retina expertise to develop both therapeutics and gene therapies in these disease areas. We believe gene therapy as a treatment modality holds tremendous promise for ophthalmic diseases. We also believe therapeutics will continue to serve an important role in ophthalmic drug development, particularly as treatments with novel mechanisms of action are developed and brought to market and as the long-term effects of these treatments continue to be understood. Our team has significant ophthalmic drug development experience and deep relationships with global ophthalmology thought leaders. We have an extensive network of ophthalmic clinical trial sites, having worked with over 250 sites worldwide. We believe that the combination of these factors, together with our experience in designing and executing investigational new drug, or IND, -enabling studies and clinical trials for eye diseases, and specifically back of the eye diseases, provide us a competitive advantage.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currently have ongoing research and development programs for both therapeutics and gene therapy product candidates and technologies.</w:t>
      </w:r>
    </w:p>
    <w:p>
      <w:pPr>
        <w:spacing w:after="0" w:line="23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Our therapeutics portfolio consists of Zimura® (avacincaptad pegol), which is a C5 complement inhibitor, and our program of High temperature requirement A serine peptidase 1 protein, or HtrA1, inhibitors. We have Phase 2b clinical trials ongoing evaluating Zimura for the treatment of:</w:t>
      </w:r>
    </w:p>
    <w:p>
      <w:pPr>
        <w:spacing w:after="0" w:line="124" w:lineRule="exact"/>
        <w:rPr>
          <w:sz w:val="20"/>
          <w:szCs w:val="20"/>
          <w:color w:val="auto"/>
        </w:rPr>
      </w:pPr>
    </w:p>
    <w:p>
      <w:pPr>
        <w:ind w:left="660" w:right="44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geographic atrophy, or GA, which is a late-stage form of dry age-related macular degeneration, or AMD, characterized by retinal cell death and degeneration of tissue in the central portion of the retina, referred to as the macula, and which may result in loss of vision;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autosomal recessive Stargardt disease, or STGD1, which is an orphan inherited retinal disease, or IRD, that also may result in loss of vision.</w:t>
      </w:r>
    </w:p>
    <w:p>
      <w:pPr>
        <w:spacing w:after="0" w:line="23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previously also evaluated Zimura in combination with Lucentis® (ranibizumab), an anti-vascular endothelial growth factor, or anti-VEGF, agent, for the treatment of wet AMD, for which we completed a Phase 2a clinical trial during the fourth quarter of 2018. We do not currently have plans to develop Zimura further in wet AMD. Our HtrA1 inhibitor program, which we are developing for GA secondary to dry AMD and potentially other age-related retinal diseases, such as wet AMD and idiopathic polypoidal choroidal vasculopathy, or IPCV, is in the preclinical stage of development.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gene therapy portfolio consists of several ongoing research and preclinical development programs that use adeno-associated virus, or AAV, for gene delivery. These AAV gene therapy programs are targeting the following orphan IRDs:</w:t>
      </w:r>
    </w:p>
    <w:p>
      <w:pPr>
        <w:spacing w:after="0" w:line="170"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Best vitelliform macular dystrophy, or Best disease, which is characterized by bilateral egg yolk-like macular lesions that, over time, progress to atrophy and loss of vision, and potentially other diseases associated with mutations in the </w:t>
      </w:r>
      <w:r>
        <w:rPr>
          <w:rFonts w:ascii="Arial" w:cs="Arial" w:eastAsia="Arial" w:hAnsi="Arial"/>
          <w:sz w:val="16"/>
          <w:szCs w:val="16"/>
          <w:i w:val="1"/>
          <w:iCs w:val="1"/>
          <w:color w:val="auto"/>
        </w:rPr>
        <w:t>Best1</w:t>
      </w:r>
      <w:r>
        <w:rPr>
          <w:rFonts w:ascii="Arial" w:cs="Arial" w:eastAsia="Arial" w:hAnsi="Arial"/>
          <w:sz w:val="16"/>
          <w:szCs w:val="16"/>
          <w:color w:val="auto"/>
        </w:rPr>
        <w:t xml:space="preserve"> gene, which we refer to as bestrophinopathies;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autosomal recessive Stargardt disease.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Zimura Clinical Programs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Zimura, our C5 complement inhibitor, is a chemically-synthesized, pegylated RNA aptamer. Aptamers are short molecules made up of a single stranded nucleic acid sequence or amino acid sequence that binds molecular targets with high selectivity and specificity. We currently have two clinical trials for Zimura ongoing. These clinical trials are designed to obtain data to guide potential future development efforts and are not intended to be pivotal studies. The following is a brief description of these trials and their current status:</w:t>
      </w:r>
    </w:p>
    <w:p>
      <w:pPr>
        <w:spacing w:after="0" w:line="183" w:lineRule="exact"/>
        <w:rPr>
          <w:sz w:val="20"/>
          <w:szCs w:val="20"/>
          <w:color w:val="auto"/>
        </w:rPr>
      </w:pPr>
    </w:p>
    <w:p>
      <w:pPr>
        <w:ind w:left="980" w:right="14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OPH2003 (geographic atrophy (GA) secondary to dry AMD)</w:t>
      </w:r>
      <w:r>
        <w:rPr>
          <w:rFonts w:ascii="Arial" w:cs="Arial" w:eastAsia="Arial" w:hAnsi="Arial"/>
          <w:sz w:val="18"/>
          <w:szCs w:val="18"/>
          <w:color w:val="auto"/>
        </w:rPr>
        <w:t>: an ongoing, randomized, double-masked, sham controlled, multi-center</w:t>
      </w:r>
      <w:r>
        <w:rPr>
          <w:rFonts w:ascii="Arial" w:cs="Arial" w:eastAsia="Arial" w:hAnsi="Arial"/>
          <w:sz w:val="18"/>
          <w:szCs w:val="18"/>
          <w:b w:val="1"/>
          <w:bCs w:val="1"/>
          <w:color w:val="auto"/>
        </w:rPr>
        <w:t xml:space="preserve"> </w:t>
      </w:r>
      <w:r>
        <w:rPr>
          <w:rFonts w:ascii="Arial" w:cs="Arial" w:eastAsia="Arial" w:hAnsi="Arial"/>
          <w:sz w:val="18"/>
          <w:szCs w:val="18"/>
          <w:color w:val="auto"/>
        </w:rPr>
        <w:t>Phase 2b clinical trial evaluating the safety and efficacy of Zimura monotherapy in patients with GA secondary to dry AMD. We completed enrollment for this clinical trial in October 2018 with a total of 286 patients enrolled. We expect that initial, top-line data from this clinical trial will be available during the fourth quarter of 2019.</w:t>
      </w:r>
    </w:p>
    <w:p>
      <w:pPr>
        <w:spacing w:after="0" w:line="180"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OPH2005 (autosomal recessive Stargardt disease (STGD1))</w:t>
      </w:r>
      <w:r>
        <w:rPr>
          <w:rFonts w:ascii="Arial" w:cs="Arial" w:eastAsia="Arial" w:hAnsi="Arial"/>
          <w:sz w:val="18"/>
          <w:szCs w:val="18"/>
          <w:color w:val="auto"/>
        </w:rPr>
        <w:t>: an ongoing, randomized, double-masked, sham controlled, multi-center Phase</w:t>
      </w:r>
      <w:r>
        <w:rPr>
          <w:rFonts w:ascii="Arial" w:cs="Arial" w:eastAsia="Arial" w:hAnsi="Arial"/>
          <w:sz w:val="18"/>
          <w:szCs w:val="18"/>
          <w:b w:val="1"/>
          <w:bCs w:val="1"/>
          <w:color w:val="auto"/>
        </w:rPr>
        <w:t xml:space="preserve"> </w:t>
      </w:r>
      <w:r>
        <w:rPr>
          <w:rFonts w:ascii="Arial" w:cs="Arial" w:eastAsia="Arial" w:hAnsi="Arial"/>
          <w:sz w:val="18"/>
          <w:szCs w:val="18"/>
          <w:color w:val="auto"/>
        </w:rPr>
        <w:t>2b clinical trial evaluating the safety and efficacy of Zimura monotherapy for the treatment of STGD1. We completed enrollment for this clinical trial in February 2019 with a total of 95 patients enrolled. We expect that initial, top-line data from this clinical trial will be available during the second half of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HtrA1 Inhibitor Program</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are pursuing the preclinical development of certain HtrA1 inhibitors, to which we acquired rights through our October 2018 acquisition of Inception 4, Inc., or Inception 4, for the treatment of GA secondary to dry AMD. Our HtrA1 inhibitor program includes a number of lead small molecule compounds that show high affinity and specificity for HtrA1 when tested</w:t>
      </w:r>
      <w:r>
        <w:rPr>
          <w:rFonts w:ascii="Arial" w:cs="Arial" w:eastAsia="Arial" w:hAnsi="Arial"/>
          <w:sz w:val="17"/>
          <w:szCs w:val="17"/>
          <w:i w:val="1"/>
          <w:iCs w:val="1"/>
          <w:color w:val="auto"/>
        </w:rPr>
        <w:t>,</w:t>
      </w:r>
      <w:r>
        <w:rPr>
          <w:rFonts w:ascii="Arial" w:cs="Arial" w:eastAsia="Arial" w:hAnsi="Arial"/>
          <w:sz w:val="17"/>
          <w:szCs w:val="17"/>
          <w:color w:val="auto"/>
        </w:rPr>
        <w:t xml:space="preserve"> as well as a number of backup compounds. We are pursuing formulation development studies with the goal of identifying a formulation for intravitreal application in the eye. If we are successful in identifying and formulating a product candidate from this program, we plan to initiate IND-enabling activities for the selected product candidate. Based on current timelines and subject to successful completion of preclinical development, we are currently targeting submission of an IND to the U.S. Food and Drug Administration, or FDA, for a product candidate from this program for the treatment of GA secondary to dry AMD by late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RHO-adRP Product Candidate</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are pursuing the preclinical development of our novel AAV gene therapy product candidate for the treatment of RHO-adRP, to which we acquired exclusive development and commercialization rights through a June 2018 license agreement with the University of Florida Research Foundation, or UFRF, and the University of Pennsylvania, or Penn. We and Penn are conducting additional preclinical studies of the RHO-adRP product candidate and a natural history study of RHO-adRP patients. In parallel, we have commenced IND-enabling activities for the RHO-adRP product candidate, including manufacturing for preclinical toxicology studies. We have engaged a gene therapy contract development and manufacturing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organization, or CDMO, as the manufacturer for preclinical and Phase 1/2 clinical supply of our RHO-adRP product candidate. Based on current timelines and subject to regulatory review, we expect to initiate a Phase 1/2 clinical trial for this product candidate during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Bestrophinopathies Program</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an exclusive option agreement with Penn and UFRF to acquire an exclusive, global license to develop and commercialize novel AAV gene therapy product candidates for the treatment of Best disease and other bestrophinopathies. We and Penn are conducting additional preclinical studies of a product candidate from this program and natural history studies of patients with bestrophinopathies. In parallel, we are planning to commence IND-enabling activities for a product candidate from this program, including manufacturing for preclinical toxicology studies. We have recently engaged a CDMO as the manufacturer for preclinical and Phase 1/2 clinical supply of this product candidate. Based on current timelines and subject to regulatory review and execution of a definitive license agreement with Penn and UFRF, we expect to initiate a Phase 1/2 clinical trial for a product candidate from this program during 2021.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University of Massachusetts Medical School Research (LCA10 and STGD1; Gene Delivery Methods)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funding three sponsored research programs at the University of Massachusetts Medical School, or UMMS. Two of these programs consist of utilizing a "minigene" approach to create AAV gene therapy product candidates targeting LCA10 and STGD1. 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third program consists of evaluating various AAV gene delivery methods for potential application in the eye. UMMS has granted us an option to obtain an exclusive license to any patents or patent applications that result from any of these sponsored research programs. The sponsored research at UMMS is ongoing and we expect to receive results from the sponsored research for LCA10 during 2019, at which point we may elect to exercise our option to in-license the LCA10 program.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current status of our ongoing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66130" cy="3070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613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We have an option to exclusively in-license intellectual property resulting from ongoing sponsored research.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Activities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2018, we continued to implement a business development strategy, which we started to undertake in early 2017, based on reviewing our strategic alternatives in light of our deep expertise and experience in ophthalmic drug development and</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business plan. Without limiting any option, the principal focus of this strategy was to actively explore obtaining rights to additional products, product candidates and technologies to treat ophthalmic diseases, particularly those in the back of the eye. These efforts have resulted in the expansion of our research and development pipeline, with the initiation of our gene therapy sponsored research programs with UMMS in February 2018, the in-license of our RHO-adRP gene therapy product candidate in June 2018, the acquisition of our HtrA1 inhibitor program in October 2018 and the entry into our exclusive option agreement with Penn and UFRF for gene therapy product candidates for bestrophinopathies in October 2018. We expect to continue to evaluate opportunities to potentially obtain rights to additional gene therapy and therapeutic product candidates on a selective basis. We intend to continue to focus on opportunities that present a compelling scientific rationale, have the potential to address an unmet medical need and present a meaningful commercial opportunity. To the extent feasible, we plan to target opportunities where we believe third-party funding for specific programs or technologies may be available.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 Diseases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Eye diseases can be caused by many factors and can affect both the front or back of the eye. In more severe cases, eye diseases can result in total loss of vision. In the developed world, the most common eye diseases that can result in total loss of vision are those affecting the retina and optic nerve, including AMD, diabetic retinopathy and glaucoma. These diseases deprive patients of their sight and, as a result, impair their ability to live independently and perform daily activities. Any improvement in vision, or even a slowing of the rate of progression of vision loss, has a tremendous impact on the quality of life of people with impaired vision. There are many other eye diseases that are less common but still represent an unmet medical need, particularly orphan IRDs that are associated with mutations in a single gene, referred to as monogenic, that lead to retinal degeneration and vision loss, generally in younger patients. We believe that these disease areas present several potential opportunities for ophthalmic drug development. A 2014 report from Prevent Blindness, a patient advocacy group, estimated that the total real annual costs in the United States related to eye diseases and vision problems expressed in constant 2014 dollars would increase from $145 billion in 2014 to $376 billion by 2050.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 Related Macular Degeneration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AMD is a disease characterized by progressive degenerative abnormalities in the macula, a small area in the central portion of the retina responsible for sharp vision. AMD is characteristically a disease of the elderly and is the leading cause of blindness in individuals over the age of 50 in developed countries. There are two forms of AMD, dry AMD and wet AMD. Most AMD patients initially present with dry AMD, which generally progresses slowly over multiple years and may ultimately result in GA, which is characterized by degeneration of tissue in the macula. By contrast, wet or neovascular AMD, which is characterized by the growth of abnormal new blood vessels under and into the retina, although less prevalent, is more likely to cause sudden, often substantial, loss of vision.</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According to Brightfocus Foundation, approximately 11 million people in the United States have some form of AMD, including both early and late stages of the dry and wet forms. We estimate that there are a similar number of affected individuals in France, Germany, Italy, Spain and the United Kingdom, which are the five major market countries for pharmaceutical treatments in Western Europe, commonly referred to as the EU5, as these countries, in the aggregate, have a population similar to that of the United States. As the populations in the United States and Western Europe continue to age, we expect that these numbers will increase. In addition to having a devastating effect on patients, AMD also has a significant impact on the economy. According to a 2010 study sponsored by AMD Alliance International, the annual direct healthcare system costs of visual impairment worldwide due to AMD were estimated at approximately $255 billion.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Dry AMD</w:t>
      </w:r>
    </w:p>
    <w:p>
      <w:pPr>
        <w:spacing w:after="0" w:line="13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Dry AMD is a significant cause of moderate and severe loss of vision, affecting vision in both eyes in most patients. Although dry AMD is the most common form of AMD, there are no FDA or European Medicines Agency, or EMA, approved therapies to treat this condition. In dry AMD, thinning of the retinal pigment epithelial, or RPE, cells in the macula develops, along with other age-related changes to the adjacent retinal and choroidal tissue layers. The RPE is a layer of cells within the retina on which photoreceptors, the cells in the retina that are responsible for capturing light and converting it to electrochemical signals to the brain, are dependent for nutrients, waste disposal and other needs. Dry AMD is typically associated with yellow-white dots or deposits under the RPE, known as drusen. Unlike in wet AMD, there is no abnormal new blood vessel growth, or neovascularization, in dry AMD. The presence of drusen, in the absence of pathological neovascularization, is critical for making the diagnosis of dry AMD in patients over 50 years of age.</w:t>
      </w:r>
    </w:p>
    <w:p>
      <w:pPr>
        <w:spacing w:after="0" w:line="16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progression of visual outcomes for patients with dry AMD is variable. Most patients experience mild to moderate loss of visual function, manifesting in blurring of central vision in the affected eye, as a result of progressive degeneration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light-sensitive photoreceptor cells in the macula. There are two instances in which visual loss from dry AMD may lead to severe vision loss:</w:t>
      </w:r>
    </w:p>
    <w:p>
      <w:pPr>
        <w:spacing w:after="0" w:line="225" w:lineRule="exact"/>
        <w:rPr>
          <w:sz w:val="20"/>
          <w:szCs w:val="20"/>
          <w:color w:val="auto"/>
        </w:rPr>
      </w:pPr>
    </w:p>
    <w:p>
      <w:pPr>
        <w:ind w:left="980" w:right="60" w:hanging="324"/>
        <w:spacing w:after="0" w:line="273"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Geographic Atrophy. </w:t>
      </w:r>
      <w:r>
        <w:rPr>
          <w:rFonts w:ascii="Arial" w:cs="Arial" w:eastAsia="Arial" w:hAnsi="Arial"/>
          <w:sz w:val="17"/>
          <w:szCs w:val="17"/>
          <w:color w:val="auto"/>
        </w:rPr>
        <w:t>The progression of dry AMD with age can result in a severe form of retinal degeneration called GA, which typically leads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profound and irreversible vision loss. GA is readily diagnosed during retinal examination using standard diagnostic instruments utilized by ophthalmologists. GA appears as abrupt and deep levels of macular tissue loss, with sharp margins of characteristic degeneration compared to surrounding healthier macular tissue, which results in progressive and chronic degeneration of the retina characterized by variable thinning and dysfunction of retinal tissue. A comprehensive epidemiology study published in 2004 in </w:t>
      </w:r>
      <w:r>
        <w:rPr>
          <w:rFonts w:ascii="Arial" w:cs="Arial" w:eastAsia="Arial" w:hAnsi="Arial"/>
          <w:sz w:val="17"/>
          <w:szCs w:val="17"/>
          <w:i w:val="1"/>
          <w:iCs w:val="1"/>
          <w:color w:val="auto"/>
        </w:rPr>
        <w:t>Archives of Ophthalmology</w:t>
      </w:r>
      <w:r>
        <w:rPr>
          <w:rFonts w:ascii="Arial" w:cs="Arial" w:eastAsia="Arial" w:hAnsi="Arial"/>
          <w:sz w:val="17"/>
          <w:szCs w:val="17"/>
          <w:color w:val="auto"/>
        </w:rPr>
        <w:t xml:space="preserve"> estimated that there were approximately 1 million people in the United States with GA.</w:t>
      </w:r>
    </w:p>
    <w:p>
      <w:pPr>
        <w:spacing w:after="0" w:line="178" w:lineRule="exact"/>
        <w:rPr>
          <w:rFonts w:ascii="Arial" w:cs="Arial" w:eastAsia="Arial" w:hAnsi="Arial"/>
          <w:sz w:val="17"/>
          <w:szCs w:val="17"/>
          <w:color w:val="auto"/>
        </w:rPr>
      </w:pPr>
    </w:p>
    <w:p>
      <w:pPr>
        <w:ind w:left="980" w:right="120" w:hanging="324"/>
        <w:spacing w:after="0" w:line="25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Conversion to Wet AMD. </w:t>
      </w:r>
      <w:r>
        <w:rPr>
          <w:rFonts w:ascii="Arial" w:cs="Arial" w:eastAsia="Arial" w:hAnsi="Arial"/>
          <w:sz w:val="18"/>
          <w:szCs w:val="18"/>
          <w:color w:val="auto"/>
        </w:rPr>
        <w:t>Dry AMD progresses to the wet form of the disease in approximately 10% – 15% of patients, leading to more rapid</w:t>
      </w:r>
      <w:r>
        <w:rPr>
          <w:rFonts w:ascii="Arial" w:cs="Arial" w:eastAsia="Arial" w:hAnsi="Arial"/>
          <w:sz w:val="18"/>
          <w:szCs w:val="18"/>
          <w:i w:val="1"/>
          <w:iCs w:val="1"/>
          <w:color w:val="auto"/>
        </w:rPr>
        <w:t xml:space="preserve"> </w:t>
      </w:r>
      <w:r>
        <w:rPr>
          <w:rFonts w:ascii="Arial" w:cs="Arial" w:eastAsia="Arial" w:hAnsi="Arial"/>
          <w:sz w:val="18"/>
          <w:szCs w:val="18"/>
          <w:color w:val="auto"/>
        </w:rPr>
        <w:t>and further visual loss. Wet AMD occurs when new and abnormal blood vessels proliferate under or within the retina. These abnormal new blood vessels originate beneath the retina, in a layer called the choroid, and invade into the overlying retinal layers. Unlike dry AMD, there are FDA-approved therapies for wet AMD, of which the current standard of care is the administration of anti-VEGF monotherapy agents by intravitreal injection.</w:t>
      </w:r>
    </w:p>
    <w:p>
      <w:pPr>
        <w:spacing w:after="0" w:line="18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absence of treatment options for dry AMD represents an area of urgent unmet medical need, and a major public health concern for the rapidly increasing elderly population. As progressive atrophy is associated with vision loss, a treatment that results in the slowing of the progression of atrophy would represent a significant medical advancement.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Inherited Retinal Diseases</w:t>
      </w:r>
    </w:p>
    <w:p>
      <w:pPr>
        <w:spacing w:after="0" w:line="13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Inherited retinal diseases, or IRDs, are a group of eye disorders caused by one or more inherited gene mutations that result in lack of functional proteins necessary for normal vision. Generally, IRDs are severe and progressive and will result in vision loss or blindness, either at birth or in early childhood, or gradually over time. IRDs are generally orphan diseases, meaning that these diseases affect fewer than 200,000 individuals in the United States. Partially due to their orphan nature, there are no approved treatment options available for most IRDs. Recently, gene therapies have emerged as potential therapies for monogenic IRDs, where a mutation to a single gene has been identified as the cause.</w:t>
      </w:r>
    </w:p>
    <w:p>
      <w:pPr>
        <w:spacing w:after="0" w:line="9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Humans generally inherit a complete set of genes from each of their parents, and therefore have two copies, or alleles, for each gene, either of which may carry a mutation, and either, or both, of which may be expressed in particular cells throughout the body. An inherited condition is referred to as autosomal recessive when the subject must inherit mutated alleles from each parent for the condition to manifest. An inherited condition is referred to as autosomal dominant when the subject must only inherit one mutated allele from either parent for the condition to manifest. The predominant or standard, non-mutated form of a gene is referred to as the wildtype form, and the protein resulting from expression of the wildtype gene is referred to as wildtype protein. In autosomal recessive conditions, because both alleles for a particular gene carry a mutation, the subject cannot produce any wildtype protein, and instead the proteins that are expressed, if any, have either limited or no function. In autosomal dominant conditions, a number of factors may contribute to the condition:</w:t>
      </w:r>
    </w:p>
    <w:p>
      <w:pPr>
        <w:spacing w:after="0" w:line="86" w:lineRule="exact"/>
        <w:rPr>
          <w:sz w:val="20"/>
          <w:szCs w:val="20"/>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subject may express only the mutant allele and not the wildtype allele, resulting in production of only protein with limited or no function and not the wildtype protein;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subject may be expressing both alleles, but because of the mutation on one of the alleles, the amount of functional protein may not be sufficient; or</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protein expressed by the mutant allele may be toxic to the cells in which it is produced.</w:t>
      </w:r>
    </w:p>
    <w:p>
      <w:pPr>
        <w:spacing w:after="0" w:line="14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Stargardt Disease</w:t>
      </w:r>
    </w:p>
    <w:p>
      <w:pPr>
        <w:spacing w:after="0" w:line="144" w:lineRule="exact"/>
        <w:rPr>
          <w:sz w:val="20"/>
          <w:szCs w:val="20"/>
          <w:color w:val="auto"/>
        </w:rPr>
      </w:pPr>
    </w:p>
    <w:p>
      <w:pPr>
        <w:jc w:val="both"/>
        <w:ind w:right="100" w:firstLine="648"/>
        <w:spacing w:after="0" w:line="273" w:lineRule="auto"/>
        <w:rPr>
          <w:sz w:val="20"/>
          <w:szCs w:val="20"/>
          <w:color w:val="auto"/>
        </w:rPr>
      </w:pPr>
      <w:r>
        <w:rPr>
          <w:rFonts w:ascii="Arial" w:cs="Arial" w:eastAsia="Arial" w:hAnsi="Arial"/>
          <w:sz w:val="17"/>
          <w:szCs w:val="17"/>
          <w:color w:val="auto"/>
        </w:rPr>
        <w:t xml:space="preserve">Stargardt disease is an IRD that causes progressive damage to the macula and retina, leading to loss of vision in children and adolescents. Multiple sources, including the National Eye Institute and Genetics Home Reference, both of which are affiliated with the U.S. National Institutes of Health, or NIH, estimate the prevalence of Stargardt disease to be between 1 in 8,000 and 1 in 10,000, implying that in the United States and EU5 on a combined basis, there are a total of 62,000 to 77,000 affected persons. The most common form of Stargardt disease is the autosomal recessive form, which we refer to as STGD1. STGD1 is caused by mutations in the </w:t>
      </w:r>
      <w:r>
        <w:rPr>
          <w:rFonts w:ascii="Arial" w:cs="Arial" w:eastAsia="Arial" w:hAnsi="Arial"/>
          <w:sz w:val="17"/>
          <w:szCs w:val="17"/>
          <w:i w:val="1"/>
          <w:iCs w:val="1"/>
          <w:color w:val="auto"/>
        </w:rPr>
        <w:t>ATP-binding cassette, subfamily A, number 4</w:t>
      </w:r>
      <w:r>
        <w:rPr>
          <w:rFonts w:ascii="Arial" w:cs="Arial" w:eastAsia="Arial" w:hAnsi="Arial"/>
          <w:sz w:val="17"/>
          <w:szCs w:val="17"/>
          <w:color w:val="auto"/>
        </w:rPr>
        <w:t xml:space="preserve">, or </w:t>
      </w:r>
      <w:r>
        <w:rPr>
          <w:rFonts w:ascii="Arial" w:cs="Arial" w:eastAsia="Arial" w:hAnsi="Arial"/>
          <w:sz w:val="17"/>
          <w:szCs w:val="17"/>
          <w:i w:val="1"/>
          <w:iCs w:val="1"/>
          <w:color w:val="auto"/>
        </w:rPr>
        <w:t>ABCA4</w:t>
      </w:r>
      <w:r>
        <w:rPr>
          <w:rFonts w:ascii="Arial" w:cs="Arial" w:eastAsia="Arial" w:hAnsi="Arial"/>
          <w:sz w:val="17"/>
          <w:szCs w:val="17"/>
          <w:color w:val="auto"/>
        </w:rPr>
        <w:t xml:space="preserve"> gene, which is responsible for making a protein that helps to clear byproducts resulting from the visual cycle from inside photoreceptor cells in the eye.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There are currently no therapies approved by the FDA or EMA to treat Stargardt disease. The FDA has recognized Stargardt disease as an orphan disease, with several treatments in development having received orphan drug designation from the FDA.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Rhodopsin-Mediated Autosomal Dominant Retinitis Pigmentosa</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RHO-adRP is a form of retinitis pigmentosa, or RP. RP is the most prevalent IRD and is typically characterized by the initial degeneration of the rod photoreceptors, which are responsible for low light vision and peripheral vision. The degeneration of the rod photoreceptors over time leads to the degeneration of the cone photoreceptors, which are the photoreceptors in the central part of the retina that are responsible for color and sharp vision. This degeneration causes night blindness and severe and progressive visual impairment. Although often diagnosed during adolescence or young adulthood, most RP patients become legally blind by age 40.</w:t>
      </w:r>
    </w:p>
    <w:p>
      <w:pPr>
        <w:spacing w:after="0" w:line="18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Rhodopsin is a biological pigment found in the rod photoreceptors that is extremely sensitive to light and thus is crucial for low light vision. There are more than 150 identified mutations in the gene for rhodopsin. The presence of a mutated rhodopsin gene is linked to the occurrence of RP.</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Based on disease prevalence rates contained in a study published in the </w:t>
      </w:r>
      <w:r>
        <w:rPr>
          <w:rFonts w:ascii="Arial" w:cs="Arial" w:eastAsia="Arial" w:hAnsi="Arial"/>
          <w:sz w:val="18"/>
          <w:szCs w:val="18"/>
          <w:i w:val="1"/>
          <w:iCs w:val="1"/>
          <w:color w:val="auto"/>
        </w:rPr>
        <w:t>Archives of Ophthalmology</w:t>
      </w:r>
      <w:r>
        <w:rPr>
          <w:rFonts w:ascii="Arial" w:cs="Arial" w:eastAsia="Arial" w:hAnsi="Arial"/>
          <w:sz w:val="18"/>
          <w:szCs w:val="18"/>
          <w:color w:val="auto"/>
        </w:rPr>
        <w:t xml:space="preserve"> in 2007, we estimate that in the United States and EU5 on a combined basis, there are a total of approximately 11,000 affected persons with RHO-adRP. There is currently no FDA or EMA approved therapy to treat this orphan IRD.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Bestrophinopathies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Bestrophinopathies are a group of IRDs associated with mutations in the </w:t>
      </w:r>
      <w:r>
        <w:rPr>
          <w:rFonts w:ascii="Arial" w:cs="Arial" w:eastAsia="Arial" w:hAnsi="Arial"/>
          <w:sz w:val="16"/>
          <w:szCs w:val="16"/>
          <w:i w:val="1"/>
          <w:iCs w:val="1"/>
          <w:color w:val="auto"/>
        </w:rPr>
        <w:t>Best1</w:t>
      </w:r>
      <w:r>
        <w:rPr>
          <w:rFonts w:ascii="Arial" w:cs="Arial" w:eastAsia="Arial" w:hAnsi="Arial"/>
          <w:sz w:val="16"/>
          <w:szCs w:val="16"/>
          <w:color w:val="auto"/>
        </w:rPr>
        <w:t xml:space="preserve"> gene. The </w:t>
      </w:r>
      <w:r>
        <w:rPr>
          <w:rFonts w:ascii="Arial" w:cs="Arial" w:eastAsia="Arial" w:hAnsi="Arial"/>
          <w:sz w:val="16"/>
          <w:szCs w:val="16"/>
          <w:i w:val="1"/>
          <w:iCs w:val="1"/>
          <w:color w:val="auto"/>
        </w:rPr>
        <w:t>Best1</w:t>
      </w:r>
      <w:r>
        <w:rPr>
          <w:rFonts w:ascii="Arial" w:cs="Arial" w:eastAsia="Arial" w:hAnsi="Arial"/>
          <w:sz w:val="16"/>
          <w:szCs w:val="16"/>
          <w:color w:val="auto"/>
        </w:rPr>
        <w:t xml:space="preserve"> gene encodes a multifunctional protein known as bestrophin-1, or BEST1, which regulates chemical transport and signaling in RPE cells and helps maintain homeostasis in the subretinal space, the space between the photoreceptors and the RPE. The most common bestrophinopathy is Best vitelliform macular dystrophy, also known as Best disease, which is generally autosomal dominant and generally affects individuals in both eyes. In Best disease, the lack of functional BEST1 protein results in the formation of egg yolk-like lesions in the macula that, over time, progress to macular atrophy and permanent loss of vision. In addition, because there are over 200 known mutations in the </w:t>
      </w:r>
      <w:r>
        <w:rPr>
          <w:rFonts w:ascii="Arial" w:cs="Arial" w:eastAsia="Arial" w:hAnsi="Arial"/>
          <w:sz w:val="16"/>
          <w:szCs w:val="16"/>
          <w:i w:val="1"/>
          <w:iCs w:val="1"/>
          <w:color w:val="auto"/>
        </w:rPr>
        <w:t>Best1</w:t>
      </w:r>
      <w:r>
        <w:rPr>
          <w:rFonts w:ascii="Arial" w:cs="Arial" w:eastAsia="Arial" w:hAnsi="Arial"/>
          <w:sz w:val="16"/>
          <w:szCs w:val="16"/>
          <w:color w:val="auto"/>
        </w:rPr>
        <w:t xml:space="preserve"> gene, there are other bestrophinopathies being studied, including autosomal recessive forms.</w:t>
      </w:r>
    </w:p>
    <w:p>
      <w:pPr>
        <w:spacing w:after="0" w:line="16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 xml:space="preserve">Based on disease prevalence rates contained in a study published in the </w:t>
      </w:r>
      <w:r>
        <w:rPr>
          <w:rFonts w:ascii="Arial" w:cs="Arial" w:eastAsia="Arial" w:hAnsi="Arial"/>
          <w:sz w:val="16"/>
          <w:szCs w:val="16"/>
          <w:i w:val="1"/>
          <w:iCs w:val="1"/>
          <w:color w:val="auto"/>
        </w:rPr>
        <w:t>American Journal of Ophthalmology</w:t>
      </w:r>
      <w:r>
        <w:rPr>
          <w:rFonts w:ascii="Arial" w:cs="Arial" w:eastAsia="Arial" w:hAnsi="Arial"/>
          <w:sz w:val="16"/>
          <w:szCs w:val="16"/>
          <w:color w:val="auto"/>
        </w:rPr>
        <w:t xml:space="preserve"> in 2012, we estimate that in the United States and EU5 on a combined basis, there are a total of approximately 10,000 affected persons with Best disease, the substantial majority of whom we believe have the autosomal dominant form of the disease. There are currently no FDA or EMA approved therapies to treat bestrophinopathies.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Leber Congenital Amaurosis Type 10</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Leber Congenital Amaurosis, or LCA, is an IRD that manifests at birth or early in childhood. It is characterized by early onset of vision loss in children leading to blindness. Affected individuals often manifest symptoms such as roving eye movements, deep-set eyes and sensitivity to bright light. There are multiple types of LCA, which are associated with mutations in different genes. The most common type is LCA10, which is caused by mutations in the </w:t>
      </w:r>
      <w:r>
        <w:rPr>
          <w:rFonts w:ascii="Arial" w:cs="Arial" w:eastAsia="Arial" w:hAnsi="Arial"/>
          <w:sz w:val="16"/>
          <w:szCs w:val="16"/>
          <w:i w:val="1"/>
          <w:iCs w:val="1"/>
          <w:color w:val="auto"/>
        </w:rPr>
        <w:t>CEP290</w:t>
      </w:r>
      <w:r>
        <w:rPr>
          <w:rFonts w:ascii="Arial" w:cs="Arial" w:eastAsia="Arial" w:hAnsi="Arial"/>
          <w:sz w:val="16"/>
          <w:szCs w:val="16"/>
          <w:color w:val="auto"/>
        </w:rPr>
        <w:t xml:space="preserve"> gene. Mutations in the </w:t>
      </w:r>
      <w:r>
        <w:rPr>
          <w:rFonts w:ascii="Arial" w:cs="Arial" w:eastAsia="Arial" w:hAnsi="Arial"/>
          <w:sz w:val="16"/>
          <w:szCs w:val="16"/>
          <w:i w:val="1"/>
          <w:iCs w:val="1"/>
          <w:color w:val="auto"/>
        </w:rPr>
        <w:t>CEP290</w:t>
      </w:r>
      <w:r>
        <w:rPr>
          <w:rFonts w:ascii="Arial" w:cs="Arial" w:eastAsia="Arial" w:hAnsi="Arial"/>
          <w:sz w:val="16"/>
          <w:szCs w:val="16"/>
          <w:color w:val="auto"/>
        </w:rPr>
        <w:t xml:space="preserve"> gene are believed to lead to the abnormal function and potentially loss of photoreceptor cells.</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Based on disease prevalence rates contained in a study published in the </w:t>
      </w:r>
      <w:r>
        <w:rPr>
          <w:rFonts w:ascii="Arial" w:cs="Arial" w:eastAsia="Arial" w:hAnsi="Arial"/>
          <w:sz w:val="18"/>
          <w:szCs w:val="18"/>
          <w:i w:val="1"/>
          <w:iCs w:val="1"/>
          <w:color w:val="auto"/>
        </w:rPr>
        <w:t>American Journal of Human Genetics</w:t>
      </w:r>
      <w:r>
        <w:rPr>
          <w:rFonts w:ascii="Arial" w:cs="Arial" w:eastAsia="Arial" w:hAnsi="Arial"/>
          <w:sz w:val="18"/>
          <w:szCs w:val="18"/>
          <w:color w:val="auto"/>
        </w:rPr>
        <w:t xml:space="preserve"> in 2006, we estimate that in the United States and EU5 on a combined basis, there are a total of approximately 2,700 to 4,100 affected persons with LCA10. There is currently no FDA or EMA approved therapy to treat LCA10.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Zimura</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developing our product candidate Zimura, a C5 complement inhibitor, for the treatment of two ophthalmic conditions: GA secondary to dry AMD and STGD1. Zimura is a chemically-synthesized, pegylated RNA aptamer. Aptamers are short molecules made up of a single stranded nucleic acid sequence or an amino acid sequence. The specific three-dimensional structure of an aptamer, which results from its specific sequence, allows it to bind molecular targets with high selectivity and specificity. Zimura is a pegylated aptamer, which means that polyethylene glycol, or PEG, a common biochemical compound attached to drugs to increase their duration of action in the human body and to decrease immune response, is linked to the chemically-synthesized strand of RNA.</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Complement System and Its Potential Role in GA and STGD1</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The complement system consists of a series of proteins that are involved in the defense of the host body against infectious agents, or pathogens, and other foreign proteins. The complement system modulates a variety of immune and inflammatory responses to these pathogens and foreign proteins. Under normal circumstances, complement proteins, together with antibodies and white blood cells, act beneficially to protect the host body by removing the pathogens and foreign proteins, together with other cellular debris. The complement system is generally tightly regulated, achieving the proper balance of activation and inhibition depending on the host body’s requirements. Poorly regulated or aberrant activation of the complement system, without a balanced or proportional inhibition of complement proteins, may result in a variety of pathological conditions. For example, in a third-party study published in </w:t>
      </w:r>
      <w:r>
        <w:rPr>
          <w:rFonts w:ascii="Arial" w:cs="Arial" w:eastAsia="Arial" w:hAnsi="Arial"/>
          <w:sz w:val="18"/>
          <w:szCs w:val="18"/>
          <w:i w:val="1"/>
          <w:iCs w:val="1"/>
          <w:color w:val="auto"/>
        </w:rPr>
        <w:t>Histology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Histopathology </w:t>
      </w:r>
      <w:r>
        <w:rPr>
          <w:rFonts w:ascii="Arial" w:cs="Arial" w:eastAsia="Arial" w:hAnsi="Arial"/>
          <w:sz w:val="18"/>
          <w:szCs w:val="18"/>
          <w:color w:val="auto"/>
        </w:rPr>
        <w:t>in 2012, researchers found that human retinal drusen deposits, which are the hallmark of dry AMD, contained components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 proteins.</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complement system is generally activated via one of three biological pathways commonly referred to as the classical pathway, the alternative pathway and the lectin pathway. These pathways eventually converge with the generation of an enzyme known as C3 convertase. C3 convertase cleaves, or separates, a serum protein called C3, into C3a and C3b. C3b is an important element of the body’s immune response, as it binds to pathogens and makes them susceptible to destruction by white blood cells. C3b also cleaves complement protein C5. The cleavage of C5 results in the formation of the terminal complement fragments C5a and C5b. A study published in the </w:t>
      </w:r>
      <w:r>
        <w:rPr>
          <w:rFonts w:ascii="Arial" w:cs="Arial" w:eastAsia="Arial" w:hAnsi="Arial"/>
          <w:sz w:val="18"/>
          <w:szCs w:val="18"/>
          <w:i w:val="1"/>
          <w:iCs w:val="1"/>
          <w:color w:val="auto"/>
        </w:rPr>
        <w:t>Journal of Biological Chemistry</w:t>
      </w:r>
      <w:r>
        <w:rPr>
          <w:rFonts w:ascii="Arial" w:cs="Arial" w:eastAsia="Arial" w:hAnsi="Arial"/>
          <w:sz w:val="18"/>
          <w:szCs w:val="18"/>
          <w:color w:val="auto"/>
        </w:rPr>
        <w:t xml:space="preserve"> in 2015 concluded that C5a primes RPE cells for inflammasome activation in the presence of waste products from the visual cycle. Inflammasomes are intracellular protein structures that lead to cell death. Formation of C5b, in combination with serum proteins C6, C7, C8 and C9, leads to the generation of C5b-9, referred to as membrane attack complex, or MAC, which has been shown to cause cell death.</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simplified illustration of the complement system and the relationships between the complement proteins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14605</wp:posOffset>
            </wp:positionV>
            <wp:extent cx="2693035" cy="3747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303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Although the causes of AMD are not completely understood—in addition to advanced age, there are environmental and genetic risk factors that contribute to the development of AMD including ocular pigmentation, dietary factors, a positive family history for AMD, high blood pressure and smoking— a body of recent scientific literature suggests that complement system activation may also contribute to the pathogenesis of AMD. A study published in the </w:t>
      </w:r>
      <w:r>
        <w:rPr>
          <w:rFonts w:ascii="Arial" w:cs="Arial" w:eastAsia="Arial" w:hAnsi="Arial"/>
          <w:sz w:val="16"/>
          <w:szCs w:val="16"/>
          <w:i w:val="1"/>
          <w:iCs w:val="1"/>
          <w:color w:val="auto"/>
        </w:rPr>
        <w:t xml:space="preserve">Journal of Immunology </w:t>
      </w:r>
      <w:r>
        <w:rPr>
          <w:rFonts w:ascii="Arial" w:cs="Arial" w:eastAsia="Arial" w:hAnsi="Arial"/>
          <w:sz w:val="16"/>
          <w:szCs w:val="16"/>
          <w:color w:val="auto"/>
        </w:rPr>
        <w:t>in 2015 concluded that MAC accumulation in RPE cells leads to mitochondrial damage and cellular dysfunction, which we believe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eventually leads to RPE cell death. Additionally, a study published in the </w:t>
      </w:r>
      <w:r>
        <w:rPr>
          <w:rFonts w:ascii="Arial" w:cs="Arial" w:eastAsia="Arial" w:hAnsi="Arial"/>
          <w:sz w:val="17"/>
          <w:szCs w:val="17"/>
          <w:i w:val="1"/>
          <w:iCs w:val="1"/>
          <w:color w:val="auto"/>
        </w:rPr>
        <w:t>American Journal of Ophthalmology</w:t>
      </w:r>
      <w:r>
        <w:rPr>
          <w:rFonts w:ascii="Arial" w:cs="Arial" w:eastAsia="Arial" w:hAnsi="Arial"/>
          <w:sz w:val="17"/>
          <w:szCs w:val="17"/>
          <w:color w:val="auto"/>
        </w:rPr>
        <w:t xml:space="preserve"> in 2002 described the presence of MAC in post-mortem human donor eyes with dry AMD and GA. We believe these findings suggest that inhibition of the complement system, especially an inhibitor that prevents the cleavage of C5 into C5a and C5b, could prevent RPE cell death and potentially other pathological causes of AMD.</w:t>
      </w:r>
    </w:p>
    <w:p>
      <w:pPr>
        <w:spacing w:after="0" w:line="16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The pathogenesis of STGD1, which is caused by a mutation in the </w:t>
      </w:r>
      <w:r>
        <w:rPr>
          <w:rFonts w:ascii="Arial" w:cs="Arial" w:eastAsia="Arial" w:hAnsi="Arial"/>
          <w:sz w:val="17"/>
          <w:szCs w:val="17"/>
          <w:i w:val="1"/>
          <w:iCs w:val="1"/>
          <w:color w:val="auto"/>
        </w:rPr>
        <w:t>ABCA4</w:t>
      </w:r>
      <w:r>
        <w:rPr>
          <w:rFonts w:ascii="Arial" w:cs="Arial" w:eastAsia="Arial" w:hAnsi="Arial"/>
          <w:sz w:val="17"/>
          <w:szCs w:val="17"/>
          <w:color w:val="auto"/>
        </w:rPr>
        <w:t xml:space="preserve"> gene, also may involve activation of the complement system. With a defective copy of the ABCA4 protein, waste byproducts that a normal ABCA4 protein would otherwise help to clear accumulate in the RPE. Waste byproducts that accumulate in the RPE are referred to as bisretinoids. We believe that the accumulation of bisretinoids in RPE cells leads to activation of the complement system and the accumulation of MAC. In RPE cells, MAC is normally cleared by lysosomes, which are organelles within cells responsible for waste degradation and disposal. Bisretinoid accumulation leads to lysosomal dysfunction, potentially preventing the clearance of MAC. MAC accumulation also negatively impacts energy production by mitochondria inside RPE cells. Bisretinoid and MAC accumulation may lead to RPE cell deterioration and contribute to the subsequent loss of photoreceptor cells, leading to a decrease in vision over time.</w:t>
      </w:r>
    </w:p>
    <w:p>
      <w:pPr>
        <w:spacing w:after="0" w:line="178"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 xml:space="preserve">In April 2017, </w:t>
      </w:r>
      <w:r>
        <w:rPr>
          <w:rFonts w:ascii="Arial" w:cs="Arial" w:eastAsia="Arial" w:hAnsi="Arial"/>
          <w:sz w:val="16"/>
          <w:szCs w:val="16"/>
          <w:i w:val="1"/>
          <w:iCs w:val="1"/>
          <w:color w:val="auto"/>
        </w:rPr>
        <w:t>Proceedings of the National Academy of Sciences</w:t>
      </w:r>
      <w:r>
        <w:rPr>
          <w:rFonts w:ascii="Arial" w:cs="Arial" w:eastAsia="Arial" w:hAnsi="Arial"/>
          <w:sz w:val="16"/>
          <w:szCs w:val="16"/>
          <w:color w:val="auto"/>
        </w:rPr>
        <w:t xml:space="preserve">, or PNAS, published a study reporting on the effects of complement system modulation in the RPE of a mouse model of Stargardt disease. The researchers injected recombinant AAV containing the coding sequence for CRRY, a protein that inhibits complement system activation, into albino ABCA4 mutant mice, which led to a two-fold reduction in the accumulation of bisretinoids and a 30% increase in the number of photoreceptor nuclei at one year. The study findings indicate that the inhibition of complement activation in the albino ABCA4 mutant mice lead to healthier RPE cells as compared to RPE cells of untreated mice. Researchers at Duke University published a 2013 paper in </w:t>
      </w:r>
      <w:r>
        <w:rPr>
          <w:rFonts w:ascii="Arial" w:cs="Arial" w:eastAsia="Arial" w:hAnsi="Arial"/>
          <w:sz w:val="16"/>
          <w:szCs w:val="16"/>
          <w:i w:val="1"/>
          <w:iCs w:val="1"/>
          <w:color w:val="auto"/>
        </w:rPr>
        <w:t xml:space="preserve">Investigative Ophthalmology &amp; Visual Science, </w:t>
      </w:r>
      <w:r>
        <w:rPr>
          <w:rFonts w:ascii="Arial" w:cs="Arial" w:eastAsia="Arial" w:hAnsi="Arial"/>
          <w:sz w:val="16"/>
          <w:szCs w:val="16"/>
          <w:color w:val="auto"/>
        </w:rPr>
        <w:t>in which they found in an</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experiment that RPE cell damage resulting from the combination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complement system activation and visual cycle waste was more damaging than either component individually. When complement factor C5 was blocked, there was a significant improvement in RPE cell viability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Based on the data from these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we believe molecules involved in the inhibition or regulation of the complement system and MAC activation are prime targets for therapeutic intervention in STGD1.</w:t>
      </w:r>
    </w:p>
    <w:p>
      <w:pPr>
        <w:spacing w:after="0" w:line="167"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Zimura is designed to target and inhibit the cleavage of complement protein C5 and the formation of the terminal fragments, C5a and C5b. By inhibiting the formation of complement system terminal fragments, Zimura may decrease the activation of inflammasomes and decrease the formation of MAC, thereby potentially avoiding or slowing the degeneration of RPE cells and providing the rationale as a potential therapy for both GA and STGD1.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Zimura Clinical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completed four clinical trials of Zimura to date:</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OPH2001: a Phase 1/2a clinical trial of Zimura monotherapy for the treatment of GA;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OPH2000: a Phase 1/2a clinical trial of Zimura administered in combination with Lucentis for the treatment of wet AMD;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OPH2007: a Phase 2a clinical trial of Zimura administered in combination with Lucentis for the treatment of wet AMD;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OPH2002: a very small Phase 2a clinical trial of Zimura in combination with anti-VEGF agents for the treatment of IPCV, in patients for whom anti-VEGF monotherapy had failed.</w:t>
      </w:r>
    </w:p>
    <w:p>
      <w:pPr>
        <w:spacing w:after="0" w:line="17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Over 160 patients have been treated with Zimura in these four completed trials, with treatment durations extending up to 48 weeks. All doses of Zimura administered in these trials were well-tolerated, with only a single adverse event, mild subcapsular cataract, assessed to be drug-related by participating investigators.</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Based on our clinical experience with Zimura, the scientific literature around complement in the eye and the positive Phase 2 data for a competitor's C3 complement inhibitor in GA, we believe Zimura holds promise as a potential treatment for several ophthalmic diseases, including, GA secondary to dry AMD and STGD1. Although we previously studied Zimura for wet AMD and IPCV, we do not currently have plans to develop Zimura further in those indications. We currently have two Phase 2b clinical trials for Zimura ongoing. These clinical trials are designed to obtain data to guide potential future development efforts and are not intended to be pivotal studies. The following is a brief description of these trials and their current status: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125" w:right="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980" w:right="14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OPH2003 (geographic atrophy (GA) secondary to dry AMD)</w:t>
      </w:r>
      <w:r>
        <w:rPr>
          <w:rFonts w:ascii="Arial" w:cs="Arial" w:eastAsia="Arial" w:hAnsi="Arial"/>
          <w:sz w:val="18"/>
          <w:szCs w:val="18"/>
          <w:color w:val="auto"/>
        </w:rPr>
        <w:t>: an ongoing, randomized, double–masked, sham controlled, multi-center</w:t>
      </w:r>
      <w:r>
        <w:rPr>
          <w:rFonts w:ascii="Arial" w:cs="Arial" w:eastAsia="Arial" w:hAnsi="Arial"/>
          <w:sz w:val="18"/>
          <w:szCs w:val="18"/>
          <w:b w:val="1"/>
          <w:bCs w:val="1"/>
          <w:color w:val="auto"/>
        </w:rPr>
        <w:t xml:space="preserve"> </w:t>
      </w:r>
      <w:r>
        <w:rPr>
          <w:rFonts w:ascii="Arial" w:cs="Arial" w:eastAsia="Arial" w:hAnsi="Arial"/>
          <w:sz w:val="18"/>
          <w:szCs w:val="18"/>
          <w:color w:val="auto"/>
        </w:rPr>
        <w:t>Phase 2b clinical trial evaluating the safety and efficacy of Zimura monotherapy in patients with GA secondary to dry AMD. We completed enrollment for this clinical trial in October 2018 with a total of 286 patients enrolled. We expect that initial, top-line data from this clinical trial will be available during the fourth quarter of 2019.</w:t>
      </w:r>
    </w:p>
    <w:p>
      <w:pPr>
        <w:spacing w:after="0" w:line="180"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OPH2005 (autosomal recessive Stargardt disease (STGD1))</w:t>
      </w:r>
      <w:r>
        <w:rPr>
          <w:rFonts w:ascii="Arial" w:cs="Arial" w:eastAsia="Arial" w:hAnsi="Arial"/>
          <w:sz w:val="18"/>
          <w:szCs w:val="18"/>
          <w:color w:val="auto"/>
        </w:rPr>
        <w:t>: an ongoing, randomized, double-masked, sham controlled, multi-center Phase</w:t>
      </w:r>
      <w:r>
        <w:rPr>
          <w:rFonts w:ascii="Arial" w:cs="Arial" w:eastAsia="Arial" w:hAnsi="Arial"/>
          <w:sz w:val="18"/>
          <w:szCs w:val="18"/>
          <w:b w:val="1"/>
          <w:bCs w:val="1"/>
          <w:color w:val="auto"/>
        </w:rPr>
        <w:t xml:space="preserve"> </w:t>
      </w:r>
      <w:r>
        <w:rPr>
          <w:rFonts w:ascii="Arial" w:cs="Arial" w:eastAsia="Arial" w:hAnsi="Arial"/>
          <w:sz w:val="18"/>
          <w:szCs w:val="18"/>
          <w:color w:val="auto"/>
        </w:rPr>
        <w:t>2b clinical trial evaluating the safety and efficacy of Zimura monotherapy for the treatment of STGD1. We completed enrollment for this clinical trial in February 2019 with a total of 95 patients enrolled. We expect that initial, top-line data from this clinical trial will be available during the second half of 2020.</w:t>
      </w:r>
    </w:p>
    <w:p>
      <w:pPr>
        <w:spacing w:after="0" w:line="184"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Zimura is administered by intravitreal injection. Patients receiving intravitreal injections typically receive topical numbing drops or injection of a numbing agent prior to the injection. The administering physician also typically rinses the ocular surface with an antiseptic solution. By injecting the active agent into the vitreous cavity, the physician delivers the agent in close vicinity to the active disease site while minimizing the risk for systemic exposure to non-ocular tissues.</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An intravitreal injection results in elevation of intraocular pressure, or IOP, which is usually transient. In our clinical trials, the IOP is monitored after each intravitreal injection. Certain of the dosing regimens we are evaluating in our ongoing Zimura clinical trials involve multiple intravitreal injections administered on the same day. Based on our clinical experience to date, we have not seen any meaningful or sustained increase in IOP in clinical trials involving multiple intravitreal injections on the same day, and we believe that multiple intravitreal injections likely could be delivered safely on the same day.</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we continue to develop our portfolio and evaluate our overall strategic priorities, we may out-license certain rights to Zimura if we believe the arrangement could assist us in the development or potential commercialization of Zimura and would otherwise help us pursue our business plan and strategic goals.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Zimura clinical experience to date, as well as our ongoing clinical trials for Zimura, are described in greater detail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Dry AMD Trials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OPH2001: Completed Phase 1/2a Clinical Trial of Zimura for GA Secondary to Dry AMD</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2011, we completed a multicenter, uncontrolled, open label Phase 1/2a clinical trial to evaluate the safety and tolerability of Zimura administered as a monotherapy in patients with GA. We enrolled 47 patients in this trial. We randomly assigned patients in this trial to one of two dose groups. Patients received a total of five intravitreal injections of either 0.3 mg or 1 mg of Zimura over a 36-week treatment period. Patients received an intravitreal injection of Zimura at day 0, week 4, week 8, week 24 and week 36 of the trial, with a final follow-up visit at week 48.</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Zimura was generally well-tolerated in this trial. We did not observe any evidence of drug related adverse events. We also did not observe any incidence of conversion to wet AMD in eyes treated with Zimura. Adverse events were primarily ocular adverse events in the study eye which were related to the injection procedure.</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addition, we performed assessments of visual acuity to detect any potential decrease in vision associated with intravitreal injections, the administered drug or natural progression of the disease if left untreated. We did not identify any drug related safety issues through measurements of visual acuity.</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Phase 1/2a clinical trial was an uncontrolled study with a small sample size and was not powered to detect a difference between Zimura dose groups, or the efficacy of Zimura monotherapy, with statistical significance. The primary purpose of the study was to assess safety and tolerability. However, during the more frequent dosing period, which is the first 24 weeks, we observed a trend, in favor of the higher of two dose groups, of a relative reduction in the mean growth of the GA lesion area, as measured by fundus autofluorescence images read by an independent reading center. Fundus autofluorescence is a common technique for photographing and documenting the size of GA present in the back of the eye, or fundus. Autofluorescence refers to the natural emission of light by biological structures. In fundus autofluorescence images, areas of atrophy are characterized by lower fluorescence.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color w:val="auto"/>
        </w:rPr>
        <w:t>The mean growth from baseline in the GA lesion area during the first 24 weeks of the trial, when the injections were administered more regularly, was 1.00 mm</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for the 24 patients receiving the 0.3 mg dose and 0.78 mm</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for the 23 patients receiving the 1 mg dose. When the injections were administered on a reduced dosing schedule during the subsequent 24 weeks, this relative trend in reduced growth in GA lesion area was no longer present. The following graph sets forth the mean change in GA lesion area from baseline for the two treatment groups over the course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-12065</wp:posOffset>
            </wp:positionV>
            <wp:extent cx="4288155" cy="2924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8155"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this apparent trend in the relative reduction of mean growth in GA lesion area when Zimura was dosed more frequently, together with the relative loss of the benefit when Zimura was dosed less frequently, may suggest a possible drug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OPH2003: Ongoing Phase 2b Clinical Trial of Zimura for GA Secondary to Dry AMD</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currently conducting a randomized, double–masked, sham controlled, multi-center Phase 2b clinical trial evaluating the safety and efficacy of Zimura monotherapy in patients with GA secondary to dry AMD. We initiated this trial during the fourth quarter of 2015 and initially planned to enroll 300 patients in an initial stage of the trial, with an interim analysis scheduled for the 18-month time point, and to potentially enroll up to an additional 600 patients thereafter. During 2017, based on the announcement of positive data from a competitor studying a different complement inhibitor in a Phase 2 trial in GA, we modified this trial to accelerate the timeline to obtain top-line data by reducing the number of patients in the trial to approximately 200 and shortening the time point for measuring the primary efficacy endpoint to 12 months. Prior to this initial modification taking effect, we had enrolled approximately 77 patients who were randomized into one of three treatment groups in a 1:1:1 ratio in Part 1 of the trial as follows:</w:t>
      </w:r>
    </w:p>
    <w:p>
      <w:pPr>
        <w:spacing w:after="0" w:line="178"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monthly intravitreal injection of 1 mg of Zimura;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monthly intravitreal injection of 2 mg of Zimura;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monthly sham injection.</w:t>
      </w:r>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These patients remained in the trial following the initial modification. Following review of additional third-party clinical trial data and further statistical analysis, we decided to expand this trial to include additional patients. The approximately 209 additional patients enrolled in Part 2 of the trial were randomized into one of three treatment groups in a 1:2:2 ratio as follows:</w:t>
      </w:r>
    </w:p>
    <w:p>
      <w:pPr>
        <w:spacing w:after="0" w:line="18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intravitreal injection of 2 mg of Zimura plus a sham injection;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intravitreal injections of 4 mg of Zimura, administered as two injections of 2 mg of Zimura on the same day;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sham injections, administered as two separate sham injections.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primary efficacy endpoint is an anatomic endpoint, the mean change in rate of GA growth at 12 months, as measured by fundus autofluorescence. We plan to analyze the primary efficacy endpoint for the 2 mg treatment groups as compared to sham and for the 4 mg treatment group as compared to sham. The statistical analysis of a clinical trial outcome is primarily determined based on three factors: variability in the measured endpoint among the patient population, the magnitude of the drug effect observed in relation to that variability and the number of patients from whom data is collected in the clinical trial. Given that we have limited data regarding the effect of Zimura in GA, we determined the size of the OPH2003 trial based on our best estimates of the size of trial required to demonstrate a potential clinical benefit for Zimura. This estimate incorporates our assumptions regarding the potential performance of Zimura in this indication based in part on available third-party clinical trial data and our statistical analysis of this data, as well as our assumptions regarding the number of patients that will continue to participate in the trial through the 12-month timepoint. Given the information above, this trial could be underpowered to demonstrate a potential clinical benefit for Zimura in this indication.</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completed enrollment for this trial in October 2018 with a total of 286 patients enrolled and expect initial top-line data from this trial to be available during the fourth quarter of 2019 following the 12-month timepoint for all patients. We plan to treat and follow patients for 18 months. Treating and following patients for six months beyond the 12-month timepoint used for the primary efficacy endpoint will provide additional safety and efficacy information regarding Zimura in this indication.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STGD1 Trials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OPH2005: Ongoing Phase 2b Clinical Trial of Zimura for STGD1</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currently conducting a randomized, double-masked, sham controlled, multi-center Phase 2b clinical trial evaluating the safety and efficacy of Zimura monotherapy for the treatment of STGD1. We completed patient enrollment for this clinical trial in February 2019 with a total of 95 patients enrolled. The patients were randomized in a 1:1 ratio as follows:</w:t>
      </w:r>
    </w:p>
    <w:p>
      <w:pPr>
        <w:spacing w:after="0" w:line="181" w:lineRule="exact"/>
        <w:rPr>
          <w:sz w:val="20"/>
          <w:szCs w:val="20"/>
          <w:color w:val="auto"/>
        </w:rPr>
      </w:pPr>
    </w:p>
    <w:p>
      <w:pPr>
        <w:ind w:left="660" w:right="54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 mg of Zimura, followed by 2mg of Zimura 14 days later, monthly for three months during an induction phase; followed by 4 mg of Zimura, administered as two injections of 2 mg of Zimura on the same day, monthly for 15 additional months during a maintenance phase; and</w:t>
      </w:r>
    </w:p>
    <w:p>
      <w:pPr>
        <w:spacing w:after="0" w:line="123"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sham injection, followed by a sham injection 14 days later, monthly for three months; followed by two sham injections on the same day, monthly for 15 months.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plan to evaluate the primary efficacy endpoint in this trial at 18 months. The primary efficacy endpoint is an anatomic endpoint, the mean rate of change in the area of ellipsoid zone defect, as measured by en-face spectral domain optical coherence tomography, or SD-OCT. SD-OCT is an ultra-high resolution imaging technology commonly used to visualize the retinal tissue. SD-OCT is capable of rendering images in multiple dimensions and from multiple perspectives. This imaging technology allows the demonstration of various layers of the retinal tissue, including the ellipsoid zone, which is a part of the photoreceptor cells. Scientific literature correlates defects in the ellipsoid zone with the loss of visual acuity and visual dysfunction. The ellipsoid zone is rendered in SD-OCT images as a defined layer of photoreceptor cell segments. Areas of defects in the ellipsoid zone can be detected and measured by en-face SD-OCT, which shows an SD-OCT image from the perspective of looking at the retina head-on.</w:t>
      </w:r>
    </w:p>
    <w:p>
      <w:pPr>
        <w:spacing w:after="0" w:line="178"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We previously engaged the Foundation Fighting Blindness to provide us with data from the Foundation's publicly available ProgStar study, the largest natural history study on Stargardt disease to date. We have used this natural history data, as well as the perspectives of the key opinion leaders involved in the ProgStar study, as resources to assist in the design of the OPH2005 trial. Furthermore, our work on this clinical trial has resulted in the expansion of our network of thought leaders and clinical trial sites to include leading research university hospitals around the world, where patients with orphan retinal diseases are often referred.</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not previously studied Zimura in STGD1 patients and thus do not have any clinical data regarding the effect of Zimura in STGD1. We had planned to enroll approximately 120 patients for this trial, which was the number of patients we believed could potentially be enrolled within a reasonable period of time. We decided, however, to cease patient enrollment during the first quarter of 2019 in light of the 18-month endpoint and our goal of providing initial top-line data from this trial by the end of 2020. We completed patient enrollment in February 2019 with a total of 95 patients enrolled. As STGD1 is an orphan indication, to our knowledge there is only very limited natural history data currently available regarding the variability of the planned primary efficacy endpoint in the STGD1 patient population we enrolled in this trial. Given the information above, this trial could be underpowered to demonstrate a potential clinical benefit for Zimura in this indication.</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initial top-line data from this trial to be available during the second half of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Wet AMD Trials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OPH2000: Completed Phase 1/2a Clinical Trial of Zimura for Wet AMD</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2009, we completed a multicenter, uncontrolled, ascending dose and parallel group, open-label, first in human Phase 1/2a clinical trial to evaluate the safety and tolerability of multiple intravitreal injections of Zimura given in combination with multiple doses of 0.5 mg of Lucentis (ranibizumab) in patients with wet AMD. We enrolled 60 patients in this trial, of which 58 were treatment-naïve patients, and two were treatment-experienced patients.</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Patients were treated at one of five Zimura dose levels: 0.03 mg, 0.3 mg, 1 mg, 2 mg and 3 mg. Zimura was generally well tolerated in this trial when tested in combination with Lucentis. None of the patients experienced any dose limiting toxicities at any of the dose levels tested. We observed only a single adverse event assessed by the investigators to be related to Zimura, mild subcapsular cataract in one patient in the group treated with 2 mg of Zimura. Despite this event, this patient's visual acuity improved during the study. Adverse events were primarily ocular adverse events in the study eye which were related to the injection procedure. One patient from the 0.3 mg Zimura treatment group withdrew from the trial as a result of a serious adverse event of bacteremia unrelated to study drug or injection procedure, which resulted in a subsequent fatality. Another patient from the 0.3 mg treatment group withdrew from the trial due to the investigator's decision. Systemic adverse events in this trial were not frequently reported. No systemic adverse events were assessed as drug related.</w:t>
      </w:r>
    </w:p>
    <w:p>
      <w:pPr>
        <w:spacing w:after="0" w:line="19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Our Phase 1/2a clinical trial was an uncontrolled study with a small sample size and was not powered to detect a difference between Zimura dose groups or the efficacy of Zimura combination therapy with statistical significance. The primary purpose of the study was to assess safety and tolerability. In addition to our safety assessment, however, we also performed assessments of visual acuity. There was a general trend towards an improvement in visual acuity seen in all treatment groups. We focused our assessment of vision outcomes on the subgroup of 43 treatment-naïve patients who had received all six Zimura injections at the same dosage. We observed a mean increase in visual acuity from baseline at all time points for these patients, based on the number of ETDRS letters the patient could read. For this subgroup, at week 24 of the trial, we noted improvements in mean visual acuity from baseline as follows: 13.6 letters for the 13 patients receiving the 0.3 mg dose, 11.7 letters for the 15 patients receiving the 1 mg dose and 15.3 letters for the 15 patients receiving the 2 mg dose. In this subgroup, 22 patients (51%) gained at least 15 ETDRS letters, defined as significant visual gain, consisting of six patients (46%) in the 0.3 mg dose group, seven patients (47%) in the 1 mg dose group and nine patients (60%) in the 2 mg dose group.</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OPH2004: Discontinued Phase 2a Trial of Zimura for Treatment-Experienced Wet AMD Patients</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During the fourth quarter of 2015, we initiated an open-label Phase 2a clinical trial to evaluate Zimura’s potential role when administered in combination with anti-VEGF therapy for the treatment of wet AMD in anti-VEGF treatment-experienced patients who did not respond adequately to anti-VEGF monotherapy. In 2017, following our reassessment of our Zimura development programs, we stopped enrolling patients in this trial as we determined that we would initiate a new Zimura wet AMD trial, the OPH2007 trial described below, for treatment-naïve patients. One patient continued to receive treatment in this trial until the first half of 2018. This patient did not experience any drug-related adverse events and there were no unexpected safety issues.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OPH2007: Completed Phase 2a Clinical Trial of Zimura for Treatment-Naïve Wet AMD Patients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2018, we completed a randomized, dose-ranging, open-label, multi-center Phase 2a clinical trial of Zimura in combination with 0.5 mg of Lucentis to evaluate the safety of different dosing regimens of Zimura in combination with an anti-VEGF agent in treating wet AMD. We enrolled a total of 64 treatment-naïve patients for this trial. We assigned patients in this trial to one of four groups:</w:t>
      </w:r>
    </w:p>
    <w:p>
      <w:pPr>
        <w:spacing w:after="0" w:line="181" w:lineRule="exact"/>
        <w:rPr>
          <w:sz w:val="20"/>
          <w:szCs w:val="20"/>
          <w:color w:val="auto"/>
        </w:rPr>
      </w:pPr>
    </w:p>
    <w:p>
      <w:pPr>
        <w:ind w:left="660" w:right="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Groups 1 and 2, consisting of ten patients in each group, patients received monthly combination therapy consisting of 0.5 mg of Lucentis followed by, in Group 1, 4 mg of Zimura two days later and in Group 2, 2 mg of Zimura on the same day as the Lucentis treatment;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Groups 3 and 4, consisting of 22 patients in each group, patients received dosages in two phases, consisting of:</w:t>
      </w:r>
    </w:p>
    <w:p>
      <w:pPr>
        <w:spacing w:after="0" w:line="225" w:lineRule="exact"/>
        <w:rPr>
          <w:rFonts w:ascii="Arial" w:cs="Arial" w:eastAsia="Arial" w:hAnsi="Arial"/>
          <w:sz w:val="18"/>
          <w:szCs w:val="18"/>
          <w:color w:val="auto"/>
        </w:rPr>
      </w:pPr>
    </w:p>
    <w:p>
      <w:pPr>
        <w:ind w:left="1300" w:right="40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first, an induction phase from day one to the second month, during which the patients received 0.5 mg of Lucentis followed by 2 mg of Zimura on the same day, followed by 2 mg of Zimura fourteen days later;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80" w:hanging="320"/>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second, a maintenance phase from the third month to the fifth month, during which the patients received, in Group 3, 0.5 mg of Lucentis followed by 2 mg of Zimura on the same day and in Group 4, 2 mg of Zimura followed two days later with 0.5 mg of Lucentis and 2 mg of Zimura.</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From a safety perspective, Zimura combination therapy with Lucentis was generally well tolerated after six months of treatment. The most frequently reported ocular adverse events were related to the injection procedure. We did not observe any adverse events attributable to Zimura combination therapy.</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Our Phase 2a clinical trial was an uncontrolled trial with a small sample size designed to assess safety at different dosages and to detect a potential efficacy signal. This trial was not designed to detect a statistically significant difference between Zimura dose groups or to evaluate the efficacy of Zimura combination therapy with statistical significance.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evaluated the mean change in best corrected visual acuity at the six-month timepoint as compared to baseline. The data are summarized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4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Group 1, the mean change in visual acuity was 9.0 ETDRS letters with a median of 7.0 letters, and 40% of the patients gained greater than or equal to three lines of vision, or 15 ETDRS letters, defined as significant visual gain;</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Group 2, the mean change in visual acuity was 10.2 ETDRS letters with a median of 16.0 letters, and 60% of patients gained greater than or equal to 15 ETDRS letters;</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Group 3, the mean change in visual acuity was 10.7 ETDRS letters with a median of 10.0 letters, and 40.9% of patients gained greater than or equal to 15 ETDRS letters;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Group 4, the mean change in visual acuity was 9.9 ETDRS letters with a median of 11.0 letters, and 18.2% of patients gained greater than or equal to 15 ETDRS letters.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At this point, we have decided not to proceed with further development of Zimura in wet AMD and instead focus our resources on the development of Zimura in our clinical programs in GA secondary to dry AMD and STGD1.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IPCV Trials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OPH2002: Completed Phase 2a Clinical Trial of Zimura for IPCV</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late 2014, we initiated a very small, uncontrolled, open-label, Phase 2a clinical trial to evaluate Zimura’s potential role when administered in combination with anti-VEGF agents for the treatment of IPCV in treatment-experienced patients for whom anti-VEGF monotherapy failed. IPCV is an age-related disease that is similar to wet AMD and is commonly characterized by leakage under the RPE, subretinal hemorrhage and RPE detachment. We enrolled four patients in the trial. None of the patients had a greater than 15-ETDRS letter decrease in visual acuity, which is considered a significant loss in visual acuity, following treatment in this study. None of the patients experienced any drug-related adverse events and there were no unexpected safety issues from this trial.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OPH2006: Discontinued Phase 2a Trial of Zimura for IPCV</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late 2017, we initiated a randomized, dose-ranging, open-label Phase 2a clinical trial of Zimura in combination with Eylea® (aflibercept), an anti-VEGF agent, in treatment-experienced patients with IPCV. We did not enroll any patients in this clinical trial and decided to discontinue this clinical trial. We currently do not have any plans to further develop Zimura in IPCV.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HtrA1 Inhibitor Program</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October 2018, we acquired Inception 4, a private biopharmaceutical company owned by funds controlled by Versant Ventures. We acquired Inception 4 through a merger with our subsidiary, Orion Ophthalmology LLC, or Orion. Through this acquisition, we obtained worldwide development and commercialization rights to certain HtrA1 inhibitors. We are currently developing this program for the treatment of GA secondary to dry AMD and may in the future evaluate HtrA1 inhibition as a potential treatment modality for other age-related retinal diseases, such as wet AMD and IPCV.</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 encodes for an enzyme that may affect cellular structure, function and homeostasis, which is the dynamic equilibrium maintained in cells and tissue required for normal physiology. Genetic linkage studies, including a study published in </w:t>
      </w:r>
      <w:r>
        <w:rPr>
          <w:rFonts w:ascii="Arial" w:cs="Arial" w:eastAsia="Arial" w:hAnsi="Arial"/>
          <w:sz w:val="17"/>
          <w:szCs w:val="17"/>
          <w:i w:val="1"/>
          <w:iCs w:val="1"/>
          <w:color w:val="auto"/>
        </w:rPr>
        <w:t>Molecular Vision</w:t>
      </w:r>
      <w:r>
        <w:rPr>
          <w:rFonts w:ascii="Arial" w:cs="Arial" w:eastAsia="Arial" w:hAnsi="Arial"/>
          <w:sz w:val="17"/>
          <w:szCs w:val="17"/>
          <w:color w:val="auto"/>
        </w:rPr>
        <w:t xml:space="preserve"> in 2017, show a correlation between the expression of HtrA1 and a certain set of genes conferring risk for AMD. A study of post-mortem eyes from subjects with AMD published in </w:t>
      </w:r>
      <w:r>
        <w:rPr>
          <w:rFonts w:ascii="Arial" w:cs="Arial" w:eastAsia="Arial" w:hAnsi="Arial"/>
          <w:sz w:val="17"/>
          <w:szCs w:val="17"/>
          <w:i w:val="1"/>
          <w:iCs w:val="1"/>
          <w:color w:val="auto"/>
        </w:rPr>
        <w:t xml:space="preserve">EBioMedicine </w:t>
      </w:r>
      <w:r>
        <w:rPr>
          <w:rFonts w:ascii="Arial" w:cs="Arial" w:eastAsia="Arial" w:hAnsi="Arial"/>
          <w:sz w:val="17"/>
          <w:szCs w:val="17"/>
          <w:color w:val="auto"/>
        </w:rPr>
        <w:t>in 2018 found overexpression of HtrA1 in RPE cells as compared to the eyes of non-AMD subjects. Additionally, the overexpression of HtrA1</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was found,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 published in the same article, to lead to alterations and disruptions in the morphology and function of RPE cells. Although the causal pathway between expression of HtrA1 and AMD is still not well understood, we believe that these findings suggest that HtrA1 overexpression may play a role in AMD and that molecules involved in the regulation and inhibition of HtrA1 may have therapeutic benefit in the treatment of dry AMD, including GA, as well as potentially other age-related retinal diseases, such as wet AMD and IPCV.</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Our HtrA1 inhibitor program includes a number of lead small molecule compounds that show high affinity and specificity for HtrA1 when tested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 target engagement when tested in multiple animal models, as well as a number of backup compounds. We are pursuing formulation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studies with the goal of identifying a formulation for intravitreal application in the eye. If we are successful in identifying and formulating a product candidate from this program, we plan to initiate IND-enabling activities for the selected product candidate.</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connection with our acquisition of Inception 4, we also received approximately $6.1 million in cash, which we believe will be sufficient to fund the substantial majority of anticipated development costs associated with this program through the IND submission stage. Based on current timelines and subject to successful completion of preclinical development, we are currently targeting submission of an IND to the FDA for a product candidate from this program for the treatment of GA secondary to dry AMD by late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Therapy Research and Development Programs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we continue to evaluate the unmet medical needs for orphan and age-related retinal diseases, as well as the available technologies in development to potentially address these needs, we have been particularly encouraged by the prospects for gene therapy as a potential treatment modality in ophthalmology.</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February 2018, we announced that an element of our strategy would include initiating collaborative gene therapy programs focused on discovering and developing novel gene therapy technologies to treat retinal diseases, including through collaborations with leading companies and academic research institutions in the United States and internationally. To date, we have established gene therapy programs with three leading academic research institutions in the United States. These programs are described in detail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Potential of Gene Therapies for Ophthalmic Diseases</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Gene therapy consists of delivering DNA encoding for a functional protein to a target tissue to facilitate protein synthesis using a recipient's existing cellular machinery. Gene therapy can be used to replace a non-functional protein produced innately by the subject as a result of a genetic mutation or as a means of producing and delivering a therapeutic protein that would not otherwise be produced within the body. Many IRDs are monogenic, meaning they are caused by mutations in a single gene, and therefore could potentially be addressed by a gene replacement approach. For genetic diseases where the mutant protein has toxic effect, we have been encouraged by the potential for a “knockdown” and “replace” approach in which gene therapy not only can introduce a healthy or wildtype version of the gene into the host body but also can suppress the expression of the mutant gene. Furthermore, because gene therapy may result in a lasting, or even permanent, addition to a host body's genetic code, gene therapy has potential for an extended treatment effect through a single administration. We therefore believe that gene therapy also holds promise as a potential treatment for age-related and other non-orphan retinal diseases, especially for diseases where patients might otherwise require chronic therapy over years, if not decades.</w:t>
      </w:r>
    </w:p>
    <w:p>
      <w:pPr>
        <w:spacing w:after="0" w:line="167"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Currently, most gene therapies for application in the eye are administered via subretinal injection. Subretinal injection is a surgical procedure in which the gene therapy vector is injected by a retinal surgeon into the potential space between the photoreceptors and the RPE and often as close as practicable to the site of desired protein expression. Once the vector is present in the target tissue area, the process by which the gene of interest is inserted into host cells by the delivery vehicle can begin. This process is referred to as transduction and the gene therapy delivery vehicle is referred to as a vector.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Products and AAV Vectors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 gene therapy product typically includes the gene of interest, or transgene, together with a promoter sequence. The composition of the transgene may differ from that of the wildtype form of the gene—for example, the gene may be modified to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increase the expression of the target protein. Promoters are DNA sequences that are linked to a gene and control the transcription of a gene into RNA in the host body's cells. There are cell-specific promoters, which tend to drive gene expression in particular cell or tissue types - for example, the RPE and photoreceptors. The choice of the specific promoter that is to be linked to a transgene is an important consideration in constructing a gene therapy product.</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promoter-transgene combination is packaged together into a delivery vehicle to facilitate localization within the relevant tissue within the body. Gene therapies are typically delivered via viral vectors and among those, adeno-associated virus, or AAV, has become the most common choice for gene therapy applications inside the eye. AAV is a small, non-pathogenic cold virus. To create the vector, the DNA encoding the AAV viral genes is removed, disarming the virus, and is replaced with the therapeutic gene sequence. In addition to AAV, other gene delivery vehicles include vectors derived from lentivirus and non-viral based vectors.</w:t>
      </w:r>
    </w:p>
    <w:p>
      <w:pPr>
        <w:spacing w:after="0" w:line="18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We have particularly focused on AAV gene therapy, as AAV vectors have generally been found to transduce RPE, photoreceptors and other retinal cells at a high rate, and their safety profile in humans is relatively well-documented as compared to other delivery vehicles, such as lentiviral vectors. Gene editing approaches, such as CRISPR, in which the host DNA is modified, altered or removed via therapeutic intervention, are also emerging as a potential treatment modality for genetic diseases. Unlike lentiviral vectors or gene editing approaches, with AAV gene therapy, the delivered genetic cargo does not incorporate into or alter the host cell's existing DNA and chromosomes, but rather remains separate in the host cell's nucleus, where it can be transcribed by the host cell's existing machinery.</w:t>
      </w:r>
    </w:p>
    <w:p>
      <w:pPr>
        <w:spacing w:after="0" w:line="19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There are several naturally-occurring serotypes of AAV, including AAV2, AAV5, AAV8 and AAV9, as well as countless synthetic AAV serotypes. The AAV genome consists of two genetic sequences: a "Rep" gene that encodes for certain viral life-cycle proteins, and a "Cap" gene that encodes for proteins that form the viral capsid, which is the outer wall of the AAV. Recombinant AAV vectors can be created by combining the Rep sequence for one AAV serotype with the Cap sequence for a different AAV serotype. For example, a recombinant AAV 2/5 vector contains the AAV2 Rep sequence packaged within an AAV5 capsid. Because different capsid proteins have different transduction capabilities within different cell and tissue types, the selection of the capsid serotype is an important consideration in constructing an AAV gene therapy product.</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One of the primary limitations with AAV gene therapy is AAV's packaging capacity: an AAV vector can hold only up to approximately 4,700 base pairs of DNA, whereas the genes for a number of IRDs, such as the </w:t>
      </w:r>
      <w:r>
        <w:rPr>
          <w:rFonts w:ascii="Arial" w:cs="Arial" w:eastAsia="Arial" w:hAnsi="Arial"/>
          <w:sz w:val="17"/>
          <w:szCs w:val="17"/>
          <w:i w:val="1"/>
          <w:iCs w:val="1"/>
          <w:color w:val="auto"/>
        </w:rPr>
        <w:t>CEP290</w:t>
      </w:r>
      <w:r>
        <w:rPr>
          <w:rFonts w:ascii="Arial" w:cs="Arial" w:eastAsia="Arial" w:hAnsi="Arial"/>
          <w:sz w:val="17"/>
          <w:szCs w:val="17"/>
          <w:color w:val="auto"/>
        </w:rPr>
        <w:t xml:space="preserve"> gene implicated in LCA10 and the </w:t>
      </w:r>
      <w:r>
        <w:rPr>
          <w:rFonts w:ascii="Arial" w:cs="Arial" w:eastAsia="Arial" w:hAnsi="Arial"/>
          <w:sz w:val="17"/>
          <w:szCs w:val="17"/>
          <w:i w:val="1"/>
          <w:iCs w:val="1"/>
          <w:color w:val="auto"/>
        </w:rPr>
        <w:t>ABCA4</w:t>
      </w:r>
      <w:r>
        <w:rPr>
          <w:rFonts w:ascii="Arial" w:cs="Arial" w:eastAsia="Arial" w:hAnsi="Arial"/>
          <w:sz w:val="17"/>
          <w:szCs w:val="17"/>
          <w:color w:val="auto"/>
        </w:rPr>
        <w:t xml:space="preserve"> gene implicated in STGD1, exceed that size. A possible solution to the size limitation would be to develop a "minigene" form of transgene that would be small enough to fit within the packaging capacity of AAV, but large enough for the resulting protein to maintain its function. Another potential limitation for AAV and other viral vector gene therapies is the potential to trigger an immune response. Because many types of AAV are naturally occurring, gene therapy patients may have built up neutralizing antibodies to specific AAV serotypes prior to gene therapy administration, which may result in an inflammatory immune response and tissue damage. The safety profile of AAV, however, is well-documented, and furthermore, the relative isolation of the human eye and ocular immune system within the body may mitigate the potential immune response from the administration of AAV into the eye. Our current gene therapy programs, which are described in further detail below, use AAV vectors for delivery of the genetic cargo to cells within the retina.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RHO-adRP Product Candidate</w:t>
      </w:r>
    </w:p>
    <w:p>
      <w:pPr>
        <w:spacing w:after="0" w:line="36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June 2018, we entered into an exclusive global license agreement with UFRF and Penn for rights to develop and commercialize a novel AAV gene therapy product candidate for the treatment of RHO-adRP. There are over 150 known mutations in the rhodopsin gene that can result in RHO-adRP. In individuals with RHO-adRP, the rhodopsin that is produced by the mutant gene is toxic. The construct for our RHO-adRP product candidate combines in a single AAV2/5 vector:</w:t>
      </w:r>
    </w:p>
    <w:p>
      <w:pPr>
        <w:spacing w:after="0" w:line="241" w:lineRule="exact"/>
        <w:rPr>
          <w:sz w:val="20"/>
          <w:szCs w:val="20"/>
          <w:color w:val="auto"/>
        </w:rPr>
      </w:pPr>
    </w:p>
    <w:p>
      <w:pPr>
        <w:ind w:left="660" w:right="5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transgene for a highly-efficient, novel short hairpin RNA, or shRNA, designed to target and "knockdown" production of the subject's innate rhodopsin, regardless of the specific mutation a subject has, with a</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transgene for a healthy rhodopsin protein that is resistant to the shRNA.</w:t>
      </w:r>
    </w:p>
    <w:p>
      <w:pPr>
        <w:spacing w:after="0" w:line="27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Our RHO-adRP construct was tested by investigators at Penn in a naturally occurring canine model of RHO-adRP, resulting in long term, i.e., over 8 months, anatomic and functional preservation of the photoreceptors, which was demonstrated with histology and electrophysiology. The investigators had initially tested a dual vector construct in which the shRNA and the healthy rhodopsin transgenes were delivered by different AAV vectors. The investigators found, however, that the dual vector approach caused inflammation and other complications in the retina, leading the investigators to develop this single vector construct. The results from these experiments were published by scientists at Penn and the University of Florida in </w:t>
      </w:r>
      <w:r>
        <w:rPr>
          <w:rFonts w:ascii="Arial" w:cs="Arial" w:eastAsia="Arial" w:hAnsi="Arial"/>
          <w:sz w:val="16"/>
          <w:szCs w:val="16"/>
          <w:i w:val="1"/>
          <w:iCs w:val="1"/>
          <w:color w:val="auto"/>
        </w:rPr>
        <w:t>PNAS</w:t>
      </w:r>
      <w:r>
        <w:rPr>
          <w:rFonts w:ascii="Arial" w:cs="Arial" w:eastAsia="Arial" w:hAnsi="Arial"/>
          <w:sz w:val="16"/>
          <w:szCs w:val="16"/>
          <w:color w:val="auto"/>
        </w:rPr>
        <w:t xml:space="preserve"> in August 2018 in a paper titled: "Mutation-independent Rhodopsin Gene Therapy by Knockdown and Replacement with a Single AAV Vector."</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to the exclusive license agreement, we also entered into a master sponsored research agreement with Penn, facilitated by the Penn Center for Innovation, or PCI, in June 2018, pursuant to which we, together with Penn, are conducting additional preclinical studies of the RHO-adRP product candidate and a natural history study of RHO-adRP patients.</w:t>
      </w:r>
    </w:p>
    <w:p>
      <w:pPr>
        <w:spacing w:after="0" w:line="23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parallel with the sponsored research, we have commenced IND-enabling activities for the RHO-adRP product candidate, including manufacturing for preclinical toxicology studies. We have engaged a CDMO for preclinical and Phase 1/2 clinical supply of our RHO-adRP product candidate. Based on current timelines and subject to regulatory review, we expect to initiate a Phase 1/2 clinical trial for this product candidate during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Bestrophinopathies Program</w:t>
      </w:r>
    </w:p>
    <w:p>
      <w:pPr>
        <w:spacing w:after="0" w:line="14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In October 2018, we entered into an exclusive option agreement, or the Best Option Agreement, with Penn and UFRF, under which Penn and UFRF granted us an option to acquire an exclusive, global license to develop and commercialize novel AAV gene therapy product candidates for the treatment of Best disease and other bestrophinopathies. Investigators at Penn and UFRF tested the lead construct in a naturally occurring autosomal recessive canine bestrophinopathy model, resulting in the reversal of subretinal lesions and micro-detachments associated with the canine bestrophinopathy. The results of this work were published in </w:t>
      </w:r>
      <w:r>
        <w:rPr>
          <w:rFonts w:ascii="Arial" w:cs="Arial" w:eastAsia="Arial" w:hAnsi="Arial"/>
          <w:sz w:val="16"/>
          <w:szCs w:val="16"/>
          <w:i w:val="1"/>
          <w:iCs w:val="1"/>
          <w:color w:val="auto"/>
        </w:rPr>
        <w:t>PNAS</w:t>
      </w:r>
      <w:r>
        <w:rPr>
          <w:rFonts w:ascii="Arial" w:cs="Arial" w:eastAsia="Arial" w:hAnsi="Arial"/>
          <w:sz w:val="16"/>
          <w:szCs w:val="16"/>
          <w:color w:val="auto"/>
        </w:rPr>
        <w:t xml:space="preserve"> in February 2018 in a paper titled: "</w:t>
      </w:r>
      <w:r>
        <w:rPr>
          <w:rFonts w:ascii="Arial" w:cs="Arial" w:eastAsia="Arial" w:hAnsi="Arial"/>
          <w:sz w:val="16"/>
          <w:szCs w:val="16"/>
          <w:i w:val="1"/>
          <w:iCs w:val="1"/>
          <w:color w:val="auto"/>
        </w:rPr>
        <w:t>BEST1</w:t>
      </w:r>
      <w:r>
        <w:rPr>
          <w:rFonts w:ascii="Arial" w:cs="Arial" w:eastAsia="Arial" w:hAnsi="Arial"/>
          <w:sz w:val="16"/>
          <w:szCs w:val="16"/>
          <w:color w:val="auto"/>
        </w:rPr>
        <w:t xml:space="preserve"> gene therapy corrects a diffuse retina-wide microdetachment modulated by light exposure." We believe the results from these experiments in a naturally occurring canine bestrophinopathy model with distinct phenotypic similarities to human Best disease demonstrate the potential therapeutic benefit of the BEST1 gene therapy product candidates from Penn and UFRF.</w:t>
      </w:r>
    </w:p>
    <w:p>
      <w:pPr>
        <w:spacing w:after="0" w:line="16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In addition to the Best Option Agreement, we also entered into a master sponsored research agreement with Penn (which is separate from the master sponsored research agreement for our RHO-adRP product candidate), facilitated by PCI, pursuant to which we, together with Penn, are conducting additional preclinical studies of a product candidate from this program as well as natural history studies of patients with bestrophinopathies.</w:t>
      </w:r>
    </w:p>
    <w:p>
      <w:pPr>
        <w:spacing w:after="0" w:line="16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parallel with the sponsored research, we are planning to commence IND-enabling activities for a product candidate from this program, including manufacturing for preclinical toxicology studies. We have recently engaged a CDMO as the manufacturer for preclinical and Phase 1/2 clinical supply of this product candidate. Based on current timelines and subject to regulatory review and execution of a definitive license agreement with Penn and UFRF, we expect to initiate a Phase 1/2 clinical trial for a product candidate from this program during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Massachusetts Medical School Research (LCA10 and STGD1; Gene Delivery Methods)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February 2018, we entered into two sponsored research agreements with UMMS to utilize a "minigene" approach to create AAV gene therapy product candidates targeting LCA10 and STGD1. The "minigene" approach may offer a potential solution for diseases that would otherwise be difficult to address through conventional AAV gene replacement therapy where the size of the transgene exceeds the packaging capacity of conventional AAV vectors. We also entered into a separate sponsored research agreement with UMMS to evaluate various AAV gene delivery methods for potential application in the eye. UMMS has granted us an option to obtain an exclusive license to any patents or patent applications that result from these sponsored research programs.</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LCA10 is caused by mutations in 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The naturally occurring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is approximately 8,000 base pairs. In a January 2018 publication in </w:t>
      </w:r>
      <w:r>
        <w:rPr>
          <w:rFonts w:ascii="Arial" w:cs="Arial" w:eastAsia="Arial" w:hAnsi="Arial"/>
          <w:sz w:val="18"/>
          <w:szCs w:val="18"/>
          <w:i w:val="1"/>
          <w:iCs w:val="1"/>
          <w:color w:val="auto"/>
        </w:rPr>
        <w:t>Human Gene Therapy</w:t>
      </w:r>
      <w:r>
        <w:rPr>
          <w:rFonts w:ascii="Arial" w:cs="Arial" w:eastAsia="Arial" w:hAnsi="Arial"/>
          <w:sz w:val="18"/>
          <w:szCs w:val="18"/>
          <w:color w:val="auto"/>
        </w:rPr>
        <w:t>, researchers at UMMS demonstrated that injection of a CEP290 minigene into a newborn mice model for LCA10 resulting in rescue of photoreceptor cells, as evidenced by both anatomical and functional measures. Currently, UMMS is evaluating other CEP290 minigene fragments and promoters for potential enhanced efficacy and we expect to receive results during 2019, at which point we may elect to exercise our option to in-license the LCA10 program.</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STGD1 is caused by mutations in the </w:t>
      </w:r>
      <w:r>
        <w:rPr>
          <w:rFonts w:ascii="Arial" w:cs="Arial" w:eastAsia="Arial" w:hAnsi="Arial"/>
          <w:sz w:val="18"/>
          <w:szCs w:val="18"/>
          <w:i w:val="1"/>
          <w:iCs w:val="1"/>
          <w:color w:val="auto"/>
        </w:rPr>
        <w:t>ABCA4</w:t>
      </w:r>
      <w:r>
        <w:rPr>
          <w:rFonts w:ascii="Arial" w:cs="Arial" w:eastAsia="Arial" w:hAnsi="Arial"/>
          <w:sz w:val="18"/>
          <w:szCs w:val="18"/>
          <w:color w:val="auto"/>
        </w:rPr>
        <w:t xml:space="preserve"> gene. The size of the naturally occurring </w:t>
      </w:r>
      <w:r>
        <w:rPr>
          <w:rFonts w:ascii="Arial" w:cs="Arial" w:eastAsia="Arial" w:hAnsi="Arial"/>
          <w:sz w:val="18"/>
          <w:szCs w:val="18"/>
          <w:i w:val="1"/>
          <w:iCs w:val="1"/>
          <w:color w:val="auto"/>
        </w:rPr>
        <w:t>ABCA4</w:t>
      </w:r>
      <w:r>
        <w:rPr>
          <w:rFonts w:ascii="Arial" w:cs="Arial" w:eastAsia="Arial" w:hAnsi="Arial"/>
          <w:sz w:val="18"/>
          <w:szCs w:val="18"/>
          <w:color w:val="auto"/>
        </w:rPr>
        <w:t xml:space="preserve"> gene is approximately 7,000 base pairs. UMMS plans to construct and evaluate several ABCA4 minigene fragments to be tested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Zimura, our HtrA1 inhibitors, our RHO-adRP product candidate, the BEST1 product candidates for which we have an option from Penn and UFRF, or any other product candidate we may develop. Although we rely and intend to continue to rely upon third-party contract manufacturing organizations, or CMOs, to produce our products and product candidates, we have personnel</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with experience to manage the third-party CMOs that we have engaged or may engage to produce our product candidates. We do not have any long-term supply arrangements other than as described below.</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Manufacturing of pharmaceutical and biological products is a process that generally involves procurement of starting materials, such as raw materials, chemical or biological synthesis in controlled environments and post-production testing and analysis before the product can be released. Manufacturing processes can be complex and difficult to develop, especially for biological products such as gene therapies. Even when a manufacturing process is successfully developed, there are challenges associated with scaling up a manufacturing process to produce quantities sufficient for clinical trials or potential commercial sales and producing high-quality materials consistently using a clearly defined manufacturing process. The manufacture of pharmaceutical and biological products is subject to FDA review and oversight. Having a well-defined and validated manufacturing process is crucial to obtaining FDA approval of any product candidate we may bring forward.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Manufacturing</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process for manufacturing Zimura consists of chemical synthesis, pegylation, purification and finally freeze drying to form a powder, which is the active pharmaceutical ingredient, or API. Each of these steps involves a relatively common chemical engineering process. In a separate process that follows the freeze drying, the Zimura API is dissolved in a liquid solution that includes certain chemical buffers and then is asceptically filtered into vials from which the intravitreal injection solution is drawn. This process of rendering the API into a liquid solution and placing it into vials is referred to as fill/finish services.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currently rely upon a single third-party manufacturer, Agilent Technologies, Inc., or Agilent, to supply us with API for Zimura and a different, single third-party manufacturer, Ajinomoto Bio-Pharma Services (formerly Althea, Inc.), or Ajinomoto, to provide fill/finish services for Zimura. We currently obtain Zimura API from Agilent on a purchase order basis. We have entered into a clinical and commercial services agreement with Ajinomoto for fill/finish services for Zimura. This agreement is summarized below. We obtain the PEG reagent used to make Zimura API from a single third-party manufacturer on a purchase order basis.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Ajinomoto Clinical and Commercial Services Agreement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October 2016, we and Ajinomoto entered into a Clinical and Commercial Services Agreement, which we refer to as the Fill/Finish Services Agreement. Pursuant to the Fill/Finish Services Agreement, Ajinomoto agreed to provide clinical and commercial fill/finish services for Zimura as well as any future product candidates that we and Ajinomoto may mutually agree. The Fill/Finish Services Agreement has an initial term that will expire at the end of 2027, absent termination by either party in accordance with the terms of the Fill/Finish Services Agreement. The initial term of the Fill/Finish Services Agreement may be extended by mutual agreement of the parties. The amount payable by us to Ajinomoto under the Fill/Finish Services Agreement is based on the volume of finished drug product that we order, subject to periodic adjustments over the term of the Fill/Finish Services Agreement. In addition, in the event that we order a specified volume of product, Ajinomoto agreed to supply biological or pharmaceutical drug products meeting certain parameters exclusively to us.</w:t>
      </w:r>
    </w:p>
    <w:p>
      <w:pPr>
        <w:spacing w:after="0" w:line="192"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We may cancel any purchase order under the Fill/Finish Services Agreement at any time, subject to the payment of specified cancellation fees. We may terminate the Fill/Finish Services Agreement, without cause, as of any date following the third anniversary of the effective date upon six months’ prior notice to Ajinomoto. Each party also has the right to terminate the Fill/Finish Services Agreement for other customary reasons such as material breach and bankruptcy.</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Fill/Finish Services Agreement contains provisions relating to compliance by Ajinomoto with current Good Manufacturing Practices, cooperation by Ajinomoto in connection with marketing applications for our product candidates, indemnification, confidentiality, dispute resolution and other customary matters for an agreement of this kind.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Manufacturing</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manufacture of AAV gene therapies requires the use of high quality reagents and substrates as starting materials, such as plasmids and cells. Plasmids are circular double-stranded DNA sequences that exist separate and apart from a cell's chromosomes and which can be engineered to encode for a specific promoter-transgene combination or a specific AAV Rep-Cap combination. Cell lines that are free of microbial contamination are selected to ensure the safety and quality of the final, produced AAV vector. The plasmids and cell lines are generally sourced from a limited number of qualified suppliers.</w:t>
      </w:r>
    </w:p>
    <w:p>
      <w:pPr>
        <w:spacing w:after="0" w:line="15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process for producing AAV vectors typically consists of plasmid transfection of an appropriate cell line. In this step, specifically-designed plasmids are inserted into living cells, where the AAV Rep-Cap genes are expressed using the cell's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existing machinery. Empty virus capsids are then synthesized and packaged together with the promoter-transgene combination sequence. The subsequent purification process is comprised of steps that clear host cell impurities present in the harvested material and that aid in the removal of empty virus capsids from AAV vectors containing the promoter-transgene combination sequence. Each of these closely monitored purification steps involves a relatively common biochemical engineering process. The resulting purified suspension of AAV vectors is considered the drug substance for AAV gene therapies. In a separate process that follows formulation and purification, the AAV drug substance is fill/finished into vials from which the injection solution is drawn.</w:t>
      </w:r>
    </w:p>
    <w:p>
      <w:pPr>
        <w:spacing w:after="0" w:line="158" w:lineRule="exact"/>
        <w:rPr>
          <w:sz w:val="20"/>
          <w:szCs w:val="20"/>
          <w:color w:val="auto"/>
        </w:rPr>
      </w:pPr>
    </w:p>
    <w:p>
      <w:pPr>
        <w:ind w:right="100" w:firstLine="720"/>
        <w:spacing w:after="0" w:line="264" w:lineRule="auto"/>
        <w:rPr>
          <w:sz w:val="20"/>
          <w:szCs w:val="20"/>
          <w:color w:val="auto"/>
        </w:rPr>
      </w:pPr>
      <w:r>
        <w:rPr>
          <w:rFonts w:ascii="Arial" w:cs="Arial" w:eastAsia="Arial" w:hAnsi="Arial"/>
          <w:sz w:val="18"/>
          <w:szCs w:val="18"/>
          <w:color w:val="auto"/>
        </w:rPr>
        <w:t>We have engaged a gene therapy CDMO for preclinical and Phase 1/2 clinical supply of our RHO-adRP drug product candidate. We have recently engaged a CDMO for preclinical and Phase 1/2 clinical supply of the BEST1 gene therapy drug product candidate for which we are planning to commence IND-enabling studies.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expect that our commercial strategy for any of our product candidates, including whether to retain commercial rights and market and sell the product candidate ourselves or to utilize collaboration, distribution or other marketing arrangements with third parties in some or all geographic markets, will be determined based on a variety of factors, including the size and nature of the patient population, the disease area, the particular indication for which the product candidate is approved, the territory in which the product candidate may be marketed and the commercial potential for such product candidate. We are developing Zimura and our HtrA1 inhibitor program for GA secondary to dry AMD, which is a condition affecting a relatively large number of individuals, and we are also developing Zimura for STGD1, which is a condition affecting a much more limited number of individuals. Our gene therapy programs are currently being developed for orphan IRDs with a limited number of affected individuals. If any of our product candidates are approved, the size and nature of the affected patient population will be an important factor in our commercial strategy.</w:t>
      </w:r>
    </w:p>
    <w:p>
      <w:pPr>
        <w:spacing w:after="0" w:line="17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addition, our commercial strategy will vary depending on whether the disease is typically treated by general ophthalmology practitioners, specialists, such as retina specialists, or other sub-specialists. For example, in the United States, retina specialists perform most of the medical procedures involving diseases of the back of the eye. Intravitreal injection and subretinal injection are specialized procedures. In the vast majority of cases in the United States, retina specialists perform intravitreal injections and highly specialized retina surgeons perform subretinal injections. We believe that retina specialists and retina surgeons in the United States are sufficiently concentrated such that we could effectively promote an approved product candidate to these specialists with a targeted specialty sales and marketing group. For example, retina specialists who see patients with IRDs, as well as their patients, are generally concentrated in a limited number of large, academic research institutions located throughout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There are a number of pharmaceutical and biotechnology companies that are currently developing product candidates for the treatment of GA, Stargardt disease, RHO-adRP and LCA10, and there is at least one biotechnology company that is currently developing a product candidate for the treatment of Best disease.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products or product candidates that we may seek to develop or commercialize in the future. In particular, many companies are pursuing gene therapy approaches for orphan and age-related retinal diseases.</w:t>
      </w:r>
    </w:p>
    <w:p>
      <w:pPr>
        <w:spacing w:after="0" w:line="16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Dry AMD and GA:</w:t>
      </w:r>
    </w:p>
    <w:p>
      <w:pPr>
        <w:spacing w:after="0" w:line="266" w:lineRule="exact"/>
        <w:rPr>
          <w:sz w:val="20"/>
          <w:szCs w:val="20"/>
          <w:color w:val="auto"/>
        </w:rPr>
      </w:pPr>
    </w:p>
    <w:p>
      <w:pPr>
        <w:ind w:left="980" w:right="300" w:hanging="648"/>
        <w:spacing w:after="0" w:line="264" w:lineRule="auto"/>
        <w:tabs>
          <w:tab w:leader="none" w:pos="6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a number of products in preclinical research and clinical development by third parties to treat dry AMD, including several that are in development for GA secondary to dry AMD. In general, these product candidates can be categorized based on their proposed mechanisms of action. The mechanisms of action for these product candidates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80"/>
        <w:spacing w:after="0" w:line="319" w:lineRule="auto"/>
        <w:rPr>
          <w:sz w:val="20"/>
          <w:szCs w:val="20"/>
          <w:color w:val="auto"/>
        </w:rPr>
      </w:pPr>
      <w:r>
        <w:rPr>
          <w:rFonts w:ascii="Arial" w:cs="Arial" w:eastAsia="Arial" w:hAnsi="Arial"/>
          <w:sz w:val="17"/>
          <w:szCs w:val="17"/>
          <w:color w:val="auto"/>
        </w:rPr>
        <w:t>include inflammation suppression, such as complement system inhibitors and corticosteroids, visual cycle modulators, antioxidants and neuroprotectants, cell and gene therapies and vascular perfusion enhancers. We are aware that Apellis Pharmaceuticals, Inc., Roche AG, Novartis AG and MorphoSys AG, Hemera Biosciences, Inc., Gyroscope Therapeutics, Achillion Pharmaceuticals, Inc., and Catalyst Biosciences, Inc. each have complement inhibitors in development for dry AMD. We believe that the most advanced of these programs is Apellis's pegylated, synthetic peptide targeting complement protein C3. Following positive Phase 2 results for its C3 complement inhibitor product candidate, Apellis announced in September 2018 that it had dosed the first patient in a Phase 3 program for this product candidate. If Apellis's Phase 3 program for its C3 complement inhibitor product candidate is successful, it is likely that Apellis may obtain marketing approval for its product candidate in advance of when we could reasonably expect marketing approval for Zimura in GA or a product candidate from our HtrA1 inhibitor program in GA, if at all. Moreover, we are aware that several other companies have announced development programs for the treatment of dry AMD or GA targeting different mechanisms of action outside of the complement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25" w:lineRule="exact"/>
        <w:rPr>
          <w:sz w:val="20"/>
          <w:szCs w:val="20"/>
          <w:color w:val="auto"/>
        </w:rPr>
      </w:pPr>
    </w:p>
    <w:p>
      <w:pPr>
        <w:ind w:left="980" w:right="20" w:hanging="648"/>
        <w:spacing w:after="0" w:line="291" w:lineRule="auto"/>
        <w:tabs>
          <w:tab w:leader="none" w:pos="6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Stargardt disease. We are aware that Sanofi, Acucela Inc., Alkeus Pharmaceuticals, Inc., Vision Medicines, Inc., Lin BioScience, Inc., Nightstar Therapeutics plc, ProQR Therapeutics N.V., Spark Therapeutics and Generation Bio Co. each have research or development programs in Stargardt disease. Four of these programs, Acucela, Alkeus, Vision Medicines and Lin BioScience, are exploring the use of oral therapeutics, while Sanofi, with technology provided by Oxford BioMedica plc, Nightstar and Spark are each using a gene therapy approach and ProQR is using an RNA-based approach. Acucela’s product candidate is in Phase 3 development while Alkeus’s and Sanofi’s product candidates are each in Phase 2 development. Spark's program is in the research phase. In addition, several academic organizations have early stage programs in Stargardt disease.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191919"/>
        </w:rPr>
        <w:t>Competitive considerations for RHO-adRP:</w:t>
      </w:r>
    </w:p>
    <w:p>
      <w:pPr>
        <w:spacing w:after="0" w:line="225" w:lineRule="exact"/>
        <w:rPr>
          <w:sz w:val="20"/>
          <w:szCs w:val="20"/>
          <w:color w:val="auto"/>
        </w:rPr>
      </w:pPr>
    </w:p>
    <w:p>
      <w:pPr>
        <w:ind w:left="660" w:right="120" w:hanging="328"/>
        <w:spacing w:after="0" w:line="286" w:lineRule="auto"/>
        <w:tabs>
          <w:tab w:leader="none" w:pos="660" w:val="left"/>
        </w:tabs>
        <w:numPr>
          <w:ilvl w:val="0"/>
          <w:numId w:val="21"/>
        </w:numPr>
        <w:rPr>
          <w:rFonts w:ascii="Arial" w:cs="Arial" w:eastAsia="Arial" w:hAnsi="Arial"/>
          <w:sz w:val="17"/>
          <w:szCs w:val="17"/>
          <w:color w:val="191919"/>
        </w:rPr>
      </w:pPr>
      <w:r>
        <w:rPr>
          <w:rFonts w:ascii="Arial" w:cs="Arial" w:eastAsia="Arial" w:hAnsi="Arial"/>
          <w:sz w:val="17"/>
          <w:szCs w:val="17"/>
          <w:color w:val="auto"/>
        </w:rPr>
        <w:t>There are a number of products in preclinical research by third parties to treat RHO-adRP. We are aware that multiple academic institutions have early stage gene therapy development programs in RHO-adRP. In addition, Nightstar Therapeutics plc has a preclinical AAV gene therapy program in RHO-adRP and ProQR Therapeutics N.V. is developing an early stage RNA-based therapeutic for RHO-adRP.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 disease:</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aware that Nightstar Therapeutics plc has a preclinical AAV gene therapy program in Best disease.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25" w:lineRule="exact"/>
        <w:rPr>
          <w:sz w:val="20"/>
          <w:szCs w:val="20"/>
          <w:color w:val="auto"/>
        </w:rPr>
      </w:pPr>
    </w:p>
    <w:p>
      <w:pPr>
        <w:ind w:left="660" w:hanging="328"/>
        <w:spacing w:after="0" w:line="31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are aware that Editas Medicine has a CRISPR gene editing program for LCA10, an IND for which was submitted in late 2018, ProQR Therapeutics N.V. is developing an RNA-based therapeutic for LCA10 that is currently in clinical development, and Generation Bio Co. has a preclinical program that utilizes ceDNA technology to target LCA10. In addition, several academic institutions have preclinical programs in LCA10.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among other methods and where patent protection is available, by filing U.S. and certain foreign patent applications related to our proprietary technology, inventions and improvements that are important to the development of our business, and by maintaining our issued patents. For our collaborative gene therapy sponsored research programs, we are generally relying on our university collaborators to generate research and data to support new patent applications, and to file, prosecute and maintain any patents or patent applications resulting from the sponsored research. We also rely upon trade secrets, know-how, continuing technological innovation and in-licensing opportunities to develop and maintain our proprietary position.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patent portfolio includes the following:</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patents and patent applications in-licensed from Archemix Corp., or Archemix:</w:t>
      </w:r>
    </w:p>
    <w:p>
      <w:pPr>
        <w:spacing w:after="0" w:line="225" w:lineRule="exact"/>
        <w:rPr>
          <w:rFonts w:ascii="Arial" w:cs="Arial" w:eastAsia="Arial" w:hAnsi="Arial"/>
          <w:sz w:val="18"/>
          <w:szCs w:val="18"/>
          <w:color w:val="auto"/>
        </w:rPr>
      </w:pPr>
    </w:p>
    <w:p>
      <w:pPr>
        <w:ind w:left="1620" w:right="100" w:hanging="315"/>
        <w:spacing w:after="0" w:line="312" w:lineRule="auto"/>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composition-of-matter patents covering Zimura, which have issued in the United States, the European Union, Japan and certain other jurisdictions, and which are expected to expire in Japan in 2026 and elsewhere in 2025; and composition-of-matter patent applications covering Zimura, which are pending in certain other jurisdictions, and which, if granted, are expected to expire in 2025; and</w:t>
      </w:r>
    </w:p>
    <w:p>
      <w:pPr>
        <w:spacing w:after="0" w:line="146" w:lineRule="exact"/>
        <w:rPr>
          <w:rFonts w:ascii="Arial" w:cs="Arial" w:eastAsia="Arial" w:hAnsi="Arial"/>
          <w:sz w:val="16"/>
          <w:szCs w:val="16"/>
          <w:color w:val="auto"/>
        </w:rPr>
      </w:pPr>
    </w:p>
    <w:p>
      <w:pPr>
        <w:jc w:val="both"/>
        <w:ind w:left="1620" w:right="140" w:hanging="315"/>
        <w:spacing w:after="0" w:line="259"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patents covering the treatment of certain complement mediated disorders with Zimura, Zimura for use in a method of treating certain complement mediated disorders or a composition comprising Zimura for treating certain complement mediated disorders, which have issued in the United States, the European Union, Japan and certain other jurisdictions, and which are expected to expire in the United States and Japan in 2026 and elsewhere in 2025; and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patents and patent applications owned by Ophthotech:</w:t>
      </w:r>
    </w:p>
    <w:p>
      <w:pPr>
        <w:spacing w:after="0" w:line="225" w:lineRule="exact"/>
        <w:rPr>
          <w:rFonts w:ascii="Arial" w:cs="Arial" w:eastAsia="Arial" w:hAnsi="Arial"/>
          <w:sz w:val="18"/>
          <w:szCs w:val="18"/>
          <w:color w:val="auto"/>
        </w:rPr>
      </w:pPr>
    </w:p>
    <w:p>
      <w:pPr>
        <w:jc w:val="both"/>
        <w:ind w:left="1620" w:right="200" w:hanging="315"/>
        <w:spacing w:after="0" w:line="264"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patent applications covering formulations, methods of use for treating Stargardt disease, and other proprietary technology relating to Zimura, which are pending in the United States, the European Union, Japan and certain other jurisdictions, and which, if granted, are expected to expire in 2034;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patents and patent applications owned by our Orion subsidiary:</w:t>
      </w:r>
    </w:p>
    <w:p>
      <w:pPr>
        <w:spacing w:after="0" w:line="225" w:lineRule="exact"/>
        <w:rPr>
          <w:rFonts w:ascii="Arial" w:cs="Arial" w:eastAsia="Arial" w:hAnsi="Arial"/>
          <w:sz w:val="18"/>
          <w:szCs w:val="18"/>
          <w:color w:val="auto"/>
        </w:rPr>
      </w:pPr>
    </w:p>
    <w:p>
      <w:pPr>
        <w:jc w:val="both"/>
        <w:ind w:left="1620" w:right="140" w:hanging="315"/>
        <w:spacing w:after="0" w:line="264"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three families of composition-of-matter patent applications covering the lead and backup compounds in our HtrA1 inhibitor program, which are pending in the United States, the European Union, Japan and certain other jurisdictions, and which, if granted, are expected to expire in 2037;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patents and patent applications in-licensed from UFRF and Penn:</w:t>
      </w:r>
    </w:p>
    <w:p>
      <w:pPr>
        <w:spacing w:after="0" w:line="225" w:lineRule="exact"/>
        <w:rPr>
          <w:rFonts w:ascii="Arial" w:cs="Arial" w:eastAsia="Arial" w:hAnsi="Arial"/>
          <w:sz w:val="18"/>
          <w:szCs w:val="18"/>
          <w:color w:val="auto"/>
        </w:rPr>
      </w:pPr>
    </w:p>
    <w:p>
      <w:pPr>
        <w:ind w:left="1620" w:right="120" w:hanging="315"/>
        <w:spacing w:after="0" w:line="264"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two families of composition-of-matter and method-of-treatment patent applications relating to the proprietary RHO-adRP AAV technology of UFRF and Penn, which are pending in the United States, the European Union, Japan and certain other jurisdictions, and which, if granted, are expected to expire in 2037 or 2039.</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or patent application claims patentably indistinct subject matter as another commonly owned patent or patent application having an earlier expiration date and the patentee terminally disclaims the portion of the term beyond such earlier expiration date. The Hatch-Waxman Act permits a patent term extension of up to five years beyond the expiration date of a U.S. patent as partial compensation for the length of time the drug is undergoing clinical development or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Similar provisions are available in the European Union and certain other foreign jurisdictions to extend the term of a patent that covers an approved drug. In the future, if and when our product candidates receive approval by the FDA or foreign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 See "—Government Regulation and Product Approvals" below for a description of market exclusivity mechanisms that may be available to us.</w:t>
      </w:r>
    </w:p>
    <w:p>
      <w:pPr>
        <w:spacing w:after="0" w:line="1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may rely, in some circumstances, upon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and Other Arrangements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are party to a number of license, acquisition and other agreements that have granted us rights to develop our product candidates and conduct our research and development programs. These agreements generally impose license fee, milestone payment, royalty payment and diligence obligations on us. Our material in-license and acquisition agreements are described below.</w:t>
      </w:r>
    </w:p>
    <w:p>
      <w:pPr>
        <w:spacing w:after="0" w:line="18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the future, we may enter into additional acquisition or license agreements, particularly if we choose to acquire or in-license additional products, product candidates or other technologies and expand our product pipeline. We expect that any future acquisition or license agreements would impose similar obligations on us. In the future, we may also enter into agreements to out-license intellectual property to our collaboration and research partners to assist in the development and, if approved, commercialization of our product candidates. For example, as we continue to develop our portfolio and evaluate our overall strategic priorities, we may out-license certain rights to Zimura if we believe the arrangement could assist us in the development or potential commercialization of Zimura and would otherwise help us pursue our business plan and strategic goals.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Archemix C5 License Agreement</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In September 2011, we entered into an amended and restated exclusive license agreement with Archemix relating to anti-C5 aptamers, which we refer to as the C5 License Agreement. The C5 License Agreement superseded a July 2007 agreement between us and Archemix. Under the C5 License Agreement, we hold exclusive worldwide licenses, subject to certain pre–existing rights, under specified patents and technology owned or controlled by Archemix to develop, make, use, sell, offer for sale, distribute for sale, import and export pharmaceutical products comprised of or derived from an anti-C5 aptamer for the prevention, treatment, cure or control of human indications, diseases, disorders or conditions of the eye, adnexa of the eye, orbit and optic nerve, other than certain expressly excluded applications.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Terms</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In connection with the C5 License Agreement, as amended, we paid Archemix an upfront licensing fee of $1.0 million and issued to Archemix an aggregate of 2,000,000 shares of our series A-1 preferred stock and 500,000 shares of our series B-1 preferred stock. We have also paid Archemix an aggregate of $2.0 million in fees based on our achievement of specified clinical milestone events under the C5 License Agreement.</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Under the C5 License Agreement, for each anti-C5 aptamer product that we may develop under the agreement, including Zimura, we are obligated to make additional payments to Archemix of up to an aggregate of $57.5 million if we achieve specified development, clinical and regulatory milestones, with $30.5 million of such payments relating to a first indication, $24.5 million of such payments relating to second and third indications and $2.5 million of such payments relating to sustained delivery applications. Under the C5 License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License Agreement. We are not obligated to pay Archemix a running royalty based on net product sales in connection with the C5 License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Diligence Obligations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are required to exercise commercially reasonable efforts in developing and commercializing at least one anti-C5 aptamer product and in undertaking actions required to obtain regulatory approvals necessary to market such product in the United States, the European Union, and Japan, and in such other markets where we determine that it is commercially reasonable to do so.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Unless earlier terminated, the C5 License Agreement will expire upon the latest of 12 years after the first commercial sale in any country of the last licensed product, the expiration of the last-to-expire valid claim of the licensed patents that covers a licensed product, and the date on which no further payments of sublicensing income are to be received by us.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Either we or Archemix may terminate the C5 License Agreement if the other party materially breaches the agreement and the breach remains uncured for a specified period. Archemix may also terminate the C5 License Agreement, or may convert our exclusive license under the agreement to a non-exclusive license, if we challenge or assist a third party in challenging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validity or enforceability of any of the patents licensed under the agreement. We may terminate the agreement at any time and for any or no reason effective at the end of a specified period following our written notice of termination to Archemix.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HtrA1 Inhibitor Program - Inception 4 Merger Agreement</w:t>
      </w:r>
    </w:p>
    <w:p>
      <w:pPr>
        <w:spacing w:after="0" w:line="14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October 2018, we and Inception 4 entered into an agreement and plan of merger, which we refer to as the Inception 4 Merger Agreement, pursuant to which we acquired Inception 4 through a merger transaction, referred to as the Inception 4 Merger. Prior to the Inception 4 Merger, Inception 4 was a privately held biotechnology company focused on the research and development of small molecule inhibitors of HtrA1 for age-related retinal diseases in humans.</w:t>
      </w:r>
    </w:p>
    <w:p>
      <w:pPr>
        <w:spacing w:after="0" w:line="24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upfront consideration for the Inception 4 Merger, the former equityholders of Inception 4 received 5,044,201 shares of our common stock, and in December 2018, they received an additional 130,526 shares of our common stock following finalization of customary post-closing adjustments. As part of the transaction, we received approximately $6.1 million in cash.</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7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pursuant to the Inception 4 Merger Agreement, the former equityholders of Inception 4 will be entitled to receive contingent future payments from us based on the achievement of certain clinical and regulatory milestones of up to an aggregate maximum amount of $105 million, with $45 million of such potential payments relating to GA and $60 million of such potential payments relating to wet AMD. These future milestone payments will be payable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of the Inception 4 Merger, and will be payable in cash thereafter.</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Diligence Obligation</w:t>
      </w:r>
    </w:p>
    <w:p>
      <w:pPr>
        <w:spacing w:after="0" w:line="27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agreed to use commercially reasonable efforts to perform the activities described in an agreed-upon development plan outlining certain activities for developing at least one HtrA1 inhibitor for the treatment of GA. Our maximum aggregate liability for any and all breaches of our obligation under the Inception 4 Merger Agreement to use commercially reasonable efforts to develop an HtrA1 inhibitor is limited to $5 million.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Terms and Conditions</w:t>
      </w:r>
    </w:p>
    <w:p>
      <w:pPr>
        <w:spacing w:after="0" w:line="279"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The Inception 4 Merger Agreement contains customary representations, warranties and covenants of Inception 4 and Ophthotech. The representations and warranties generally will survive until the first anniversary of the closing date, with certain specified representations and warranties surviving to 30 months after the closing date and other specified representations and warranties surviving to the expiration of the applicable statute of limitations. The Inception 4 Merger Agreement also contains customary indemnification provisions whereby the former equityholders of Inception 4 will indemnify us and certain affiliated parties for any losses arising out of breaches of the representations, warranties and covenants of Inception 4 under the Inception 4 Merger Agreement; pre-closing tax matters; appraisal claims of former Inception 4 stockholders; any pre-closing indebtedness or expenses not previously adjusted for at the closing; fraud with respect to representations and warranties of Inception 4; and certain other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RHO-adRP Gene Therapy Product Candidate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License Agreement with UFRF and Penn</w:t>
      </w:r>
    </w:p>
    <w:p>
      <w:pPr>
        <w:spacing w:after="0" w:line="2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June 2018, we entered into an exclusive global license agreement with UFRF and Penn, which we refer to as the RHO-adRP License Agreement. Under the RHO-adRP License Agreement, UFRF and Penn granted us a worldwide, exclusive license under specified patent rights and a worldwide, non-exclusive license under specified know-how, including specified preclinical data, to manufacture, develop and commercialize certain AAV gene therapy products for the treatment of rhodopsin-mediated diseases. The rights granted under the RHO-adRP License Agreement included certain patent rights covering a novel AAV gene therapy product candidate intended to treat RHO-adRP.</w:t>
      </w:r>
    </w:p>
    <w:p>
      <w:pPr>
        <w:spacing w:after="0" w:line="242"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We may grant sublicenses of the licensed patent rights and know-how without the consent of the UFRF and Penn to certain affiliates and to biopharmaceutical companies that have a minimum market capitalization at the time such sublicense is granted and may otherwise grant sublicenses of the licensed patent rights and know-how with the consent of UFRF and Penn, not to be unreasonably withheld.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Diligence Obligations</w:t>
      </w:r>
    </w:p>
    <w:p>
      <w:pPr>
        <w:spacing w:after="0" w:line="2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agreed to use commercially reasonable efforts to pursue an agreed-upon development plan with the intent to develop a licensed product for sale within at least the United States and two major European countries and, subject to obtaining</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marketing approval, to commercialize a licensed product in at least the United States and two major European countries. In addition, we agreed to meet specified development and commercial milestones with respect to a licensed product by specified dates, as the same may be extended under the terms of the RHO-adRP License Agreement.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Terms</w:t>
      </w:r>
    </w:p>
    <w:p>
      <w:pPr>
        <w:spacing w:after="0" w:line="27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June 2018, we paid a $0.5 million upfront license issuance fee in connection with entry into the agreement, as well as accrued patent prosecution expenses of approximately $30 thousand. Under the agreement, we agreed to pay an annual license maintenance fee in the low double-digit thousands of dollars, which will be payable on an annual basis until the first commercial sale of a licensed product. In addition, we agreed to reimburse UFRF for the costs and expenses of patent prosecution and maintenance related to the licensed patent rights.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further agreed to pay UFRF, on behalf of both licensors, up to an aggregate of $23.5 million if we achieve specified clinical, marketing approval and reimbursement approval milestones with respect to a licensed product and additionally, up to an aggregate of $70.0 million if we achieve specified commercial sales milestones with respect to a licensed product.</w:t>
      </w:r>
    </w:p>
    <w:p>
      <w:pPr>
        <w:spacing w:after="0" w:line="23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also obligated to pay UFRF, on behalf of both licensors, royalties at a low single-digit percentage of net sales of licensed products. Such royalties are subject to customary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for patent rights or other intellectual property rights that are necessary to manufacture, develop and commercialize the licensed product in such country. Our obligation to pay royalties under the RHO-adRP License Agreement will continue on a licensed product-by-licensed product and country-by-country basis until the latest of:</w:t>
      </w:r>
    </w:p>
    <w:p>
      <w:pPr>
        <w:spacing w:after="0" w:line="24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a licensed product in the country of sale;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a licensed product in the country of sale;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ten years from the first commercial sale of the applicable licensed product in the country of sale.</w:t>
      </w:r>
    </w:p>
    <w:p>
      <w:pPr>
        <w:spacing w:after="0" w:line="2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Beginning on the earlier of the calendar year following the first commercial sale of a licensed product and the first business day of 2031, we are also obligated to pay certain minimum royalties, not to exceed an amount in the low hundreds of thousands of dollars on an annual basis, which minimum royalties are creditable against our royalty obligation with respect to net sales of licensed products due for the year in which the minimum royalty is paid.</w:t>
      </w:r>
    </w:p>
    <w:p>
      <w:pPr>
        <w:spacing w:after="0" w:line="22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If we or an affiliate sublicenses any of the licensed patent rights to a third party, we will be obligated to pay UFRF, on behalf of both licensors, a low double-digit percentage of the consideration received in exchange for such sublicense, with the applicable percentage based upon the stage of development of the sublicensed product at the time we or the applicable affiliate enters into the sublicense.</w:t>
      </w:r>
    </w:p>
    <w:p>
      <w:pPr>
        <w:spacing w:after="0" w:line="23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If we receive a rare pediatric disease priority review voucher from the FDA in connection with obtaining marketing approval for a licensed product and we subsequently use such priority review voucher in connection with a different product candidate, we will be obligated to pay UFRF, on behalf of both licensors, aggregate payments in the low double-digit millions of dollars based on certain marketing approval and commercial sales milestones with respect to such other product candidate. In addition, if we sell such a priority review voucher to a third party, we will be obligated to pay UFRF, on behalf of both licensors, a low double-digit percentage of any consideration received from such third party in connection with such sale.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2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Unless earlier terminated by us, the RHO-adRP License Agreement will expire upon the expiration of our obligation to pay royalties to UFRF on net sales of licensed products. We may terminate the agreement at any time for any reason upon prior written notice to UFRF. Penn or UFRF may terminate the agreement if we materially breach the agreement and do not cure such breach within a specified cure period, if we experience a specified insolvency event, if we cease to carry on the entirety of our business related to the licensed patent rights, if we cease for more than four consecutive quarters to make any payment of earned royalties on net sales of licensed products following the commencement of commercialization thereof, unless such cessation is based on safety concerns that we are actively attempting to address, or if we or an affiliate challenges or assists a third party in challenging the validity, scope, patentability, and/or enforceability of the licensed patent rights.</w:t>
      </w:r>
    </w:p>
    <w:p>
      <w:pPr>
        <w:spacing w:after="0" w:line="24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Following any termination of the agreement prior to expiration of the term of the agreement, all rights to the licensed patent rights and know-how granted to us will revert to UFRF and Penn.</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marketing approvals in the United States and in foreign countries and jurisdictions, along with subsequent compliance with applicable statutes and regulations and other legal requirements of regulatory authorities, require the expenditure of substantial time and financial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Drugs and Biologics in the United States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United States, the FDA approves and regulates drugs under the Federal Food, Drug, and Cosmetic Act, or FDCA, and implementing regulations. Biologic products, including gene therapy products, are licensed for marketing under the Public Health Service Act, or PHSA. The failure to comply with requirements under the FDCA or PHSA and other applicable laws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including state agencies.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 drug candidate must be approved by the FDA through a new drug application, or NDA. A biologic candidate is licensed by the FDA through approval of a biologic license application, or BLA. An applicant seeking approval to market and distribute a new product in the United States must typically undertake the following:</w:t>
      </w:r>
    </w:p>
    <w:p>
      <w:pPr>
        <w:spacing w:after="0" w:line="181" w:lineRule="exact"/>
        <w:rPr>
          <w:sz w:val="20"/>
          <w:szCs w:val="20"/>
          <w:color w:val="auto"/>
        </w:rPr>
      </w:pPr>
    </w:p>
    <w:p>
      <w:pPr>
        <w:ind w:left="980" w:right="3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submission to the FDA of an IND, which must take effect before human clinical trials may begin;</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each clinical trial may be initiated at that clinical site;</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product for each indication for which the sponsor is seeking approval and the safety, potency and purity of a candidate biologic product for each indication for which the sponsor is seeking approval;</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preparation and submission to the FDA of an application requesting marketing approval for one or more proposed indications;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by an FDA advisory committee, where appropriate or if applicable;</w:t>
      </w:r>
    </w:p>
    <w:p>
      <w:pPr>
        <w:spacing w:after="0" w:line="225" w:lineRule="exact"/>
        <w:rPr>
          <w:rFonts w:ascii="Arial" w:cs="Arial" w:eastAsia="Arial" w:hAnsi="Arial"/>
          <w:sz w:val="18"/>
          <w:szCs w:val="18"/>
          <w:color w:val="auto"/>
        </w:rPr>
      </w:pPr>
    </w:p>
    <w:p>
      <w:pPr>
        <w:jc w:val="both"/>
        <w:ind w:left="980" w:right="6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application; and</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Before an applicant begins testing a compound with potential therapeutic value in humans, the product candidate enters the preclinical testing stage. Preclinical studies include laboratory evaluation of product chemistry, toxicity and formulation, and the purity and stability of the substance, as well as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and animal studies to assess the potential safety and activity of the product candidate for initial testing in humans and to establish a rationale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use. The conduct of preclinical studies is subject to federal regulations and requirements, including GLP regulations.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IND and IRB Processes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An IND is an exemption from the FDCA that allows an unapproved product to be shipped in interstate commerce for use in an investigational clinical trial and a request for FDA authorization to administer an investigational product to humans. Such authorization must be secured prior to interstate shipment and administration of any product candidate that is not the subject of an approved application.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and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or DSMB.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are being exposed to an unacceptable health risk. Other reasons for suspension or termination may be made by the sponsor based on evolving business objectives and/or competitive climate.</w:t>
      </w:r>
    </w:p>
    <w:p>
      <w:pPr>
        <w:spacing w:after="0" w:line="18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Information about certain clinical trials must be submitted within specific timeframes to the National Institutes of Health, or NIH, for public dissemination on its ClinicalTrials.gov website.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Human Clinical Trials in Support of an Application</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Clinical trials involve the administration of an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four sequential phases, which may overlap or be combined:</w:t>
      </w:r>
    </w:p>
    <w:p>
      <w:pPr>
        <w:spacing w:after="0" w:line="225" w:lineRule="exact"/>
        <w:rPr>
          <w:sz w:val="20"/>
          <w:szCs w:val="20"/>
          <w:color w:val="auto"/>
        </w:rPr>
      </w:pPr>
    </w:p>
    <w:p>
      <w:pPr>
        <w:ind w:left="980" w:right="60" w:hanging="324"/>
        <w:spacing w:after="0" w:line="31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1. </w:t>
      </w:r>
      <w:r>
        <w:rPr>
          <w:rFonts w:ascii="Arial" w:cs="Arial" w:eastAsia="Arial" w:hAnsi="Arial"/>
          <w:sz w:val="16"/>
          <w:szCs w:val="16"/>
          <w:color w:val="auto"/>
        </w:rPr>
        <w:t>The product candidate is initially introduced into a small number of healthy human subjects or, in certain indications,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which we are developing product candidates, patients with the target disease or condition and tested for safety, dosage tolerance, absorption, metabolism, distribution, excretion and, if possible, to gain an early indication of its effectiveness and to determine optimal dosage.</w:t>
      </w:r>
    </w:p>
    <w:p>
      <w:pPr>
        <w:spacing w:after="0" w:line="146" w:lineRule="exact"/>
        <w:rPr>
          <w:rFonts w:ascii="Arial" w:cs="Arial" w:eastAsia="Arial" w:hAnsi="Arial"/>
          <w:sz w:val="16"/>
          <w:szCs w:val="16"/>
          <w:color w:val="auto"/>
        </w:rPr>
      </w:pPr>
    </w:p>
    <w:p>
      <w:pPr>
        <w:ind w:left="980" w:right="10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2. </w:t>
      </w:r>
      <w:r>
        <w:rPr>
          <w:rFonts w:ascii="Arial" w:cs="Arial" w:eastAsia="Arial" w:hAnsi="Arial"/>
          <w:sz w:val="18"/>
          <w:szCs w:val="18"/>
          <w:color w:val="auto"/>
        </w:rPr>
        <w:t>The product candidate is administered to a limited patient population to identify possible adverse effects and safety risks,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and optimal dosage. Phase 2a clinical trials tend to be smaller pilot studies for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right="260"/>
        <w:spacing w:after="0" w:line="324" w:lineRule="auto"/>
        <w:rPr>
          <w:sz w:val="20"/>
          <w:szCs w:val="20"/>
          <w:color w:val="auto"/>
        </w:rPr>
      </w:pPr>
      <w:r>
        <w:rPr>
          <w:rFonts w:ascii="Arial" w:cs="Arial" w:eastAsia="Arial" w:hAnsi="Arial"/>
          <w:sz w:val="18"/>
          <w:szCs w:val="18"/>
          <w:color w:val="auto"/>
        </w:rPr>
        <w:t>purpose of demonstrating biological activity and clinical "proof of concept." Phase 2b studies tend to be larger studies focused on finding the optimal dosage and may be controlled.</w:t>
      </w:r>
    </w:p>
    <w:p>
      <w:pPr>
        <w:spacing w:after="0" w:line="143" w:lineRule="exact"/>
        <w:rPr>
          <w:sz w:val="20"/>
          <w:szCs w:val="20"/>
          <w:color w:val="auto"/>
        </w:rPr>
      </w:pPr>
    </w:p>
    <w:p>
      <w:pPr>
        <w:ind w:left="980" w:right="40" w:hanging="324"/>
        <w:spacing w:after="0" w:line="276"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These clinical trials are commonly referred to as “pivotal” studies, which denotes a study that presents the data that the FDA or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relevant regulatory agency will use to determine whether or not to approve a product candidate. The product candidate is administered to an expanded patient population, generally at geographically dispersed clinical trial sites, in well-controlled clinical trials to generate enough data to statistically evaluate the efficacy and safety of the product for approval, identify adverse effects, establish the overall risk–benefit profile of the product and to provide adequate information for the labeling of the product.</w:t>
      </w:r>
    </w:p>
    <w:p>
      <w:pPr>
        <w:spacing w:after="0" w:line="172" w:lineRule="exact"/>
        <w:rPr>
          <w:rFonts w:ascii="Arial" w:cs="Arial" w:eastAsia="Arial" w:hAnsi="Arial"/>
          <w:sz w:val="17"/>
          <w:szCs w:val="17"/>
          <w:color w:val="auto"/>
        </w:rPr>
      </w:pPr>
    </w:p>
    <w:p>
      <w:pPr>
        <w:ind w:left="980" w:right="50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4. </w:t>
      </w:r>
      <w:r>
        <w:rPr>
          <w:rFonts w:ascii="Arial" w:cs="Arial" w:eastAsia="Arial" w:hAnsi="Arial"/>
          <w:sz w:val="18"/>
          <w:szCs w:val="18"/>
          <w:color w:val="auto"/>
        </w:rPr>
        <w:t>Post-approval studies may be required to be conducted after initial marketing approval. These studies are used to gain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from the treatment of patients in the intended therapeutic indication.</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Progress reports detailing the safety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in humans exposed to the product candidate; and any clinically important increase in the rate of a serious suspected adverse reaction over that listed in the protocol or investigator brochure. The FDA, the sponsor or the DSMB may suspend or terminate a clinical trial at any time on various grounds, including a finding that the research subjects are being exposed to an unacceptable health risk. The FDA will typically inspect one or more clinical sites to assure compliance with GCP and the integrity of the clinical data submitted.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FDA regulations allow access to investigational drugs under an IND by the sponsor or the treating physician for treatment purposes on a case-by-case basis in certain circumstances.</w:t>
      </w:r>
    </w:p>
    <w:p>
      <w:pPr>
        <w:spacing w:after="0" w:line="10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addition, the Right to Try Act, signed into law in May 2018,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Regulations and Guidance Governing Gene Therapy Products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The FDA has defined a gene therapy product as one that mediates its effects by transcription and/or translation of transferred genetic material and/or by integrating into the host genome and which is administered as nucleic acids, viruses, or genetically engineered microorganisms. The products may be used to modify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transferred to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prior to administration to the recipient. Within the FDA, the Center for Biologics Evaluation and Research, or CBER, regulates gene therapy products. Within CBER, the review of gene therapy and related products is consolidated in the Office of Tissues and Advanced Therapies (OTAT), and the FDA has established the Cellular, Tissue and Gene Therapies Advisory Committee to advise CBER on its reviews. CBER works closely with the Local Biosafety Board, a federal advisory committee, in reviewing proposed and ongoing gene therapy protocols and engaging in a public discussion of scientific, safety, ethical, and societal issues related to those protocols. The NIH and the Recombinant DNA Advisory Committee, or RAC, a federal advisory committee, also advise the FDA on gene therapy issues and other issues related to emerging technologies. The FDA and the NIH have published guidance documents with respect to the development and submission of gene therapy protocols.</w:t>
      </w:r>
    </w:p>
    <w:p>
      <w:pPr>
        <w:spacing w:after="0" w:line="16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FDA has issued various guidance documents regarding gene therapies, including draft guidance documents released in July 2018 relating to gene therapies for human retinal disorders and gene therapies for rare diseases, and on January 15, 2019, the FDA issued a statement that it would issue additional guidance to facilitate the development of gene therapy products. Although the FDA has indicated that these guidance documents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a gene therapy trial is conducted at, or sponsored by, institutions receiving the NIH funding for recombinant DNA research, a protocol and related documentation must be submitted to, and the study registered with, the NIH Office of Biotechnology Activities, or OBA, pursuant to the NIH Guidelines for Research Involving Recombinant DNA Molecules prior to the submission of an IND to the FDA. In addition, many companies and other institutions not otherwise subject to the NIH Guidelines voluntarily follow them. The NIH will convene the RAC to discuss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website and may be accessed by the public.</w:t>
      </w:r>
    </w:p>
    <w:p>
      <w:pPr>
        <w:spacing w:after="0" w:line="16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Further, to facilitate adverse event reporting and dissemination of additional information about gene therapy trials, the FDA and the NIH established the Genetic Modification Clinical Research Information System, or GeMCRIS. Investigators and sponsors of human gene transfer trials can utilize this web-based system to report serious adverse events and to provide annual reports. GeMCRIS also allows members of the public to access basic reports about human gene transfer trials registered with the NIH and to search for information such as trial location, the names of investigators conducting trials, and the names of gene transfer products being studied.</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Finally, for a gene therapy product, the FDA also will not approve the product if the manufacturer is not in compliance with good tissue practices, or GTP. These standards are found in FDA regulations and guidances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Review of a Product Candidate by the FDA</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If clinical trials are successful, the next step in the development process is the preparation and submission to the FDA of an application. The application is the vehicle through which applicants formally propose that the FDA approve a new drug for marketing and sale in the United States for one or more indications. The application must contain a description of the manufacturing process and quality control methods, as well as results of preclinical tests, toxicology studies, clinical trials and proposed labeling, among other things. Every new product must be the subject of an approved application before it may be commercialized in the United States. Under federal law, the submission of most applications is subject to an application user fee, which for federal fiscal year 2019 is $2,588,478 for an application requiring clinical data. The sponsor of an approved application is also subject to an annual program fee, which for fiscal year 2019 is $309,915. Certain exceptions and waivers are available for some of these fees, such as an exception from the application fee for products with orphan designation and a waiver for certain small businesses.</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Following submission of an application, the FDA conducts a preliminary review of an application generally within 60 calendar days of its receipt and strives to inform the sponsor by the 74th day after the FDA’s receipt of the submission to determine whether the application is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 depth substantive review. Under the Prescription Drug User Fee Act, or PDUFA, the FDA has agreed to specified performance goals and timelines in the review process of applications, which goals and timelines depend on the type of product candidate for which review is sought and whether the sponsor has applied for and received from the FDA special review status for the particular product candidate allowing for expedited review. Special review status is available for certain products that are intended to address an unmet medical need in the treatment of a serious or life– threatening disease or condition under one of the following FDA-designations: fast track designation, breakthrough therapy designation, priority review designation and regenerative medicine advanced therapy designation. The review process and the PDUFA goal date may be extended by the FDA for three additional months to consider new information or clarification provided by the applicant to address an outstanding deficiency identified by the FDA following the original submission.</w:t>
      </w:r>
    </w:p>
    <w:p>
      <w:pPr>
        <w:spacing w:after="0" w:line="18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Before approving an application, the FDA typically will inspect the facility or facilities where the product is or will be manufactured, stored, packaged and tested. These pre–approval inspections may cover all facilities associated with an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application submission, including component manufacturing (e.g., active pharmaceutical ingredients),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will typically inspect one or more clinical sites to assure compliance with GCP.</w:t>
      </w:r>
    </w:p>
    <w:p>
      <w:pPr>
        <w:spacing w:after="0" w:line="187"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FDA is required to refer an application for a novel product candidate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Under the Pediatric Research Equity Act,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With enactment of the Food and Product Administration Safety and Innovation Act in 2012, sponsors must also submit pediatric study plans prior to the submission of the assessment data required under PREA. These plans are subject to FDA review prior to commencement of the pediatric study. Product candidates that have received orphan designation are generally exempt from the requirements of PREA. In addition, a sponsor may apply for a waiver of the PREA requirements, which the FDA has indicated it will automatically grant for certain diseases that do not affect pediatric populations, such as age-related macular degeneration.</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FDA’s Decision on an Application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application,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the product candidate’s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or changing the manufacturing process for the approved product, are subject to additional testing and/or FDA review and approval.</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FDA regulations also require investigation and correction of any deviations from cGMP and impose reporting and documentation requirements upon the sponsor and any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third–party manufacturers that the sponsor may decide to use. Accordingly, sponsors and manufacturers must continue to expend time, money, and effort in the area of production and quality control to maintain cGMP compliance. Further, the FDA will conduct laboratory research related to the safety, purity, potency and effectiveness of pharmaceutical products.</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Once an approval is granted, the FDA may restrict, suspend or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3"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Generic Drugs and Exclusivity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Under the Hatch-Waxman Amendments to the FDCA, the FDA is authorized to approve generic drugs that are shown to contain the same active ingredients as, and to be bioequivalent to, drugs previously approved by the FDA pursuant to NDAs, which are also known as reference listed drugs, or RLDs. To obtain approval of a generic drug, an applicant must submit an abbreviated new drug application, or ANDA, to the FDA. An ANDA applicant does not generally rely on its own preclinical or clinical data to demonstrate safety and effectiveness but instead can rely on preclinical and clinical testing previously conducted by the sponsor of the RLD. The ANDA applicant must show that the generic version is identical to the RLD with respect to a number of factors, including the active ingredient, and that the generic version is "bioequivalent" to the RLD. Physicians, pharmacists and third-party payors generally consider an approved generic drug to be fully substitutable for the RLD.</w:t>
      </w:r>
    </w:p>
    <w:p>
      <w:pPr>
        <w:spacing w:after="0" w:line="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Sponsors of RLDs are required to list in the FDA's Orange Bank each patent with claims covering the RLD or approved methods of using the RLD. An ANDA applicant is required to certify to the FDA concerning any such patents, which may be a certification that the listed patent is invalid, unenforceable or will not be infringed by the new product, which is known as a Paragraph IV certification. An ANDA applicant that makes a Paragraph IV certification must notify the sponsor of the RLD, who may then initiate a patent infringement lawsuit in response to the notice of Paragraph IV certification. The filing of a lawsuit within 45 days of receipt of a Paragraph IV certification notice prevents the FDA from approving the ANDA until the earliest of 30 months after receipt of the Paragraph IV certification, expiration of the patent or a decision in the infringement case that is favorable to the ANDA applicant.</w:t>
      </w:r>
    </w:p>
    <w:p>
      <w:pPr>
        <w:spacing w:after="0" w:line="8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Market and data exclusivity provisions under the FDCA can delay the submission or the approval of certain drug applications for competing products, including generic drugs.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activity of the drug substance. During the exclusivity period, the FDA may not accept for review an ANDA or an NDA under Section 505(b)(2) of the FDCA, or an 505(b)(2) NDA, submitted by another company that references the previously approved drug. However, an ANDA or 505(b)(2) NDA may be submitted after four years if it contains a Paragraph IV certification.</w:t>
      </w:r>
    </w:p>
    <w:p>
      <w:pPr>
        <w:spacing w:after="0" w:line="8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FDCA also provides three years of marketing exclusivity for an NDA, 505(b)(2) NDA, or supplement to an existing NDA or 505(b)(2) NDA if new clinical investigations, other than bioavailability studies, that were conducted or sponsored by the applicant, are deemed by the FDA to be essential to the approval of the application or supplement. Three-year exclusivity may be awarded for changes to a previously approved drug product, such as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The five-year and three-year exclusivities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2010 Patient Protection and Affordable Care Act, or ACA, which was signed into law on March 23, 2010, included a subtitle called the Biologics Price Competition and Innovation Act of 2009 or BPCIA. The BPCIA established a regulatory scheme authorizing the FDA to approve biosimilars and interchangeable biosimilars. As of January 1, 2019, the FDA has approved 16 biosimilar products for use in the United States. No interchangeable biosimilars, as described below, have been approved. The FDA has issued several guidance documents outlining an approach to review and approval of biosimilars. Additional guidances are expected to be finalized by FDA in the near term.</w:t>
      </w:r>
    </w:p>
    <w:p>
      <w:pPr>
        <w:spacing w:after="0" w:line="18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6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 patent claiming a new drug product or its method of use may be eligible for a limited patent term extension, also known as patent term restoration, under the Hatch-Waxman Amendments, which permits a patent restoration of up to five years for patent term lost during product development and FDA regulatory review. Patent term extension is generally available only for drug products whose active ingredient has not previously been approved by the FDA. The restoration period granted is typically one-half the time between the effective date of an IND and the submission date of a marketing approval application, plus the time between the submission date of a marketing approval application and the ultimate approval date. Patent term extension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United States Patent and Trademark Office (USPTO) reviews and approves the application for any patent term extension in consultation with the FDA.</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5"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request orphan drug designation before submitting an application for the product and rare disease or condition.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Orphan exclusivity does not block the approval of a different product for the same rare disease or condition, nor does it block the approval of the same product for different indications. In particular, the concept of what constitutes a "same product" for purposes of orphan drug exclusivity is unclear in the context of gene therapies, and the FDA has issued draft guidance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suggesting minor variations in the construct of a gene therapy that lead to improvements in safety or efficacy may result in the determination that a drug is a "different product". If a product designated as an orphan drug ultimately receives marketing approval for an indication broader than what was designated in its orphan drug application, it may not be entitled to exclusivity.</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Orphan drug exclusivity will not bar approval of another product under certain circumstances, including if a subsequent product for the same indication is shown to be clinically superior to the approved product on the basis of greater efficacy or safety or provides a major contribution to patient care, or if the company with orphan drug exclusivity is not able to meet market demand. This outcome is the case despite an earlier court opinion holding that the Orphan Drug Act unambiguously required the FDA to recognize orphan exclusivity regardless of a showing of clinical superiority.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Pediatric exclusivity is another type of non-patent exclusivity in the United States and, if granted, provides for an additional six months of marketing protection to the term of any existing regulatory exclusivity or patent protection, including the non-patent and orphan drug exclusivity. This six-month exclusivity may be granted if an application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approve an ANDA or 505(b)(2) NDA that references the product. With regard to patents, the six-month pediatric exclusivity period will not attach to any patents for which an ANDA or 505(b)(2) applicant submitted a paragraph IV certification, unless the NDA sponsor or patent owner first obtains a court determination that the patent is valid and infringed by the proposed ANDA or 505(b)(2) product.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Products in Europe and other Foreign Jurisdictions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to regulations in the United States, a manufacturer is subject to a variety of regulations in foreign jurisdictions to the extent it chooses to conduct clinical trials or sell any products in those foreign countries. Even if a manufacturer obtains FDA approval of a product, it must still obtain the requisite approvals from regulatory authorities in foreign countries prior to the commencement of clinical trials or marketing of the product in those countries. To obtain regulatory approval of an investigational product in the European Union, a manufacturer must submit a marketing authorization application, or MAA, to the EMA. For other countries outside of the European Union, such as countries in Latin America or Asia, the requirements governing the conduct of clinical trials, product licensing, pricing and reimbursement vary from country to country. In all cases, clinical trials are to be conducted in accordance with GCP and the applicable regulatory requirements and the ethical principles that have their origin in the Declaration of Helsinki.</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Trial Approval in the European Union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Good Clinical Practice, an applicant must obtain approval from the competent national authority of the European Union Member State, or the EU Member State, in which the clinical trial is to be conducted. If the clinical trial is conducted in different EU Member States, the competent authorities in each of these EU Member States must provide their approval for the conduct of the clinical trial. Furthermore, the applicant may only start a clinical trial at a specific study site after the applicable ethics committee has issued a favorable opinion.</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April 2014, the European Union adopted a new Clinical Trials Regulation (EU) No 536/2014, which is set to replace the current Clinical Trials Directive 2001/20/EC. The new legislation aims at simplifying and streamlining the approval of clinical trials in the European Union. Under the new coordinated procedure for the approval of clinical trials, the sponsor of a clinical trial to be conducted in more than one EU Member State will only be required to submit a single application for approval of a clinical trial to a reporting EU Member State. The Clinical Trials Regulation also aims to streamline and simplify the rules on safety reporting for clinical trials. As of January 1, 2019, the website of the European Commission reported that the implementation of the Clinical Trials Regulation was dependent on the development of a fully functional clinical trials portal and database, which would be confirmed by an independent audit, and that the new legislation would come into effect six months after the European Commission publishes a notice of this confirmation.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the European Union, marketing authorizations for medicinal products may be obtained through different procedures founded on the same basic regulatory process. A marketing authorization may be granted only to an applicant established in the European Union. As in the United States, marketing authorization holders and manufacturers of approved medicinal products are subject to comprehensive regulatory oversight by the EMA and the competent authorities of the individual EU Member States both before and after grant of the marketing authorizations.</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Centralized Procedure. </w:t>
      </w:r>
      <w:r>
        <w:rPr>
          <w:rFonts w:ascii="Arial" w:cs="Arial" w:eastAsia="Arial" w:hAnsi="Arial"/>
          <w:sz w:val="18"/>
          <w:szCs w:val="18"/>
          <w:color w:val="auto"/>
        </w:rPr>
        <w:t>The centralized procedure provides for the grant of a single marketing authorization by the European Commission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valid across the European Economic Area, i.e. the European Union as well as Iceland, Liechtenstein and Norway.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not in the interest of patients.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Specialized Procedures for Gene Therapies. </w:t>
      </w:r>
      <w:r>
        <w:rPr>
          <w:rFonts w:ascii="Arial" w:cs="Arial" w:eastAsia="Arial" w:hAnsi="Arial"/>
          <w:sz w:val="18"/>
          <w:szCs w:val="18"/>
          <w:color w:val="auto"/>
        </w:rPr>
        <w:t>The grant of marketing authorization in the European Union for gene therapy products is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1394/2007/EC on advanced therapy medicinal products, read in combination with Directive 2001/83/EC of the European Parliament and of the Council, commonly known as the Community code on medicinal products. Regulation 1394/2007/EC includes specific rules concerning the authorization, supervision, and pharmacovigilance of gene therapy medicinal products. Manufacturers of advanced therapy medicinal products must demonstrate the quality, safety, and efficacy of their products to the EMA, which provides an opinion regarding the MAA. The European Commission grants or refuses marketing authorization in light of the opinion delivered by the EMA.</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The decentralized procedure provides for approval by one or more other concerned EU Member States of an assessment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an MAA conducted by one EU Member State, known as the reference EU Member State. In accordance with this procedure, an applicant submits an MAA to the reference EU Member State and the concerned EU Member States. This application is identical to the application that would be submitted to the EMA for authorization through the centralized procedure. Following receipt of a valid application, the reference EU Member State prepares a draft assessment and drafts of the related materials. The resulting assessment report is submitted to the concerned EU Member States which must decide whether to approve the assessment report and related materials.</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a concerned EU Member State cannot approve the assessment report and related materials due to concerns relating to a potential serious risk to public health, disputed elements may be referred to the European Commission, whose decision is binding on all EU Member States. Authorization in accordance with the decentralized procedure will result in authorization of the medicinal product only in the reference EU Member State and in the other concerned EU Member States.</w:t>
      </w:r>
    </w:p>
    <w:p>
      <w:pPr>
        <w:spacing w:after="0" w:line="18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i w:val="1"/>
          <w:iCs w:val="1"/>
          <w:color w:val="auto"/>
        </w:rPr>
        <w:t xml:space="preserve">Mutual Recognition Procedure. </w:t>
      </w:r>
      <w:r>
        <w:rPr>
          <w:rFonts w:ascii="Arial" w:cs="Arial" w:eastAsia="Arial" w:hAnsi="Arial"/>
          <w:sz w:val="17"/>
          <w:szCs w:val="17"/>
          <w:color w:val="auto"/>
        </w:rPr>
        <w:t>In accordance with the mutual recognition procedure, the sponsor applies for national marketing authorization in one</w:t>
      </w:r>
      <w:r>
        <w:rPr>
          <w:rFonts w:ascii="Arial" w:cs="Arial" w:eastAsia="Arial" w:hAnsi="Arial"/>
          <w:sz w:val="17"/>
          <w:szCs w:val="17"/>
          <w:i w:val="1"/>
          <w:iCs w:val="1"/>
          <w:color w:val="auto"/>
        </w:rPr>
        <w:t xml:space="preserve"> </w:t>
      </w:r>
      <w:r>
        <w:rPr>
          <w:rFonts w:ascii="Arial" w:cs="Arial" w:eastAsia="Arial" w:hAnsi="Arial"/>
          <w:sz w:val="17"/>
          <w:szCs w:val="17"/>
          <w:color w:val="auto"/>
        </w:rPr>
        <w:t>EU Member State. Upon receipt of this authorization the sponsor can then seek the recognition of this authorization by other EU Member States.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Periods of Authorization and Renewals in the European Union</w:t>
      </w:r>
    </w:p>
    <w:p>
      <w:pPr>
        <w:spacing w:after="0" w:line="11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marketing authorization is valid for five years, in principle, and it may be renewed after five years on the basis of a reevaluation of the risk-benefit balance by the EMA or by the relevant EU Member State. To seek renewal, at least six months prior to expiration of the marketing authorization, the holder must provide the EMA or the EU Member State with a consolidated version of the file in respect of quality, safety and efficacy, including all variations introduced since the marketing authorization was granted. Once renewed, the marketing authorization is valid for an unlimited period, unless the European Commission or the relevant competent authority of the EU Member State decides, on justified grounds relating to pharmacovigilance, to proceed with one additional five-year renewal period. Any marketing authorization that is not followed by the marketing of the medicinal product on the EU market, in the case of the centralized procedure, or on the market of the EU Member State which delivered the marketing authorization, in the case of the decentralized procedure, within three years after authorization ceases to be valid.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Regulatory Data Exclusivity in the European Union</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shown to bring a significant clinical benefit in comparison with existing therapies. Even if a compound is considered to be an innovative medicinal product so that the innovator gains the additional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Orphan Drug Designation and Exclusivity in the European Union</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applicant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w:t>
      </w:r>
    </w:p>
    <w:p>
      <w:pPr>
        <w:spacing w:after="0" w:line="18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EU Member States and a reduction or elimination of registration and marketing authorization fees. However, marketing authorization may be granted to a similar medicinal product with the same orphan indication during the ten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the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Prior to obtaining a marketing authorization in the European Union, applicants must demonstrate compliance with all measures included in an EMA-approved Pediatric Investigation Plan, or PIP, approved by the Pediatric Committee of the EMA, or PDCO, covering all subsets of the pediatric population,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must determine that the applicant actually complied with the agreed studies and measures listed in each relevant PIP. If an applicant obtains a marketing authorization in all EU Member States, or a marketing authorization granted via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Brexit and the Regulatory Framework in the United Kingdom</w:t>
      </w:r>
    </w:p>
    <w:p>
      <w:pPr>
        <w:spacing w:after="0" w:line="18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On June 23, 2016, the electorate in the United Kingdom, or UK, voted in favor of leaving the European Union, which is commonly referred to as “Brexit”. Thereafter, on March 29, 2017, the country formally notified the European Union of its intention to withdraw from the European Union. The process for withdrawal has been and remains uncertain and convoluted, with no withdrawal agreement between the government of the UK and the European Union concluded at this time. If no withdrawal agreement is reached by March 29, 2019, Brexit is currently scheduled to occur but without any transition mechanism in place. As the current regulatory framework for investigational medicines and approved products in the UK is derived from European Union directives and regulations, uncertainty regarding Brexit translates to uncertainty regarding the UK regulatory regime that will be applicable to our business following the scheduled March 29, 2019 Brexit effective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Insurance Coverage, Pricing and Reimbursement</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the United States and markets in many other countries, patients who are prescribed treatments for their conditions and providers performing the prescribed services generally rely on third-party payors to reimburse all or part of the associated healthcare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Third-party payors are increasingly challenging the prices charged, examining the medical necessity, and reviewing the cost-effectiveness of medical products and services and imposing controls to manage costs. Third-party payors may limit coverage for a particular indication to specific products on an approved list, also known as a formulary, which might not include all of the approved products for such indication.</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studies required to obtain FDA or other comparable marketing approvals. Nonetheless, product candidates may not be considered by payors to be medically necessary or cost effective.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Moreover, coverage policies and third-party reimbursement rates may change at any time.</w:t>
      </w:r>
    </w:p>
    <w:p>
      <w:pPr>
        <w:spacing w:after="0" w:line="18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containment of healthcare costs also has become a priority of federal, state and foreign governments and the prices of pharmaceutical products have been a focus in this effort. Governments have shown significant interest in implementing cost-containment programs, including rebate programs, price controls, restrictions on reimbursement and requirements for substitution of generic products. For example, the Trump Administration has expressed an interest in authorizing and/or directing the Center for Medicare &amp; Medicaid Services, or CMS, within HHS or other agencies of the U.S. government to negotiate prices for products covered by Medicare directly with pharmaceutical companies. If this were to occur, especially for AMD products, where a large portion of the patient population is elderly and is therefore covered by Medicare, there could be significant downward pressure on prices charged, not only for patients covered by Medicare, but also for patients covered by private insurers who may follow the government’s lead on price. In addition, in May 2018, the Trump Administration announced a plan that would include several initiatives designed to lower drug prices. Additional similar proposals from HHS and CMS have followed.</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At the state level, individual states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measures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Outside the United States, ensuring adequate coverage and payment for a product also involves challenges. Pricing of prescription pharmaceuticals is subject to governmental control in many countries. Pricing negotiations with governmental authorities can extend well beyond the receipt of regulatory marketing approval for a product and may require a clinical trial that compares the cost effectiveness of a product to other available therapies. The conduct of such a clinical trial could be expensive and result in delays in commercialization.</w:t>
      </w:r>
    </w:p>
    <w:p>
      <w:pPr>
        <w:spacing w:after="0" w:line="16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the European Union, pricing and reimbursement schemes vary widely from country to country. Some countries provide that products may be marketed only after a reimbursement price has been agreed. Some countries may require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completion of additional cost effectiveness clinical studies. European Union member states may approve a specific price for a product or any of them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over the past decade. Reference pricing used by various European Union member states, and parallel trade, i.e., arbitrage between low-priced and high-priced member states, can further reduce prices.</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addition to initiatives specifically directed at lowering or containing prescription drug prices, legislative action in the United States at the national level has resulted in reduced funding levels for Medicare. For example, the Budget Control Act of 2011 led to aggregate reductions in Medicare payments to providers of up to 2% per fiscal year beginning in 2013 through 2024, and the American Taxpayer Relief Act of 2012 reduced Medicare payments to several types of providers and increased the statute of limitations period for the government to recover overpayments to providers from three to five years. Any reduction in healthcare, including Medicare, funding may affect the prices we may obtain for any of our product candidates for which we may obtain regulatory approval or the frequency with which any such product candidate is prescribed or used.</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Moreover, the number of individuals covered by health insurance has a direct impact on the potential market for our product candidates, if approved. The ACA, passed in 2010, included the "individual mandate," which required most Americans to carry a minimal level of health insurance. Individuals who did not obtain required coverage were subjected to a penalty. The "individual mandate" was repealed as part of the Tax Cuts and Jobs Act of 2017, with the repeal becoming effective on January 1, 2019. According to the Congressional Budget Office, the repeal of the individual mandate will cause 13 million fewer Americans to be insured in 2027 and premiums in insurance markets may rise. In addition, the Trump Administration has also taken executive actions that may impact the number of individuals in the United States that are covered by health insurance and the level of that coverage. For example, President Trump issued an Executive Order terminating the cost-sharing subsidies that reimburse insurers under the ACA. In addition,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in June 2018, the U.S. Court of Appeals for the Federal Circuit ruled that the federal government was not required to pay more than $12 billion in ACA risk corridor payments to third-party payors who argued the payments were owed to them. The effects of this gap in reimbursement on third-party payors, the viability of the ACA marketplace and providers are not yet known.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Law and Regulation</w:t>
      </w:r>
    </w:p>
    <w:p>
      <w:pPr>
        <w:spacing w:after="0" w:line="22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products that are granted marketing approval. Arrangements with providers, consultants, third-party payors and customers are subject to broadly applicable fraud and abuse, anti-kickback, false claims laws, reporting of payments to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154" w:lineRule="exact"/>
        <w:rPr>
          <w:sz w:val="20"/>
          <w:szCs w:val="20"/>
          <w:color w:val="auto"/>
        </w:rPr>
      </w:pPr>
    </w:p>
    <w:p>
      <w:pPr>
        <w:ind w:left="980" w:right="40" w:hanging="324"/>
        <w:spacing w:after="0" w:line="25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186" w:lineRule="exact"/>
        <w:rPr>
          <w:rFonts w:ascii="Arial" w:cs="Arial" w:eastAsia="Arial" w:hAnsi="Arial"/>
          <w:sz w:val="18"/>
          <w:szCs w:val="18"/>
          <w:color w:val="auto"/>
        </w:rPr>
      </w:pPr>
    </w:p>
    <w:p>
      <w:pPr>
        <w:ind w:left="980" w:right="440" w:hanging="324"/>
        <w:spacing w:after="0" w:line="25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86"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560" w:hanging="324"/>
        <w:spacing w:after="0" w:line="31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or HITECH,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46" w:lineRule="exact"/>
        <w:rPr>
          <w:rFonts w:ascii="Arial" w:cs="Arial" w:eastAsia="Arial" w:hAnsi="Arial"/>
          <w:sz w:val="16"/>
          <w:szCs w:val="16"/>
          <w:color w:val="auto"/>
        </w:rPr>
      </w:pPr>
    </w:p>
    <w:p>
      <w:pPr>
        <w:ind w:left="980" w:right="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Arial" w:cs="Arial" w:eastAsia="Arial" w:hAnsi="Arial"/>
          <w:sz w:val="18"/>
          <w:szCs w:val="18"/>
          <w:color w:val="auto"/>
        </w:rPr>
      </w:pPr>
    </w:p>
    <w:p>
      <w:pPr>
        <w:ind w:left="980" w:right="20" w:hanging="324"/>
        <w:spacing w:after="0" w:line="25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to report annually to the CMS information related to payments and other transfers of value made by that entity to physicians and teaching hospitals, as well as ownership and investment interests held by physicians and their immediate family members; and</w:t>
      </w:r>
    </w:p>
    <w:p>
      <w:pPr>
        <w:spacing w:after="0" w:line="188"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such as the European Union's General Data Protection Regulation, or GDPR,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of January 31, 2019, we had 35 full-time employees, including a total of 5 employees with M.D. or Ph.D. degrees. Of our workforce, 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employees are engaged in research and development. None of our employees are represented by labor unions or covered by collective bargaining agreements.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were incorporated under the laws of the State of Delaware in 2007. Our principal executive offices are located at One Penn Plaza, 35th Floor, New York, NY 10119, and our telephone number is (212) 845–8200. Our Internet website is http://www.ophthotech.com.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We make available free of charge through our website our Annual Report on Form 10–K, Quarterly Reports on Form 10–Q, Current Reports on Form 8–K and amendments to those reports filed or furnished pursuant to Sections 13(a) and 15(d) of the Securities Exchange Act of 1934, as amended, or the Exchange Act. We make these reports available through our website as soon as reasonably practicable after we electronically file such reports with, or furnish such reports to, the SEC. You can find, copy and inspect information we file at the SEC’s public reference room.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Annual Report on Form 10–K.</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on Form 10-K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229"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We are a development-stage company without any commercial products. The value of our company, therefore, is highly dependent on the success of our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3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 development-stage company without any approved products. Our growth prospects and the future value of our company are highly dependent on the progress of our ongoing clinical development programs for Zimura, our preclinical development programs for our HtrA1 inhibitors, our RHO-adRP gene therapy product candidate and the BEST1 gene therapy product candidates for which we have an option from Penn and UFRF, and the activities being performed under our collaborative gene therapy sponsored research programs. Drug development is a highly uncertain undertaking and carries significant scientific and other risks.</w:t>
      </w:r>
    </w:p>
    <w:p>
      <w:pPr>
        <w:spacing w:after="0" w:line="18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may encounter unforeseen difficulties, complications, delays, expenses and other known and unknown factors. We may never be successful in developing or commercializing any of our product candidates or other programs. There is a high rate of failure in early stage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with a product development focus to a company capable of supporting commercial activities. We may not be successful in such a transition, as our company has never conducted the sales, marketing and distribution activities necessary for successful product commercialization.</w:t>
      </w:r>
    </w:p>
    <w:p>
      <w:pPr>
        <w:spacing w:after="0" w:line="16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For example, we expect to receive initial top-line data from OPH2003, our ongoing Phase 2b clinical trial of Zimura for the treatment of GA secondary to dry AMD, during the fourth quarter of 2019. If such data are negative or do not support further development of Zimura in GA, or if we are to cease development of Zimura in STGD1 as a result of such data or for other reasons, the value of our common stock could be negatively impacted. In addition, because a number of our product candidates are in an early, preclinical stage, even if we are successful in advancing the research and development of those product candidates, the value of our common stock may not rise in a meaningful way, which could affect our ability to raise additional finances. As we continue to invest in these research and development programs to generate data to support further development, the amount of our available cash will continue to decline until such time as we raise additional finances.</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70" w:lineRule="exact"/>
        <w:rPr>
          <w:sz w:val="20"/>
          <w:szCs w:val="20"/>
          <w:color w:val="auto"/>
        </w:rPr>
      </w:pPr>
    </w:p>
    <w:p>
      <w:pPr>
        <w:ind w:right="480" w:firstLine="648"/>
        <w:spacing w:after="0" w:line="257" w:lineRule="auto"/>
        <w:rPr>
          <w:sz w:val="20"/>
          <w:szCs w:val="20"/>
          <w:color w:val="auto"/>
        </w:rPr>
      </w:pPr>
      <w:r>
        <w:rPr>
          <w:rFonts w:ascii="Arial" w:cs="Arial" w:eastAsia="Arial" w:hAnsi="Arial"/>
          <w:sz w:val="18"/>
          <w:szCs w:val="18"/>
          <w:color w:val="auto"/>
        </w:rPr>
        <w:t>Since inception, we have experienced significant cash outflows in funding our operations. To date, we have not generated any revenues from commercial product sales and have financed our operations primarily through private placements of our preferred stock, venture debt borrowings, funds received under our prior Fovista royalty purchase and sale agreement with Novo Holdings A/S, our initial public offering, which we closed in September 2013, our follow-on public offering, which we closed in February 2014, funds we received under our prior Fovista licensing and commercialization agreement with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Novartis Pharma, AG, and funds we received in connection with our acquisition of Inception 4 in October 2018. As of December 31, 2018, we had an accumulated deficit of $421.7 million. Although we have recorded net income in the amount of $63.1 million for the year ended December 31, 2018 on account of the gain that we recognized upon the extinguishment of the royalty purchase liability under our prior Fovista royalty purchase and sale agreement with Novo Holdings A/S, we incurred an operating loss of $65.3 million for such year and expect to continue to incur significant operating losses for the foreseeable future.</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 candidate Zimura is in clinical development, our HtrA1 inhibitor program, our RHO-adRP gene therapy product candidate and the BEST1 gene therapy product candidate for which we are planning to commence IND-enabling activities are each in preclinical development, and we are funding sponsored research programs that are ongoing at UMMS and Penn. We expect our research and development expenses to increase as we pursue our research and development programs, as currently planned.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with respect to Zimura, the former equityholders of Inception 4 with respect to our HtrA1 inhibitor program and UFRF and Penn with respect to our RHO-adRP gene therapy product candidate, in each case, that impose significant milestone payment obligations on us in connection with our achievement of specified clinical, regulatory and commercial milestones with respect to these product candidates or programs, as well as certain royalties on net sales with respect to our RHO-adRP gene therapy product candidate. It is likely that any future in-licensing or acquisition agreements that we enter into with respect to additional products, product candidates or technologies, including any definitive license agreement for the BEST1 product candidates for which we hold an option from Penn and UFRF, would include similar obligations.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79" w:lineRule="exact"/>
        <w:rPr>
          <w:sz w:val="20"/>
          <w:szCs w:val="20"/>
          <w:color w:val="auto"/>
        </w:rPr>
      </w:pPr>
    </w:p>
    <w:p>
      <w:pPr>
        <w:ind w:left="980" w:right="2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the clinical development of Zimura as currently planned, including, if either of our ongoing trials for Zimura support it, by pursuing additional development;</w:t>
      </w:r>
    </w:p>
    <w:p>
      <w:pPr>
        <w:spacing w:after="0" w:line="224"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continue the preclinical and, potentially, clinical development of our HtrA1 inhibitor program, our RHO-adRP gene therapy product candidate and the BEST1 gene therapy product candidate for which we are planning to commence IND-enabling activities;</w:t>
      </w:r>
    </w:p>
    <w:p>
      <w:pPr>
        <w:spacing w:after="0" w:line="200"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pursue our collaborative gene therapy sponsored research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products, product candidates or technologies;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79"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as we increase our internal gene therapy capabilities or if we are successful in progressing the preclinical or clinical development of any of our product candidates or in acquiring or in-licensing rights to additional products, product candidates or technologies;</w:t>
      </w:r>
    </w:p>
    <w:p>
      <w:pPr>
        <w:spacing w:after="0" w:line="23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79"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future growth of the company.</w:t>
      </w:r>
    </w:p>
    <w:p>
      <w:pPr>
        <w:spacing w:after="0" w:line="36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ability to become and remain profitable depends on our ability to generate revenue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expect we will require substantial, additional funding in order to complete the activities necessary to develop and commercialize one or more of our product candidates. If we are unable to raise capital when needed, we could be forced to delay, reduce or eliminate our product development programs or commercialization efforts. We may require additional funding beyond what we currently expect.</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December 31, 2018, we had cash and cash equivalents of $131.2 million. We believe that our cash and cash equivalents will be sufficient to fund our operations and capital expenditure requirements as currently planned for at least the next 12 months. This estimate does not reflect any additional expenditures resulting from additional sponsored research or the in-licensing or acquisition of additional product candidates or technologies or associated development that we may pursue following any such transactions. We have based this estimate on assumptions that may prove to be wrong, and we could use our available capital resources sooner than we currently expect.</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the future development of our product candidates is highly uncertain, we expect we will require substantial, additional funding in order to complete the activities necessary to develop and commercialize one or more of our product candidates. We expect the development of our product candidates will continue for at least the next several years. At this time, we cannot reasonably estimate the remaining costs necessary to complete development, to complete process development and manufacturing scale-up and validation activities and to potentially seek marketing approval with respect to our product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980" w:right="26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progress, costs and results of our ongoing Zimura clinical programs, as well as any additional clinical trials we undertake to obtain data sufficient to seek marketing approval for Zimura in any indication;</w:t>
      </w:r>
    </w:p>
    <w:p>
      <w:pPr>
        <w:spacing w:after="0" w:line="170"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our HtrA1 inhibitor program, including formulation development and other preclinical development activities;</w:t>
      </w:r>
    </w:p>
    <w:p>
      <w:pPr>
        <w:spacing w:after="0" w:line="170"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our RHO-adRP gene therapy product candidate and the BEST1 gene therapy product candidate for which are planning to commence IND-enabling activities, including activities to establish manufacturing capabilities and preclinical testing to enable us to file INDs for these product candidates;</w:t>
      </w:r>
    </w:p>
    <w:p>
      <w:pPr>
        <w:spacing w:after="0" w:line="181"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and timing of process development, manufacturing scale-up and validation activities and stability studies associated with our product candidates;</w:t>
      </w:r>
    </w:p>
    <w:p>
      <w:pPr>
        <w:spacing w:after="0" w:line="170" w:lineRule="exact"/>
        <w:rPr>
          <w:rFonts w:ascii="Arial" w:cs="Arial" w:eastAsia="Arial" w:hAnsi="Arial"/>
          <w:sz w:val="18"/>
          <w:szCs w:val="18"/>
          <w:color w:val="auto"/>
        </w:rPr>
      </w:pPr>
    </w:p>
    <w:p>
      <w:pPr>
        <w:ind w:left="980" w:right="40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products, product candidates or technologies, including any product candidates or other technologies we may evaluate as part of our collaborative gene therapy sponsored research programs;</w:t>
      </w:r>
    </w:p>
    <w:p>
      <w:pPr>
        <w:spacing w:after="0" w:line="181"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any upfront, milestone payments and other financial obligations associated with the in-license or acquisition of other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and/or clinical trials for any other product candidates that we may develop;</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activities, including the development of our product candidates and other programs, and the potential future growth of our business. Additionally, these factors include general market conditions that also affect other companies. These factors may make raising capital difficult, and may result in us accepting terms that are unfavorable to us, especially if we are in need of financing at the particular time. The size of our company and our status as a company listed on The Nasdaq Stock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obtain shareholder approval, which can be expensive and time-consuming and can add risk to our ability to complete the financing transaction. If we are unable to raise additional funds when needed, we may be required to delay, limit, reduce or terminate the development of our product candidates, our collaborative gene therapy sponsored research programs, or our future commercialization efforts.</w:t>
      </w:r>
    </w:p>
    <w:p>
      <w:pPr>
        <w:spacing w:after="0" w:line="183"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In addition, we may require additional funding beyond what we currently expect due to unforeseen or other reasons. For example, our costs may exceed our expectations if we experience any unforeseen issue in our ongoing clinical trials, such as delays in enrollment or issues with the availability of drug supply, or in our preclinical development programs, such as inability to develop formulations or if we experience issues with manufacturing, or if we further expand the scope of our clinical trials, preclinical development programs or collaborative gene therapy sponsored research programs.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or build internal research capabilities or pursue internal research efforts. As a result, we may need or may seek to obtain additional funding for our continuing operations sooner or in greater amounts than expected.</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capital raises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or declaring dividends. In addition, we may issue equity securities as consideration for further business development transactions, which may also dilute our existing stockholders' ownership interests.</w:t>
      </w:r>
    </w:p>
    <w:p>
      <w:pPr>
        <w:spacing w:after="0" w:line="17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For example, under the Inception 4 Merger Agreement pursuant to which we acquired Inception 4 and our HtrA1 inhibitor program, we issued 5,174,727 shares of our common stock as up-front consideration to the former equityholders of Inception 4. This issuance might have resulted in the dilution of our existing stockholders' ownership interests.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stock as of the close of business on the business day prior to the closing date, and will be payable in cash thereafter. The issuance of additional shares as milestone consideration may dilute our existing stockholders.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8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In August 2018, we entered into a Sales Agreement with Cowen and Company, LLC, or Cowen, as agent, pursuant to which we may offer and sell shares of our common stock for aggregate gross sale proceeds of up to $50.0 million from time to time through Cowen under an “at-the-market” offering program, subject to the terms and conditions described in the sale agreement and SEC rules and regulations. We have not yet issued and sold any shares of common stock under our “at-the-market” offering program. If we make sales under our “at-the-market” offering program, the sales could dilute our stockholders, reduce the trading price of our common stock or impede our ability to raise future capital.</w:t>
      </w:r>
    </w:p>
    <w:p>
      <w:pPr>
        <w:spacing w:after="0" w:line="1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strategy of obtaining rights to products, product candidates or technologies for the treatment of ophthalmic diseases through in-licenses and acquisitions may not be successful.</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An element of our strategy has been to expand our pipeline through potentially in-licensing or acquiring the rights to products, product candidates or technologies that would complement our strategic goals as well as other compelling ophthalmology opportunities. Although over the course of 2018 we completed multiple acquisition, in-license, exclusive option and sponsored research arrangements, we expect to continue to evaluate opportunities to potentially obtain rights to additional gene therapy and therapeutic product candidates on a selective basis. Because we expect generally that we will not engage directly in internal early stage research and drug discovery efforts, the future growth of our business beyond our current product portfolio will depend on our ability to obtain those rights to additional gene therapy and therapeutic product candidates, including any promising product candidates that may emerge from our collaborative gene therapy sponsored research programs. We may also continue to consider other alternatives, including mergers or other transactions involving our company as a whole or other collaboration transactions. Our business development efforts may fail to result in our acquiring rights to additional products, product candidates or technologies, or may result in our consummating transactions with which you do not agree.</w:t>
      </w:r>
    </w:p>
    <w:p>
      <w:pPr>
        <w:spacing w:after="0" w:line="16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may be unable to in-license or acquire the rights to any such products, product candidates or technologies from third parties for several reasons. The success of this strategy depends partly upon our ability to identify, select and acquire or in-license promising product candidates and technologies. We may be unable to identify suitable products, product candidates or technologies within our area of focus. Although we are planning to target opportunities where we believe third-party funding for specific programs or technologies may be available, funding may not in fact be available for any number of reasons. The process of proposing, negotiating and implementing a license or acquisition of a product candidate is lengthy and complex.</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in-licensing and acquisition of pharmaceutical products is an area characterized by intense competition, and a number of companies (both more established and early stage biotechnology companies) are also pursuing strategies to in-license or acquire products, product candidates or technologies that we may consider attractive. We believe that other companies may be particularly active in pursuing opportunities to in-license or acquire promising gene therapy opportunities. More established companies may have a competitive advantage over us due to their size, cash resources and greater research, preclinical or clinical development or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 any product candidate that we acquire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are unable to successfully obtain rights to suitable products,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or technology successfully and in a timely manner, we may not realize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products, product candidates or technologies, our expenses and short-term costs may increase materially and adversely affect our liquidity.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acquisitions and in-licenses may entail numerous operational, financial and legal risks, including:</w:t>
      </w:r>
    </w:p>
    <w:p>
      <w:pPr>
        <w:spacing w:after="0" w:line="225" w:lineRule="exact"/>
        <w:rPr>
          <w:sz w:val="20"/>
          <w:szCs w:val="20"/>
          <w:color w:val="auto"/>
        </w:rPr>
      </w:pPr>
    </w:p>
    <w:p>
      <w:pPr>
        <w:ind w:left="980" w:right="24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 to the amount that must be amortized over the appropriate life of the asset;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36" w:lineRule="exact"/>
        <w:rPr>
          <w:rFonts w:ascii="Arial" w:cs="Arial" w:eastAsia="Arial" w:hAnsi="Arial"/>
          <w:sz w:val="17"/>
          <w:szCs w:val="17"/>
          <w:color w:val="auto"/>
        </w:rPr>
      </w:pPr>
    </w:p>
    <w:p>
      <w:pPr>
        <w:ind w:left="980" w:right="4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partners integral to an in-licensed or acquired product candidate or technology;</w:t>
      </w:r>
    </w:p>
    <w:p>
      <w:pPr>
        <w:spacing w:after="0" w:line="170"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without limitation, problems, liabilities or other shortcomings or challenges with respect to intellectual property, product quality, revenue recognition or other accounting practices, partner disputes or issues and other legal and financial contingencies and known and unknown liabilities; and</w:t>
      </w:r>
    </w:p>
    <w:p>
      <w:pPr>
        <w:spacing w:after="0" w:line="186"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entry into therapeutic modalities, indications or markets in which we have no or limited direct prior development or commercial experience and where competitors in such markets have stronger market positions.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integrate our newly acquired HtrA1 inhibitor program.</w:t>
      </w:r>
    </w:p>
    <w:p>
      <w:pPr>
        <w:spacing w:after="0" w:line="90"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Our acquisition of Inception 4 involves the integration of Inception 4's HtrA1 inhibitor program and technology with our existing operations and programs, and there are uncertainties inherent in such integration. We have devoted and will continue to devote significant management attention and resources to the Inception 4 integration and to the further development of our HtrA1 inhibitor program. Delays, unexpected difficulties in the integration process or failure to retain key consultants or other resources previously used by Inception 4 could adversely affect the development of our HtrA1 inhibitor program, our business and our financial condition. Even if we are able to conduct the integration successfully, we may not fully realize the benefits of the Inception 4 acquisition within a reasonable period of time. In addition, although we conducted a diligence process in connection with the acquisition of Inception 4, we may not yet be aware of all factors regarding Inception 4 that could produce unintended and unexpected consequences for us. These factors could cause us to incur potentially material liabilities.</w:t>
      </w:r>
    </w:p>
    <w:p>
      <w:pPr>
        <w:spacing w:after="0" w:line="26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lawsuits that could result in substantial costs and divert management’s attention.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 3 trials for Fovista in combination with anti-VEGF agents for the treatment of wet AMD. The members of our board of directors have also been named as defendants in a shareholder derivative action initiated in February 2018, which generally alleges that the defendants breached their fiduciary duties to our company by adopting a compensation plan that overcompensates the non-employee members of the board relative to the boards of companies of comparable market capitalization and size. The current and former members of our board of directors and certain current and former officers have also been named as defendants in a shareholder derivative action initiated in August 2018, which generally alleges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We and the defendants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and our board of directors’ attention and resources from other priorities, including the execution of our business plan and strategies that are important to our ability to grow our business, any of which could have a material adverse effect on our business. Additional similar lawsuits may be filed.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tax reform bill passed in December 2017 could adversely affect our business and financial condition.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22, 2017, United States President Donald J. Trump signed into law new legislation that significantly revised the Internal Revenue Code of 1986, as amended.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The United States Department of Treasury and the Internal Revenue Service are continuing to issue new guidance and interpretations of various provisions of the new tax law. In addition, it is uncertain how various states will respond to the newly enacted federal tax law. The impact of this new tax law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23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170" w:lineRule="exact"/>
        <w:rPr>
          <w:sz w:val="20"/>
          <w:szCs w:val="20"/>
          <w:color w:val="auto"/>
        </w:rPr>
      </w:pPr>
    </w:p>
    <w:p>
      <w:pPr>
        <w:ind w:left="980" w:right="320" w:hanging="324"/>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 or product candidates we are interested in in-licensing or acquiring, including those that we may evaluate as part of our collaborative gene therapy sponsored research programs;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applying for and receiving marketing approvals from applicable regulatory authorities for the marketing and sale of our product candidates;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980" w:right="680" w:hanging="324"/>
        <w:spacing w:after="0" w:line="34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making arrangements with third-party manufacturers, receiving regulatory approval of our manufacturing processes and our third-party manufacturers’ facilities and ensuring adequate supply of drug product and starting materials used for the manufacture of drug product;</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achieving acceptance of the product candidate, if and when approved, by patients, the medical community and third-party payors;</w:t>
      </w:r>
    </w:p>
    <w:p>
      <w:pPr>
        <w:spacing w:after="0" w:line="225" w:lineRule="exact"/>
        <w:rPr>
          <w:rFonts w:ascii="Arial" w:cs="Arial" w:eastAsia="Arial" w:hAnsi="Arial"/>
          <w:sz w:val="18"/>
          <w:szCs w:val="18"/>
          <w:color w:val="auto"/>
        </w:rPr>
      </w:pPr>
    </w:p>
    <w:p>
      <w:pPr>
        <w:ind w:left="980" w:right="460" w:hanging="324"/>
        <w:spacing w:after="0" w:line="308"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Amendments to the FDCA, if we choose to seek such protections for any of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25" w:lineRule="exact"/>
        <w:rPr>
          <w:rFonts w:ascii="Arial" w:cs="Arial" w:eastAsia="Arial" w:hAnsi="Arial"/>
          <w:sz w:val="18"/>
          <w:szCs w:val="18"/>
          <w:color w:val="auto"/>
        </w:rPr>
      </w:pPr>
    </w:p>
    <w:p>
      <w:pPr>
        <w:ind w:left="980" w:right="30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complying with all applicable regulatory requirements, including FDA Good Laboratory Practices, or GLP, FDA Good Clinical Practices, or GCP, current Good Manufacturing Practices, or cGMP, and standards, rules and regulations governing promotional and other marketing activities.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Drug development is a highly uncertain undertaking. Our research and development efforts may not be successful or may be delayed for any number of reasons, in which case potential marketing approval or commercialization of our product candidates could be prevented or delayed.</w:t>
      </w:r>
    </w:p>
    <w:p>
      <w:pPr>
        <w:spacing w:after="0" w:line="12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candidates in humans. Prior to initiating clinical trials, a sponsor must complete extensive preclinical testing of a product candidate, including, in most cases, preclinical efficacy experiments as well as IND-enabling toxicology studies. Early stage research, such as the research we are sponsoring with UMMS, may never yield a product candidate for preclinical or clinical development. Early stage research experiments and preclinical studies may fail at any point for any number of reasons, and even if completed, may be time-consuming and expensive. As a result of these risks, a potentially promising product candidate may never be tested in humans. 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Furthermore, our Phase 2a OPH2007 trial of Zimura in wet AMD did not replicate the results of our Phase 1/2a OPH2000 trial, following which we decided not to proceed with further development of Zimura in wet AMD at this point.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170" w:lineRule="exact"/>
        <w:rPr>
          <w:sz w:val="20"/>
          <w:szCs w:val="20"/>
          <w:color w:val="auto"/>
        </w:rPr>
      </w:pPr>
    </w:p>
    <w:p>
      <w:pPr>
        <w:ind w:left="980" w:right="2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 for any preclinical product candidates that we are developing or may wish to in-license or acquire;</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agree with our study design, including our selection of endpoints, or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123" w:lineRule="exact"/>
        <w:rPr>
          <w:rFonts w:ascii="Arial" w:cs="Arial" w:eastAsia="Arial" w:hAnsi="Arial"/>
          <w:sz w:val="16"/>
          <w:szCs w:val="16"/>
          <w:color w:val="auto"/>
        </w:rPr>
      </w:pPr>
    </w:p>
    <w:p>
      <w:pPr>
        <w:ind w:left="980" w:right="10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181" w:lineRule="exact"/>
        <w:rPr>
          <w:rFonts w:ascii="Arial" w:cs="Arial" w:eastAsia="Arial" w:hAnsi="Arial"/>
          <w:sz w:val="18"/>
          <w:szCs w:val="18"/>
          <w:color w:val="auto"/>
        </w:rPr>
      </w:pPr>
    </w:p>
    <w:p>
      <w:pPr>
        <w:ind w:left="980" w:right="34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research for various reasons, including noncompliance with regulatory requirements, including GCPs, or a finding that the participants are being exposed to unacceptable health risks;</w:t>
      </w:r>
    </w:p>
    <w:p>
      <w:pPr>
        <w:spacing w:after="0" w:line="181"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there are no therapies approved for GA, Stargardt disease, RHO-adRP or Best disease in either the United States or the European Union, the regulatory pathway for product candidates in these indications, including the selection of the primary efficacy endpoint for a pivotal clinical trial, is highly uncertain;</w:t>
      </w:r>
    </w:p>
    <w:p>
      <w:pPr>
        <w:spacing w:after="0" w:line="181"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there may be changes in the standard of care on which a clinical development plan was based, which may require new or additional trials;</w:t>
      </w:r>
    </w:p>
    <w:p>
      <w:pPr>
        <w:spacing w:after="0" w:line="236" w:lineRule="exact"/>
        <w:rPr>
          <w:rFonts w:ascii="Arial" w:cs="Arial" w:eastAsia="Arial" w:hAnsi="Arial"/>
          <w:sz w:val="17"/>
          <w:szCs w:val="17"/>
          <w:color w:val="auto"/>
        </w:rPr>
      </w:pPr>
    </w:p>
    <w:p>
      <w:pPr>
        <w:ind w:left="980" w:right="1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beyond those we currently contemplate or to abandon product development programs;</w:t>
      </w:r>
    </w:p>
    <w:p>
      <w:pPr>
        <w:spacing w:after="0" w:line="170" w:lineRule="exact"/>
        <w:rPr>
          <w:rFonts w:ascii="Arial" w:cs="Arial" w:eastAsia="Arial" w:hAnsi="Arial"/>
          <w:sz w:val="18"/>
          <w:szCs w:val="18"/>
          <w:color w:val="auto"/>
        </w:rPr>
      </w:pPr>
    </w:p>
    <w:p>
      <w:pPr>
        <w:ind w:left="980" w:right="40" w:hanging="324"/>
        <w:spacing w:after="0" w:line="25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enrollment in these clinical trials may be slower than we anticipate or participants may drop out of these clinical trials at a higher rate than we anticipate. These risks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or our contract manufacturers may be unable to develop a viable manufacturing process for any product candidates that we are developing;</w:t>
      </w:r>
    </w:p>
    <w:p>
      <w:pPr>
        <w:spacing w:after="0" w:line="248" w:lineRule="exact"/>
        <w:rPr>
          <w:rFonts w:ascii="Arial" w:cs="Arial" w:eastAsia="Arial" w:hAnsi="Arial"/>
          <w:sz w:val="16"/>
          <w:szCs w:val="16"/>
          <w:color w:val="auto"/>
        </w:rPr>
      </w:pPr>
    </w:p>
    <w:p>
      <w:pPr>
        <w:ind w:left="980" w:hanging="324"/>
        <w:spacing w:after="0" w:line="25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preclinical development and clinical trials of our product candidates may be insufficient or inadequate or we may face delays in the manufacture and supply of our product candidates as a result of a decision to transfer manufacturing between contract manufacturers or on account of interruptions in our supply chain, including in relation to the procurement of starting materials, such as plasmids used for the manufacture of our gene therapy product candidates, and the packaging and distribution or import/export of clinical materials; 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980" w:right="10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face delays in the manufacture and supply of any product candidates we are investigating in our collaborative gene therapy sponsored research programs as a result of our inability to establish manufacturing capabilities or processes or to obtain necessary starting materials, such as plasmids.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1"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limitations, distribution restrictions or safety warnings, including boxed warnings;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Despite our current development plans and ongoing efforts, we may not complete any of our ongoing or planned clinical trials or other clinical trials for our product candidates. The timing of the completion of, and the availability of results from, clinical trials is difficult to predict. We do not know whether clinical trials will begin as planned, will need to be restructured or will be completed on schedule, or at all. Furthermore, our development plans may change based on feedback we may receive from regulatory authorities throughout the development process. If we experience delays in manufacturing, testing or marketing approvals, our product development costs would increase.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78"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Our development of Zimura is based on a novel mechanism of action that is unproven and poses a number of scientific and other risks, and we may not be successful in developing Zimura in the indications we are pursuing. Our ongoing and any future clinical trials for Zimura may not provide sufficient safety and efficacy data to support future development efforts or seeking and obtaining marketing approval.</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targeting GA, an advanced form of dry AMD,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for selective molecular targets, including complement C5, as potential pharmaceutical treatments for AMD, this approach may not prove successful for treating AMD in a clinically meaningful way. Similarly, although there is non-clinical scientific literature supporting the potential use of inhibitors of the complement system for the treatment of STGD1, this approach may not prove clinically successful as well.</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Zimura is designed to inhibit complement C5. There are no FDA or EMA approved products that utilize C5 inhibition as a mechanism of action to treat GA or STGD1, and this mechanism of action may not prove safe and effective for these diseases. Moreover, the failure of prior clinical trials evaluating complement inhibition in GA, including a competitor's two Phase 3 clinical trials evaluating an investigational anti-complement factor D antibody administered via intravitreal injections, a second competitor's Phase 2 clinical trial evaluating an investigational anti-C5 antibody administered via intravitreal injections and a third competitor's Phase 2 clinical trial evaluating an anti-C5 antibody administered systemically, may call into question the hypothesis underlying the use of a complement inhibitor as a method for treating GA.</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only very limited data from a small, uncontrolled clinical trial regarding the safety and efficacy of Zimura as a monotherapy for the treatment of GA, and we have no human clinical data regarding the safety and efficacy of Zimura as a treatment for STGD1. Our prior Zimura trials were not powered to demonstrate the efficacy of Zimura therapy with statistical significance. Our ongoing and any future clinical trials for Zimura may fail to demonstrate sufficient safety or efficacy to justify further development or to ultimately seek or obtain marketing approval. Any negative results from our ongoing or any</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future clinical trials for Zimura, including from our OPH2003 trial for which we expect initial top-line data to be available during the fourth quarter of 2019, could adversely affect our business and the value of your investment in our company.</w:t>
      </w:r>
    </w:p>
    <w:p>
      <w:pPr>
        <w:spacing w:after="0" w:line="184"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The statistical analysis of a clinical trial outcome is primarily determined based on three factors: variability in the measured endpoint among the patient population, the magnitude of the drug effect observed in relation to that variability and the number of patients from whom data is collected in the clinical trial. Given that we have limited data regarding the effect of Zimura in GA, we determined the size of the OPH2003 trial in GA based on our best estimates of the size of trial required to demonstrate a potential clinical benefit for Zimura. This estimate incorporates our assumptions regarding the potential performance of Zimura in this indication based in part on available third-party clinical trial data and our statistical analysis of this data, as well as our assumptions regarding the number of patients that will continue to participate in the trial through the 12-month timepoint. In addition, although we initially determined the size of the OPH2005 trial in STGD1 based on the number of patients with STGD1 that we believed could potentially be enrolled within a reasonable period of time, we decided to cease patient enrollment during the first quarter of 2019 in light of the 18-month endpoint and our goal of providing initial top-line data from this trial by the end of 2020. As STGD1 is an orphan indication, to our knowledge there is only very limited natural history data currently available regarding the variability for our planned primary efficacy endpoint in the STGD1 patient population we enrolled in this trial. Moreover, because both GA and Stargardt disease are degenerative diseases, and in many cases, the rate of degeneration is slow, and because we are seeking to slow the progression of degeneration with Zimura, and not necessarily to reverse prior degeneration or restore visual function, patients participating in our trials may not perceive a benefit from continuing to participate and therefore may drop out of the trial. Although we and the investigators participating in our trials and their staff take efforts to encourage continued patient participation, the drop-out rate for our Zimura trials may exceed our expectations. A higher than expected drop-out rate would reduce the number of patients from whom data is available for analyzing the primary endpoint for these trials. Given the information above, these trials could be underpowered to demonstrate a potential clinical benefit for Zimura in these indications.</w:t>
      </w:r>
    </w:p>
    <w:p>
      <w:pPr>
        <w:spacing w:after="0" w:line="15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Furthermore, our recently completed OPH2007 clinical trial evaluated, and our current Zimura clinical trials are evaluating, </w:t>
      </w:r>
      <w:r>
        <w:rPr>
          <w:rFonts w:ascii="Arial" w:cs="Arial" w:eastAsia="Arial" w:hAnsi="Arial"/>
          <w:sz w:val="16"/>
          <w:szCs w:val="16"/>
          <w:color w:val="auto"/>
          <w:highlight w:val="white"/>
        </w:rPr>
        <w:t>Zimura dosing regimens</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that we have not studied extensively, </w:t>
      </w:r>
      <w:r>
        <w:rPr>
          <w:rFonts w:ascii="Arial" w:cs="Arial" w:eastAsia="Arial" w:hAnsi="Arial"/>
          <w:sz w:val="16"/>
          <w:szCs w:val="16"/>
          <w:color w:val="auto"/>
        </w:rPr>
        <w:t>which may increase the risk that patients in these trials experience adverse events and/or serious adverse events (either</w:t>
      </w:r>
      <w:r>
        <w:rPr>
          <w:rFonts w:ascii="Arial" w:cs="Arial" w:eastAsia="Arial" w:hAnsi="Arial"/>
          <w:sz w:val="16"/>
          <w:szCs w:val="16"/>
          <w:color w:val="auto"/>
          <w:highlight w:val="white"/>
        </w:rPr>
        <w:t xml:space="preserve"> </w:t>
      </w:r>
      <w:r>
        <w:rPr>
          <w:rFonts w:ascii="Arial" w:cs="Arial" w:eastAsia="Arial" w:hAnsi="Arial"/>
          <w:sz w:val="16"/>
          <w:szCs w:val="16"/>
          <w:color w:val="auto"/>
        </w:rPr>
        <w:t>ocular, systemic or both) that we have not observed or at rates that we have not observed in prior trials. Although we did not observe adverse events or serious adverse events attributable to the drug product in our OPH2007 trial, those adverse events and/or serious adverse events may manifest in our current Zimura clinical trials. For a further discussion of the safety risks in our trials, see the risk factor herein entitled "</w:t>
      </w:r>
      <w:r>
        <w:rPr>
          <w:rFonts w:ascii="Arial" w:cs="Arial" w:eastAsia="Arial" w:hAnsi="Arial"/>
          <w:sz w:val="16"/>
          <w:szCs w:val="16"/>
          <w:i w:val="1"/>
          <w:iCs w:val="1"/>
          <w:color w:val="auto"/>
        </w:rPr>
        <w:t>If serious adverse or unacceptable side effects are</w:t>
      </w:r>
      <w:r>
        <w:rPr>
          <w:rFonts w:ascii="Arial" w:cs="Arial" w:eastAsia="Arial" w:hAnsi="Arial"/>
          <w:sz w:val="16"/>
          <w:szCs w:val="16"/>
          <w:color w:val="auto"/>
        </w:rPr>
        <w:t xml:space="preserve"> </w:t>
      </w:r>
      <w:r>
        <w:rPr>
          <w:rFonts w:ascii="Arial" w:cs="Arial" w:eastAsia="Arial" w:hAnsi="Arial"/>
          <w:sz w:val="16"/>
          <w:szCs w:val="16"/>
          <w:i w:val="1"/>
          <w:iCs w:val="1"/>
          <w:color w:val="auto"/>
        </w:rPr>
        <w:t>identified during the development of our product candidates, we may need to abandon or limit our development of such product candidates.</w:t>
      </w:r>
      <w:r>
        <w:rPr>
          <w:rFonts w:ascii="Arial" w:cs="Arial" w:eastAsia="Arial" w:hAnsi="Arial"/>
          <w:sz w:val="16"/>
          <w:szCs w:val="16"/>
          <w:color w:val="auto"/>
        </w:rPr>
        <w:t>"</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development of our HtrA1 inhibitor program is also based on a novel mechanism of action that is unproven and poses a number of scientific and other risks. We may not be able to successfully formulate a product candidate from our HtrA1 inhibitors.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Our HtrA1 inhibitor program is in preclinical development. There are no FDA or EMA approved products that utilize HtrA1 inhibition as a mechanism of action for treating ophthalmic diseases, including GA and other age-related retinal diseases for which we may develop our HtrA1 inhibitor program, such as wet AMD and IPCV, and this mechanism of action may not prove safe and effective for these diseases. We made the decision to acquire this program based on our interpretation of the scientific literature and rationale for this potential target that suggest an association between HtrA1 and the risk for AMD, as well as a limited set of preclinical data generated by Inception 4 prior to the acquisition. We note, however, the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 is in the same region of the 10q26 chromosome as the </w:t>
      </w:r>
      <w:r>
        <w:rPr>
          <w:rFonts w:ascii="Arial" w:cs="Arial" w:eastAsia="Arial" w:hAnsi="Arial"/>
          <w:sz w:val="17"/>
          <w:szCs w:val="17"/>
          <w:i w:val="1"/>
          <w:iCs w:val="1"/>
          <w:color w:val="auto"/>
        </w:rPr>
        <w:t>age-related maculopathy susceptibility 2</w:t>
      </w:r>
      <w:r>
        <w:rPr>
          <w:rFonts w:ascii="Arial" w:cs="Arial" w:eastAsia="Arial" w:hAnsi="Arial"/>
          <w:sz w:val="17"/>
          <w:szCs w:val="17"/>
          <w:color w:val="auto"/>
        </w:rPr>
        <w:t xml:space="preserve">, or </w:t>
      </w:r>
      <w:r>
        <w:rPr>
          <w:rFonts w:ascii="Arial" w:cs="Arial" w:eastAsia="Arial" w:hAnsi="Arial"/>
          <w:sz w:val="17"/>
          <w:szCs w:val="17"/>
          <w:i w:val="1"/>
          <w:iCs w:val="1"/>
          <w:color w:val="auto"/>
        </w:rPr>
        <w:t>ARMS2</w:t>
      </w:r>
      <w:r>
        <w:rPr>
          <w:rFonts w:ascii="Arial" w:cs="Arial" w:eastAsia="Arial" w:hAnsi="Arial"/>
          <w:sz w:val="17"/>
          <w:szCs w:val="17"/>
          <w:color w:val="auto"/>
        </w:rPr>
        <w:t xml:space="preserve">, gene. The </w:t>
      </w:r>
      <w:r>
        <w:rPr>
          <w:rFonts w:ascii="Arial" w:cs="Arial" w:eastAsia="Arial" w:hAnsi="Arial"/>
          <w:sz w:val="17"/>
          <w:szCs w:val="17"/>
          <w:i w:val="1"/>
          <w:iCs w:val="1"/>
          <w:color w:val="auto"/>
        </w:rPr>
        <w:t>ARMS2</w:t>
      </w:r>
      <w:r>
        <w:rPr>
          <w:rFonts w:ascii="Arial" w:cs="Arial" w:eastAsia="Arial" w:hAnsi="Arial"/>
          <w:sz w:val="17"/>
          <w:szCs w:val="17"/>
          <w:color w:val="auto"/>
        </w:rPr>
        <w:t xml:space="preserve"> and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genes are linked, and variants in, or expression of, the </w:t>
      </w:r>
      <w:r>
        <w:rPr>
          <w:rFonts w:ascii="Arial" w:cs="Arial" w:eastAsia="Arial" w:hAnsi="Arial"/>
          <w:sz w:val="17"/>
          <w:szCs w:val="17"/>
          <w:i w:val="1"/>
          <w:iCs w:val="1"/>
          <w:color w:val="auto"/>
        </w:rPr>
        <w:t>ARMS2</w:t>
      </w:r>
      <w:r>
        <w:rPr>
          <w:rFonts w:ascii="Arial" w:cs="Arial" w:eastAsia="Arial" w:hAnsi="Arial"/>
          <w:sz w:val="17"/>
          <w:szCs w:val="17"/>
          <w:color w:val="auto"/>
        </w:rPr>
        <w:t xml:space="preserve"> gene may also be associated with the risk for AMD. The risk for AMD associated with </w:t>
      </w:r>
      <w:r>
        <w:rPr>
          <w:rFonts w:ascii="Arial" w:cs="Arial" w:eastAsia="Arial" w:hAnsi="Arial"/>
          <w:sz w:val="17"/>
          <w:szCs w:val="17"/>
          <w:i w:val="1"/>
          <w:iCs w:val="1"/>
          <w:color w:val="auto"/>
        </w:rPr>
        <w:t>ARMS2</w:t>
      </w:r>
      <w:r>
        <w:rPr>
          <w:rFonts w:ascii="Arial" w:cs="Arial" w:eastAsia="Arial" w:hAnsi="Arial"/>
          <w:sz w:val="17"/>
          <w:szCs w:val="17"/>
          <w:color w:val="auto"/>
        </w:rPr>
        <w:t xml:space="preserve"> may ultimately prove to be greater than the risk associated with </w:t>
      </w:r>
      <w:r>
        <w:rPr>
          <w:rFonts w:ascii="Arial" w:cs="Arial" w:eastAsia="Arial" w:hAnsi="Arial"/>
          <w:sz w:val="17"/>
          <w:szCs w:val="17"/>
          <w:i w:val="1"/>
          <w:iCs w:val="1"/>
          <w:color w:val="auto"/>
        </w:rPr>
        <w:t>HtrA1</w:t>
      </w:r>
      <w:r>
        <w:rPr>
          <w:rFonts w:ascii="Arial" w:cs="Arial" w:eastAsia="Arial" w:hAnsi="Arial"/>
          <w:sz w:val="17"/>
          <w:szCs w:val="17"/>
          <w:color w:val="auto"/>
        </w:rPr>
        <w:t>. In addition, even though genetic and histologic findings correlate HtrA1 with AMD, the development and progression of AMD may not be affected by HtrA1. Our assumption that targeting inhibition of HtrA1 as a method of treating AMD may be incorrect, which would likely adversely affect the value of our HtrA1 inhibitor program and its continued development.</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Before we can commence IND-enabling studies for our HtrA1 inhibitor program, we need to conduct pre-formulation and formulation studies with our lead compounds in this program to determine whether we can formulate a product candidate for intravitreal administration that is safe to advance into preclinical studies and, depending on the outcome of such studies, into clinical trials. As part of this work, we need to determine which inactive formulation components should be used in the preparation of the product candidate, and derive a preparation that includes an adequate amount of drug substance with the necessary inactive ingredients to achieve the desired safety profile for intravitreal injection into the eye while providing for sufficient pharmacological activity. Formulation development is inherently uncertain, and it is possible we may not be able to formulate any of our lead compounds into a preparation that is safe to advance into preclinical studies or clinical trials in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eye or that provides sufficient pharmacological activity, which would hinder our ability to pursue development of this program. Formulation development can be time-consuming and our anticipated timelines for the development of this program may be delayed.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Gene therapy is an emerging field of drug development that poses many scientific and other risks. Also, we have only limited experience in gene therapy research and manufacturing and no experience in gene therapy clinical development. Our lack of experience may limit our ability to be successful or may delay our development efforts.</w:t>
      </w:r>
    </w:p>
    <w:p>
      <w:pPr>
        <w:spacing w:after="0" w:line="18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Gene therapy is an emerging field of drug development with only one gene replacement therapy having received FDA approval to date. Our RHO-adRP gene therapy product candidate and the BEST1 gene therapy product candidates for which we hold an option from Penn and UFRF, as well as the "minigene" therapy approach and novel gene delivery methods we are evaluating in our sponsored research programs with UMMS, are in particularly early-stages of research and development. Even with promising preclinical efficacy data, there will remain several areas of drug development risk, including translational science, manufacturing materials and processes, safety concerns, regulatory pathway, clinical trial design and the approach to ocular gene therapy administration through either subretinal surgery or intravitreal delivery, which will likely pose particular uncertainty given the relatively limited development history for gene therapies. For example, the current construct for the BEST1 gene therapy product candidates for which we have an option from Penn and UFRF has been tested in an autosomal recessive canine bestrophinopathy model. A majority of humans with Best disease, however, have the autosomal dominant form of the disease, and we intend to develop the BEST1 gene therapy product candidate for which we are planning to commence IND-enabling studies for the autosomal dominant form of Best disease and potentially other bestrophinopathies. The approach to treating this form of the disease with a construct previously studied in an autosomal recessive canine disease model may ultimately prove ineffective. In addition to the foregoing, because gene therapy is an emerging field of drug development and we have limited experience with gene therapies, we may encounter unexpected difficulties and challenges.</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particularly focused on adeno-associated virus, or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for a number of IRDs, such as Stargardt disease, exceed that size). Although AAV is the most commonly used vector in ocular gene therapy today, other vector forms, such as retroviral or lentiviral and non-viral based vectors, or gene editing approaches may prove to be safer and more effective.</w:t>
      </w:r>
    </w:p>
    <w:p>
      <w:pPr>
        <w:spacing w:after="0" w:line="19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Although we believe gene therapy is a promising area for ophthalmic drug development, our gene therapy research and development experience is limited to only a few personnel hired to supervise outside vendors. In pursuing this new area, we are starting to establish our gene therapy technical capabilities, including translational, manufacturing, process development, and other capabilities, but we will need to build those capabilities to a more significant level. We will either need to hire internally for these capabilities or establish them through outside service providers. We believe that gene therapy is an area of significant investment by biotechnology and pharmaceutical companies and that there may be a scarcity of talent available to us in these areas. If we are not able to establish our own internal or outsourced gene therapy capabilities to a more significant level, we may not be able to develop our RHO-adRP product candidate, the BEST1 gene therapy product candidates for which we hold an option from Penn and UFRF or other promising product candidates that emerge from our collaborative gene therapy sponsored research programs, which would limit our prospects for future growth.</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 manufacture</w:t>
      </w:r>
      <w:r>
        <w:rPr>
          <w:rFonts w:ascii="Arial" w:cs="Arial" w:eastAsia="Arial" w:hAnsi="Arial"/>
          <w:sz w:val="18"/>
          <w:szCs w:val="18"/>
          <w:color w:val="auto"/>
        </w:rPr>
        <w:t xml:space="preserve"> </w:t>
      </w:r>
      <w:r>
        <w:rPr>
          <w:rFonts w:ascii="Arial" w:cs="Arial" w:eastAsia="Arial" w:hAnsi="Arial"/>
          <w:sz w:val="18"/>
          <w:szCs w:val="18"/>
          <w:i w:val="1"/>
          <w:iCs w:val="1"/>
          <w:color w:val="auto"/>
        </w:rPr>
        <w:t>of gene therapy products is complex with a number of scientific and technical risks, some of which are common to the manufacture of drugs and biologics and others are unique to the manufacture of gene therapies. We have limited experience with gene therapy manufacturing and are dependent on our third-party contract manufacturers and sole source suppliers</w:t>
      </w:r>
      <w:r>
        <w:rPr>
          <w:rFonts w:ascii="Arial" w:cs="Arial" w:eastAsia="Arial" w:hAnsi="Arial"/>
          <w:sz w:val="18"/>
          <w:szCs w:val="18"/>
          <w:color w:val="auto"/>
        </w:rPr>
        <w:t>".</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w:t>
      </w:r>
    </w:p>
    <w:p>
      <w:pPr>
        <w:spacing w:after="0" w:line="170"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If any of our product candidates are associated with serious adverse events or undesirable side effects in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side effects that prevented further development of the compound.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particular, we have limited data regarding the safety, tolerability and efficacy of Zimura administered for the treatment of GA and no data regarding the safety, tolerability and efficacy of Zimura administered for the treatment of STGD1. In our completed clinical trials for Zimura, we have observed only a single adverse event, mild subcapsular cataract, from our OPH2000 trial, assessed to be drug-related by participating investigators. We have no human data regarding our HtrA1 inhibitor program, our RHO-adRP gene therapy product candidate or the BEST1 gene therapy product candidates for which we hold an option from Penn and UFRF.</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In addition, our clinical trials for Zimura will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Because we currently have only one product candidate in clinical development, it is possible that a safety issue in any of our ongoing clinical trials for Zimura could impact all of our then-ongoing clinical trials.</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HtrA1 inhibition is a novel treatment approach for treating ocular disease, this treatment modality may present potentially unknown safety risks when tested in clinical trials that could not have been anticipated based on preclinical toxicology studies. In addition, if we are successful in formulating an HtrA1 product candidate, we intend to administer the product candidate by intravitreal injection, which poses the same safety risks outlined above with respect to intravitreal injections of Zimura.</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Mediating a host body's immune response to introduced viral vectors has been and remains a challenge for gene therapies. For AAV gene therapy, "vector shedding" or the dissemination of AAV vectors away from the target tissue to other parts of the body, which can trigger a more serious and extensive immune response, is a known safety issue. Although subretinal injection, which is the method often used to administer ocular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In order to avoid accelerating damage to a subject's retina, subretinal injection for RHO-adRP patients in particular must be conducted under extremely low light levels using infrared technology, further complicating the surgical procedure. The margin for error with subretinal injections is extremely low and there are a limited number of retinal surgeons with experience in performing subretinal injections in the eye. In the event that we progress into clinical development with our RHO-adRP gene therapy product candidate, the BEST1 gene therapy product candidate for which we are planning to commence IND-enabling studies, or any other gene therapy product candidate we may in-license or acquire, we may experience delays or other challenges for our development programs as a result of safety issues. For example, in order to generate useful clinical data for any of those gene therapy clinical trials, a retinal surgeon must repeat the same subretinal injection process multiple times and with consistency.</w:t>
      </w:r>
    </w:p>
    <w:p>
      <w:pPr>
        <w:spacing w:after="0" w:line="17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If gene therapies prove to be unsafe for humans, we likely will need to curtail or eliminate our gene therapy development programs or gene therapy products in development or commercialization, if any.</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We do not have any internal manufacturing capabilities and use third parties to manufacture our product candidates on a contract or purchase order basis. Manufacturing issues, including technical or quality issues or issues with scaling up and building our capabilities for later-stage clinical manufacturing or for commercial manufacturing, may arise that could cause delays in our development programs or increase costs. We may experience delays in regulatory approval of our product candidates if we or our contract manufacturers do not satisfy applicable manufacturing regulatory requirements.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do not have internal manufacturing facilities and use or plan to use outside contract manufacturers to manufacture Zimura, our HtrA1 inhibitors, our RHO-adRP gene therapy product candidate, the BEST1 gene therapy product candidates for which we have an option from Penn and UFRF, and any other product candidates that we may acquire or in-license. We have a limited number of personnel hired to supervise these outside vendors. Manufacturing for these product candidates could be complicated or present novel technical challenges. Problems with the manufacturing process, even minor deviations from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established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addition, in order to manufacture and supply any of our product candidates for later-stage clinical trials or on a commercial scale in the future, we will need to increase our manufacturing personnel and bolster our quality control and quality assurance capabilities. We may encounter problems hiring and retaining scientific and manufacturing personnel needed to oversee our manufacturing process, which could result in delays in our production or difficulties in maintaining compliance with applicable regulatory requirements. As we or any manufacturer we engage scales up manufacturing of any product candidate, we may encounter unexpected issues relating to the manufacturing processes or the quality, purity or stability of the product, and we may be required to refine or alter our manufacturing processes to address these issues.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Our third-party drug substance manufacturer for Zimura has undergone only two pre-approval inspections by the FDA, and has not yet gone through a pre-approval inspection for Zimura. Failure by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82"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Any problems in our manufacturing process or our third-party contract manufacturers’ facilities could make us a less attractive collaborator for potential partners, including larger pharmaceutical companies and academic research institutions, which could limit our access to additional attractive development programs. Problems in our manufacturing process or facilities also could restrict our ability to meet market demand for our products.</w:t>
      </w:r>
    </w:p>
    <w:p>
      <w:pPr>
        <w:spacing w:after="0" w:line="14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For a further discussion of the risks associated with our reliance on third-party manufacturers, see the risk factor herein entitled, "</w:t>
      </w:r>
      <w:r>
        <w:rPr>
          <w:rFonts w:ascii="Arial" w:cs="Arial" w:eastAsia="Arial" w:hAnsi="Arial"/>
          <w:sz w:val="17"/>
          <w:szCs w:val="17"/>
          <w:i w:val="1"/>
          <w:iCs w:val="1"/>
          <w:color w:val="auto"/>
        </w:rPr>
        <w:t>We contract with</w:t>
      </w:r>
      <w:r>
        <w:rPr>
          <w:rFonts w:ascii="Arial" w:cs="Arial" w:eastAsia="Arial" w:hAnsi="Arial"/>
          <w:sz w:val="17"/>
          <w:szCs w:val="17"/>
          <w:color w:val="auto"/>
        </w:rPr>
        <w:t xml:space="preserve"> </w:t>
      </w:r>
      <w:r>
        <w:rPr>
          <w:rFonts w:ascii="Arial" w:cs="Arial" w:eastAsia="Arial" w:hAnsi="Arial"/>
          <w:sz w:val="17"/>
          <w:szCs w:val="17"/>
          <w:i w:val="1"/>
          <w:iCs w:val="1"/>
          <w:color w:val="auto"/>
        </w:rPr>
        <w:t>third parties for the manufacture of and for providing starting materials for our product candidates for preclinical development activities and clinical trials 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Our experience manufacturing Zimura is limited. We and our third-party contract manufacturers have not scaled up or validated the manufacturing process for Zimura for later-stage clinical or commercial manufacturing. We are only in the early stages of establishing manufacturing capabilities for our HtrA1 inhibitor program.</w:t>
      </w:r>
    </w:p>
    <w:p>
      <w:pPr>
        <w:spacing w:after="0" w:line="18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currently use a single third-party manufacturer, Agilent Technologies, to supply us with the chemically synthesized drug substance for Zimura and a different, single third-party manufacturer, Ajinomoto Bio-Pharma Services, to provide fill/finish services for Zimura. In order to obtain and maintain regulatory approval for Zimura, our third-party manufacturers will be required to consistently produce the drug substance used in Zimura in commercial quantities and of specified quality and to execute fill/finish services on a repeated basis and document their ability to do so. If the third-party manufacturers are unable to satisfy this requirement, our business would be materially and adversely affected. To date, we have not yet scaled up the manufacturing process for Zimura beyond the scale used for developmental clinical batches, nor have we validated the manufacturing process.</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other countries, do not apply to oligonucleotides, including aptamers. As a result, there are no established generally accepted manufacturing or quality standards for the production of Zimura. The lack of uniform manufacturing and quality standards among regulatory agencies may delay regulatory approval of Zimura.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For our HtrA1 inhibitor program, we seeking to engage contract manufacturers for producing the active pharmaceutical ingredient, or API, for our HtrA1 inhibitors. The time and efforts required for us to fully establish manufacturing capabilities for our HtrA1 inhibitor program may delay or impair our ability to develop this program in accordance with our expected timelines.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The manufacture of gene therapy products is complex with a number of scientific and technical risks, some of which are common to the manufacture of drugs and biologics and others are unique to the manufacture of gene therapies. We have limited experience with gene therapy manufacturing and are dependent on our third-party contract manufacturers and sole source suppliers.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because of the high demand for clinical gene therapy material and the limited availability of suitable manufacturing slots at most gene therapy manufacturers, there may be long lead times for scheduling a manufacturing run for our gene therapy product candidates, and any problems that arise during our manufacturing process may result in a longer delay to our timelines than we would otherwise expect. There may also be long lead times to manufacturing starting materials such as plasmids and cell lines, including high-quality starting materials that are cGMP compliant. In particular, plasmids, raw materials and other starting materials for gene therapy manufacture are usually sole sourced and a limited number of qualified suppliers are available. We are highly dependent on those suppliers providing us or our contract manufacturers with the necessary starting materials in a timely manner and with materials that meet our requirements. A failure to procure or a shortage of necessary starting materials likely would delay our manufacturing and development timelines.</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 number of factors common to the manufacturing of biologics and drugs could also cause production issues or interruptions for gene therapies, including raw or starting material variability in terms of quality, cell line viability, productivity or stability issues, shortages of any kind, shipping, distribution and supply chain failures, growth media contamination, equipment malfunctions, facility contamination, labor problems, natural disasters, disruption in utility services, terrorist activities, or acts of god that are beyond our or our manufacturer's control. It is often the case that early stage research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In addition, because early stage, pilot manufacturing is often done on a small scale, we may face challenges scaling up any early stage manufacturing to the scale necessary to support supply for clinical trials. In order to progress the development of our RHO-adRP gene therapy product candidate, the BEST1 product candidate for which we are planning to commence IND-enabling studies or any other gene therapy product candidate we may in-license or acquire, we will need to devote significant time and financial resources to establishing manufacturing processes that are sufficient for IND-enabling preclinical toxicology studies as well as clinical supplies. If we are not able to establish gene therapy manufacturing or related processes in a manner required for further development of our gene therapy product candidates, our development plans may be delayed or stalled and our business may be materially harmed.</w:t>
      </w:r>
    </w:p>
    <w:p>
      <w:pPr>
        <w:spacing w:after="0" w:line="17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have engaged a gene therapy CDMO as the manufacturer for preclinical and Phase 1/2 clinical supply of our RHO-adRP drug product candidate. We have recently engaged a CDMO as the manufacturer for preclinical and Phase 1/2 clinical supply of the BEST1 gene therapy product candidate for which we are planning to commence IND-enabling studies.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There are a number of pharmaceutical and biotechnology companies that are currently developing product candidates for the treatment of GA, Stargardt disease, RHO-adRP and LCA10, and there is at least one biotechnology company that is currently developing a product candidate for the treatment of Best disease.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products or product candidates that we may seek to develop 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commercialize in the future. In particular, many companies are pursuing gene therapy approaches for orphan and age-related retinal diseases.</w:t>
      </w:r>
    </w:p>
    <w:p>
      <w:pPr>
        <w:spacing w:after="0" w:line="225"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Our commercial opportunity could be reduced or eliminated if one or more of our competitors develop and commercialize products that are more effective, safer, have fewer or less severe side effects, are more convenient to use or are less expensive than our product candidates. The method of administration of Zimura, intravitreal injection, is commonly used to administer ophthalmic drugs for the treatment of severe disease and is generally accepted by patients facing the prospect of severe visual loss or blindness. A therapy that offers a less invasive method of administration, however, might have a competitive advantage over one administered by intravitreal injection, depending on the relative safety of the other method of administration.</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competitors also may obtain FDA or other regulatory approval for their products more rapidly than we may obtain approval for ours, which could result in our competitors establishing a strong market position before we are able to enter the relevant market. Furthermore, our ability to compete may be affected in many cases by insurers or other third-party payors, particularly Medicare, seeking to encourage the use of less expensive or more convenient products.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case of orphan diseases such as Stargardt disease, RHO-adRP or Best disease, should we be successful in development, our commercialization efforts may rely on non-patent market exclusivity periods under the Orphan Drug Act and the Hatch-Waxman Act. The Orphan Drug Act only provides exclusivity periods for the specific drug granted orphan drug designation for a specific indication. In addition, there are limited circumstances under each of the Orphan Drug Act and the Hatch-Waxman Act that could result in our loss of data and marketing exclusivity, which could allow a competitor to enter the market. Failure to maintain either data or market exclusivity period would have a material adverse effect on our ability to commercialize our product candidates.</w:t>
      </w:r>
    </w:p>
    <w:p>
      <w:pPr>
        <w:spacing w:after="0" w:line="193"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technologies complementary to, or necessary for, our clinical development programs.</w:t>
      </w:r>
    </w:p>
    <w:p>
      <w:pPr>
        <w:spacing w:after="0" w:line="15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Dry AMD and GA:</w:t>
      </w:r>
    </w:p>
    <w:p>
      <w:pPr>
        <w:spacing w:after="0" w:line="225" w:lineRule="exact"/>
        <w:rPr>
          <w:sz w:val="20"/>
          <w:szCs w:val="20"/>
          <w:color w:val="auto"/>
        </w:rPr>
      </w:pPr>
    </w:p>
    <w:p>
      <w:pPr>
        <w:ind w:left="660" w:hanging="328"/>
        <w:spacing w:after="0" w:line="287"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dry AMD, including several that are in development for GA secondary to dry AMD. In general, these product candidates can be categorized based on their proposed mechanisms of action. The mechanisms of action for these product candidates include inflammation suppression, such as complement system inhibitors and corticosteroids, visual cycle modulators, antioxidants and neuroprotectants, cell and gene therapies and vascular perfusion enhancers. We are aware that Apellis Pharmaceuticals, Inc., Roche AG, Novartis AG and MorphoSys AG, Hemera Biosciences, Inc., Gyroscope Therapeutics, Achillion Pharmaceuticals, Inc., and Catalyst Biosciences, Inc. each have complement inhibitors in development for dry AMD. We believe that the most advanced of these programs is Apellis's pegylated, synthetic peptide targeting complement protein C3. Following positive Phase 2 results for its C3 complement inhibitor product candidate, Apellis announced in September 2018 that it had dosed the first patient in a Phase 3 program for this product candidate. If Apellis's Phase 3 program for its C3 complement inhibitor product candidate is successful, it is likely that Apellis may obtain marketing approval for its product candidate in advance of when we could reasonably expect marketing approval for Zimura in GA or a product candidate from our HtrA1 inhibitor program in GA, if at all. Moreover, we are aware that several other companies have announced development programs for the treatment of dry AMD or GA targeting different mechanisms of action outside of the complement system.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25" w:lineRule="exact"/>
        <w:rPr>
          <w:sz w:val="20"/>
          <w:szCs w:val="20"/>
          <w:color w:val="auto"/>
        </w:rPr>
      </w:pPr>
    </w:p>
    <w:p>
      <w:pPr>
        <w:ind w:left="660" w:right="80" w:hanging="328"/>
        <w:spacing w:after="0" w:line="30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Stargardt disease. We are aware that Sanofi, Acucela Inc., Alkeus Pharmaceuticals, Inc., Vision Medicines, Inc., Lin BioScience, Inc., Nightstar Therapeutics plc, ProQR Therapeutics N.V., Spark Therapeutics and Generation Bio Co. each have research or development programs in Stargardt disease. Four of these programs, Acucela, Alkeus, Vision Medicines and Lin BioScience, are exploring the use of oral therapeutics, while Sanofi, with technology provided by Oxford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400"/>
        <w:spacing w:after="0" w:line="336" w:lineRule="auto"/>
        <w:rPr>
          <w:sz w:val="20"/>
          <w:szCs w:val="20"/>
          <w:color w:val="auto"/>
        </w:rPr>
      </w:pPr>
      <w:r>
        <w:rPr>
          <w:rFonts w:ascii="Arial" w:cs="Arial" w:eastAsia="Arial" w:hAnsi="Arial"/>
          <w:sz w:val="17"/>
          <w:szCs w:val="17"/>
          <w:color w:val="auto"/>
        </w:rPr>
        <w:t>BioMedica plc, Nightstar and Spark are each using a gene therapy approach and ProQR is using an RNA based approach. Acucela’s product candidate is in Phase 3 development while Alkeus’s and Sanofi’s product candidates are each in Phase 2 development. Spark's program is in the research phase. In addition, several academic organizations have early stage programs in Stargardt disease.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25" w:lineRule="exact"/>
        <w:rPr>
          <w:sz w:val="20"/>
          <w:szCs w:val="20"/>
          <w:color w:val="auto"/>
        </w:rPr>
      </w:pPr>
    </w:p>
    <w:p>
      <w:pPr>
        <w:ind w:left="660" w:right="160" w:hanging="328"/>
        <w:spacing w:after="0" w:line="286" w:lineRule="auto"/>
        <w:tabs>
          <w:tab w:leader="none" w:pos="660" w:val="left"/>
        </w:tabs>
        <w:numPr>
          <w:ilvl w:val="0"/>
          <w:numId w:val="42"/>
        </w:numPr>
        <w:rPr>
          <w:rFonts w:ascii="Arial" w:cs="Arial" w:eastAsia="Arial" w:hAnsi="Arial"/>
          <w:sz w:val="17"/>
          <w:szCs w:val="17"/>
          <w:i w:val="1"/>
          <w:iCs w:val="1"/>
          <w:color w:val="auto"/>
        </w:rPr>
      </w:pPr>
      <w:r>
        <w:rPr>
          <w:rFonts w:ascii="Arial" w:cs="Arial" w:eastAsia="Arial" w:hAnsi="Arial"/>
          <w:sz w:val="17"/>
          <w:szCs w:val="17"/>
          <w:color w:val="auto"/>
        </w:rPr>
        <w:t>There are a number of products in preclinical research by third parties to treat RHO-adRP. We are aware that multiple academic institutions have early stage gene therapy development programs in RHO-adRP. In addition, Nightstar Therapeutics plc has a preclinical AAV gene therapy program in RHO-adRP and ProQR Therapeutics N.V. is developing an early stage RNA-based therapeutic for RHO-adRP.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 disease:</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are aware that Nightstar Therapeutics plc has a preclinical AAV gene therapy program in Best disease.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25" w:lineRule="exact"/>
        <w:rPr>
          <w:sz w:val="20"/>
          <w:szCs w:val="20"/>
          <w:color w:val="auto"/>
        </w:rPr>
      </w:pPr>
    </w:p>
    <w:p>
      <w:pPr>
        <w:ind w:left="660" w:right="40" w:hanging="328"/>
        <w:spacing w:after="0" w:line="31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are aware that Editas Medicine has a CRISPR gene editing program for LCA10, an IND for which was submitted in late 2018, ProQR Therapeutics N.V. is developing an RNA-based therapeutic for LCA10 that is currently in clinical development, and Generation Bio Co. has a preclinical program that utilizes ceDNA technology to target LCA10. In addition, several academic institutions have preclinical programs in LCA10.</w:t>
      </w:r>
    </w:p>
    <w:p>
      <w:pPr>
        <w:spacing w:after="0" w:line="147"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101"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As a company, we have no experience in the sale, marketing or distribution of pharmaceutical products. We currently do not have any sales, marketing or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 for which the product candidate is approved, the territory in which the product candidate may be marketed and the commercial potential for such product candidate. We are developing Zimura for GA secondary to dry AMD, which is a condition affecting a relatively large number of individuals, as well as for STGD1, which is a condition affecting a much more limited number of individuals. Our gene therapy programs are currently being developed for orphan IRDs with a limited number of affected individuals. If any of our product candidates are approved, the size and nature of the affected patient population will be an important factor in our commercial strategy. In addition, our commercial strategy would vary depending on whether the disease is typically treated by general ophthalmology practitioners, specialists, such as retinal specialists, or sub-specialists, such as retinal specialists with particular expertise in IRDs.</w:t>
      </w:r>
    </w:p>
    <w:p>
      <w:pPr>
        <w:spacing w:after="0" w:line="1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25"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would not be successful in commercializing our product candidates.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products and product candidates may be smaller than we estimate.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degree of market acceptance of Zimura or any other product candidate that we are developing or we may develop, if approved for commercial sale, will depend on a number of factors, including:</w:t>
      </w:r>
    </w:p>
    <w:p>
      <w:pPr>
        <w:spacing w:after="0" w:line="170"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by a subgroup of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in the label imposing a waiting period in between intravitreal or subretinal injections;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availability of governmental and third-party payor coverage and adequate reimbursement;</w:t>
      </w:r>
    </w:p>
    <w:p>
      <w:pPr>
        <w:spacing w:after="0" w:line="225" w:lineRule="exact"/>
        <w:rPr>
          <w:rFonts w:ascii="Arial" w:cs="Arial" w:eastAsia="Arial" w:hAnsi="Arial"/>
          <w:sz w:val="18"/>
          <w:szCs w:val="18"/>
          <w:color w:val="auto"/>
        </w:rPr>
      </w:pPr>
    </w:p>
    <w:p>
      <w:pPr>
        <w:ind w:left="980" w:right="480" w:hanging="324"/>
        <w:spacing w:after="0" w:line="308"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46"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prevalence and severity of any side effects or perceived safety concerns, especially for new therapeutic modalities such as gene therapy; and</w:t>
      </w:r>
    </w:p>
    <w:p>
      <w:pPr>
        <w:spacing w:after="0" w:line="248" w:lineRule="exact"/>
        <w:rPr>
          <w:rFonts w:ascii="Arial" w:cs="Arial" w:eastAsia="Arial" w:hAnsi="Arial"/>
          <w:sz w:val="16"/>
          <w:szCs w:val="16"/>
          <w:color w:val="auto"/>
        </w:rPr>
      </w:pPr>
    </w:p>
    <w:p>
      <w:pPr>
        <w:ind w:left="980" w:right="260" w:hanging="324"/>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whether co-formulated alternatives, alternatives that can be co-administered in a single syringe or alternatives that offer a less invasive method of administration than intravitreal injection or subretinal injection come to market.</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each of our Zimura trials where patients will receive multiple intravitreal injections on the same day, we have provided for a delay in the second intravitreal injection to minimize the risk of an unacceptable increase in intraocular pressure as a result of the volume of the multiple injections. In addition, certain of the Zimura dosing regimens we are evaluating require injections more frequently than once per month. If Zimura receives marketing approval for a particular indication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w:t>
      </w:r>
    </w:p>
    <w:p>
      <w:pPr>
        <w:spacing w:after="0" w:line="19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our industry knowledge, industry publications, market response to anti-VEGF agents currently approved for treatment of wet AMD and to Spark Therapeutics's Luxturna®, third-party research reports and other surveys. While we believe that our internal assumptions are reasonable, no independent source has verified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such assumptions and any of these assumptions could prove to be inaccurate, and the actual market for such product candidates could be smaller than our estimates of our potential market opportunity.</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158"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2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or negotiation even after initial approval is granted. As a result, we might obtain marketing approval for a product in a particular country, but then be subject to price regulations that delay our or any commercialization partner’s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69"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Because there is only one FDA-approved gene replacement therapy product, which began commercial sales in 2018, the pricing environment for gene therapies is in the very early stages of its development. Gene therapies are generally intended to be one-time treatments or, at a minimum, to provide a benefit over an extended period lasting several years. If we are successful in obtaining marketing approval for any of our gene therapy product candidates, we will need to convince third-party payors of the value that our gene therapy product offers. Third-party payors may be unwilling to accept substantial upfront costs for a therapy where the benefits are realized over a period of years during which the patient may no longer be enrolled in the payor's plan. Furthermore, the pricing for products intended to treat orphan diseases in particular may be perceived as too high to be justified. The perceived high cost for pharmaceutical products to treat orphan diseases may attract increased political and public scrutiny. Moreover, if we obtain marketing approval for a product candidate, such as Zimura, in more than one indication, including, for example in an orphan indication such as STGD1 and a non-orphan indication such as GA secondary to dry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16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and many states. For example, the Trump Administration has expressed an interest in authorizing and/or directing the Center for Medicare &amp; Medicaid Service or other agencies of the U.S. government to negotiate prices for drugs covered by Medicare directly with pharmaceutical companies. If this were to occur, especially for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third-party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payors are requiring that drug companies provide them with predetermined discounts from list prices and are challenging the prices charged for medical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We or any commercialization partner may be required to conduct expensive pharmacoeconomic studies to justify coverage and reimbursement or the level of reimbursement relative to other therapies that may be on the market. If coverage and adequate reimbursement are not available or reimbursement is available only to limited levels, we may not be able to successfully commercialize any product candidate for which we obtain marketing approval.</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 policy that President Trump has expressed interest in pursuing.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pricing of prescription pharmaceuticals is subject to governmental control outside of the United States. In these countries, pricing negotiations with governmental authorities can take considerable time after the receipt of marketing approval for a product. To obtain reimbursement or pricing approval in some countries, we or a commercialization partner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187"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14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raw materials, plasmids and other specialized components of production used in the manufacture and fill/finish of our product candidates.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currently rely exclusively upon, and purchase on a purchase order basis, a single third-party manufacturer to provide Zimura drug substance and a different single third-party manufacturer to provide fill/finish services for Zimura. We do not currently have any contractual commitments for the supply of Zimura drug substance. We also do not currently have arrangements in place for redundant supply or a second source for drug substance for Zimura or a second source for fill/finish services for Zimura. We purchase the polyethylene glycol, or PEG, reagent used to modify the chemically synthesized aptamer in Zimura on a purchase order basis from a single third-party supplier. We do not currently have any contractual commitments for supply of the PEG reagent we use for Zimura. The prices for manufacturing activities that are not yet contractually committed may vary substantially over time and adversely affect our financial results.</w:t>
      </w:r>
    </w:p>
    <w:p>
      <w:pPr>
        <w:spacing w:after="0" w:line="18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For our HtrA1 inhibitor program, we are seeking to engage contract manufacturers for producing the API for our HtrA1 inhibitors. We have engaged a gene therapy CDMO for preclinical and Phase 1/2 clinical supply of our RHO-adRP product candidate. We have recently engaged a CDMO for preclinical and Phase 1/2 clinical supply of the BEST1 gene therapy drug product candidate for which we are planning to commence IND-enabling studies.</w:t>
      </w:r>
    </w:p>
    <w:p>
      <w:pPr>
        <w:spacing w:after="0" w:line="14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current and anticipated future dependence upon others for the manufacture of the product candidates that we are developing or may develop may adversely affect our business plan and future growth. For example, any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w:t>
      </w:r>
    </w:p>
    <w:p>
      <w:pPr>
        <w:spacing w:after="0" w:line="171"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If any of our third-party manufacturers, fill/finish providers or sole-source suppliers fail to fulfill our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to the extent that we or our third party manufacturers rely on materials that are sourced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25" w:lineRule="exact"/>
        <w:rPr>
          <w:sz w:val="20"/>
          <w:szCs w:val="20"/>
          <w:color w:val="auto"/>
        </w:rPr>
      </w:pPr>
    </w:p>
    <w:p>
      <w:pPr>
        <w:ind w:left="980" w:right="50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meet deadlines for the completion of such trials.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in the past and expect in the future to rely upon third parties, such as contract research organizations, or CROs, clinical data management organizations, biostatisticians, academic research collaborators, medical institutions (including reading centers) and clinical investigators, in conducting our preclinical testing and clinical trials for our product candidates.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8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reliance on these third parties for preclinical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within specified timeframes. Failure to do so can result in fines, adverse publicity and civil and criminal sanctions.</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 Furthermore, these third parties may also have relationships with other entities, some of which may be our competitors.</w:t>
      </w:r>
    </w:p>
    <w:p>
      <w:pPr>
        <w:spacing w:after="0" w:line="187"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also rely upon other third parties to store, package, label and distribute drug supplies for our clinical trials and to store materials and drug substance for our preclinical development activities.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We rely on third-party researchers to advance our sponsored research programs. These arrangements may not ultimately yield any promising product candidates for preclinical or clinical development. We may not be able to fully realize the benefits of any intellectual property generated by these arrangements.</w:t>
      </w:r>
    </w:p>
    <w:p>
      <w:pPr>
        <w:spacing w:after="0" w:line="181"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Part of our strategy involves collaborative sponsored research to be performed by third-party research institutions. Although we seek to direct this research and advise on the design of these projects as well as critical development decisions, this research is being performed by individuals who are not our employees and the timeline and quality of the research efforts are outside of our direct control. Academic investigators and other researchers may have different priorities than we do as a biopharmaceutical drug development company. Confidential information and new inventions derived from these research efforts may be disclosed through publications or other means prior to our being able to protect such intellectual property through the filing of patent applications. Our third-party research partners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to advance our development programs, we may have to alter our development and commercialization plans.</w:t>
      </w:r>
    </w:p>
    <w:p>
      <w:pPr>
        <w:spacing w:after="0" w:line="26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In addition, the commercialization of a product candidate in markets outside of the United States requires regulatory expertise and commercial capabilities that are specific to the local market. For some of our product candidates, we may decide to collaborate with pharmaceutical and biotechnology companies for the development and potential commercialization of those product candidates.</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3"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and generate product revenue.</w:t>
      </w:r>
    </w:p>
    <w:p>
      <w:pPr>
        <w:spacing w:after="0" w:line="178" w:lineRule="exact"/>
        <w:rPr>
          <w:sz w:val="20"/>
          <w:szCs w:val="20"/>
          <w:color w:val="auto"/>
        </w:rPr>
      </w:pPr>
    </w:p>
    <w:p>
      <w:pPr>
        <w:jc w:val="both"/>
        <w:ind w:right="440"/>
        <w:spacing w:after="0" w:line="381" w:lineRule="auto"/>
        <w:rPr>
          <w:sz w:val="20"/>
          <w:szCs w:val="20"/>
          <w:color w:val="auto"/>
        </w:rPr>
      </w:pPr>
      <w:r>
        <w:rPr>
          <w:rFonts w:ascii="Arial" w:cs="Arial" w:eastAsia="Arial" w:hAnsi="Arial"/>
          <w:sz w:val="15"/>
          <w:szCs w:val="15"/>
          <w:b w:val="1"/>
          <w:bCs w:val="1"/>
          <w:i w:val="1"/>
          <w:iCs w:val="1"/>
          <w:color w:val="auto"/>
        </w:rPr>
        <w:t>We may enter into collaborations with third parties for the development or commercialization of our product candidates. These collaborations carry numerous risks. If any of our collaborations are not successful, we may not be able to capitalize on the market potential of these product candidates.</w:t>
      </w:r>
    </w:p>
    <w:p>
      <w:pPr>
        <w:spacing w:after="0" w:line="10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may utilize a variety of types of collaboration, distribution and other marketing arrangements with third parties to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do enter into any additional arrangements with third parties in the future, we would likely have limited control over the amount and timing of resources that our collaborators dedicate to the development or commercialization of our product candidates. Our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ability to generate revenues from these arrangements will depend on our collaborators’ abilities and efforts to successfully perform the functions assigned to them in these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25" w:lineRule="exact"/>
        <w:rPr>
          <w:sz w:val="20"/>
          <w:szCs w:val="20"/>
          <w:color w:val="auto"/>
        </w:rPr>
      </w:pPr>
    </w:p>
    <w:p>
      <w:pPr>
        <w:ind w:left="980" w:right="60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170" w:lineRule="exact"/>
        <w:rPr>
          <w:rFonts w:ascii="Arial" w:cs="Arial" w:eastAsia="Arial" w:hAnsi="Arial"/>
          <w:sz w:val="18"/>
          <w:szCs w:val="18"/>
          <w:color w:val="auto"/>
        </w:rPr>
      </w:pPr>
    </w:p>
    <w:p>
      <w:pPr>
        <w:ind w:left="980" w:right="240" w:hanging="324"/>
        <w:spacing w:after="0" w:line="259"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186" w:lineRule="exact"/>
        <w:rPr>
          <w:rFonts w:ascii="Arial" w:cs="Arial" w:eastAsia="Arial" w:hAnsi="Arial"/>
          <w:sz w:val="18"/>
          <w:szCs w:val="18"/>
          <w:color w:val="auto"/>
        </w:rPr>
      </w:pPr>
    </w:p>
    <w:p>
      <w:pPr>
        <w:ind w:left="980" w:right="660" w:hanging="324"/>
        <w:spacing w:after="0" w:line="308"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980" w:right="80" w:hanging="324"/>
        <w:spacing w:after="0" w:line="26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25" w:lineRule="exact"/>
        <w:rPr>
          <w:rFonts w:ascii="Arial" w:cs="Arial" w:eastAsia="Arial" w:hAnsi="Arial"/>
          <w:sz w:val="18"/>
          <w:szCs w:val="18"/>
          <w:color w:val="auto"/>
        </w:rPr>
      </w:pPr>
    </w:p>
    <w:p>
      <w:pPr>
        <w:jc w:val="both"/>
        <w:ind w:left="980" w:right="20" w:hanging="324"/>
        <w:spacing w:after="0" w:line="259"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be expensive;</w:t>
      </w:r>
    </w:p>
    <w:p>
      <w:pPr>
        <w:spacing w:after="0" w:line="186" w:lineRule="exact"/>
        <w:rPr>
          <w:rFonts w:ascii="Arial" w:cs="Arial" w:eastAsia="Arial" w:hAnsi="Arial"/>
          <w:sz w:val="18"/>
          <w:szCs w:val="18"/>
          <w:color w:val="auto"/>
        </w:rPr>
      </w:pPr>
    </w:p>
    <w:p>
      <w:pPr>
        <w:ind w:left="980" w:right="74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 and</w:t>
      </w:r>
    </w:p>
    <w:p>
      <w:pPr>
        <w:spacing w:after="0" w:line="165" w:lineRule="exact"/>
        <w:rPr>
          <w:rFonts w:ascii="Arial" w:cs="Arial" w:eastAsia="Arial" w:hAnsi="Arial"/>
          <w:sz w:val="17"/>
          <w:szCs w:val="17"/>
          <w:color w:val="auto"/>
        </w:rPr>
      </w:pPr>
    </w:p>
    <w:p>
      <w:pPr>
        <w:jc w:val="both"/>
        <w:ind w:left="980" w:right="260" w:hanging="324"/>
        <w:spacing w:after="0" w:line="342"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collaborations may be terminated for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in the business and financial communities could be adversely affected.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We depend on licenses and sublicenses for development and commercialization rights to Zimura and our RHO-adRP gene therapy product candidate. These license arrangements, as well as the Inception 4 Merger Agreement, impose diligence obligations on us. We may enter into similar arrangements with respect to future product candidates, including any license agreement we enter into with Penn and UFRF for the BEST1 gene therapy product candidates for which we hold an option.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are party to a license agreement with Archemix on which we depend for rights to Zimura and a separate license agreement with UFRF and Penn on which we depend for rights to our RHO-adRP gene therapy product candidate.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our HtrA1 inhibitor program, also imposes a certain diligence obligation and certain milestone payment obligations on us. We may enter into acquisition or licensing agreements in the future that would impose similar obligations on us, particularly as we continue to pursue our strategy to potentially acquire or in-license additional products, product candidates or other technologies and expand our product pipeline.</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will need to enter into a definitive license agreement with Penn and UFRF for us to continue developing the Best1 gene therapy product candidate for which we are planning to commence IND-enabling studies and any other Best1 gene therapy product candidates from this program. We may not be successful in agreeing to a definitive license agreement with Penn and UFRF, and even if we execute a license agreement, the agreement may contain terms that may be unfavorable to us.</w:t>
      </w:r>
    </w:p>
    <w:p>
      <w:pPr>
        <w:spacing w:after="0" w:line="18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our RHO-adRP gene therapy product candidate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 million.</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Zimura and other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7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Moreover, the license agreement for our RHO-adRP gene therapy product candidate reserves for the licensing academic institutions the right to continue to practice for research purposes, the inventions covered by the intellectual property rights that we have in-licensed. These licensing institutions or their collaborators may generate scientific, preclinical or clinical data with respect to our product candidate, separate from our research and development efforts, that is inconsistent with other data for such product candidate, including additional preclinical and clinical data that we develop. Investigators at these institutions may publish, present, or otherwise publicly disclose this data, which may have an adverse impact on the prospects of the development of our product candidate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400"/>
        <w:spacing w:after="0" w:line="340" w:lineRule="auto"/>
        <w:rPr>
          <w:sz w:val="20"/>
          <w:szCs w:val="20"/>
          <w:color w:val="auto"/>
        </w:rPr>
      </w:pPr>
      <w:r>
        <w:rPr>
          <w:rFonts w:ascii="Arial" w:cs="Arial" w:eastAsia="Arial" w:hAnsi="Arial"/>
          <w:sz w:val="15"/>
          <w:szCs w:val="15"/>
          <w:b w:val="1"/>
          <w:bCs w:val="1"/>
          <w:i w:val="1"/>
          <w:iCs w:val="1"/>
          <w:color w:val="auto"/>
        </w:rPr>
        <w:t>If we are unable to obtain and maintain or do not maintain patent protection for our technology and products during the period of their commercialization,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3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As we expect the clinical development of Zimura to continue for at least the next several years, these expiration dates may be prior to the date by which we would be able to commercialize Zimura in the United States or Europe if we seek and obtain marketing approval. Once our patents expire, we may not be able to exclude competitors from commercializing products similar or identical to ours. Even if we are able to obtain marketing approval for and commercially launch Zimura prior to the expiration of these patents, the remaining term of those patents may be shorter than we anticipate. Although our existing patent rights for our HtrA1 inhibitors and our RHO-adRP gene therapy product candidate are not expected to expire until 2037 or 2039, we face the same risk with those product candidates and any future product candidates that we may develop.</w:t>
      </w:r>
    </w:p>
    <w:p>
      <w:pPr>
        <w:spacing w:after="0" w:line="182" w:lineRule="exact"/>
        <w:rPr>
          <w:sz w:val="20"/>
          <w:szCs w:val="20"/>
          <w:color w:val="auto"/>
        </w:rPr>
      </w:pPr>
    </w:p>
    <w:p>
      <w:pPr>
        <w:jc w:val="both"/>
        <w:ind w:right="120" w:firstLine="648"/>
        <w:spacing w:after="0" w:line="285" w:lineRule="auto"/>
        <w:rPr>
          <w:sz w:val="20"/>
          <w:szCs w:val="20"/>
          <w:color w:val="auto"/>
        </w:rPr>
      </w:pPr>
      <w:r>
        <w:rPr>
          <w:rFonts w:ascii="Arial" w:cs="Arial" w:eastAsia="Arial" w:hAnsi="Arial"/>
          <w:sz w:val="16"/>
          <w:szCs w:val="16"/>
          <w:color w:val="auto"/>
        </w:rPr>
        <w:t>Depending on potential delays in the regulatory review process for Zimura, we may be able to obtain patent term extension for one of our patents in the United States under the Hatch-Waxman Act, which permits a patent extension term of up to five years as partial compensation for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w:t>
      </w:r>
    </w:p>
    <w:p>
      <w:pPr>
        <w:spacing w:after="0" w:line="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obtain approval of competing products following our patent expiration, and our revenue could be reduced, possibly materially.</w:t>
      </w:r>
    </w:p>
    <w:p>
      <w:pPr>
        <w:spacing w:after="0" w:line="179"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Certain of our licensed patent rights for Zimura are method-of-treatment patents.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Zimura or any other product candidates we may develop would limit our ability to generate revenue from the sale of Zimura or such other product candidates, if approved for commercial sale. In addition, European patent law generally makes the issuance and enforcement of patents that cover methods of treatment of the human body difficult. Further, once the composition-of-matter patents relating to Zimura or any other product candidate in a particular jurisdiction, if any, expire, competitors will be able to make, offer and sell products containing the same drug substance as Zimura or such other product candidate in that jurisdiction so long as these competitors do not infringe any of our other patents covering Zimura’s composition of matter or method of use or manufacture, do not violate the terms of any marketing or data exclusivity that may be granted to us by regulatory authorities and obtain any necessary marketing approvals from applicable regulatory authorities. In such circumstances, we also may not be able to detect, prevent or prosecute off-label use of such competitors’ products containing the same drug substance as Zimura, even if such use infringes any of our method-of-treatment patents.</w:t>
      </w:r>
    </w:p>
    <w:p>
      <w:pPr>
        <w:spacing w:after="0" w:line="18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BEST1 gene therapy product candidate for which we are planning to commence IND-enabling activities is not currently covered by a patent or pending patent application. In developing and advancing this product candidate, we may seek to rely on the prospect of generating new intellectual property during development of the product candidate or the potential for non-patent market exclusivity, including regulatory exclusivity as a result of the Orphan Drug Act. If we, together with Penn and UFRF, are unable to generate data to support a patent or patent application to cover this product candidate or if we are unable to obtain non-patent market exclusivity, we may not be able to exclude competitors from marketing an identical or substantially similar product.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For our sponsored research agreements with UMMS and Penn, we are generally relying on our university collaborators to generate research and data to support new patent applications. The results of any sponsored research are uncertain and the interests of the universities and university researchers are not necessarily aligned with our interests as a commercial entity. The research may generate limited patentable results or data, or none at all. Furthermore, the universities generally control the filing, prosecution and maintenance of any patents or patent applications resulting from the sponsored research. Therefore, we may not be able to obtain any patent or other exclusivity protections as a result of our collaborative gene therapy sponsored research programs, which could materially diminish or eliminate the value of these programs.</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under which we are licensed without infringing such patents. This might enable our competitors to develop during the lifetime of these patents drugs that compete with our product candidates, if they are ultimately approved.</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 We could also fail to take the required actions and pay the necessary governmental fees to maintain our patents.</w:t>
      </w:r>
    </w:p>
    <w:p>
      <w:pPr>
        <w:spacing w:after="0" w:line="18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validity, term, enforceability and commercial value of our patent rights are highly uncertain.</w:t>
      </w:r>
    </w:p>
    <w:p>
      <w:pPr>
        <w:spacing w:after="0" w:line="16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patent applications and the enforcement or defense of our issued patents. The Leahy-Smith America Invents Act, or the Leahy-Smith Act, was signed into law in September 2011, and many of the substantive changes became effective in March 2013. The Leahy-Smith Act revised United States patent law in part by changing the standard for patent approval from a “first to invent” standard to a “first to file” standard and developing a post-grant review system. This legislation changed United States patent law in a way that may weaken our ability to obtain patent protection in the United States for those applications filed after March 2013. For example, if we are the first to invent a new product or its use, but another party is the first to file a patent application on this invention, under the new law the other party may be entitled to the patent rights on the invention. Furthermore, the Leathy-Smith Act expanded the ability of third parties to challenge the patents held by patentees through administrative reviews at the USPTO, which may facilitate others to challenge our patents.</w:t>
      </w:r>
    </w:p>
    <w:p>
      <w:pPr>
        <w:spacing w:after="0" w:line="179"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interference proceedings or other patent office proceedings or litigation, in the United States or elsewhere, challenging our patent rights or the patent rights of others.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125"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47"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color w:val="auto"/>
        </w:rPr>
        <w:t>Our commercial success depends upon our ability and the ability of any future collaboration and commercialization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There is considerable intellectual property litigation in the biotechnology and pharmaceutical industries. We or any future collaboration and commercialization partners may become party to, or threatened with, future adversarial proceedings or litigation regarding intellectual property rights with respect to our products and technology, including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opposition, cancellation or similar proceedings before the USPTO or its foreign counterparts. The risks of being involved in such litigation and proceedings may also increase as our or their product candidates near commercialization.</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Third parties may assert infringement claims against us or our collaboration or commercialization partners based on existing or future intellectual property rights. We or they may not be aware of all such intellectual property rights potentially relating to our product candidates and their manufacture and uses.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commercialization thereof, does not and will not infringe or otherwise violate any third party’s intellectual property.</w:t>
      </w:r>
    </w:p>
    <w:p>
      <w:pPr>
        <w:spacing w:after="0" w:line="18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If we are or any of our future collaboration or commercialization partners is found to infringe or otherwise violate a third party’s intellectual property rights, we or they could be required to obtain a license from such third party to continue developing and marketing our or their products and technology or to continue using a trademark. However, we or our future collaboration and commercialization partners may not be able to obtain any required license on commercially reasonable terms or at all. Even if we or they were able to obtain a license, it could be non-exclusive, thereby giving our competitors access to the same technologies licensed to us or our collaboration and commercialization partners and could require us or them to make substantial licensing and royalty payments. We or our future collaboration and commercialization partners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future collaboration and commercialization partners from commercializing our or their product candidates or force us or them to cease some of our business operations, which could materially harm our business. Claims that we or our future collaboration and commercialization partners have misappropriated the confidential information or trade secrets of third parties could expose us or them to similar liabilities and have a similar negative impact on our business.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any such employee’s or contractor’s former employer. Litigation may be necessary to defend against these claims.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rights to our product candidates from third parties, we must rely upon these third parties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and their successors' practices, and those of their predecessors, with regard to the assignment of intellectual property therein, including the intellectual property rights protecting the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6"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0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certain rights to Zimura from Archemix, we must rely upon Archemix's and its successors' practices, and those of its predecessors, with regard to the protection of Zimura-related trade secrets before we acquired it. Similarly, because we acquired our HtrA1 inhibitor program through the acquisition of Inception 4, we are relying upon Inception 4's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 able to obtain adequate remedies for such breaches. Our proprietary information may also be obtained by third parties by other means, such as breaches of our physical or computer security systems.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they communicate it, from using that technology or information to compete with us. If any of our trade secrets were to be disclosed to or independently developed by a competitor, our competitive position would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significantly upon information technology systems and any failure, inadequacy, interruption or security lapse of these systems could harm our ability to operate our business effectively.</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the ordinary course of our business, we and our third-party contractors maintain personal and other sensitive data on our and their respective networks, including our intellectual property and proprietary or confidential business information relating to our business and that of our clinical trial participants, business partners and employees. In particular, we rely on contract research organizations and other third parties to store and manage information from our clinical trials. The secure maintenance of this sensitive information is critical to our business and reputation.</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implemented a number of measures to protect our information technology systems. These measures include, among others, creation of a cyber-security governance team and standard operating procedures for responding to any cyber-security breaches, mandatory cyber-security training for our employees and consultants with access to our information technology systems and engagement of a third-party vendor to assess our informational technology systems and potential vulnerabilities.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third-party contractors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security incidents, cyber-attacks,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or those of our third-party contractors.</w:t>
      </w:r>
    </w:p>
    <w:p>
      <w:pPr>
        <w:spacing w:after="0" w:line="18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For information stored with our third-party contractors, we rely upon, and the integrity and confidentiality of such information is dependent upon, the risk mitigation efforts such third-party contractors have in place. In the recent past, cyber-attacks have become more prevalent and much harder to detect and defend against. Our and our third-party contractors’ respective network and storage applications may be subject to unauthorized access by hackers or breached due to operator error, malfeasance or other system disruptions. We might not anticipate or immediately detect such incidents and the damage caused by such incidents. System failures, data breaches and any unauthorized access or disclosure of our information or intellectual property could compromise our intellectual property and expose sensitive business information. System failures or accidents or security breaches could cause interruptions in our operations, and could result in a material disruption of our research and development activities and business operations, in addition to possibly requiring substantial expenditures of resources to remedy. Moreover, if a breach of our security or that of our vendors occurs, the market perception of the effectiveness of our security measures could be harmed and our reputation and credibility could be damaged.</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 data security breach could also lead to public or unauthorized exposure of personal information of our clinical trial patients, our employees or others. Cyber-attacks and the measures we implement to prevent, detect, and respond to them could cause us to incur significant remediation costs, result in product development delays, disrupt key business operations, expose us to contractual damages and/or regulatory liability, require us to make certain breach notifications, divert the attention of our management and key information technology resources, harm our reputation and deter patients, clinical investigators or other business partners from participating in our clinical trials or otherwise working with us. Any loss of preclinical data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public disclosure of confidential or proprietary information, we could incur liability and our product research, development and commercialization efforts could be delayed. In addition, we may not have adequate insurance coverage to provide compensation for any losses associated with such events.</w:t>
      </w:r>
    </w:p>
    <w:p>
      <w:pPr>
        <w:spacing w:after="0" w:line="7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collection, use, disclosure, transfer, or other processing of personal data regarding individuals in the European Union,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Given the breadth and depth of changes in data protection obligations, preparing for and complying with the GDPR’s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any non-compliance by us or our employees, consultants or contractors could lead to government enforcement actions, private litigation, significant fines and penalties, or reputational harm and could have a material adverse effect on our business, financial condition or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87"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by the EMA and comparable regulatory agencies in other countries.</w:t>
      </w:r>
    </w:p>
    <w:p>
      <w:pPr>
        <w:spacing w:after="0" w:line="18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16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Marketing approval of novel product candidates such as Zimura or our RHO-adRP gene therapy product candidate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one gene replacement product to date. This lack of experience may lengthen the regulatory review process, require us to conduct additional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7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our product candidates from being marketed in such jurisdictions.</w:t>
      </w:r>
    </w:p>
    <w:p>
      <w:pPr>
        <w:spacing w:after="0" w:line="24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preclinical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commercialization partners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w:t>
      </w:r>
    </w:p>
    <w:p>
      <w:pPr>
        <w:spacing w:after="0" w:line="17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It remains to be seen how, if at all, Brexit will actually occur and how, if at all, Brexit will impact regulatory requirements for the approval of pharmaceutical product candidates and the sale of pharmaceutical products in the United Kingdom and the European Union.</w:t>
      </w:r>
    </w:p>
    <w:p>
      <w:pPr>
        <w:spacing w:after="0" w:line="6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We currently do not have orphan drug designations or orphan drug exclusivity for any product.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8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3"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9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particular, the concept of what constitutes the "same drug" for purposes of orphan drug exclusivity is unclear in the context of gene therapies, and the FDA has issued draft guidance suggesting minor variations in the construct of a gene therapy that lead to improvements in safety or efficacy may result in the determination that a drug is a "different drug". In the European Union, marketing authorization may be granted to a similar medicinal product for the same orphan indication if:</w:t>
      </w:r>
    </w:p>
    <w:p>
      <w:pPr>
        <w:spacing w:after="0" w:line="178" w:lineRule="exact"/>
        <w:rPr>
          <w:sz w:val="20"/>
          <w:szCs w:val="20"/>
          <w:color w:val="auto"/>
        </w:rPr>
      </w:pPr>
    </w:p>
    <w:p>
      <w:pPr>
        <w:ind w:left="980" w:right="66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FDA has broad discretion whether or not to grant fast track designation or priority review status, so even if we believe a particular product candidate is eligible for such designation or status the FDA could decide not to grant it. Even though a product has received fast track designation and may be eligible for priority review status, a sponsor may not ultimately experience a faster development process, review or approval compared to conventional FDA procedures.</w:t>
      </w:r>
    </w:p>
    <w:p>
      <w:pPr>
        <w:spacing w:after="0" w:line="18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4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2012, Congress enacted the Food and Product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25"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0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Any product candidate for which we or our commercialization partners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requirement to implement a risk evaluation and mitigation strategy.</w:t>
      </w:r>
    </w:p>
    <w:p>
      <w:pPr>
        <w:spacing w:after="0" w:line="17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70"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such as the GDPR, can also lead to significant penalties and sanctions.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81"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Healthcare providers, physicians and third-party payors play a primary role in the recommendation and prescription of any product candidates for which we obtain marketing approval. Our future arrangements with healthcare providers, physicians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158" w:lineRule="exact"/>
        <w:rPr>
          <w:sz w:val="20"/>
          <w:szCs w:val="20"/>
          <w:color w:val="auto"/>
        </w:rPr>
      </w:pPr>
    </w:p>
    <w:p>
      <w:pPr>
        <w:ind w:left="980" w:right="160" w:hanging="324"/>
        <w:spacing w:after="0" w:line="259"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86" w:lineRule="exact"/>
        <w:rPr>
          <w:rFonts w:ascii="Arial" w:cs="Arial" w:eastAsia="Arial" w:hAnsi="Arial"/>
          <w:sz w:val="18"/>
          <w:szCs w:val="18"/>
          <w:color w:val="auto"/>
        </w:rPr>
      </w:pPr>
    </w:p>
    <w:p>
      <w:pPr>
        <w:ind w:left="980" w:right="140" w:hanging="324"/>
        <w:spacing w:after="0" w:line="25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188"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with data collection beginning in August 2013; and</w:t>
      </w:r>
    </w:p>
    <w:p>
      <w:pPr>
        <w:spacing w:after="0" w:line="170"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We are developing and implementing a corporate compliance program designed to ensure that we will market and sell any future products that we successfully develop from our product candidates in compliance with all applicable laws and regulations, but we cannot guarantee that this program will protect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damages, fines, imprisonment, exclusion of products from government funded healthcare programs, such as Medicare and Medicaid, and the curtailment or restructuring of our or their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39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Our operations may be dependent on the normal function on the FDA, the SEC and other government agencies. The inability of those agencies to obtain necessary funding and other effects from the political process could prevent those agencies from performing normal functions on which the operation of our business may rely, which could negatively impact our business.</w:t>
      </w:r>
    </w:p>
    <w:p>
      <w:pPr>
        <w:spacing w:after="0" w:line="18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funding levels, ability to hire and retain key personnel and to accept the payment of user fees, and statutory, regulatory, and policy changes. Government funding of the FDA, the SEC and other government agencies on which our operations may rely is subject to the political process, which is inherently fluid and unpredictable.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 In addition, the Trump Administration has taken several executive actions, including the issuance of a number of executive orders, that could affect federal agencies, including the FDA. Those executive actions, some of which are still being implemented, may impose significant burdens on, or otherwise materially delay, the FDA’s ability to engage in routine regulatory and oversight activities, which could negatively impact our business.</w:t>
      </w:r>
    </w:p>
    <w:p>
      <w:pPr>
        <w:spacing w:after="0" w:line="1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Current and future legislation and regulations may increase the difficulty and cost for us and any future collaborators to obtain marketing approval of and commercialize our product candidates and affect the prices we, or they, may obtain.</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March 2010, President Barack H.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73" w:lineRule="exact"/>
        <w:rPr>
          <w:sz w:val="20"/>
          <w:szCs w:val="20"/>
          <w:color w:val="auto"/>
        </w:rPr>
      </w:pPr>
    </w:p>
    <w:p>
      <w:pPr>
        <w:ind w:left="880" w:hanging="359"/>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209" w:lineRule="exact"/>
        <w:rPr>
          <w:rFonts w:ascii="Arial" w:cs="Arial" w:eastAsia="Arial" w:hAnsi="Arial"/>
          <w:sz w:val="17"/>
          <w:szCs w:val="17"/>
          <w:color w:val="auto"/>
        </w:rPr>
      </w:pPr>
    </w:p>
    <w:p>
      <w:pPr>
        <w:ind w:left="880" w:hanging="359"/>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98" w:lineRule="exact"/>
        <w:rPr>
          <w:rFonts w:ascii="Arial" w:cs="Arial" w:eastAsia="Arial" w:hAnsi="Arial"/>
          <w:sz w:val="18"/>
          <w:szCs w:val="18"/>
          <w:color w:val="auto"/>
        </w:rPr>
      </w:pPr>
    </w:p>
    <w:p>
      <w:pPr>
        <w:ind w:left="880" w:right="520" w:hanging="359"/>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143" w:lineRule="exact"/>
        <w:rPr>
          <w:rFonts w:ascii="Arial" w:cs="Arial" w:eastAsia="Arial" w:hAnsi="Arial"/>
          <w:sz w:val="18"/>
          <w:szCs w:val="18"/>
          <w:color w:val="auto"/>
        </w:rPr>
      </w:pPr>
    </w:p>
    <w:p>
      <w:pPr>
        <w:ind w:left="880" w:right="280" w:hanging="359"/>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143" w:lineRule="exact"/>
        <w:rPr>
          <w:rFonts w:ascii="Arial" w:cs="Arial" w:eastAsia="Arial" w:hAnsi="Arial"/>
          <w:sz w:val="18"/>
          <w:szCs w:val="18"/>
          <w:color w:val="auto"/>
        </w:rPr>
      </w:pPr>
    </w:p>
    <w:p>
      <w:pPr>
        <w:ind w:left="880" w:hanging="359"/>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98" w:lineRule="exact"/>
        <w:rPr>
          <w:rFonts w:ascii="Arial" w:cs="Arial" w:eastAsia="Arial" w:hAnsi="Arial"/>
          <w:sz w:val="18"/>
          <w:szCs w:val="18"/>
          <w:color w:val="auto"/>
        </w:rPr>
      </w:pPr>
    </w:p>
    <w:p>
      <w:pPr>
        <w:ind w:left="880" w:hanging="359"/>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new requirement to annually report product samples that manufacturers and distributors provide to physicians; and</w:t>
      </w:r>
    </w:p>
    <w:p>
      <w:pPr>
        <w:spacing w:after="0" w:line="198" w:lineRule="exact"/>
        <w:rPr>
          <w:rFonts w:ascii="Arial" w:cs="Arial" w:eastAsia="Arial" w:hAnsi="Arial"/>
          <w:sz w:val="18"/>
          <w:szCs w:val="18"/>
          <w:color w:val="auto"/>
        </w:rPr>
      </w:pPr>
    </w:p>
    <w:p>
      <w:pPr>
        <w:ind w:left="880" w:right="300" w:hanging="359"/>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5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enactment of the ACA, there have been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Congress may consider other legislation to replace or amend elements of the ACA during the current congressional session.</w:t>
      </w:r>
    </w:p>
    <w:p>
      <w:pPr>
        <w:spacing w:after="0" w:line="18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the U.S. Court of Appeals for the Federal Circuit ruled that the federal government was not required to pay more than $12 billion in ACA risk corridor payments to third-party payors who argued the payments were owed to them. The effects of this gap in reimbursement on third-party payors, the viability of the ACA marketplace, providers, and potentially our business are not yet known.</w:t>
      </w:r>
    </w:p>
    <w:p>
      <w:pPr>
        <w:spacing w:after="0" w:line="2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will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While the timing and scope of any potential future legislation to repeal and replace ACA provisions is highly uncertain in many respects, it is also possible that some of the ACA provisions that generally are not favorable for the research-based pharmaceutical industry could also be repealed along with ACA coverage expansion provisions.</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costs of prescription pharmaceuticals in the United States has also been the subject of considerable discussion in the United States, and members of Congress and the Trump Administration have stated that they will address such costs through new legislative and administrative measures. In May 2018, the Trump Administration announced a plan that would include several initiatives designed to lower drug prices and additional similar proposals from HHS and CMS have followed. At the state level, individual states are increasingly passing legislation and implementing regulations designed to control pharmaceutical and biological product pricing. Additionally, third party payors, regional health care authorities and individual hospitals are increasingly using bidding procedures to determine what pharmaceutical products and which suppliers will be included in their prescription drug and other health care programs. We expect additional measures addressing pharmaceutical pricing to be proposed and may be adopted in the future, which could reduce the ultimate demand for our products, once approved, or put pressure on our product pricing.</w:t>
      </w:r>
    </w:p>
    <w:p>
      <w:pPr>
        <w:spacing w:after="0" w:line="1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as those in the United States may affect our ability to profitably commercialize our products.</w:t>
      </w:r>
    </w:p>
    <w:p>
      <w:pPr>
        <w:spacing w:after="0" w:line="5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right="20" w:firstLine="8"/>
        <w:spacing w:after="0" w:line="252" w:lineRule="auto"/>
        <w:tabs>
          <w:tab w:leader="none" w:pos="1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development-stage company with a limited number of employees and we may experience difficulties in retaining key employees and consultants.</w:t>
      </w:r>
    </w:p>
    <w:p>
      <w:pPr>
        <w:spacing w:after="0" w:line="260"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We are a development-stage company with a total of 35 full-time employees as of January 31, 2019. These employees support key areas of our business and operations, including clinical operations, regulatory affairs, drug safety, data management, outsourced manufacturing and supply chain management, analytical development and quality assurance, as well as all of our general and administrative functions and public company infrastructure.</w:t>
      </w:r>
    </w:p>
    <w:p>
      <w:pPr>
        <w:spacing w:after="0" w:line="14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that we expect to retain to assist with the growth of our business may choose not to remain employees. In addition, we may experience difficulties in retaining key employees, given the change in prospects for our company as well as other challenges. The loss of the services of our executive officers or other key employees could impede the achievement of our research, development and commercialization objectives and seriously harm our ability to successfully implement our business plan.</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Furthermore, replacing any such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including, in particular, personnel with gene therapy experience. We also experience competition for the hiring of scientific and clinical personnel from universities and research institutions. In addition, we rely on consultants and advisors, including scientific and clinical advisors, to assist us in formulating our research and development, pipeline expansion and commercialization strategies, including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retaining key consultants previously used by Inception 4 for our HtrA1 inhibitor program and engaging and retaining key consultants with gene therapy experience. Our consultants and advisors may be employed by employers other than us and may have commitments under consulting or advisory contracts with other entities that may limit their availability to us. If we are unable to strategically attract or retain high quality personnel as we implement our business plan, our ability to pursue our development strategy would be limited.</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July 2015, our management concluded that we experienced a material weakness in internal controls related to technical accounting expertise over the accounting for deferred tax assets and income tax accounting in general during certain prior financial reporting periods. The deficiency in the application of our controls relating to technical accounting expertise over the accounting for deferred tax assets and income tax accounting in general resulted in the audit committee of our board of directors concluding that the relevant financial statements should not be relied upon, and our subsequent restatement of the relevant financial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2015, we took the following steps to remediate the identified material weakness: we added staffing within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finance department and engaged a nationally recognized accounting firm, in each case, with technical expertise in the area of tax accounting and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Our management concluded that the identified material weakness in internal control over financial reporting was fully remediated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Although we have remediated this deficiency in internal control over financial reporting, we cannot be certain that the remedial measures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took in the past or other measures we take in the future, especially in light of our decreased size as a result of the implementation of our reduction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personnel during the year ended on December 31, 2017, and the associated decrease in staffing in our accounting and finance areas, will ensure that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maintain adequate controls over our financial reporting going forward and, accordingly, additional material weaknesses could occur or be identified.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material weaknesses or combination of deficiencies could materially and adversely affect our ability to provide timely and accurate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and the current and future deficiencies may impact investors’ confidence in our internal controls and our company, which could cause our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to decline.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0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8"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 of directors;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81"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stockholders.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188" w:lineRule="exact"/>
        <w:rPr>
          <w:sz w:val="20"/>
          <w:szCs w:val="20"/>
          <w:color w:val="auto"/>
        </w:rPr>
      </w:pPr>
    </w:p>
    <w:p>
      <w:pPr>
        <w:ind w:left="980" w:right="8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clinical trials for our product candidates and the timing of the receipt of such results;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the rights to other products, product candidates and technologies for the treatment of ophthalmic diseases;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political, regulatory or legal developments in the United States and other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For example, following our announcement of initial, top-line results from our OPH2007 Phase 2a clinical trial for Zimura in combination with the anti-VEGF agent Lucentis for the treatment of wet AMD, the closing price of our common stock declined from $2.22 on November 9, 2018 to $1.92 on November 14, 2018 and declined further thereafter. The closing price of our common stock was $1.45 on February 27, 2019. Following periods of volatility in the market price of a company’s stock, securities class-action litigation has often been instituted against that company. We and certain of our current and former executive officers have been named as defendants in purported class action lawsuits following our announcement in December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2016 of the initial, top-line results from the first two of our Phase 3 Fovista trials for the treatment of wet AMD. See Part I, Item 3 of this Annual Report on Form 10-K and in this "Risk Factors" section, “</w:t>
      </w:r>
      <w:r>
        <w:rPr>
          <w:rFonts w:ascii="Arial" w:cs="Arial" w:eastAsia="Arial" w:hAnsi="Arial"/>
          <w:sz w:val="17"/>
          <w:szCs w:val="17"/>
          <w:i w:val="1"/>
          <w:iCs w:val="1"/>
          <w:color w:val="auto"/>
        </w:rPr>
        <w:t>Risks Related to Our Business Plan, Financial Position and Need for Additional Capital—We and certain of</w:t>
      </w:r>
      <w:r>
        <w:rPr>
          <w:rFonts w:ascii="Arial" w:cs="Arial" w:eastAsia="Arial" w:hAnsi="Arial"/>
          <w:sz w:val="17"/>
          <w:szCs w:val="17"/>
          <w:color w:val="auto"/>
        </w:rPr>
        <w:t xml:space="preserve"> </w:t>
      </w:r>
      <w:r>
        <w:rPr>
          <w:rFonts w:ascii="Arial" w:cs="Arial" w:eastAsia="Arial" w:hAnsi="Arial"/>
          <w:sz w:val="17"/>
          <w:szCs w:val="17"/>
          <w:i w:val="1"/>
          <w:iCs w:val="1"/>
          <w:color w:val="auto"/>
        </w:rPr>
        <w:t>our current and former executive officers have been named as defendants in lawsuits that could result in substantial costs and divert management’s attention</w:t>
      </w:r>
      <w:r>
        <w:rPr>
          <w:rFonts w:ascii="Arial" w:cs="Arial" w:eastAsia="Arial" w:hAnsi="Arial"/>
          <w:sz w:val="17"/>
          <w:szCs w:val="17"/>
          <w:color w:val="auto"/>
        </w:rPr>
        <w:t>.” These proceedings and other similar litigation, if instituted against us, could cause us to incur substantial costs to defend such claims and divert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attention and resources, which could seriously harm our business.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We issued 5,174,727 shares of our common stock to the former equityholders of Inception 4 as upfront consideration for the Inception 4 Merger. These shares are subject to lock-up restrictions, which will expire at the end of April 2019 with respect to 50% of such shares, and at the end of October 2019 with respect to the remaining 50% of such shares, following which such shares may be freely sold and traded, subject to volume, notice and manner of sale restrictions under Rule 144 in the case of our affiliates. Moreover, we have agreed to use commercially reasonable efforts, subject to specified conditions, to register these shares, following which the volume, notice and manner of sale restrictions under Rule 144 will not apply. We may issue additional shares to the former equityholders of Inception 4 in the event that we achieve certain clinical and regulatory milestones in relation to our HtrA1 inhibitor program.</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8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our stockholders’ sole source of gain for the foreseeable future.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properties consist of office space in New York, New York and Princeton, New Jersey. We lease approximately 13,500 square feet of office space in New York, New York under a lease that terminates at the end of June 2020 and approximately 5,500 square feet of office space in Princeton, New Jersey under a sublease that terminates in March 2020.</w:t>
      </w:r>
    </w:p>
    <w:p>
      <w:pPr>
        <w:spacing w:after="0" w:line="3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January 11, 2017, a putative class action lawsuit was filed against us and certain of our current and former executive officers in the United States District Court for the Southern District of New York, captioned Frank Micholle v. Ophthotech Corporation, et al., No. 1:17-cv-00210. On March 9, 2017, a related putative class action lawsuit was filed against us and the same group of our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our common stock between March 2, 2015 and December 12, 2016. The CAC generally alleges that we and certain of our officers violated Sections 10(b) and/or 20(a) of the Securities Exchange Act of 1934 and Rule 10b-5 promulgated thereunder by making allegedly false and/or misleading statements concerning the results of our Phase 2b trial and the prospects of our Phase 3 trials for Fovista in combination with anti-VEGF agents for the treatment of wet AMD. The CAC seeks unspecified damages, attorneys’ fees, and other costs. We and the individual defendants filed a motion to dismiss the CAC on July 27, 2018. That motion is fully briefed.</w:t>
      </w:r>
    </w:p>
    <w:p>
      <w:pPr>
        <w:spacing w:after="0" w:line="178"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On February 7, 2018, a shareholder derivative action was filed against the members of our board of directors in the New York Supreme Court Commercial Division, captioned Cano v. Guyer, et al., No. 650601/2018. The complaint alleges that the defendants breached their fiduciary duties to our company by adopting a compensation plan that overcompensates the non-employee members of the Board relative to boards of companies of comparable market capitalization and size. The complaint also alleges that the defendants were unjustly enriched as a result of the alleged conduct. The complaint purports to seek unspecified damages on our behalf, attorneys’ fees, and other costs, as well as an order directing us to reform and improve our corporate governance and internal procedures to comply with applicable laws. We filed a motion to dismiss this case on May 14, 2018. On June 4, 2018, the plaintiff filed an amended complaint. On June 25, 2018, we filed a renewed motion to dismiss this case. On December 3, 2018, the parties filed a stipulation of settlement that contemplates that we will adopt certain compensation-related governance reforms and does not obligate the defendants or us to pay any monetary damages. In addition, we expect we may be liable to pay approximately $300,000 in fees to plaintiff's counsel. A hearing to determine whether the court will approve the settlement is scheduled for March 12, 2019.</w:t>
      </w:r>
    </w:p>
    <w:p>
      <w:pPr>
        <w:spacing w:after="0" w:line="17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August 31, 2018, a shareholder derivative action was filed against current and former members of our board of directors and certain of our current and former officers in the United States District Court for the Southern District of New York, captioned Luis Pacheco v. David R. Guyer, et al., Case No. 1:18-cv-07999. The complaint, which is based substantially on the facts alleged in the CAC, alleges that the defendants breached their fiduciary duties to our company and wasted our corporate assets by failing to oversee our business, and also alleges that the defendants were unjustly enriched as a result of the alleged conduct, including through receipt of bonuses, stock options and similar compensation from us, and through sales of our stock between March 2, 2015 and December 12, 2016. The complaint purports to seek unspecified damages on our behalf, attorneys’ fees, and other costs, as well as an order directing us to reform and improve our corporate governance and internal procedures to comply with applicable laws, including submitting certain proposed amendments to our corporate charter, bylaws and corporate governance policies for vote by our stockholders. On December 14, 2018, we filed a motion to dismiss the complaint. The plaintiff filed an opposition to the motion to dismiss on February 22, 2019, and our reply is due on April 3, 2019.</w:t>
      </w:r>
    </w:p>
    <w:p>
      <w:pPr>
        <w:spacing w:after="0" w:line="16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October 16, 2018, our board of directors received a shareholder demand to investigate and commence legal proceedings against certain members of our board of directors. The demand alleges facts that are substantially similar to the facts alleged in the CAC and the Pacheco complaint and asserts claims that are substantially similar to the claims asserted in the Pacheco complaint. On January 30, 2019, our board of directors received a second shareholder demand from a different shareholder to investigate and commence legal proceedings against certain current and former members of our board of directors based on allegations that are substantially similar to the allegations contained in the first demand letter.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our business plan and strategies that are important to our ability to grow our business, any of which could have a material adverse effect on our business.</w:t>
      </w:r>
    </w:p>
    <w:p>
      <w:pPr>
        <w:spacing w:after="0" w:line="2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Issuers Purchases of Equity Securities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has been publicly traded on The Nasdaq Global Select Market under the symbol “OPHT” since September 25,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January 31, 2019, there were approximately 100 holders of record of our common stock. This number does not include beneficial owners whose shares are held by nominees in street name.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have never declared or paid cash dividends on our common stock, and we do not expect to pay any cash dividends on our common stock in the foreseeable future.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83"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On October 30, 2018, we issued 5,044,201 shares of our common stock to the former equityholders of Inception 4 as upfront consideration for our acquisition of Inception 4. On December 31, 2018, we issued to these same stockholders 130,526 shares of our common stock following finalization of customary post-closing adjustments under the Inception 4 Merger Agreement.</w:t>
      </w:r>
    </w:p>
    <w:p>
      <w:pPr>
        <w:spacing w:after="0" w:line="10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foregoing transactions did not involve any underwriters, underwriting discounts or commissions, or any public offering, and we believe each transaction was exempt from the registration requirements of the Securities Act of 1933, as amended, or the Securities Act, in reliance upon Section 4(a)(2) thereof, and/or Regulation S or Regulation D promulgated thereunder. Except for the foregoing, there were no issuances of equity securities that were not registered under the Securities Act during the period covered by this Annual Report on Form 10-K.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60"/>
          </w:cols>
          <w:pgMar w:left="240" w:top="125" w:right="3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following graph and chart compares the cumulative annual stockholder return on our common stock over the period commencing December 31, 2013 and ending on December 31, 2018, to that of the total return for the NASDAQ Composite Index and the NASDAQ Biotechnology Index, assuming an investment of $100 on December 31, 2013. In calculating cumulative total annual stockholder return, reinvestment of dividends, if any, is assumed. The indices are included for comparative purposes only. They do not necessarily reflect management’s opinion that such indices are an appropriate measure of the relative performance of our common stock and are not intended to forecast or be indicative of future performance of our common stock. The following graph and related information shall not be deemed “soliciting material” or be “filed” with the Securities and Exchange Commission, or SEC, nor shall such information be incorporated by reference in any of our filings under the Securities Act, or the Exchange Act, whether made before or after the date hereof and irrespective of any general incorporation language in any such filing. We obtained information used on the graph from Research Data Group, Inc., a source we believe to be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5848985" cy="3936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12/13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12/14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12/17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12/18</w:t>
            </w:r>
          </w:p>
        </w:tc>
        <w:tc>
          <w:tcPr>
            <w:tcW w:w="100" w:type="dxa"/>
            <w:vAlign w:val="bottom"/>
            <w:tcBorders>
              <w:bottom w:val="single" w:sz="8" w:color="CCEEFF"/>
            </w:tcBorders>
          </w:tcPr>
          <w:p>
            <w:pPr>
              <w:spacing w:after="0"/>
              <w:rPr>
                <w:sz w:val="16"/>
                <w:szCs w:val="16"/>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Ophthotech Corporation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2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122.81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133.19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172.11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165.84</w:t>
            </w:r>
          </w:p>
        </w:tc>
        <w:tc>
          <w:tcPr>
            <w:tcW w:w="1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NASDAQ Biotechnology</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121.24</w:t>
            </w:r>
          </w:p>
        </w:tc>
        <w:tc>
          <w:tcPr>
            <w:tcW w:w="100" w:type="dxa"/>
            <w:vAlign w:val="bottom"/>
            <w:shd w:val="clear" w:color="auto" w:fill="CCEEFF"/>
          </w:tcPr>
          <w:p>
            <w:pPr>
              <w:spacing w:after="0"/>
              <w:rPr>
                <w:sz w:val="21"/>
                <w:szCs w:val="21"/>
                <w:color w:val="auto"/>
              </w:rPr>
            </w:pPr>
          </w:p>
        </w:tc>
      </w:tr>
      <w:tr>
        <w:trPr>
          <w:trHeight w:val="27"/>
        </w:trPr>
        <w:tc>
          <w:tcPr>
            <w:tcW w:w="4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620" w:right="2240" w:hanging="5615"/>
        <w:spacing w:after="0" w:line="559" w:lineRule="auto"/>
        <w:rPr>
          <w:sz w:val="20"/>
          <w:szCs w:val="20"/>
          <w:color w:val="auto"/>
        </w:rPr>
      </w:pPr>
      <w:r>
        <w:rPr>
          <w:rFonts w:ascii="Arial" w:cs="Arial" w:eastAsia="Arial" w:hAnsi="Arial"/>
          <w:sz w:val="18"/>
          <w:szCs w:val="18"/>
          <w:color w:val="auto"/>
        </w:rPr>
        <w:t>*$100 invested on December 31, 2013 in stock or index, including reinvestment of dividends. Fiscal year ending December 31. 84</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ind w:right="240" w:firstLine="360"/>
        <w:spacing w:after="0" w:line="293" w:lineRule="auto"/>
        <w:rPr>
          <w:sz w:val="20"/>
          <w:szCs w:val="20"/>
          <w:color w:val="auto"/>
        </w:rPr>
      </w:pPr>
      <w:r>
        <w:rPr>
          <w:rFonts w:ascii="Arial" w:cs="Arial" w:eastAsia="Arial" w:hAnsi="Arial"/>
          <w:sz w:val="16"/>
          <w:szCs w:val="16"/>
          <w:i w:val="1"/>
          <w:iCs w:val="1"/>
          <w:color w:val="auto"/>
        </w:rPr>
        <w:t>The following selected financial data should be read together with our financial statements and the related notes appearing elsewhere in this Annual Report on Form 10-K and the "Management's Discussion and Analysis of Financial Condition and Results of Operations" section of this Annual Report on Form 10-K. We have derived the statements of operations data for the years ended December 31, 2018, 2017, 2016, 2015 and 2014 and the balance sheet data as of December 31, 2018, 2017, 2016, 2015 and 2014 from our audited financial statements, which have been audited by Ernst &amp; Young LLP, an independent registered accounting firm. Our historical results for any prior period are not necessarily indicative of results to be expected in any future period, and our results for any interim period are not necessarily indicative of results to be expected for a full fiscal year.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gridSpan w:val="8"/>
          </w:tcPr>
          <w:p>
            <w:pPr>
              <w:jc w:val="right"/>
              <w:ind w:right="611"/>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Collaboration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209,977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50,909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51,505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41,259</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41,737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66,289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196,295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131,012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88,385</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35,683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65,349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101,972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246,473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175,033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121,772</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108,005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(80,513)</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Interest income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extinguishment of royalty purchase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provision (benefit)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109,493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(80,296)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36,476</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114,205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(116,772)</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Add: accretion of preferred stock dividends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0" w:type="dxa"/>
            <w:vAlign w:val="bottom"/>
            <w:shd w:val="clear" w:color="auto" w:fill="CCEEFF"/>
          </w:tcPr>
          <w:p>
            <w:pPr>
              <w:spacing w:after="0"/>
              <w:rPr>
                <w:sz w:val="22"/>
                <w:szCs w:val="22"/>
                <w:color w:val="auto"/>
              </w:rPr>
            </w:pPr>
          </w:p>
        </w:tc>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63,087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(116,772)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0" w:type="dxa"/>
            <w:vAlign w:val="bottom"/>
          </w:tcPr>
          <w:p>
            <w:pPr>
              <w:spacing w:after="0"/>
              <w:rPr>
                <w:sz w:val="24"/>
                <w:szCs w:val="24"/>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7"/>
        </w:trPr>
        <w:tc>
          <w:tcPr>
            <w:tcW w:w="52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40" w:type="dxa"/>
            <w:vAlign w:val="bottom"/>
            <w:tcBorders>
              <w:bottom w:val="single" w:sz="8" w:color="CCEEFF"/>
            </w:tcBorders>
          </w:tcPr>
          <w:p>
            <w:pPr>
              <w:spacing w:after="0"/>
              <w:rPr>
                <w:sz w:val="24"/>
                <w:szCs w:val="24"/>
                <w:color w:val="auto"/>
              </w:rPr>
            </w:pPr>
          </w:p>
        </w:tc>
        <w:tc>
          <w:tcPr>
            <w:tcW w:w="51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37,061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35,919</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35,486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34,580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33,258</w:t>
            </w:r>
          </w:p>
        </w:tc>
        <w:tc>
          <w:tcPr>
            <w:tcW w:w="0" w:type="dxa"/>
            <w:vAlign w:val="bottom"/>
          </w:tcPr>
          <w:p>
            <w:pPr>
              <w:spacing w:after="0"/>
              <w:rPr>
                <w:sz w:val="1"/>
                <w:szCs w:val="1"/>
                <w:color w:val="auto"/>
              </w:rPr>
            </w:pPr>
          </w:p>
        </w:tc>
      </w:tr>
      <w:tr>
        <w:trPr>
          <w:trHeight w:val="251"/>
        </w:trPr>
        <w:tc>
          <w:tcPr>
            <w:tcW w:w="1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3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91"/>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 data:</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Cash, cash equivalents, and marketable securities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131,201</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166,972</w:t>
            </w:r>
          </w:p>
        </w:tc>
        <w:tc>
          <w:tcPr>
            <w:tcW w:w="340" w:type="dxa"/>
            <w:vAlign w:val="bottom"/>
            <w:gridSpan w:val="3"/>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289,278</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391,890</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463,560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137,165</w:t>
            </w:r>
          </w:p>
        </w:tc>
        <w:tc>
          <w:tcPr>
            <w:tcW w:w="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175,576</w:t>
            </w:r>
          </w:p>
        </w:tc>
        <w:tc>
          <w:tcPr>
            <w:tcW w:w="3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299,630</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428,851</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479,786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209,976</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213,066</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209,624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Royalty purchase liability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125,000</w:t>
            </w:r>
          </w:p>
        </w:tc>
        <w:tc>
          <w:tcPr>
            <w:tcW w:w="3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125,000</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125,000</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13,206</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137,535</w:t>
            </w:r>
          </w:p>
        </w:tc>
        <w:tc>
          <w:tcPr>
            <w:tcW w:w="340" w:type="dxa"/>
            <w:vAlign w:val="bottom"/>
            <w:gridSpan w:val="3"/>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394,248</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368,904</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351,249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545,585</w:t>
            </w:r>
          </w:p>
        </w:tc>
        <w:tc>
          <w:tcPr>
            <w:tcW w:w="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522,759</w:t>
            </w:r>
          </w:p>
        </w:tc>
        <w:tc>
          <w:tcPr>
            <w:tcW w:w="3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504,517</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465,927</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428,390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(421,667)</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(484,754)</w:t>
            </w:r>
          </w:p>
        </w:tc>
        <w:tc>
          <w:tcPr>
            <w:tcW w:w="340" w:type="dxa"/>
            <w:vAlign w:val="bottom"/>
            <w:gridSpan w:val="3"/>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w w:val="98"/>
              </w:rPr>
              <w:t>(598,959)</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w w:val="98"/>
              </w:rPr>
              <w:t>(405,539)</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5"/>
              </w:rPr>
              <w:t>(299,822)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123,959</w:t>
            </w:r>
          </w:p>
        </w:tc>
        <w:tc>
          <w:tcPr>
            <w:tcW w:w="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38,041</w:t>
            </w:r>
          </w:p>
        </w:tc>
        <w:tc>
          <w:tcPr>
            <w:tcW w:w="3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(94,618)</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59,947</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and should be read together with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a science-driven biopharmaceutical company specializing in the development of novel therapies to treat ophthalmic diseases, with a focus on age-related and orphan retinal diseases. We are seeking to leverage our development platform, clinical experience and retina expertise to develop both therapeutics and gene therapies in these disease areas. We believe gene therapy as a treatment modality holds tremendous promise for ophthalmic diseases. We also believe therapeutics will continue to serve an important role in ophthalmic drug development, particularly as treatments with novel mechanisms of action are developed and brought to market and as the long-term effects of these treatments continue to be understood. Our team has significant ophthalmic drug development experience and deep relationships with global ophthalmology thought leaders. We have an extensive network of ophthalmic clinical trial sites, having worked with over 250 sites worldwide. We believe that the combination of these factors, together with our experience in designing and executing investigational new drug, or IND, -enabling studies and clinical trials for eye diseases, and specifically back of the eye diseases, provide us a competitive advantage.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currently have ongoing research and development programs for both therapeutics and gene therapy product candidates and technologies.</w:t>
      </w:r>
    </w:p>
    <w:p>
      <w:pPr>
        <w:spacing w:after="0" w:line="23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Our therapeutics portfolio consists of Zimura® (avacincaptad pegol), which is a C5 complement inhibitor, and our program of High temperature requirement A serine peptidase 1 protein, or HtrA1, inhibitors. We have Phase 2b clinical trials ongoing evaluating Zimura for the treatment of:</w:t>
      </w:r>
    </w:p>
    <w:p>
      <w:pPr>
        <w:spacing w:after="0" w:line="124" w:lineRule="exact"/>
        <w:rPr>
          <w:sz w:val="20"/>
          <w:szCs w:val="20"/>
          <w:color w:val="auto"/>
        </w:rPr>
      </w:pPr>
    </w:p>
    <w:p>
      <w:pPr>
        <w:ind w:left="660" w:right="440" w:hanging="328"/>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geographic atrophy, or GA, which is a late-stage form of dry age-related macular degeneration, or AMD, characterized by retinal cell death and degeneration of tissue in the central portion of the retina, referred to as the macula, and which may result in loss of vision;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autosomal recessive Stargardt disease, or STGD1, which is an orphan inherited retinal disease, or IRD, that also may result in loss of vision.</w:t>
      </w:r>
    </w:p>
    <w:p>
      <w:pPr>
        <w:spacing w:after="0" w:line="23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previously also evaluated Zimura in combination with Lucentis® (ranibizumab), an anti-vascular endothelial growth factor, or anti-VEGF, agent, for the treatment of wet AMD, for which we completed a Phase 2a clinical trial during the fourth quarter of 2018. We do not currently have plans to develop Zimura further in wet AMD. Our HtrA1 inhibitor program, which we are developing for GA secondary to dry AMD and potentially other age-related retinal diseases, such as wet AMD and idiopathic polypoidal choroidal vasculopathy, or IPCV, is in the preclinical stage of development.</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gene therapy portfolio consists of several ongoing research and preclinical development programs that use adeno-associated virus, or AAV, for gene delivery. These AAV gene therapy programs are targeting the following orphan IRDs:</w:t>
      </w:r>
    </w:p>
    <w:p>
      <w:pPr>
        <w:spacing w:after="0" w:line="170" w:lineRule="exact"/>
        <w:rPr>
          <w:sz w:val="20"/>
          <w:szCs w:val="20"/>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Best vitelliform macular dystrophy, or Best disease, which is characterized by bilateral egg yolk-like macular lesions that, over time, progress to atrophy and loss of vision, and potentially other diseases associated with mutations in the </w:t>
      </w:r>
      <w:r>
        <w:rPr>
          <w:rFonts w:ascii="Arial" w:cs="Arial" w:eastAsia="Arial" w:hAnsi="Arial"/>
          <w:sz w:val="16"/>
          <w:szCs w:val="16"/>
          <w:i w:val="1"/>
          <w:iCs w:val="1"/>
          <w:color w:val="auto"/>
        </w:rPr>
        <w:t>Best1</w:t>
      </w:r>
      <w:r>
        <w:rPr>
          <w:rFonts w:ascii="Arial" w:cs="Arial" w:eastAsia="Arial" w:hAnsi="Arial"/>
          <w:sz w:val="16"/>
          <w:szCs w:val="16"/>
          <w:color w:val="auto"/>
        </w:rPr>
        <w:t xml:space="preserve"> gene, which we refer to as bestrophinopathies;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autosomal recessive Stargardt disease.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Zimura Clinical Programs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Zimura, our C5 complement inhibitor, is a chemically-synthesized, pegylated RNA aptamer. Aptamers are short molecules made up of a single stranded nucleic acid sequence or amino acid sequence that binds molecular targets with high selectivity and specificity. We currently have two clinical trials for Zimura ongoing. These clinical trials are designed to obtain data to guide potential future development efforts and are not intended to be pivotal studies. The following is a brief description of these trials and their current status:</w:t>
      </w:r>
    </w:p>
    <w:p>
      <w:pPr>
        <w:spacing w:after="0" w:line="183" w:lineRule="exact"/>
        <w:rPr>
          <w:sz w:val="20"/>
          <w:szCs w:val="20"/>
          <w:color w:val="auto"/>
        </w:rPr>
      </w:pPr>
    </w:p>
    <w:p>
      <w:pPr>
        <w:ind w:left="980" w:right="140" w:hanging="324"/>
        <w:spacing w:after="0" w:line="261"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OPH2003 (geographic atrophy (GA) secondary to dry AMD)</w:t>
      </w:r>
      <w:r>
        <w:rPr>
          <w:rFonts w:ascii="Arial" w:cs="Arial" w:eastAsia="Arial" w:hAnsi="Arial"/>
          <w:sz w:val="18"/>
          <w:szCs w:val="18"/>
          <w:color w:val="auto"/>
        </w:rPr>
        <w:t>: an ongoing, randomized, double-masked, sham controlled, multi-center</w:t>
      </w:r>
      <w:r>
        <w:rPr>
          <w:rFonts w:ascii="Arial" w:cs="Arial" w:eastAsia="Arial" w:hAnsi="Arial"/>
          <w:sz w:val="18"/>
          <w:szCs w:val="18"/>
          <w:b w:val="1"/>
          <w:bCs w:val="1"/>
          <w:color w:val="auto"/>
        </w:rPr>
        <w:t xml:space="preserve"> </w:t>
      </w:r>
      <w:r>
        <w:rPr>
          <w:rFonts w:ascii="Arial" w:cs="Arial" w:eastAsia="Arial" w:hAnsi="Arial"/>
          <w:sz w:val="18"/>
          <w:szCs w:val="18"/>
          <w:color w:val="auto"/>
        </w:rPr>
        <w:t>Phase 2b clinical trial evaluating the safety and efficacy of Zimura monotherapy in patients with GA secondary to dry AMD. We completed enrollment for this clinical trial in October 2018 with a total of 286 patients enrolled. We expect that initial, top-line data from this clinical trial will be available during the fourth quarter of 2019.</w:t>
      </w:r>
    </w:p>
    <w:p>
      <w:pPr>
        <w:spacing w:after="0" w:line="180"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OPH2005 (autosomal recessive Stargardt disease (STGD1))</w:t>
      </w:r>
      <w:r>
        <w:rPr>
          <w:rFonts w:ascii="Arial" w:cs="Arial" w:eastAsia="Arial" w:hAnsi="Arial"/>
          <w:sz w:val="18"/>
          <w:szCs w:val="18"/>
          <w:color w:val="auto"/>
        </w:rPr>
        <w:t>: an ongoing, randomized, double-masked, sham controlled, multi-center Phase</w:t>
      </w:r>
      <w:r>
        <w:rPr>
          <w:rFonts w:ascii="Arial" w:cs="Arial" w:eastAsia="Arial" w:hAnsi="Arial"/>
          <w:sz w:val="18"/>
          <w:szCs w:val="18"/>
          <w:b w:val="1"/>
          <w:bCs w:val="1"/>
          <w:color w:val="auto"/>
        </w:rPr>
        <w:t xml:space="preserve"> </w:t>
      </w:r>
      <w:r>
        <w:rPr>
          <w:rFonts w:ascii="Arial" w:cs="Arial" w:eastAsia="Arial" w:hAnsi="Arial"/>
          <w:sz w:val="18"/>
          <w:szCs w:val="18"/>
          <w:color w:val="auto"/>
        </w:rPr>
        <w:t>2b clinical trial evaluating the safety and efficacy of Zimura monotherapy for the treatment of STGD1. We completed enrollment for this clinical trial in February 2019 with a total of 95 patients enrolled. We expect that initial, top-line data from this clinical trial will be available during the second half of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HtrA1 Inhibitor Program</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are pursuing the preclinical development of certain HtrA1 inhibitors, to which we acquired rights through our October 2018 acquisition of Inception 4, Inc., or Inception 4, for the treatment of GA secondary to dry AMD. Our HtrA1 inhibitor program includes a number of lead small molecule compounds that show high affinity and specificity for HtrA1 when tested</w:t>
      </w:r>
      <w:r>
        <w:rPr>
          <w:rFonts w:ascii="Arial" w:cs="Arial" w:eastAsia="Arial" w:hAnsi="Arial"/>
          <w:sz w:val="17"/>
          <w:szCs w:val="17"/>
          <w:i w:val="1"/>
          <w:iCs w:val="1"/>
          <w:color w:val="auto"/>
        </w:rPr>
        <w:t>,</w:t>
      </w:r>
      <w:r>
        <w:rPr>
          <w:rFonts w:ascii="Arial" w:cs="Arial" w:eastAsia="Arial" w:hAnsi="Arial"/>
          <w:sz w:val="17"/>
          <w:szCs w:val="17"/>
          <w:color w:val="auto"/>
        </w:rPr>
        <w:t xml:space="preserve"> as well as a number of backup compounds. We are pursuing formulation development studies with the goal of identifying a formulation for intravitreal application in the eye. If we are successful in identifying and formulating a product candidate from this program, we plan to initiate IND-enabling activities for the selected product candidate. Based on current timelines and subject to successful completion of preclinical development, we are currently targeting submission of an IND to the U.S. Food and Drug Administration, or FDA, for a product candidate from this program for the treatment of GA secondary to dry AMD by late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RHO-adRP Product Candidate</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are pursuing the preclinical development of our novel AAV gene therapy product candidate for the treatment of RHO-adRP, to which we acquired exclusive development and commercialization rights through a June 2018 license agreement with the University of Florida Research Foundation, or UFRF, and the University of Pennsylvania, or Penn. We and Penn are conducting additional preclinical studies of the RHO-adRP product candidate and a natural history study of RHO-adRP patients. In parallel, we have commenced IND-enabling activities for the RHO-adRP product candidate, including manufacturing for preclinical toxicology studies. We have engaged a gene therapy contract development and manufacturing organization, or CDMO, as the manufacturer for preclinical and Phase 1/2 clinical supply of our RHO-adRP product candidate. Based on current timelines and subject to regulatory review, we expect to initiate a Phase 1/2 clinical trial for this product candidate during 2020.</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Bestrophinopathies Program</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an exclusive option agreement with Penn and UFRF to acquire an exclusive, global license to develop and commercialize novel AAV gene therapy product candidates for the treatment of Best disease and other bestrophinopathies. We and Penn are conducting additional preclinical studies of a product candidate from this program and natural history studies of patients with bestrophinopathies. In parallel, we are planning to commence IND-enabling activities for a product candidate from this program, including manufacturing for preclinical toxicology studies. We have recently engaged a CDMO as the manufacturer for preclinical and Phase 1/2 clinical supply of this product candidate. Based on current timelines and subject to regulatory review and execution of a definitive license agreement with Penn and UFRF, we expect to initiate a Phase 1/2 clinical trial for a product candidate from this program during 2021.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University of Massachusetts Medical School Research (LCA10 and STGD1; Gene Delivery Methods)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are funding three sponsored research programs at the University of Massachusetts Medical School, or UMMS. Two of these programs consist of utilizing a "minigene" approach to create AAV gene therapy product candidates targeting LCA10 and STGD1. 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third program consists of evaluating various AAV gene delivery methods for potential application in the eye. UMMS has granted us an option to obtain an exclusive license to any patents or patent applications that result from any of these sponsored research programs. The sponsored research at UMMS is ongoing and we expect to receive results from the sponsored research for LCA10 during 2019, at which point we may elect to exercise our option to in-license the LCA10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Activities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2018, we continued to implement a business development strategy, which we started to undertake in early 2017, based on reviewing our strategic alternatives in light of our deep expertise and experience in ophthalmic drug development and our business plan. Without limiting any option, the principal focus of this strategy was to actively explore obtaining rights to additional products, product candidates and technologies to treat ophthalmic diseases, particularly those in the back of the eye. These efforts have resulted in the expansion of our research and development pipeline, with the initiation of our gene therapy sponsored research programs with UMMS in February 2018, the in-license of our RHO-adRP gene therapy product candidate in June 2018, the acquisition of our HtrA1 inhibitor program in October 2018 and the entry into our exclusive option agreement with Penn and UFRF for gene therapy product candidates for bestrophinopathies in October 2018. We expect to continue to evaluate opportunities to potentially obtain rights to additional gene therapy and therapeutic product candidates on a selective basis. We intend to continue to focus on opportunities that present a compelling scientific rationale, have the potential to address an unmet medical need and present a meaningful commercial opportunity. To the extent feasible, we plan to target opportunities where we believe third-party funding for specific programs or technologies may be available.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Fovista Wind-down</w:t>
      </w:r>
    </w:p>
    <w:p>
      <w:pPr>
        <w:spacing w:after="0" w:line="2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December 2016 and August 2017, we received initial top-line data from our three pivotal clinical trials, referred to as OPH1002, OPH1003 and OPH1004, evaluating the anti-platelet derived growth factor, or anti-PDGF, aptamer Fovista® (pegpleranib) administered in combination with anti-VEGF agents for the treatment of wet AMD. These top-line data indicated that the trials failed to achieve their pre-specified primary endpoints. We terminated these trials, as well as several other smaller Fovista trials in wet AMD, which we refer to as the Fovista Expansion Studies, in 2017. We have no plans for the future development of Fovista.</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Novartis Agreement</w:t>
      </w:r>
    </w:p>
    <w:p>
      <w:pPr>
        <w:spacing w:after="0" w:line="27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May 2014, we entered into a licensing and commercialization agreement with Novartis Pharma AG, or Novartis, which we refer to as the Novartis Agreement. Under the Novartis Agreement, we granted Novartis exclusive rights under specified patent rights, know-how and trademarks controlled by us to manufacture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 We agreed to use commercially reasonable efforts to complete our pivotal Phase 3 clinical program for Fovista and Novartis agreed to use commercially reasonable efforts to develop a standalone Fovista product and a co-formulated product containing Fovista and an anti-VEGF agent to which Novartis has rights, and to use commercially reasonable efforts, subject to obtaining marketing approval, to commercialize licensed products in the Novartis Territory in accordance with agreed development and marketing plans. Novartis paid us a $200.0 million upfront fee upon execution of the Novartis Agreement, as well as $50.0 million upon the achievement of each of two patient enrollment-based milestones, and $30.0 million upon the achievement of a third, and final, enrollment-based milestone, for an aggregate of $330.0 million. In July 2017, we and Novartis entered into a letter agreement, which we refer to as the July 2017 Letter Agreement, to streamline the process and timeline for evaluating data from the final Fovista Phase 3 clinical trial once it became available. In October 2017, following the failure of the Phase 3 Fovista program and pursuant to the terms of the July 2017 Letter Agreement, Novartis elected to terminate the Novartis Agreement with immediate effect.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Novo Agreement</w:t>
      </w:r>
    </w:p>
    <w:p>
      <w:pPr>
        <w:spacing w:after="0" w:line="27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May 2013, we entered into a Purchase and Sale Agreement with Novo Holdings A/S (formerly Novo A/S and which we refer to as Novo), which we refer to as the Novo Agreement, pursuant to which we obtained financing in three tranches in an aggregate amount equal to $125.0 million in return for the sale to Novo of aggregate royalties of a mid-single-digit percentage on worldwide sales of Fovista, certain products related to Fovista, as specified in the Novo Agreement, or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Fovista-Related Products, and certain other PDGF antagonists which we might develop, as specified in the Novo Agreement, or Other Products. The three tranches of financing, in which Novo purchased three low single-digit royalty interests and paid us $125.0 million in the aggregate, closed in May 2013, January 2014 and November 2014. We recorded the aggregate $125.0 million in proceeds that we received under the Novo Agreement as a royalty purchase liability on our Balance Sheet in accordance with Accounting Standards Codification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December 31, 2018, we and Novo entered into a letter agreement, which we refer to as the Novo Termination Agreement, that terminated the Novo Agreement. As a result of the Novo Termination Agreement, Novo relinquished all rights to receive royalties based on net sales of Fovista, Fovista-Related Products and Other Products. In exchange, we agreed to forbear from any future filing, prosecution, maintenance or enforcement of any intellectual property rights related to Fovista, Fovista-Related Products or Other Products, and from granting any third party or affiliate any right or license in any such intellectual property rights or clinical study data generated by or on behalf of us, our affiliates or licensees or sublicensees, for the development, manufacture or commercialization of Fovista, Fovista-Related Products, Other Products or any other antagonists of PDGF. The foregoing restriction does not apply to gene therapies (so long as we do not grant any rights or licenses to intellectual property or clinical study data related to Fovista or Fovista-Related Products). We further agreed, until December 31, 2028, not to develop, manufacture, seek or obtain regulatory approval for or commercialize Fovista, Fovista-Related Products or Other Products without the prior written consent of Novo. The foregoing restriction does not apply to any gene therapies (so long as we do not utilize data related to Fovista or Fovista-Related Products).</w:t>
      </w:r>
    </w:p>
    <w:p>
      <w:pPr>
        <w:spacing w:after="0" w:line="23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Effective December 31, 2018, as a result of the Novo Termination Agreement, we extinguished the $125.0 million royalty purchase liability from our Balance Sheet as we have no legal obligation to repay Novo the $125.0 million through future product royalties or any other development activities. In addition, we recognized a related gain of $125.0 million in our Statements of Operations for the year ended December 31, 2018. The extinguishment of the royalty purchase liability and the related gain did not impact our cash balance during this period as we had received the proceeds related to the royalty purchase liability in prior periods.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25"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As of December 31, 2018, we had cash and cash equivalents of $131.2 million. We believe that our cash and cash equivalents will be sufficient to fund our operations and capital expenditure requirements as currently planned for at least the next 12 months. We estimate that our year end 2019 cash and cash equivalents will range between $80.0 million and $85.0 million. This estimate is based on our current business plan, including the continuation of our clinical development programs for Zimura, the expansion and continued preclinical development of our HtrA1 inhibitor program, and the expansion and continuation of our gene therapy research and development programs, including our ongoing collaborative gene therapy sponsored research programs. This estimate does not reflect any additional expenditures resulting from the potential in-licensing or acquisition of additional products, product candidates or technologies, including from our ongoing collaborative gene therapy sponsored research programs, or any associated development that we may pursue following any such transaction.</w:t>
      </w:r>
    </w:p>
    <w:p>
      <w:pPr>
        <w:spacing w:after="0" w:line="17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ability to become and remain profitable depends on our ability to generate revenue in excess of our expenses. We do not expect to generate significant product revenue unless, and until, we obtain marketing approval for, and commercialize, any of our product candidates, which, if we are successful, will likely take at least several years. We may be unsuccessful in our efforts to develop and commercialize these product candidates. Even if we succeed in developing and commercializing one or more of our product candidates, we may never achieve sufficient sales revenue to achieve or maintain profitability. Our capital requirements will also depend on many other factors, including whether we are successful in our pursuit to acquire or in-license and subsequently develop additional product candidates or technologies. We expect we will require substantial, additional funding in order to complete the activities necessary to develop and commercialize one or more of our product candidates. If we are unable to raise capital when needed or on attractive terms, we could be forced to delay, reduce or eliminate our research and development programs or any future commercialization efforts.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collaboration agreements with third parties, we may generate revenue from product sales or from such third parties.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2018, our revenue resulted from payments received under the Novartis Agreement as modified by the July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2017 Letter Agreement, both of which are described below. We completed the deliverables under the Novartis Agreement during the third quarter of 2017.</w:t>
      </w:r>
    </w:p>
    <w:p>
      <w:pPr>
        <w:spacing w:after="0" w:line="24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May 2014, we received an upfront payment of $200.0 million in connection with our entry into the Novartis Agreement, which was not recorded as revenue due to the existence of a contingency with respect to our right to terminate the agreement in certain circumstances and the associated termination fee equivalent to the entire $200.0 million upfront payment, which we would have been required to repay if we elected to exercise this termination option. In each of September 2014 and March 2015, we achieved a $50.0 million enrollment-based milestone, and in June 2016, we achieved a $30.0 million enrollment-based milestone, for an aggregate total of $130.0 million in milestones, under the Novartis Agreement. We used the relative selling price method to allocate these payments to contract deliverables based on our performance obligations under the Novartis Agreement.</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July 2017 Letter Agreement resolved the contingency with respect to our termination right, allowing us to immediately recognize as revenue the portion of the upfront payment allocated using the relative selling price method to deliverables completed during prior periods. During the third quarter of 2017, we completed the remaining deliverables under the Novartis Agreement and the July 2017 Letter Agreement and recognized as revenue the balance of all of the payments previously received from Novartis related to licensing, research and development, manufacturing and joint operating committee activities that had been previously deferred using the relative selling price method. In total, during the third quarter of 2017, we recognized $206.7 million in previously deferred collaboration revenue in connection with the Novartis Agreement. The recognition of this revenue during the period did not impact our cash balance. In October 2017, following the failure of the Fovista Phase 3 program and pursuant to the terms of the July 2017 Letter Agreement, Novartis elected to terminate the Novartis Agreement with immediate effect.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the components of our collaboration revenue for the years ended December 31, 2018, 2017 and 2016:</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0"/>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196"/>
        </w:trPr>
        <w:tc>
          <w:tcPr>
            <w:tcW w:w="7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152,912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22,937</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Research and development activity revenue</w:t>
            </w:r>
          </w:p>
        </w:tc>
        <w:tc>
          <w:tcPr>
            <w:tcW w:w="880" w:type="dxa"/>
            <w:vAlign w:val="bottom"/>
          </w:tcPr>
          <w:p>
            <w:pPr>
              <w:spacing w:after="0"/>
              <w:rPr>
                <w:sz w:val="21"/>
                <w:szCs w:val="21"/>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56,180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9,741</w:t>
            </w:r>
          </w:p>
        </w:tc>
      </w:tr>
      <w:tr>
        <w:trPr>
          <w:trHeight w:val="27"/>
        </w:trPr>
        <w:tc>
          <w:tcPr>
            <w:tcW w:w="7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API transfer revenue</w:t>
            </w: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Joint operating committee revenue</w:t>
            </w:r>
          </w:p>
        </w:tc>
        <w:tc>
          <w:tcPr>
            <w:tcW w:w="880" w:type="dxa"/>
            <w:vAlign w:val="bottom"/>
          </w:tcPr>
          <w:p>
            <w:pPr>
              <w:spacing w:after="0"/>
              <w:rPr>
                <w:sz w:val="21"/>
                <w:szCs w:val="21"/>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27"/>
        </w:trPr>
        <w:tc>
          <w:tcPr>
            <w:tcW w:w="7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209,977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50,909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research and development expenses primarily consist of costs associated with the manufacturing, development, and clinical testing of Zimura and, historically, Fovista, as well as costs associated with the preclinical development of other product candidates, formulations and technologies, including costs associated with our HtrA1 inhibitor program, costs associated with our RHO-adRP gene therapy product candidate, including related sponsored research with Penn, costs associated with the BEST1 gene therapy product candidate for which we are planning to commence IND-enabling studies, and costs associated with our ongoing gene therapy sponsored research programs with UMMS. Our research and development expenses consist of:</w:t>
      </w:r>
    </w:p>
    <w:p>
      <w:pPr>
        <w:spacing w:after="0" w:line="212" w:lineRule="exact"/>
        <w:rPr>
          <w:sz w:val="20"/>
          <w:szCs w:val="20"/>
          <w:color w:val="auto"/>
        </w:rPr>
      </w:pPr>
    </w:p>
    <w:p>
      <w:pPr>
        <w:ind w:left="1300" w:right="220" w:hanging="644"/>
        <w:spacing w:after="0" w:line="264" w:lineRule="auto"/>
        <w:tabs>
          <w:tab w:leader="none" w:pos="9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or CROs, and other vendors and contract manufacturing organizations, or CMOs, for the production of drug substance and drug product; and</w:t>
      </w:r>
    </w:p>
    <w:p>
      <w:pPr>
        <w:spacing w:after="0" w:line="235" w:lineRule="exact"/>
        <w:rPr>
          <w:rFonts w:ascii="Arial" w:cs="Arial" w:eastAsia="Arial" w:hAnsi="Arial"/>
          <w:sz w:val="18"/>
          <w:szCs w:val="18"/>
          <w:color w:val="auto"/>
        </w:rPr>
      </w:pPr>
    </w:p>
    <w:p>
      <w:pPr>
        <w:ind w:left="1300" w:right="680" w:hanging="644"/>
        <w:spacing w:after="0" w:line="277" w:lineRule="auto"/>
        <w:tabs>
          <w:tab w:leader="none" w:pos="9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22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17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All research and development expenses are charged to operations as incurred in accordance with Financial Accounting Standards Board, or FASB, Accounting Standards Codification, or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or ASC 730</w:t>
      </w:r>
      <w:r>
        <w:rPr>
          <w:rFonts w:ascii="Arial" w:cs="Arial" w:eastAsia="Arial" w:hAnsi="Arial"/>
          <w:sz w:val="18"/>
          <w:szCs w:val="18"/>
          <w:i w:val="1"/>
          <w:iCs w:val="1"/>
          <w:color w:val="auto"/>
        </w:rPr>
        <w:t>.</w:t>
      </w:r>
      <w:r>
        <w:rPr>
          <w:rFonts w:ascii="Arial" w:cs="Arial" w:eastAsia="Arial" w:hAnsi="Arial"/>
          <w:sz w:val="18"/>
          <w:szCs w:val="18"/>
          <w:color w:val="auto"/>
        </w:rPr>
        <w:t xml:space="preserve"> We account for non-refundable advance payments for goods and services that will be used in future research and development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activities as expenses when the service has been performed or when the goods have been received, rather than when the payment is made. To date, the large majority of our research and development activity has been related to Fovista and Zimura.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functional area and by compound, as shown below.</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2018,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513"/>
              <w:spacing w:after="0"/>
              <w:rPr>
                <w:sz w:val="20"/>
                <w:szCs w:val="20"/>
                <w:color w:val="auto"/>
              </w:rPr>
            </w:pPr>
            <w:r>
              <w:rPr>
                <w:rFonts w:ascii="Arial" w:cs="Arial" w:eastAsia="Arial" w:hAnsi="Arial"/>
                <w:sz w:val="14"/>
                <w:szCs w:val="14"/>
                <w:b w:val="1"/>
                <w:bCs w:val="1"/>
                <w:color w:val="auto"/>
                <w:w w:val="90"/>
              </w:rPr>
              <w:t>Years ended December 31,</w:t>
            </w:r>
          </w:p>
        </w:tc>
        <w:tc>
          <w:tcPr>
            <w:tcW w:w="880" w:type="dxa"/>
            <w:vAlign w:val="bottom"/>
            <w:tcBorders>
              <w:bottom w:val="single" w:sz="8" w:color="auto"/>
            </w:tcBorders>
          </w:tcPr>
          <w:p>
            <w:pPr>
              <w:spacing w:after="0"/>
              <w:rPr>
                <w:sz w:val="16"/>
                <w:szCs w:val="16"/>
                <w:color w:val="auto"/>
              </w:rPr>
            </w:pPr>
          </w:p>
        </w:tc>
      </w:tr>
      <w:tr>
        <w:trPr>
          <w:trHeight w:val="264"/>
        </w:trPr>
        <w:tc>
          <w:tcPr>
            <w:tcW w:w="6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196"/>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Zimura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HtrA1</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RHO-adRP</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Other gene therapy research</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Fovista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129,661</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Personnel-related</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19,413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26,700</w:t>
            </w:r>
          </w:p>
        </w:tc>
      </w:tr>
      <w:tr>
        <w:trPr>
          <w:trHeight w:val="27"/>
        </w:trPr>
        <w:tc>
          <w:tcPr>
            <w:tcW w:w="6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21,380</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11,154</w:t>
            </w:r>
          </w:p>
        </w:tc>
      </w:tr>
      <w:tr>
        <w:trPr>
          <w:trHeight w:val="27"/>
        </w:trPr>
        <w:tc>
          <w:tcPr>
            <w:tcW w:w="6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196,295</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expect our research and development expenses to increase as we pursue the development of Zimura, our HtrA1 inhibitor program, our RHO-adRP gene therapy product candidate and the BEST1 gene therapy product candidates for which we hold an option from Penn and UFRF. We also expect to incur research and development expenses in connection with our collaborative gene therapy sponsored research programs. As we pursue our ongoing and planned Zimura, HtrA1 inhibitor, RHO-adRP and BEST1 development programs and our collaborative gene therapy sponsored research programs, or as we commence any new development efforts in relation to additional product candidates we may in-license or acquire as we pursue our business plan, we expect that our overall research and development expenses will increase from the current level of expenditure.</w:t>
      </w:r>
    </w:p>
    <w:p>
      <w:pPr>
        <w:spacing w:after="0" w:line="21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costs may exceed our expectations due to unforeseen or other reasons. For example, our costs may exceed our expectations if we experience any unforeseen issue in our ongoing clinical trials, such as delays in enrollment or issues with the availability of drug supply, or in our preclinical development programs, such as inability to develop formulations or if we experience issues with manufacturing, or if we further expand the scope of our clinical trials, preclinical development programs or collaborative gene therapy sponsored research programs.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or build internal research capabilities or pursue internal research efforts.</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future development of our product candidates is highly uncertain. We expect the development of our product candidates will continue for at least the next several years. At this time, we cannot reasonably estimate the remaining costs necessary to complete development, to complete process development and manufacturing scale-up and validation activities and to potentially seek marketing approval with respect to our product candidates.</w:t>
      </w:r>
    </w:p>
    <w:p>
      <w:pPr>
        <w:spacing w:after="0" w:line="22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224" w:lineRule="exact"/>
        <w:rPr>
          <w:sz w:val="20"/>
          <w:szCs w:val="20"/>
          <w:color w:val="auto"/>
        </w:rPr>
      </w:pPr>
    </w:p>
    <w:p>
      <w:pPr>
        <w:ind w:left="980" w:hanging="243"/>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hanging="243"/>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279" w:lineRule="exact"/>
        <w:rPr>
          <w:rFonts w:ascii="Arial" w:cs="Arial" w:eastAsia="Arial" w:hAnsi="Arial"/>
          <w:sz w:val="18"/>
          <w:szCs w:val="18"/>
          <w:color w:val="auto"/>
        </w:rPr>
      </w:pPr>
    </w:p>
    <w:p>
      <w:pPr>
        <w:ind w:left="980" w:right="520" w:hanging="243"/>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224"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A change in the outcome of any of these variables with respect to the development of our product candidates could mean a significant change in the costs and timing associated with the development of that product candidate. For example, if regulatory authorities were to require us to conduct clinical trials beyond those that we currently anticipate will be required for the completion of clinical development of a product candidate, we could be required to expend significant additional financial resources and time on the completion of clinical development.</w:t>
      </w:r>
    </w:p>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the “Liquidity and Capital Resources” section of this Item 7 of this Annual Report on Form 10-K for more information regarding our current and future financial resources and our expectations regarding our research and development expenses and funding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share-based compensation expense, in our executive, legal, finance, business development,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currently have invested our cash and cash equivalents in money market funds and investment-grade corporate debt securities, which generate a nominal amount of interest income.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revenue recognition,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Annual Report on Form 10-K. Of those policies, we believe that the following accounting policies are the most critical to aid our stockholders in fully understanding and evaluating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academic research collaborators, CROs, CMOs and other vendors in connection with research and development and manufacturing activities.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base our expenses related to academic research collaborators, CROs and CMOs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 in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Recognition—Collaboration Revenue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Prior to 2018, our revenue resulted from payments received under the Novartis Agreement as modified by the July 2017 Letter Agreement, both of which are described below under "—Liquidity and Capital Resources—Prior Licensing and Commercialization Agreement with Novartis Pharma AG." We used the relative selling price method to allocate arrangement consideration to our performance obligations under the Novartis Agreement. We completed the deliverables under the Novartis Agreement during the third quarter of 2017.</w:t>
      </w:r>
    </w:p>
    <w:p>
      <w:pPr>
        <w:spacing w:after="0" w:line="187"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As we have no products approved for sale, we do not expect to receive any revenue from product candidates that we develop until we obtain regulatory approval and commercialize such products, or until we potentially enter into agreements with third parties for the development and commercialization of our product candidates. If our development efforts for any of our product candidates result in regulatory approval or if we enter into collaboration agreements with third parties, we may generate revenue from product sales or from such third parties.</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In the future, we will evaluate revenue contracts and arrangements, if any, following the provisions of the FASB ASC,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or ASC 606.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Purchase Liability</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Prior to the termination of the Novo Agreement on December 31, 2018, the proceeds from the financing we received under the Novo Agreement were recorded as a royalty purchase liability on our Balance Sheet in accordance with ASC 730. Although there was no explicit repayment obligation contained in the Novo Agreement, because there was a significant related party relationship between us and Novo at the time the Novo Agreement was entered into, we treated our obligation to make royalty payments under the Novo Agreement as an implicit obligation to repay the funds advanced by Novo, and thus recorded the proceeds as a royalty purchase liability on our Balance Sheet. We extinguished this royalty purchase liability from our Balance Sheet as of December 31, 2018 when the termination of the Novo Agreement became effective.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on a straight-line basis. In accordance with authoritative guidance, we re-measure the fair value of consultant share-based awards as the awards vest, and recognize the resulting value, if any, as expense during the period when the related services are rendered.</w:t>
      </w:r>
    </w:p>
    <w:p>
      <w:pPr>
        <w:spacing w:after="0" w:line="15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We apply the fair value recognition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Calculating the fair value of share-based awards requires us to make highly subjective assumptions.</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and the risk-free interest rate for a period that approximates the expected term of our stock options and the expected dividend yield of our common stock. As a recent public company, we do not have sufficient history to estimate the volatility of our common stock price or the expected life of the options. We calculate expected volatility based on reported data for similar publicly traded companies for which historical</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125" w:right="2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is available and will continue to do so until the historical volatility of our common stock is sufficient to measure expected volatility for future option grants.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We use the simplified method as prescribed by the SEC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of stock option grants to employees as we do not have sufficient historical exercise data to provide a reasonable basis upon which to estimate the expected term of stock options granted to employees. The risk-free 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years ended December 31, 2018, 2017 and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144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85%</w:t>
            </w:r>
          </w:p>
        </w:tc>
        <w:tc>
          <w:tcPr>
            <w:tcW w:w="15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4"/>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2.39% - 2.95%</w:t>
            </w:r>
          </w:p>
        </w:tc>
        <w:tc>
          <w:tcPr>
            <w:tcW w:w="1560" w:type="dxa"/>
            <w:vAlign w:val="bottom"/>
            <w:gridSpan w:val="2"/>
          </w:tcPr>
          <w:p>
            <w:pPr>
              <w:jc w:val="center"/>
              <w:ind w:left="34"/>
              <w:spacing w:after="0"/>
              <w:rPr>
                <w:sz w:val="20"/>
                <w:szCs w:val="20"/>
                <w:color w:val="auto"/>
              </w:rPr>
            </w:pPr>
            <w:r>
              <w:rPr>
                <w:rFonts w:ascii="Arial" w:cs="Arial" w:eastAsia="Arial" w:hAnsi="Arial"/>
                <w:sz w:val="18"/>
                <w:szCs w:val="18"/>
                <w:color w:val="auto"/>
                <w:w w:val="91"/>
              </w:rPr>
              <w:t>1.82% - 2.38%</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1.14% - 2.37%</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15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7"/>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the fair value of restricted stock units, or RSUs, granted to employees using the closing market price of our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when the estimates were revised.</w:t>
      </w:r>
    </w:p>
    <w:p>
      <w:pPr>
        <w:spacing w:after="0" w:line="201"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Share-based compensation expense for equity grants to employees, non-employee directors and consultants was $11.1 million, $18.2 million and $31.7 million for the years ended December 31, 2018, 2017, and 2016, respectively. As of December 31, 2018, we had $12.4 million of total unrecognized share-based compensation expense, which we expect to recognize over a weighted-average remaining vesting period of approximately 2.0 years. We expect our share-based compensation expense for our equity awards to employees, non-employee directors and consultants to decrease as a result of a decrease in our common stock fair value.</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2018, 2017 and 2016, we allocated share-based compensation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737"/>
              <w:spacing w:after="0"/>
              <w:rPr>
                <w:sz w:val="20"/>
                <w:szCs w:val="20"/>
                <w:color w:val="auto"/>
              </w:rPr>
            </w:pPr>
            <w:r>
              <w:rPr>
                <w:rFonts w:ascii="Arial" w:cs="Arial" w:eastAsia="Arial" w:hAnsi="Arial"/>
                <w:sz w:val="14"/>
                <w:szCs w:val="14"/>
                <w:b w:val="1"/>
                <w:bCs w:val="1"/>
                <w:color w:val="auto"/>
                <w:w w:val="90"/>
              </w:rPr>
              <w:t>Years ended December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21,380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10,280</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11,072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18,171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31,660</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December 2017, the U.S. Tax Cuts and Jobs Act, or the TCJA, was enacted reducing the corporate tax rate from 35% to 21% effective for tax years beginning on or after January 1, 2018. Additionally, under the TCJA, the Corporate Alternative Minimum Tax, or AMT, was repealed. Accordingly, our previously recorded AMT credits of approximately $3.5 million became refundable over a four-year period beginning in 2018 and the previously recorded valuation allowance for these AMT credits was reversed during the fourth quarter of 2017 as a result of the TCJA.</w:t>
      </w:r>
    </w:p>
    <w:p>
      <w:pPr>
        <w:spacing w:after="0" w:line="17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The deferred tax assets associated with our losses incurred in 2018 have a full valuation allowance recorded against them due to our history of losses and the lack of other positive evidence to support future taxable income against which these losses could be applied. See Note 9 to our financial statements in Part IV, Item 15 of this Annual Report on Form 10-K for further information regarding our expectations with respect to our income tax provision.</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projecting a tax loss for 2018, none of which may be carried back to any prior taxable years. Although we recognized income under GAAP, during 2018 and 2017, this income is primarily due to the Novo Termination Agreement and the Novartis July 2017 Letter Agreement, which had previously been recorded on our federal and state income tax returns. This recognition of income resulted in the reduction of a deferred tax asset that was completely offset by a previously recorded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valuation allowance. With respect to the remaining deferred tax assets, except for the AMT credits previously discussed above, there was no change in the amount of assets realizable at December 31,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Collaboration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209,977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(209,977)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41,737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66,289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(24,552)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23,612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65,349</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101,972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(36,623)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(65,349)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(173,354)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extinguishment of royalty purchase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provision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62,024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(47,469)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63,087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114,205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jc w:val="both"/>
        <w:ind w:right="140" w:firstLine="567"/>
        <w:spacing w:after="0" w:line="286" w:lineRule="auto"/>
        <w:rPr>
          <w:sz w:val="20"/>
          <w:szCs w:val="20"/>
          <w:color w:val="auto"/>
        </w:rPr>
      </w:pPr>
      <w:r>
        <w:rPr>
          <w:rFonts w:ascii="Arial" w:cs="Arial" w:eastAsia="Arial" w:hAnsi="Arial"/>
          <w:sz w:val="17"/>
          <w:szCs w:val="17"/>
          <w:color w:val="auto"/>
        </w:rPr>
        <w:t>We did not recognize any collaboration revenue for the year ended December 31, 2018, a decrease of $210.0 million compared to $210.0 million for the year ended December 31, 2017. Collaboration revenue for the year ended December 31, 2018 decreased as we completed all deliverables required under the Novartis Agreement and the July 2017 Letter Agreement during the year ended December 31, 2017.</w:t>
      </w:r>
    </w:p>
    <w:p>
      <w:pPr>
        <w:spacing w:after="0" w:line="22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Collaboration revenue for the year ended December 31, 2017 was related to the activities performed under the Novartis Agreement during such year. We completed the remaining deliverables under the Novartis Agreement and the July 2017 Letter Agreement and recognized as revenue the balance of all of the payments previously received from Novartis related to licensing, research and development, manufacturing and joint operating committee activities that had been previously deferred using the relative selling price method. In total, during the third quarter of 2017, we recognized $206.7 million in previously deferred collaboration revenue in connection with the Novartis Agreement. The recognition of this revenue during this period did not impact our cash balance. All activities under the Novartis Agreement were completed prior to the adoption of ASC 606.</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research and development expenses were $41.7 million for the year ended December 31, 2018, a decrease of $24.6 million compared to $66.3 million for the year ended December 31, 2017. The decrease in research and development expenses for the year ended December 31, 2018 was primarily due to a $22.1 million decrease in costs associated with our Fovista program, including our Fovista Phase 3 clinical program and our Fovista Expansion Studies and a $19.5 million decrease in personnel costs. The decreased costs for our Fovista program included lower costs related to Fovista manufacturing activities and lower clinical trial costs as a result of the wind-down of Fovista Phase 3 clinical trials and the Fovista Expansion Studies. The decrease in personnel costs included a $6.1 million decrease in share-based compensation costs and a $4.9 million decrease in severance costs as a result of our reduction in force completed during 2017. This overall decrease was offset by the immediate expensing of $6.9 million related to our HtrA1 inhibitor program in-process research and development acquired through our Inception 4 acquisition, a $5.1 million increase in costs associated with our Zimura program and a $3.9 million increase in costs resulting from the initiation of our gene therapy programs. The increase in costs for our Zimura program related to our clinical trial activities as a result of the initiation of our OPH2005 trial, the advancement of our OPH2003 trial and the completion of our OPH2007 trial. These increased trial costs were partially offset by a decrease in Zimura manufacturing activities.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general and administrative expenses were $23.6 million for the year ended December 31, 2018, a decrease of $12.1 million, compared to $35.7 million for the year ended December 31, 2017. The decrease in general and administrative expenses was primarily due to a decrease in costs to support our operations and infrastructure as a result of our reduction in personnel and the termination of facilities leases completed during 2017. General and administrative expenses for the year ended December 31, 2017 include approximately $6.5 million in costs related to our previously announced reduction in force and the termination of facilities leases.</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Interest income for the year ended December 31, 2018 was $2.4 million compared to interest income of $1.5 million for the year ended December 31, 2017. The increase in interest income earned during the year ended December 31, 2018 was the result of an increase in interest rates and a change in the mix of our investment portfolio, which previously only included investments in money market funds and now includes investment in certain investment-grade corporate debt securities with original maturities of 90 days or less, offset by a decrease in cash balances available for investment.</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Gain on Extinguishment of Royalty Purchase Liability</w:t>
      </w:r>
    </w:p>
    <w:p>
      <w:pPr>
        <w:spacing w:after="0" w:line="2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December 31, 2018 we entered into the Novo Termination Agreement, which terminated the Novo Agreement. As we have no legal obligation to repay Novo the $125.0 million through future product royalties or any other development activities, we extinguished the $125.0 million royalty purchase liability from our Balance Sheet as of December 31, 2018 and recognized a related gain of $125.0 million in our Statements of Operations for the year ended December 31, 2018. This gain on extinguishment of the royalty purchase liability did not impact our cash balance during this period as we had received the proceeds related to the royalty purchase liability in prior periods.</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7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the year ended December 31, 2018, we recorded a benefit from income taxes of approximately $1.1 million, which primarily related to the settlement of a local tax audit.</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year ended December 31, 2017, we recorded a benefit from income taxes of approximately $4.7 million, which primarily related to a $3.5 million reduction in our valuation allowances for AMT credits to reflect the impact of the TCJA enactment and the settlement of a franchise tax audit for $1.4 million partially offset by the reversal of previously recorded benefits related to the change in unrealized gains of our investment portfolio.</w:t>
      </w:r>
    </w:p>
    <w:p>
      <w:pPr>
        <w:spacing w:after="0" w:line="22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Although we had net income before income taxes during 2018 and 2017, this income is primarily due to the Novo Termination Agreement and July 2017 Letter Agreement with Novartis. Payments received under the Novo Agreement and the Novartis Agreement had previously been recorded as revenue on our federal and state income tax returns during the periods in which the payments were received. The recognition of income for financial statement purposes resulted in the reduction of a deferred tax asset that was completely offset by a previously recorded valuation allowance. With respect to the remaining deferred tax assets, except for the AMT credits discussed above, there was no change in the amount of assets realizable at December 31, 2018.</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Collaboration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209,977</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50,909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159,068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66,289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196,295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(130,006)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35,683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(14,495)</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101,972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246,473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108,005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(303,569)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(loss) before income tax benefit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109,493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(303,319)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114,205</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(193,420)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(307,625)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4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Collaboration revenue for the year ended December 31, 2017 was $210.0 million, an increase of $159.1 million compared to $50.9 million for the year ended December 31, 2016. Collaboration revenue for the year ended December 31, 2017 increased as we completed all deliverables required under the Novartis Agreement during 2017. The July 2017 Letter Agreement resolved the contingency with respect to our right to terminate the agreement in the event that the parties were prevented from materially progressing the development or commercialization of Fovista products for a specified period as a result of specified governmental actions, along with the associated termination fee equivalent to the entire $200.0 million upfront payment, which we would have been required to repay if we elected to exercise this termination option. We had previously deferred the entire $200.0 million upfront payment based on this contingency. As a result of our entry into the July 2017 Letter Agreement and resolution of the contingency, we immediately recognized the revenue attributable to deliverables completed during prior periods. Furthermore, as our remaining deliverables under the Novartis Agreement and the July 2017 Letter Agreement were completed during the third quarter of 2017, we recognized all of the remaining collaboration revenue previously deferred under the Novartis Agreement. Using the relative selling price method, we recognized $152.9 million related to the license we granted to Novartis under the Novartis Agreement, $56.2 million related to the research and development activities we performed under the Novartis Agreement, $0.8 million related to Fovista API we previously transferred to Novartis, and $0.1 million related to our joint operating committee participation obligations.</w:t>
      </w:r>
    </w:p>
    <w:p>
      <w:pPr>
        <w:spacing w:after="0" w:line="16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Collaboration revenue for the year ended December 31, 2016 was $50.9 million, of which $22.9 million was allocated to the license delivered to Novartis under the Novartis Agreement, $9.7 million was allocated to research and development activities performed under the Novartis Agreement and $18.2 million related to Fovista API we transferred to Novartis, and a de minimis amount of revenue was associated with our joint operating committee participation obligations during the same period.</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research and development expenses were $66.3 million for the year ended December 31, 2017, a decrease of $130.0 million compared to $196.3 million for the year ended December 31, 2016. Research and development expenses for the year ended December 31, 2017 include approximately $7.5 million in costs related to our previously announced reduction in personnel. The decrease in research and development expenses for the year</w:t>
      </w:r>
    </w:p>
    <w:p>
      <w:pPr>
        <w:spacing w:after="0" w:line="271" w:lineRule="auto"/>
        <w:rPr>
          <w:sz w:val="20"/>
          <w:szCs w:val="20"/>
          <w:color w:val="auto"/>
        </w:rPr>
      </w:pPr>
      <w:r>
        <w:rPr>
          <w:rFonts w:ascii="Arial" w:cs="Arial" w:eastAsia="Arial" w:hAnsi="Arial"/>
          <w:sz w:val="17"/>
          <w:szCs w:val="17"/>
          <w:color w:val="auto"/>
        </w:rPr>
        <w:t>ended December 31, 2017 was primarily due to a $107.1 million decrease in costs associated with our Fovista program, including our Fovista Phase 3 clinical program and our Fovista Expansion Studies, a $6.2 million decrease in professional services and consulting fees, and a $10.3 million decrease in share-based compensation costs. The decreased costs for our Fovista program included lower costs related to Fovista manufacturing activities and lower clinical trial costs as a result of the wind-down of the OPH1002 and OPH1003 trials and the Fovista Expansion Studies. This overall decrease was offset by a $4.6 million increase associated with our Zimura programs, primarily related to manufacturing expenses.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Our general and administrative expenses for the year ended December 31, 2017 were $35.7 million, a decrease of $14.5 million, compared to $50.2 million for the year ended December 31, 2016. General and administrative expenses for the year ended December 31, 2017 include approximately $5.6 million in costs related to our previously announced reduction in force and the termination of facilities leases. The decrease in general and administrative expenses was primarily due to a decrease in costs to support our operations and infrastructure offset by the additional severance and lease termination costs.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Interest income for the year ended December 31, 2017 was $1.5 million compared to interest income of $1.7 million for the year ended December 31, 2016. The decrease in interest income earned during the year ended December 31, 2017 was the result of a decrease in our cash and cash equivalent balances available for investment.</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4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During the year ended December 31, 2017, we recorded a benefit from income taxes of approximately $4.7 million, which primarily related to a $3.5 million reduction in our valuation allowances for AMT credits to reflect the impact of the TCJA enactment and the settlement of a franchise tax audit for $1.4 million partially offset by the reversal of previously recorded benefits related to the change in unrealized gains of our investment portfolio. Although we had $109.5 million of net income before income taxes for the year ended December 31, 2017 as a result of the recognition of deferred revenue under the Novartis Agreement, we had a net loss for tax purposes for 2017 with minimal taxes due. For tax purposes, we treated payments received under the Novartis Agreement as revenue at the time the payments were received and the related deferred tax assets had a full valuation recorded against them.</w:t>
      </w:r>
    </w:p>
    <w:p>
      <w:pPr>
        <w:spacing w:after="0" w:line="16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During the year ended December 31, 2016, we recorded a benefit from income taxes of approximately $0.4 million, which related to unanticipated refunds received and the reduction in our valuation allowances to reflect the income tax associated with unrealized gains in our investment portfolio.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Since inception, we have financed our operations primarily through private placements of our preferred stock, venture debt borrowings, funds received under the Novo Agreement, our initial public offering, which we closed in September 2013, our follow-on public offering, which we closed in February 2014, and funds we received under the Novartis Agreement. Furthermore, as a result of our acquisition of Inception 4, we obtained approximately $6.1 million in cash, which we believe will be sufficient to fund the substantial majority of anticipated development costs associated with our HtrA1 inhibitor program through the IND submission stage. In August 2018, we filed a universal shelf registration statement on Form S-3 with the SEC to register for sale from time to time up to $150.0 million of common stock, preferred stock, debt securities, depositary shares, warrants and/or units in one or more registered offerings. The shelf registration statement was declared effective on August 15, 2018. Further, in August 2018, we entered into a Sales Agreement, or the ATM Agreement, with Cowen and Company, LLC, or Cowen, pursuant to which, from time to time, we may offer and sell through Cowen shares of our common stock having aggregate gross proceeds of up to $50.0 million, subject to the terms and conditions described in the ATM agreement and SEC rules and regulations. We have not yet issued and sold any shares of our common stock under the ATM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December 31, 2018, we had cash and cash equivalents totaling $131.2 million and no debt. We primarily invest our cash and cash equivalents in money market funds and certain investment-grade corporate debt securities.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years ended December 31, 2018, 2017 and 2016:</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756"/>
              <w:spacing w:after="0"/>
              <w:rPr>
                <w:sz w:val="20"/>
                <w:szCs w:val="20"/>
                <w:color w:val="auto"/>
              </w:rPr>
            </w:pPr>
            <w:r>
              <w:rPr>
                <w:rFonts w:ascii="Arial" w:cs="Arial" w:eastAsia="Arial" w:hAnsi="Arial"/>
                <w:sz w:val="14"/>
                <w:szCs w:val="14"/>
                <w:b w:val="1"/>
                <w:bCs w:val="1"/>
                <w:color w:val="auto"/>
                <w:w w:val="90"/>
              </w:rPr>
              <w:t>Years ended December 31,</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75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196"/>
        </w:trPr>
        <w:tc>
          <w:tcPr>
            <w:tcW w:w="7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752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(41,911)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(121,821)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(108,596)</w:t>
            </w:r>
          </w:p>
        </w:tc>
      </w:tr>
      <w:tr>
        <w:trPr>
          <w:trHeight w:val="27"/>
        </w:trPr>
        <w:tc>
          <w:tcPr>
            <w:tcW w:w="7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154,792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13,731</w:t>
            </w:r>
          </w:p>
        </w:tc>
      </w:tr>
      <w:tr>
        <w:trPr>
          <w:trHeight w:val="243"/>
        </w:trPr>
        <w:tc>
          <w:tcPr>
            <w:tcW w:w="752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6,140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6,934</w:t>
            </w:r>
          </w:p>
        </w:tc>
      </w:tr>
      <w:tr>
        <w:trPr>
          <w:trHeight w:val="27"/>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33,042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(87,931)</w:t>
            </w: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jc w:val="both"/>
        <w:ind w:right="440" w:firstLine="648"/>
        <w:spacing w:after="0" w:line="342" w:lineRule="auto"/>
        <w:rPr>
          <w:sz w:val="20"/>
          <w:szCs w:val="20"/>
          <w:color w:val="auto"/>
        </w:rPr>
      </w:pPr>
      <w:r>
        <w:rPr>
          <w:rFonts w:ascii="Arial" w:cs="Arial" w:eastAsia="Arial" w:hAnsi="Arial"/>
          <w:sz w:val="16"/>
          <w:szCs w:val="16"/>
          <w:color w:val="auto"/>
        </w:rPr>
        <w:t>Net cash used in operating activities for the year ended December 31, 2018 was $41.9 million and relates primarily to net cash used to fund our Zimura clinical trials and support the acquisition and preclinical development activities of our HtrA1 inhibitor program and our gene therapy programs.</w:t>
      </w:r>
    </w:p>
    <w:p>
      <w:pPr>
        <w:spacing w:after="0" w:line="17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Net cash used in operating activities for the year ended December 31, 2017 was $121.8 million and related primarily to net cash used for the wind-down of OPH1002 and OPH1003 clinical trials and the Fovista Expansion Studies, implementation of a previously announced reduction in personnel and related costs, and cancellation fees related to manufacturing commitments, as well as continuation of our OPH1004 trial through initial, top-line data in August 2017 and wind-down thereafter, and general and administrative and corporate infrastructure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"—Funding Requirements" below for a description of how we expect to use our cash for operating activities in future periods.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had no net cash provided by investing activities for the year ended December 31, 2018 was $0.0 million and relates primarily to cash acquired from our Inception 4 acquisition. Net cash provided by investing activities for the year ended December 31, 2017 was $154.8 million and relates primarily to proceeds from the maturity of marketable securities totaling $166.8 million offset by purchases of marketable securities totaling $12.0 million.</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Net cash provided by financing activities for the year ended December 31, 2018 was $6.1 million and relates primarily to cash acquired from our Inception 4 acquisition in exchange for our common stock. Net cash provided by financing activities for the year ended December 31, 2017 was $0.1 million and related to the proceeds from stock option plan exercises and purchases made under our employee stock purchase plan.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 candidate Zimura is in clinical development, our HtrA1 inhibitor program, our RHO-adRP gene therapy product candidate and the BEST1 gene therapy product candidate for which we are planning to commence IND-enabling activities are each in preclinical development, and we are funding sponsored research programs that are ongoing at UMMS and Penn. We expect our research and development expenses to increase as we pursue our research and development programs, as currently planned.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Archemix with respect to Zimura, the former equityholders of Inception 4 with respect to our HtrA1 inhibitor program and UFRF and Penn with respect to our RHO-adRP gene therapy product candidate, in each case, that impose significant milestone payment obligations on us in connection with our achievement of specified clinical, regulatory and commercial milestones with respect to these product candidates or programs, as well as certain royalties on net sales with respect to our RHO-adRP gene therapy product candidate. It is likely that any future in-licensing or acquisition agreements that we enter into with respect to additional products, product candidates or technologies, including any definitive license agreement for the BEST1 product candidates for which we hold an option from Penn and UFRF, would include similar obligations.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25" w:lineRule="exact"/>
        <w:rPr>
          <w:sz w:val="20"/>
          <w:szCs w:val="20"/>
          <w:color w:val="auto"/>
        </w:rPr>
      </w:pPr>
    </w:p>
    <w:p>
      <w:pPr>
        <w:ind w:left="980" w:right="26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continue the clinical development of Zimura as currently planned, including, if either of our ongoing trials for Zimura support it, by pursuing additional development;</w:t>
      </w:r>
    </w:p>
    <w:p>
      <w:pPr>
        <w:spacing w:after="0" w:line="89" w:lineRule="exact"/>
        <w:rPr>
          <w:rFonts w:ascii="Arial" w:cs="Arial" w:eastAsia="Arial" w:hAnsi="Arial"/>
          <w:sz w:val="18"/>
          <w:szCs w:val="18"/>
          <w:color w:val="auto"/>
        </w:rPr>
      </w:pPr>
    </w:p>
    <w:p>
      <w:pPr>
        <w:ind w:left="980" w:right="180" w:hanging="324"/>
        <w:spacing w:after="0" w:line="308" w:lineRule="auto"/>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continue the preclinical and, potentially, clinical development of our HtrA1 inhibitor program, our RHO-adRP gene therapy product candidate and the BEST1 gene therapy product candidate for which we are planning to commence IND-enabling activities;</w:t>
      </w:r>
    </w:p>
    <w:p>
      <w:pPr>
        <w:spacing w:after="0" w:line="200" w:lineRule="exact"/>
        <w:rPr>
          <w:rFonts w:ascii="Arial" w:cs="Arial" w:eastAsia="Arial" w:hAnsi="Arial"/>
          <w:sz w:val="17"/>
          <w:szCs w:val="17"/>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pursue our collaborative gene therapy sponsored research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products, product candidates or technologies;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79"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as we increase our internal gene therapy capabilities or if we are successful in progressing the preclinical or clinical development of any of our product candidates or in acquiring or in-licensing rights to additional products, product candidates or technologies;</w:t>
      </w:r>
    </w:p>
    <w:p>
      <w:pPr>
        <w:spacing w:after="0" w:line="23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79"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future growth of the company.</w:t>
      </w:r>
    </w:p>
    <w:p>
      <w:pPr>
        <w:spacing w:after="0" w:line="279" w:lineRule="exact"/>
        <w:rPr>
          <w:sz w:val="20"/>
          <w:szCs w:val="20"/>
          <w:color w:val="auto"/>
        </w:rPr>
      </w:pPr>
    </w:p>
    <w:p>
      <w:pPr>
        <w:ind w:right="200" w:firstLine="648"/>
        <w:spacing w:after="0" w:line="270" w:lineRule="auto"/>
        <w:rPr>
          <w:sz w:val="20"/>
          <w:szCs w:val="20"/>
          <w:color w:val="auto"/>
        </w:rPr>
      </w:pPr>
      <w:r>
        <w:rPr>
          <w:rFonts w:ascii="Arial" w:cs="Arial" w:eastAsia="Arial" w:hAnsi="Arial"/>
          <w:sz w:val="17"/>
          <w:szCs w:val="17"/>
          <w:color w:val="auto"/>
        </w:rPr>
        <w:t>As of December 31, 2018, we had cash and cash equivalents of $131.2 million. We believe that our cash and cash equivalents will be sufficient to fund our operations and capital expenditure requirements as currently planned for at least the next 12 months. We estimate that our year end 2019 cash and cash equivalents will range between $80.0 million and $85.0 million. This estimate is based on our current business plan, including the continuation of our clinical development programs for Zimura, the expansion and continued preclinical development of our HtrA1 inhibitor program, and the expansion and continuation of our gene therapy research and development programs, including our ongoing collaborative gene therapy sponsored research programs. This estimate does not reflect any additional expenditures resulting from the potential in-licensing or acquisition of additional products, product candidates or technologies, including from our ongoing collaborative gene therapy sponsored research programs, or any associated development that we may pursue following any such transaction. We have based this estimate on assumptions that may prove to be wrong, and we could use our available capital resources sooner than we currently expect.</w:t>
      </w:r>
    </w:p>
    <w:p>
      <w:pPr>
        <w:spacing w:after="0" w:line="10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the future development of our product candidates is highly uncertain, we expect we will require substantial, additional funding in order to complete the activities necessary to develop and commercialize one or more of our product candidates. We expect the development of our product candidates will continue for at least the next several years. At this time, we cannot reasonably estimate the remaining costs necessary to complete development, to complete process development and manufacturing scale-up and validation activities and to potentially seek marketing approval with respect to our product candidates.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980" w:right="26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scope, progress, costs and results of our ongoing Zimura clinical programs, as well as any additional clinical trials we undertake to obtain data sufficient to seek marketing approval for Zimura in any indication;</w:t>
      </w:r>
    </w:p>
    <w:p>
      <w:pPr>
        <w:spacing w:after="0" w:line="170"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our HtrA1 inhibitor program, including formulation development and other preclinical development activities;</w:t>
      </w:r>
    </w:p>
    <w:p>
      <w:pPr>
        <w:spacing w:after="0" w:line="170"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our RHO-adRP gene therapy product candidate and the BEST1 gene therapy product candidate for which are planning to commence IND-enabling activities, including activities to establish manufacturing capabilities and preclinical testing to enable us to file INDs for these product candidates;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and timing of process development, manufacturing scale-up and validation activities and stability studies associated with our product candidates;</w:t>
      </w:r>
    </w:p>
    <w:p>
      <w:pPr>
        <w:spacing w:after="0" w:line="170" w:lineRule="exact"/>
        <w:rPr>
          <w:rFonts w:ascii="Arial" w:cs="Arial" w:eastAsia="Arial" w:hAnsi="Arial"/>
          <w:sz w:val="18"/>
          <w:szCs w:val="18"/>
          <w:color w:val="auto"/>
        </w:rPr>
      </w:pPr>
    </w:p>
    <w:p>
      <w:pPr>
        <w:ind w:left="980" w:right="420" w:hanging="324"/>
        <w:spacing w:after="0" w:line="264"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products, product candidates or technologies, including any product candidates or other technologies we may evaluate as part of our collaborative gene therapy sponsored research programs;</w:t>
      </w:r>
    </w:p>
    <w:p>
      <w:pPr>
        <w:spacing w:after="0" w:line="181"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 of any upfront, milestone payments and other financial obligations associated with the in-license or acquisition of other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and/or clinical trials for any other product candidates that we may develop;</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activities, including the development of our product candidates and other programs, and the potential future growth of our business. Additionally, these factors include general market conditions that also affect other companies. These factors may make raising capital difficult, and may result in us accepting terms that are unfavorable to us, especially if we are in need of financing at the particular time. The size of our company and our status as a company listed on The Nasdaq Stock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obtain shareholder approval, which can be expensive and time-consuming and can add risk to our ability to complete the financing transaction. If we are unable to raise additional funds when needed, we may be required to delay, limit, reduce or terminate the development of our product candidates, our collaborative gene therapy sponsored research programs, or our future commercialization efforts.</w:t>
      </w:r>
    </w:p>
    <w:p>
      <w:pPr>
        <w:spacing w:after="0" w:line="183"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In addition, we may require additional funding beyond what we currently expect due to unforeseen or other reasons. For example, our costs may exceed our expectations if we experience any unforeseen issue in our ongoing clinical trials, such as delays in enrollment or issues with the availability of drug supply, or in our preclinical development programs, such as inability to develop formulations or if we experience issues with manufacturing, or if we further expand the scope of our clinical trials, preclinical development programs or collaborative gene therapy sponsored research programs.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or build internal research capabilities or pursue internal research efforts. As a result, we may need or may seek to obtain additional funding for our continuing operations sooner or in greater amounts than expected.</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capital raises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or declaring dividends. In addition, we may issue equity securities as consideration for further business development transactions, which may also dilute our existing stockholders' ownership interests.</w:t>
      </w:r>
    </w:p>
    <w:p>
      <w:pPr>
        <w:spacing w:after="0" w:line="23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Archemix C5 License Agreement</w:t>
      </w:r>
    </w:p>
    <w:p>
      <w:pPr>
        <w:spacing w:after="0" w:line="14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2011, we entered into the C5 License Agreement with Archemix relating to anti-C5 aptamers. In connection with the C5 License Agreement, as amended, we paid Archemix an upfront licensing fee of $1.0 million and issued to Archemix an aggregate of 2,000,000 shares of our series A-1 preferred stock and 500,000 shares of our series B-1 preferred stock. We have also paid Archemix an aggregate of $2.0 million in fees based on our achievement of specified clinical milestone events under the C5 License Agreement.</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Under the C5 License Agreement, for each anti-C5 aptamer product that we may develop under the agreement, including Zimura, we are obligated to make additional payments to Archemix of up to an aggregate of $57.5 million if we achieve specified development, clinical and regulatory milestones, with $30.5 million of such payments relating to a first indication, $24.5 million of such payments relating to second and third indications and $2.5 million of such payments relating to sustained delivery applications. Under the C5 License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License Agreement. We are not obligated to pay Archemix a running royalty based on net product sales in connection with the C5 License Agreement.</w:t>
      </w:r>
    </w:p>
    <w:p>
      <w:pPr>
        <w:spacing w:after="0" w:line="1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more information about the C5 License Agreement, please see the section entitled "Licensing and Other Arrangements—Zimura - Archemix C5 License Agreement" in Part I, Item 1 of this Annual Report on Form 10-K.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Inception 4 Merger Agreement</w:t>
      </w:r>
    </w:p>
    <w:p>
      <w:pPr>
        <w:spacing w:after="0" w:line="27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October 2018, we and Inception 4 entered into the Inception 4 Merger Agreement, pursuant to which we acquired Inception 4 through a merger transaction. As part of the transaction, we received approximately $6.1 million in cash.</w:t>
      </w:r>
    </w:p>
    <w:p>
      <w:pPr>
        <w:spacing w:after="0" w:line="22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pursuant to the Inception 4 Merger Agreement, the former equityholders of Inception 4 will be entitled to receive contingent future payments from us based on the achievement of certain clinical and regulatory milestones of up to an aggregate maximum amount of $105 million, with $45 million of such potential payments relating to GA and $60 million of such potential payments relating to wet AMD. These future milestone payments will be payable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of the Inception 4 Merger, and will be payable in cash thereafter.</w:t>
      </w:r>
    </w:p>
    <w:p>
      <w:pPr>
        <w:spacing w:after="0" w:line="24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For more information about the Inception 4 Merger Agreement, please see the section entitled "HtrA1 Inhibitor Program - Inception 4 Merger Agreement" in Part I, Item 1 of this Annual Report on Form 10-K.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RHO-adRP Gene Therapy Agreements with the University of Florida and the University of Pennsylvania</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RHO-adRP License Agreement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June 2018, we paid a $0.5 million upfront license issuance fee to UFRF, on behalf of UFRF and Penn, in connection with entry into the RHO-adRP License Agreement, which was recorded as a research and development expense, as well as accrued patent prosecution expenses of approximately $30 thousand, which was recorded as a general and administrative expense. Under the agreement, we agreed to pay an annual license maintenance fee in the low double-digit thousands of dollars, which will be payable on an annual basis until the first commercial sale of a licensed product. In addition, we agreed to reimburse UFRF for the costs and expenses of patent prosecution and maintenance related to the licensed patent rights.</w:t>
      </w:r>
    </w:p>
    <w:p>
      <w:pPr>
        <w:spacing w:after="0" w:line="21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further agreed to pay UFRF, on behalf of both licensors, up to an aggregate of $23.5 million if we achieve specified clinical, marketing approval and reimbursement approval milestones with respect to a licensed product and additionally, up to an aggregate of $70.0 million if we achieve specified commercial sales milestones with respect to a licensed product.</w:t>
      </w:r>
    </w:p>
    <w:p>
      <w:pPr>
        <w:spacing w:after="0" w:line="23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also obligated to pay UFRF, on behalf of both licensors, royalties at a low single-digit percentage of net sales of licensed products. Such royalties are subject to customary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for patent rights or other intellectual property rights that are necessary to manufacture, develop and commercialize the licensed product in such country. Our obligation to pay royalties under the RHO-adRP License Agreement will continue on a licensed product-by-licensed product and country-by-country basis until the latest of:</w:t>
      </w:r>
    </w:p>
    <w:p>
      <w:pPr>
        <w:spacing w:after="0" w:line="247"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a licensed product in the country of sale;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a licensed product in the country of sale;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ten years from the first commercial sale of the applicable licensed product in the country of sale.</w:t>
      </w:r>
    </w:p>
    <w:p>
      <w:pPr>
        <w:spacing w:after="0" w:line="2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Beginning on the earlier of the calendar year following the first commercial sale of a licensed product and the first business day of 2031, we are also obligated to pay certain minimum royalties, not to exceed an amount in the low hundreds of thousands of dollars on an annual basis, which minimum royalties are creditable against our royalty obligation with respect to net sales of licensed products due for the year in which the minimum royalty is paid.</w:t>
      </w:r>
    </w:p>
    <w:p>
      <w:pPr>
        <w:spacing w:after="0" w:line="22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If we or an affiliate sublicenses any of the licensed patent rights to a third party, we will be obligated to pay UFRF, on behalf of both licensors, a low double-digit percentage of the consideration received in exchange for such sublicense, with the applicable percentage based upon the stage of development of the sublicensed product at the time we or the applicable affiliate enters into the sublicense.</w:t>
      </w:r>
    </w:p>
    <w:p>
      <w:pPr>
        <w:spacing w:after="0" w:line="23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If we receive a rare pediatric disease priority review voucher from the FDA in connection with obtaining marketing approval for a licensed product and we subsequently use such priority review voucher in connection with a different product candidate, we will be obligated to pay UFRF, on behalf of both licensors, aggregate payments in the low double-digit millions of dollars based on certain marketing approval and commercial sales milestones with respect to such other product candidate. In addition, if we sell such a priority review voucher to a third party, we will be obligated to pay UFRF, on behalf of both licensors, a low double-digit percentage of any consideration received from such third party in connection with such sale.</w:t>
      </w:r>
    </w:p>
    <w:p>
      <w:pPr>
        <w:spacing w:after="0" w:line="22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For more information about the RHO-adRP License Agreement, please see the section entitled "Licensing and Other Arrangements—RHO-adRP Gene Therapy Product Candidate - RHO-adRP License Agreement" in Part I, Item 1 of this Annual Report on Form 10-K.</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RHO-adRP Master Sponsored Research Agreement</w:t>
      </w:r>
    </w:p>
    <w:p>
      <w:pPr>
        <w:spacing w:after="0" w:line="27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June 2018, we also entered into a Master Sponsored Research Agreement, or the Master SRA, with Penn. Under the Master SRA, Penn has agreed to perform, on a project basis, certain sponsored research and to provide the results of such research to us. The scope of each project and certain associated terms, including financial terms, are to be specified in a statement of work for each project.</w:t>
      </w:r>
    </w:p>
    <w:p>
      <w:pPr>
        <w:spacing w:after="0" w:line="23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the Master SRA, Penn has granted us an exclusive first option to obtain, for no additional consideration and pursuant to the terms of the RHO-adRP License Agreement, an exclusive license to any patents or patent applications resulting from the sponsored research that is fully-funded by us and that relate to the patent rights licensed under the RHO-adRP License Agreement. In addition, under the Master SRA, Penn has granted us an exclusive first option to negotiate to acquire an exclusive license, on commercially reasonable terms, to any patents or patent applications resulting from the sponsored research that do not relate to the patent rights licensed under the RHO-adRP License Agreement.</w:t>
      </w:r>
    </w:p>
    <w:p>
      <w:pPr>
        <w:spacing w:after="0" w:line="22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initial term of the Master SRA expires on June 6, 2021, provided that in the event of a termination of the Master SRA, any statements of work in effect at the time of such termination shall continue in effect, subject to the terms of the Master</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5"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SRA, until expiration or termination of the applicable statement of work. Either party may terminate the Master SRA or a statement of work if the other party breaches any of the terms or conditions of the Master SRA or statement of work, as applicable, and does not cure such breach within a specified cure period. In addition, either party may terminate an applicable statement of work if the services of the applicable principal investigator are no longer available to Penn and an acceptable substitute is not appointed within an agreed-upon period. The Master SRA contains indemnification and dispute resolution provisions that are customary for agreements of its kind.</w:t>
      </w:r>
    </w:p>
    <w:p>
      <w:pPr>
        <w:spacing w:after="0" w:line="24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and Penn have entered into a series of statements of work under the Master SRA pursuant to which Penn is conducting additional preclinical studies for our RHO-adRP gene therapy product candidate, as well as a natural history study of RHO-adRP patients. The total amount of funding for the sponsored research covered by these statements of work that we have committed to date and are expecting to commit to is in the low single-digit millions of dollars.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Licensing and Commercialization Agreement with Novartis Pharma AG</w:t>
      </w:r>
    </w:p>
    <w:p>
      <w:pPr>
        <w:spacing w:after="0" w:line="2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May 2014, we entered into the Novartis Agreement with Novartis. Under the Novartis Agreement, we granted Novartis exclusive rights under specified patent rights, know-how and trademarks controlled by us to manufacture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which we refer to as the Novartis Territory.</w:t>
      </w:r>
    </w:p>
    <w:p>
      <w:pPr>
        <w:spacing w:after="0" w:line="24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July 2017, we and Novartis entered into the July 2017 Letter Agreement to streamline the process and timeline for evaluating data from the OPH1004 trial once it became available. The July 2017 Letter Agreement provides Novartis with a fully paid-up, royalty-free license to use data from the Lucentis monotherapy arms of our Phase 2b OPH1001 trial and Phase 3 OPH1002 and OPH1003 trials in the Novartis Territory in connection with the development, manufacturing and commercialization of Novartis-controlled anti-VEGF products. The Lucentis study data license will continue until July 3, 2022. In October 2017, following the failure of the Phase 3 Fovista program and pursuant to the terms of the July 2017 Letter Agreement, Novartis elected to terminate the Novartis Agreement with immediate effect.</w:t>
      </w:r>
    </w:p>
    <w:p>
      <w:pPr>
        <w:spacing w:after="0" w:line="2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Novartis paid us a $200.0 million upfront fee upon execution of the Novartis Agreement. Novartis also paid us $50.0 million upon the achievement of each of two patient enrollment-based milestones, and $30.0 million upon the achievement of a third, and final, enrollment-based milestone, for an aggregate of $130.0 million in milestone payments.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Royalty Financing Agreement with Novo Holdings A/S</w:t>
      </w:r>
    </w:p>
    <w:p>
      <w:pPr>
        <w:spacing w:after="0" w:line="2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May 2013, we entered into the Novo Agreement, pursuant to which we obtained financing in three tranches in an aggregate amount equal to $125.0 million in return for the sale to Novo of aggregate royalties of a mid-single-digit percentage on worldwide sales of Fovista, certain Fovista-related products, or Fovista-Related Products, and certain other antagonists of PDGF. We refer to these collective products as the Anti-PDGF Royalty Products. The three tranches of financing, in which Novo purchased three low single-digit royalty interests and paid us $125.0 million in the aggregate, closed in May 2013, January 2014 and November 2014.</w:t>
      </w:r>
    </w:p>
    <w:p>
      <w:pPr>
        <w:spacing w:after="0" w:line="24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used a portion of the proceeds that we initially received under the Novo Agreement to repay in full an aggregate of $14.4 million of outstanding principal, interest and fees under our venture debt facility and used the remaining proceeds to support clinical development and regulatory activities for Fovista and for general corporate expenses.</w:t>
      </w:r>
    </w:p>
    <w:p>
      <w:pPr>
        <w:spacing w:after="0" w:line="23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December 31, 2018, we and Novo entered into the Novo Termination Agreement, that terminated the Novo Agreement. As a result of the Novo Termination Agreement, Novo relinquished all rights to receive royalties based on net sales of Anti-PDGF Royalty Products. In exchange, we agreed to forbear from any future filing, prosecution, maintenance or enforcement of any intellectual property rights related to Anti-PDGF Royalty Products, and from granting any third party or affiliate any right or license in any such intellectual property rights or clinical study data generated by or on behalf of us, our affiliates or licensees or sublicensees, for the development, manufacture or commercialization of Anti-PDGF Royalty Products or any other antagonists of PDGF. The foregoing restriction does not apply to gene therapies (so long as we do not grant any rights or licenses to intellectual property or clinical study data related to Fovista or Fovista-Related Products). We further agreed, until December 31, 2028, not to develop, manufacture, seek or obtain regulatory approval for or commercialize any Anti-PDGF Royalty Products without the prior written consent of Novo. The foregoing restriction does not apply to any gene therapies (so long as we do not utilize data related to Fovista or Fovista-Related Products).</w:t>
      </w:r>
    </w:p>
    <w:p>
      <w:pPr>
        <w:spacing w:after="0" w:line="18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a result of the Novo Termination Agreement, we extinguished the $125.0 million royalty purchase liability from our Consolidated Balance Sheet as of December 31, 2018 and recognized a related gain of $125.0 million in our Consolidated Statements of Operations for the year ended December 31, 2018. The extinguishment of the royalty purchase liability and the</w:t>
      </w:r>
    </w:p>
    <w:p>
      <w:pPr>
        <w:sectPr>
          <w:pgSz w:w="11900" w:h="16838" w:orient="portrait"/>
          <w:cols w:equalWidth="0" w:num="1">
            <w:col w:w="11380"/>
          </w:cols>
          <w:pgMar w:left="240" w:top="125" w:right="279" w:bottom="1440" w:gutter="0" w:footer="0" w:header="0"/>
        </w:sect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380"/>
          </w:cols>
          <w:pgMar w:left="240" w:top="125" w:right="27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related gain did not impact our cash balance during this period as we had received the proceeds related to the royalty purchase liability in prior periods.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December 31,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jc w:val="center"/>
              <w:ind w:right="820"/>
              <w:spacing w:after="0"/>
              <w:rPr>
                <w:sz w:val="20"/>
                <w:szCs w:val="20"/>
                <w:color w:val="auto"/>
              </w:rPr>
            </w:pPr>
            <w:r>
              <w:rPr>
                <w:rFonts w:ascii="Arial" w:cs="Arial" w:eastAsia="Arial" w:hAnsi="Arial"/>
                <w:sz w:val="14"/>
                <w:szCs w:val="14"/>
                <w:b w:val="1"/>
                <w:bCs w:val="1"/>
                <w:color w:val="auto"/>
                <w:w w:val="92"/>
              </w:rPr>
              <w:t>Payments Due by Period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8"/>
              </w:rPr>
              <w:t>Less than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4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3"/>
                <w:szCs w:val="13"/>
                <w:color w:val="auto"/>
              </w:rPr>
            </w:pPr>
          </w:p>
        </w:tc>
        <w:tc>
          <w:tcPr>
            <w:tcW w:w="8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Sponsored Research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Operating Leases (2)</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660" w:right="100" w:hanging="328"/>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table above includes our contracted obligations under our sponsored research agreements. We have engaged academic research collaborators to conduct research that has the potential to create or enhance technologies to which we may acquire or in-license rights to for development of new products or product candidates.</w:t>
      </w:r>
    </w:p>
    <w:p>
      <w:pPr>
        <w:spacing w:after="0" w:line="181"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table above includes our continuing rent obligations through June 2020. In June 2018, we and One Penn Plaza LLC entered into an amendment to the lease for office space at One Penn Plaza in New York, New York extending the term of our lease, which was scheduled to expire in December 2018, through the end of June 2020.</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table does not include:</w:t>
      </w:r>
    </w:p>
    <w:p>
      <w:pPr>
        <w:spacing w:after="0" w:line="144" w:lineRule="exact"/>
        <w:rPr>
          <w:sz w:val="20"/>
          <w:szCs w:val="20"/>
          <w:color w:val="auto"/>
        </w:rPr>
      </w:pPr>
    </w:p>
    <w:p>
      <w:pPr>
        <w:ind w:left="660" w:right="34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milestone payments which may become payable to third parties under license or acquisition agreements as the timing and likelihood of such payments are not known with certainty;</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royalty payments to third parties as the amounts, timing and likelihood of such payments are not known;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anticipated expenditures under supply agreements for periods for which we are not yet bound under binding purchase orders;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contracts that are entered into in the ordinary course of business that are not material in the aggregate in any period presented above; or</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royalty purchase liability of $125.0 million, which was extinguished as of December 31, 2018.</w:t>
      </w:r>
    </w:p>
    <w:p>
      <w:pPr>
        <w:spacing w:after="0" w:line="14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addition to the amounts set forth in the table above, we may be required, under the C5 License Agreement, the Inception 4 Merger Agreement or the RHO-adRP License Agreement to make milestone payments and/or pay royalties as described above.</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2018 annual meeting of stockholders, as filed with the SEC on April 17, 2018.</w:t>
      </w:r>
    </w:p>
    <w:p>
      <w:pPr>
        <w:spacing w:after="0" w:line="5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addition, in the course of normal business operations, we have agreements with contract service providers to assist in the performance of our research and development and manufacturing activities. Expenditures to CROs and CMOs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 even long-term commitments of cash.</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00"/>
          </w:cols>
          <w:pgMar w:left="240" w:top="125" w:right="25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exposed to market risk related to changes in interest rates. We had cash and cash equivalents of $131.2 million as of December 31, 2018, consisting of cash and investments in money market funds and certain short-term investment-grade corporate debt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242"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We contract with CROs globally. We may be subject to fluctuations in foreign currency rates in connection with certain of these agreements. Transactions denominated in currencies other than the U.S. dollar are recorded based on exchange rates at the time such transactions arise. As of December 31, 2018, substantially all of our total liabilities were denominated in the U.S. dollar.</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8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financial statements, together with the report of our independent registered public accounting firm, appear on pages F-2 through F-31 of this Annual Report on Form 10-K.</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Based on the evaluation of our disclosure controls and procedures as of December 31, 2018, our Chief Executive Officer and Chief Financial Officer concluded that, as of such date, our disclosure controls and procedures were effective at the reasonable assurance level.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83"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24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2018. In making this assessment, management used the criteria set forth by the Committee of Sponsoring Organizations of the Treadway Commission (COSO) in the original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updated in 2013. Based on that assessment, our management concluded that, as of December 31, 2018,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w:t>
      </w:r>
    </w:p>
    <w:p>
      <w:pPr>
        <w:spacing w:after="0" w:line="24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Ernst &amp; Young LLP, an independent registered public accounting firm, as stated in their report which appears herein.</w:t>
      </w:r>
    </w:p>
    <w:p>
      <w:pPr>
        <w:sectPr>
          <w:pgSz w:w="11900" w:h="16838" w:orient="portrait"/>
          <w:cols w:equalWidth="0" w:num="1">
            <w:col w:w="11400"/>
          </w:cols>
          <w:pgMar w:left="240" w:top="125"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00"/>
          </w:cols>
          <w:pgMar w:left="240" w:top="125" w:right="25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32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No changes in our internal control over financial reporting (as defined in Rules 13a-15(d) and 15d-15(d) under the Exchange Act) occurred during the quarter ended December 31,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240" w:top="125" w:right="41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right="3460" w:firstLine="3453"/>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Ophthotech Corporation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Ophthotech Corporation’s internal control over financial reporting as of December 31, 2018, based on criteria established in Internal Control —Integrated Framework issued by the Committee of Sponsoring Organizations of the Treadway Commission (2013 framework) (the COSO criteria). In our opinion, Ophthotech Corporation (the Company) maintained, in all material respects, effective internal control over financial reporting as of December 31, 2018, based on the COSO criteria</w:t>
      </w:r>
      <w:r>
        <w:rPr>
          <w:rFonts w:ascii="Arial" w:cs="Arial" w:eastAsia="Arial" w:hAnsi="Arial"/>
          <w:sz w:val="18"/>
          <w:szCs w:val="18"/>
          <w:b w:val="1"/>
          <w:bCs w:val="1"/>
          <w:color w:val="auto"/>
        </w:rPr>
        <w: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and the consolidated statements of operations, comprehensive income (loss), stockholders' equity (deficit) and cash flows for each of the three years in the period ended December 31, 2018 and the related notes and our report dated February 28,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Iselin, New Jersey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2019</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2019 Annual Meeting of Shareholders and is incorporated in this Annual Report on Form 10-K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2019 Annual Meeting of Shareholders and is incorporated in this Annual Report on Form 10-K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8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have adopted a code of business conduct and ethics that applies to our directors and officers (including our principal executive officer, principal financial officer, principal accounting officer or controller, or persons performing similar functions) as well as our other employees. A copy of our code of business conduct and ethics is available on our website. We intend to post on our website all disclosures that are required by applicable law, the rules of the SEC or the Nasdaq Global Market concerning any amendment to, or waiver of, our code of business conduct and ethics.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2019 Annual Meeting of Shareholders and is incorporated in this Annual Report on Form 10-K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8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have separately designated a standing Audit Committee established in accordance with Section 3(a)(58)(A) of the Exchange Act. Additional information regarding the Audit Committee that is required by this item will be set forth in our Proxy Statement for the 2019 Annual Meeting of Shareholders and is incorporated in this Annual Report on Form 10-K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8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Our board of directors has determined that Jane Henderson is an "audit committee financial expert" as defined by Item 407(d)(5) of Regulation S-K of the Exchange Act and Ms. Henderson and the other members of our Audit Committee are "independent" under the rules of the Nasdaq Global Market.</w:t>
      </w:r>
    </w:p>
    <w:p>
      <w:pPr>
        <w:spacing w:after="0" w:line="1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2019 Annual Meeting of Shareholders and is incorporated in this Annual Report on Form 10-K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2019 Annual Meeting of Shareholders and is incorporated in this Annual Report on Form 10-K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2019 Annual Meeting of Shareholders and is incorporated in this Annual Report on Form 10-K by reference.</w:t>
      </w:r>
    </w:p>
    <w:p>
      <w:pPr>
        <w:sectPr>
          <w:pgSz w:w="11900" w:h="16838" w:orient="portrait"/>
          <w:cols w:equalWidth="0" w:num="1">
            <w:col w:w="11400"/>
          </w:cols>
          <w:pgMar w:left="240" w:top="125"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00"/>
          </w:cols>
          <w:pgMar w:left="240" w:top="125" w:right="25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2019 Annual Meeting of Shareholders and is incorporated in this Annual Report on Form 10-K by reference.</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125" w:right="4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60" w:type="dxa"/>
            <w:vAlign w:val="bottom"/>
            <w:gridSpan w:val="5"/>
          </w:tcPr>
          <w:p>
            <w:pPr>
              <w:ind w:left="680"/>
              <w:spacing w:after="0"/>
              <w:rPr>
                <w:sz w:val="20"/>
                <w:szCs w:val="20"/>
                <w:color w:val="auto"/>
              </w:rPr>
            </w:pPr>
            <w:r>
              <w:rPr>
                <w:rFonts w:ascii="Arial" w:cs="Arial" w:eastAsia="Arial" w:hAnsi="Arial"/>
                <w:sz w:val="18"/>
                <w:szCs w:val="18"/>
                <w:b w:val="1"/>
                <w:bCs w:val="1"/>
                <w:color w:val="auto"/>
              </w:rPr>
              <w:t>PART IV</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1074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10740" w:type="dxa"/>
            <w:vAlign w:val="bottom"/>
            <w:gridSpan w:val="9"/>
          </w:tcPr>
          <w:p>
            <w:pPr>
              <w:spacing w:after="0"/>
              <w:rPr>
                <w:sz w:val="20"/>
                <w:szCs w:val="20"/>
                <w:color w:val="auto"/>
              </w:rPr>
            </w:pPr>
            <w:r>
              <w:rPr>
                <w:rFonts w:ascii="Arial" w:cs="Arial" w:eastAsia="Arial" w:hAnsi="Arial"/>
                <w:sz w:val="18"/>
                <w:szCs w:val="18"/>
                <w:b w:val="1"/>
                <w:bCs w:val="1"/>
                <w:color w:val="auto"/>
              </w:rPr>
              <w:t>(1) Financial Statements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0700" w:type="dxa"/>
            <w:vAlign w:val="bottom"/>
            <w:gridSpan w:val="8"/>
          </w:tcPr>
          <w:p>
            <w:pPr>
              <w:ind w:left="620"/>
              <w:spacing w:after="0"/>
              <w:rPr>
                <w:sz w:val="20"/>
                <w:szCs w:val="20"/>
                <w:color w:val="auto"/>
              </w:rPr>
            </w:pPr>
            <w:r>
              <w:rPr>
                <w:rFonts w:ascii="Arial" w:cs="Arial" w:eastAsia="Arial" w:hAnsi="Arial"/>
                <w:sz w:val="18"/>
                <w:szCs w:val="18"/>
                <w:color w:val="auto"/>
              </w:rPr>
              <w:t>The following financial statements are filed as part of this Annual Report on Form 10-K:</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40" w:type="dxa"/>
            <w:vAlign w:val="bottom"/>
          </w:tcPr>
          <w:p>
            <w:pPr>
              <w:spacing w:after="0"/>
              <w:rPr>
                <w:sz w:val="17"/>
                <w:szCs w:val="17"/>
                <w:color w:val="auto"/>
              </w:rPr>
            </w:pPr>
          </w:p>
        </w:tc>
        <w:tc>
          <w:tcPr>
            <w:tcW w:w="4640" w:type="dxa"/>
            <w:vAlign w:val="bottom"/>
            <w:tcBorders>
              <w:bottom w:val="single" w:sz="8" w:color="0000EE"/>
            </w:tcBorders>
            <w:gridSpan w:val="3"/>
          </w:tcPr>
          <w:p>
            <w:pPr>
              <w:spacing w:after="0" w:line="170" w:lineRule="exact"/>
              <w:rPr>
                <w:rFonts w:ascii="Arial" w:cs="Arial" w:eastAsia="Arial" w:hAnsi="Arial"/>
                <w:sz w:val="18"/>
                <w:szCs w:val="18"/>
                <w:color w:val="0000EE"/>
              </w:rPr>
            </w:pPr>
            <w:hyperlink w:anchor="page119">
              <w:r>
                <w:rPr>
                  <w:rFonts w:ascii="Arial" w:cs="Arial" w:eastAsia="Arial" w:hAnsi="Arial"/>
                  <w:sz w:val="18"/>
                  <w:szCs w:val="18"/>
                  <w:color w:val="0000EE"/>
                </w:rPr>
                <w:t>Report of Independent Registered Public Accounting Firm</w:t>
              </w:r>
            </w:hyperlink>
          </w:p>
        </w:tc>
        <w:tc>
          <w:tcPr>
            <w:tcW w:w="606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0000EE"/>
            </w:tcBorders>
          </w:tcPr>
          <w:p>
            <w:pPr>
              <w:spacing w:after="0" w:line="170"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F-2</w:t>
              </w:r>
            </w:hyperlink>
          </w:p>
        </w:tc>
        <w:tc>
          <w:tcPr>
            <w:tcW w:w="20" w:type="dxa"/>
            <w:vAlign w:val="bottom"/>
          </w:tcPr>
          <w:p>
            <w:pPr>
              <w:spacing w:after="0"/>
              <w:rPr>
                <w:sz w:val="17"/>
                <w:szCs w:val="17"/>
                <w:color w:val="auto"/>
              </w:rPr>
            </w:pPr>
          </w:p>
        </w:tc>
      </w:tr>
      <w:tr>
        <w:trPr>
          <w:trHeight w:val="257"/>
        </w:trPr>
        <w:tc>
          <w:tcPr>
            <w:tcW w:w="40" w:type="dxa"/>
            <w:vAlign w:val="bottom"/>
          </w:tcPr>
          <w:p>
            <w:pPr>
              <w:spacing w:after="0"/>
              <w:rPr>
                <w:sz w:val="22"/>
                <w:szCs w:val="22"/>
                <w:color w:val="auto"/>
              </w:rPr>
            </w:pPr>
          </w:p>
        </w:tc>
        <w:tc>
          <w:tcPr>
            <w:tcW w:w="10700" w:type="dxa"/>
            <w:vAlign w:val="bottom"/>
            <w:gridSpan w:val="8"/>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Consolidated Balance Sheets as of December 31, 2018 and 2017</w:t>
              </w:r>
            </w:hyperlink>
          </w:p>
        </w:tc>
        <w:tc>
          <w:tcPr>
            <w:tcW w:w="680" w:type="dxa"/>
            <w:vAlign w:val="bottom"/>
            <w:gridSpan w:val="3"/>
          </w:tcPr>
          <w:p>
            <w:pPr>
              <w:ind w:left="400"/>
              <w:spacing w:after="0"/>
              <w:rPr>
                <w:rFonts w:ascii="Arial" w:cs="Arial" w:eastAsia="Arial" w:hAnsi="Arial"/>
                <w:sz w:val="18"/>
                <w:szCs w:val="18"/>
                <w:color w:val="0000EE"/>
                <w:w w:val="96"/>
              </w:rPr>
            </w:pPr>
            <w:hyperlink w:anchor="page120">
              <w:r>
                <w:rPr>
                  <w:rFonts w:ascii="Arial" w:cs="Arial" w:eastAsia="Arial" w:hAnsi="Arial"/>
                  <w:sz w:val="18"/>
                  <w:szCs w:val="18"/>
                  <w:color w:val="0000EE"/>
                  <w:w w:val="96"/>
                </w:rPr>
                <w:t>F-3</w:t>
              </w:r>
            </w:hyperlink>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Consolidated Statements of Operations for the Years Ended December 31, 2018, 2017 and 2016</w:t>
              </w:r>
            </w:hyperlink>
          </w:p>
        </w:tc>
        <w:tc>
          <w:tcPr>
            <w:tcW w:w="680" w:type="dxa"/>
            <w:vAlign w:val="bottom"/>
            <w:gridSpan w:val="3"/>
          </w:tcPr>
          <w:p>
            <w:pPr>
              <w:ind w:left="400"/>
              <w:spacing w:after="0"/>
              <w:rPr>
                <w:rFonts w:ascii="Arial" w:cs="Arial" w:eastAsia="Arial" w:hAnsi="Arial"/>
                <w:sz w:val="18"/>
                <w:szCs w:val="18"/>
                <w:color w:val="0000EE"/>
                <w:w w:val="96"/>
              </w:rPr>
            </w:pPr>
            <w:hyperlink w:anchor="page121">
              <w:r>
                <w:rPr>
                  <w:rFonts w:ascii="Arial" w:cs="Arial" w:eastAsia="Arial" w:hAnsi="Arial"/>
                  <w:sz w:val="18"/>
                  <w:szCs w:val="18"/>
                  <w:color w:val="0000EE"/>
                  <w:w w:val="96"/>
                </w:rPr>
                <w:t>F-4</w:t>
              </w:r>
            </w:hyperlink>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8"/>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Consolidated Statements of Comprehensive Loss for the Years Ended December 31, 2018, 2017 and 2016</w:t>
              </w:r>
            </w:hyperlink>
          </w:p>
        </w:tc>
        <w:tc>
          <w:tcPr>
            <w:tcW w:w="680" w:type="dxa"/>
            <w:vAlign w:val="bottom"/>
            <w:gridSpan w:val="3"/>
          </w:tcPr>
          <w:p>
            <w:pPr>
              <w:ind w:left="400"/>
              <w:spacing w:after="0"/>
              <w:rPr>
                <w:rFonts w:ascii="Arial" w:cs="Arial" w:eastAsia="Arial" w:hAnsi="Arial"/>
                <w:sz w:val="18"/>
                <w:szCs w:val="18"/>
                <w:color w:val="0000EE"/>
                <w:w w:val="96"/>
              </w:rPr>
            </w:pPr>
            <w:hyperlink w:anchor="page122">
              <w:r>
                <w:rPr>
                  <w:rFonts w:ascii="Arial" w:cs="Arial" w:eastAsia="Arial" w:hAnsi="Arial"/>
                  <w:sz w:val="18"/>
                  <w:szCs w:val="18"/>
                  <w:color w:val="0000EE"/>
                  <w:w w:val="96"/>
                </w:rPr>
                <w:t>F-5</w:t>
              </w:r>
            </w:hyperlink>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8"/>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Consolidated Statements of Changes in Stockholders' Equity (Deficit) for the Years Ended December 31, 2018, 2017 and 2016</w:t>
              </w:r>
            </w:hyperlink>
          </w:p>
        </w:tc>
        <w:tc>
          <w:tcPr>
            <w:tcW w:w="680" w:type="dxa"/>
            <w:vAlign w:val="bottom"/>
            <w:gridSpan w:val="3"/>
          </w:tcPr>
          <w:p>
            <w:pPr>
              <w:ind w:left="400"/>
              <w:spacing w:after="0"/>
              <w:rPr>
                <w:rFonts w:ascii="Arial" w:cs="Arial" w:eastAsia="Arial" w:hAnsi="Arial"/>
                <w:sz w:val="18"/>
                <w:szCs w:val="18"/>
                <w:color w:val="0000EE"/>
                <w:w w:val="96"/>
              </w:rPr>
            </w:pPr>
            <w:hyperlink w:anchor="page123">
              <w:r>
                <w:rPr>
                  <w:rFonts w:ascii="Arial" w:cs="Arial" w:eastAsia="Arial" w:hAnsi="Arial"/>
                  <w:sz w:val="18"/>
                  <w:szCs w:val="18"/>
                  <w:color w:val="0000EE"/>
                  <w:w w:val="96"/>
                </w:rPr>
                <w:t>F-6</w:t>
              </w:r>
            </w:hyperlink>
          </w:p>
        </w:tc>
      </w:tr>
      <w:tr>
        <w:trPr>
          <w:trHeight w:val="250"/>
        </w:trPr>
        <w:tc>
          <w:tcPr>
            <w:tcW w:w="40" w:type="dxa"/>
            <w:vAlign w:val="bottom"/>
          </w:tcPr>
          <w:p>
            <w:pPr>
              <w:spacing w:after="0"/>
              <w:rPr>
                <w:sz w:val="21"/>
                <w:szCs w:val="21"/>
                <w:color w:val="auto"/>
              </w:rPr>
            </w:pPr>
          </w:p>
        </w:tc>
        <w:tc>
          <w:tcPr>
            <w:tcW w:w="69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124">
              <w:r>
                <w:rPr>
                  <w:rFonts w:ascii="Arial" w:cs="Arial" w:eastAsia="Arial" w:hAnsi="Arial"/>
                  <w:sz w:val="18"/>
                  <w:szCs w:val="18"/>
                  <w:color w:val="0000EE"/>
                  <w:w w:val="89"/>
                </w:rPr>
                <w:t>Consolidated Statements of Cash Flows for the Years Ended December 31, 2018, 2017 and 2016</w:t>
              </w:r>
            </w:hyperlink>
          </w:p>
        </w:tc>
        <w:tc>
          <w:tcPr>
            <w:tcW w:w="2160" w:type="dxa"/>
            <w:vAlign w:val="bottom"/>
            <w:tcBorders>
              <w:top w:val="single" w:sz="8" w:color="0000EE"/>
            </w:tcBorders>
            <w:gridSpan w:val="2"/>
          </w:tcPr>
          <w:p>
            <w:pPr>
              <w:spacing w:after="0"/>
              <w:rPr>
                <w:sz w:val="21"/>
                <w:szCs w:val="21"/>
                <w:color w:val="auto"/>
              </w:rPr>
            </w:pPr>
          </w:p>
        </w:tc>
        <w:tc>
          <w:tcPr>
            <w:tcW w:w="1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24">
              <w:r>
                <w:rPr>
                  <w:rFonts w:ascii="Arial" w:cs="Arial" w:eastAsia="Arial" w:hAnsi="Arial"/>
                  <w:sz w:val="18"/>
                  <w:szCs w:val="18"/>
                  <w:color w:val="0000EE"/>
                  <w:w w:val="88"/>
                </w:rPr>
                <w:t>F-7</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0700" w:type="dxa"/>
            <w:vAlign w:val="bottom"/>
            <w:gridSpan w:val="8"/>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Notes to Consolidated Financial Statements</w:t>
              </w:r>
            </w:hyperlink>
          </w:p>
        </w:tc>
        <w:tc>
          <w:tcPr>
            <w:tcW w:w="680" w:type="dxa"/>
            <w:vAlign w:val="bottom"/>
            <w:gridSpan w:val="3"/>
          </w:tcPr>
          <w:p>
            <w:pPr>
              <w:ind w:left="400"/>
              <w:spacing w:after="0"/>
              <w:rPr>
                <w:rFonts w:ascii="Arial" w:cs="Arial" w:eastAsia="Arial" w:hAnsi="Arial"/>
                <w:sz w:val="18"/>
                <w:szCs w:val="18"/>
                <w:color w:val="0000EE"/>
                <w:w w:val="96"/>
              </w:rPr>
            </w:pPr>
            <w:hyperlink w:anchor="page125">
              <w:r>
                <w:rPr>
                  <w:rFonts w:ascii="Arial" w:cs="Arial" w:eastAsia="Arial" w:hAnsi="Arial"/>
                  <w:sz w:val="18"/>
                  <w:szCs w:val="18"/>
                  <w:color w:val="0000EE"/>
                  <w:w w:val="96"/>
                </w:rPr>
                <w:t>F-8</w:t>
              </w:r>
            </w:hyperlink>
          </w:p>
        </w:tc>
      </w:tr>
      <w:tr>
        <w:trPr>
          <w:trHeight w:val="20"/>
        </w:trPr>
        <w:tc>
          <w:tcPr>
            <w:tcW w:w="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Annual Report on Form 10-K because they are not applicable, not required or because the information is otherwise included in our financial statements or notes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800" w:type="dxa"/>
            <w:vAlign w:val="bottom"/>
            <w:vMerge w:val="restart"/>
          </w:tcPr>
          <w:p>
            <w:pPr>
              <w:ind w:left="244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9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800"/>
        <w:spacing w:after="0"/>
        <w:rPr>
          <w:rFonts w:ascii="Arial" w:cs="Arial" w:eastAsia="Arial" w:hAnsi="Arial"/>
          <w:sz w:val="17"/>
          <w:szCs w:val="17"/>
          <w:color w:val="0000FF"/>
        </w:rPr>
      </w:pPr>
      <w:hyperlink r:id="rId17">
        <w:r>
          <w:rPr>
            <w:rFonts w:ascii="Arial" w:cs="Arial" w:eastAsia="Arial" w:hAnsi="Arial"/>
            <w:sz w:val="17"/>
            <w:szCs w:val="17"/>
            <w:u w:val="single" w:color="auto"/>
            <w:color w:val="0000FF"/>
          </w:rPr>
          <w:t>2.1</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r:id="rId17">
        <w:r>
          <w:rPr>
            <w:rFonts w:ascii="Arial" w:cs="Arial" w:eastAsia="Arial" w:hAnsi="Arial"/>
            <w:sz w:val="17"/>
            <w:szCs w:val="17"/>
            <w:u w:val="single" w:color="auto"/>
            <w:color w:val="0000FF"/>
          </w:rPr>
          <w:t>Agreement and Plan of Merger, dated October 30, 2018, by and among the Registrant, Orion Ophthalmology Merger Sub Inc., Orion</w:t>
        </w:r>
      </w:hyperlink>
    </w:p>
    <w:p>
      <w:pPr>
        <w:spacing w:after="0" w:line="37" w:lineRule="exact"/>
        <w:rPr>
          <w:sz w:val="20"/>
          <w:szCs w:val="20"/>
          <w:color w:val="auto"/>
        </w:rPr>
      </w:pPr>
    </w:p>
    <w:p>
      <w:pPr>
        <w:ind w:left="1300" w:right="440" w:hanging="225"/>
        <w:spacing w:after="0" w:line="274" w:lineRule="auto"/>
        <w:tabs>
          <w:tab w:leader="none" w:pos="1300" w:val="left"/>
        </w:tabs>
        <w:numPr>
          <w:ilvl w:val="0"/>
          <w:numId w:val="73"/>
        </w:numPr>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Ophthalmology LLC, Inception 4, Inc., and solely in its capacity as equityholder representative, Fortis Advisors LLC (incorporated by</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reference to Exhibit 2.1 of the Registrant's Current Report on Form 8-K filed on October 31, 2018)</w:t>
        </w:r>
      </w:hyperlink>
    </w:p>
    <w:p>
      <w:pPr>
        <w:spacing w:after="0" w:line="11" w:lineRule="exact"/>
        <w:rPr>
          <w:rFonts w:ascii="Arial" w:cs="Arial" w:eastAsia="Arial" w:hAnsi="Arial"/>
          <w:sz w:val="18"/>
          <w:szCs w:val="18"/>
          <w:color w:val="auto"/>
        </w:rPr>
      </w:pPr>
    </w:p>
    <w:p>
      <w:pPr>
        <w:ind w:left="1300" w:right="220" w:hanging="494"/>
        <w:spacing w:after="0" w:line="277" w:lineRule="auto"/>
        <w:tabs>
          <w:tab w:leader="none" w:pos="1280" w:val="left"/>
        </w:tabs>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8">
        <w:r>
          <w:rPr>
            <w:rFonts w:ascii="Arial" w:cs="Arial" w:eastAsia="Arial" w:hAnsi="Arial"/>
            <w:sz w:val="18"/>
            <w:szCs w:val="18"/>
            <w:u w:val="single" w:color="auto"/>
            <w:color w:val="0000FF"/>
          </w:rPr>
          <w:t>Restated Certificate of Incorporation of the Registrant (incorporated by reference to Exhibit 3.3 of the Registrant's Registration Statement</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on Form S-1, as amended (File No. 333-190643))</w:t>
        </w:r>
      </w:hyperlink>
    </w:p>
    <w:p>
      <w:pPr>
        <w:spacing w:after="0" w:line="8" w:lineRule="exact"/>
        <w:rPr>
          <w:rFonts w:ascii="Arial" w:cs="Arial" w:eastAsia="Arial" w:hAnsi="Arial"/>
          <w:sz w:val="18"/>
          <w:szCs w:val="18"/>
          <w:u w:val="single" w:color="auto"/>
          <w:color w:val="0000FF"/>
        </w:rPr>
      </w:pPr>
    </w:p>
    <w:p>
      <w:pPr>
        <w:ind w:left="1300" w:right="380" w:hanging="494"/>
        <w:spacing w:after="0" w:line="277" w:lineRule="auto"/>
        <w:tabs>
          <w:tab w:leader="none" w:pos="1280" w:val="left"/>
        </w:tabs>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9">
        <w:r>
          <w:rPr>
            <w:rFonts w:ascii="Arial" w:cs="Arial" w:eastAsia="Arial" w:hAnsi="Arial"/>
            <w:sz w:val="18"/>
            <w:szCs w:val="18"/>
            <w:u w:val="single" w:color="auto"/>
            <w:color w:val="0000FF"/>
          </w:rPr>
          <w:t>Amended and Restated Bylaws of the Registrant (incorporated by reference to Exhibit 3.4 of the Registrant's Registration Statement on</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Form S-1, as amended (File No. 333-190643))</w:t>
        </w:r>
      </w:hyperlink>
    </w:p>
    <w:p>
      <w:pPr>
        <w:spacing w:after="0" w:line="8" w:lineRule="exact"/>
        <w:rPr>
          <w:rFonts w:ascii="Arial" w:cs="Arial" w:eastAsia="Arial" w:hAnsi="Arial"/>
          <w:sz w:val="18"/>
          <w:szCs w:val="18"/>
          <w:u w:val="single" w:color="auto"/>
          <w:color w:val="0000FF"/>
        </w:rPr>
      </w:pPr>
    </w:p>
    <w:p>
      <w:pPr>
        <w:ind w:left="1300" w:right="940" w:hanging="494"/>
        <w:spacing w:after="0" w:line="277" w:lineRule="auto"/>
        <w:tabs>
          <w:tab w:leader="none" w:pos="1280" w:val="left"/>
        </w:tabs>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20">
        <w:r>
          <w:rPr>
            <w:rFonts w:ascii="Arial" w:cs="Arial" w:eastAsia="Arial" w:hAnsi="Arial"/>
            <w:sz w:val="18"/>
            <w:szCs w:val="18"/>
            <w:u w:val="single" w:color="auto"/>
            <w:color w:val="0000FF"/>
          </w:rPr>
          <w:t>Specimen Stock Certificate evidencing the shares of common stock (incorporated by reference to Exhibit 4.1 of the Registrant's</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Registration Statement on Form S-1, as amended (File No. 333-190643))</w:t>
        </w:r>
      </w:hyperlink>
    </w:p>
    <w:p>
      <w:pPr>
        <w:spacing w:after="0" w:line="8" w:lineRule="exact"/>
        <w:rPr>
          <w:rFonts w:ascii="Arial" w:cs="Arial" w:eastAsia="Arial" w:hAnsi="Arial"/>
          <w:sz w:val="18"/>
          <w:szCs w:val="18"/>
          <w:u w:val="single" w:color="auto"/>
          <w:color w:val="0000FF"/>
        </w:rPr>
      </w:pPr>
    </w:p>
    <w:p>
      <w:pPr>
        <w:ind w:left="1300" w:right="240" w:hanging="584"/>
        <w:spacing w:after="0" w:line="277" w:lineRule="auto"/>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10.1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
        <w:r>
          <w:rPr>
            <w:rFonts w:ascii="Arial" w:cs="Arial" w:eastAsia="Arial" w:hAnsi="Arial"/>
            <w:sz w:val="18"/>
            <w:szCs w:val="18"/>
            <w:u w:val="single" w:color="auto"/>
            <w:color w:val="0000FF"/>
          </w:rPr>
          <w:t>Amended and Restated 2007 Stock Incentive Plan, as amended (incorporated by reference to Exhibit 10.1 of the Registrant's Registration</w:t>
        </w:r>
      </w:hyperlink>
      <w:r>
        <w:rPr>
          <w:rFonts w:ascii="Arial" w:cs="Arial" w:eastAsia="Arial" w:hAnsi="Arial"/>
          <w:sz w:val="18"/>
          <w:szCs w:val="18"/>
          <w:color w:val="0000FF"/>
        </w:rPr>
        <w:t xml:space="preserve"> </w:t>
      </w:r>
      <w:hyperlink r:id="rId21">
        <w:r>
          <w:rPr>
            <w:rFonts w:ascii="Arial" w:cs="Arial" w:eastAsia="Arial" w:hAnsi="Arial"/>
            <w:sz w:val="18"/>
            <w:szCs w:val="18"/>
            <w:u w:val="single" w:color="auto"/>
            <w:color w:val="0000FF"/>
          </w:rPr>
          <w:t>Statement on Form S-1 (File No. 333-190643))</w:t>
        </w:r>
      </w:hyperlink>
    </w:p>
    <w:p>
      <w:pPr>
        <w:spacing w:after="0" w:line="8" w:lineRule="exact"/>
        <w:rPr>
          <w:rFonts w:ascii="Arial" w:cs="Arial" w:eastAsia="Arial" w:hAnsi="Arial"/>
          <w:sz w:val="18"/>
          <w:szCs w:val="18"/>
          <w:color w:val="0000FF"/>
        </w:rPr>
      </w:pPr>
    </w:p>
    <w:p>
      <w:pPr>
        <w:ind w:left="700"/>
        <w:spacing w:after="0"/>
        <w:rPr>
          <w:rFonts w:ascii="Arial" w:cs="Arial" w:eastAsia="Arial" w:hAnsi="Arial"/>
          <w:sz w:val="16"/>
          <w:szCs w:val="16"/>
          <w:color w:val="0000FF"/>
        </w:rPr>
      </w:pPr>
      <w:hyperlink r:id="rId22">
        <w:r>
          <w:rPr>
            <w:rFonts w:ascii="Arial" w:cs="Arial" w:eastAsia="Arial" w:hAnsi="Arial"/>
            <w:sz w:val="16"/>
            <w:szCs w:val="16"/>
            <w:u w:val="single" w:color="auto"/>
            <w:color w:val="0000FF"/>
          </w:rPr>
          <w:t>10.2</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22">
        <w:r>
          <w:rPr>
            <w:rFonts w:ascii="Arial" w:cs="Arial" w:eastAsia="Arial" w:hAnsi="Arial"/>
            <w:sz w:val="16"/>
            <w:szCs w:val="16"/>
            <w:u w:val="single" w:color="auto"/>
            <w:color w:val="0000FF"/>
          </w:rPr>
          <w:t>Form of Incentive Stock Option Agreement under Amended and Restated 2007 Stock Incentive Plan (incorporated by reference to Exhibit</w:t>
        </w:r>
      </w:hyperlink>
    </w:p>
    <w:p>
      <w:pPr>
        <w:spacing w:after="0" w:line="46" w:lineRule="exact"/>
        <w:rPr>
          <w:sz w:val="20"/>
          <w:szCs w:val="20"/>
          <w:color w:val="auto"/>
        </w:rPr>
      </w:pPr>
    </w:p>
    <w:p>
      <w:pPr>
        <w:ind w:left="130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10.2 of the Registrant's Registration Statement on Form S-1 (File No. 333-190643))</w:t>
        </w:r>
      </w:hyperlink>
    </w:p>
    <w:p>
      <w:pPr>
        <w:spacing w:after="0" w:line="49" w:lineRule="exact"/>
        <w:rPr>
          <w:sz w:val="20"/>
          <w:szCs w:val="20"/>
          <w:color w:val="auto"/>
        </w:rPr>
      </w:pPr>
    </w:p>
    <w:p>
      <w:pPr>
        <w:ind w:left="1300" w:right="460" w:hanging="584"/>
        <w:spacing w:after="0" w:line="277"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10.3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3">
        <w:r>
          <w:rPr>
            <w:rFonts w:ascii="Arial" w:cs="Arial" w:eastAsia="Arial" w:hAnsi="Arial"/>
            <w:sz w:val="18"/>
            <w:szCs w:val="18"/>
            <w:u w:val="single" w:color="auto"/>
            <w:color w:val="0000FF"/>
          </w:rPr>
          <w:t>Form of Nonstatutory Stock Option Agreement under Amended and Restated 2007 Stock Incentive Plan (incorporated by reference to</w:t>
        </w:r>
      </w:hyperlink>
      <w:r>
        <w:rPr>
          <w:rFonts w:ascii="Arial" w:cs="Arial" w:eastAsia="Arial" w:hAnsi="Arial"/>
          <w:sz w:val="18"/>
          <w:szCs w:val="18"/>
          <w:color w:val="0000FF"/>
        </w:rPr>
        <w:t xml:space="preserve"> </w:t>
      </w:r>
      <w:hyperlink r:id="rId23">
        <w:r>
          <w:rPr>
            <w:rFonts w:ascii="Arial" w:cs="Arial" w:eastAsia="Arial" w:hAnsi="Arial"/>
            <w:sz w:val="18"/>
            <w:szCs w:val="18"/>
            <w:u w:val="single" w:color="auto"/>
            <w:color w:val="0000FF"/>
          </w:rPr>
          <w:t>Exhibit 10.3 of the Registrant's Registration Statement on Form S-1 (File No. 333-190643))</w:t>
        </w:r>
      </w:hyperlink>
    </w:p>
    <w:p>
      <w:pPr>
        <w:spacing w:after="0" w:line="8" w:lineRule="exact"/>
        <w:rPr>
          <w:rFonts w:ascii="Arial" w:cs="Arial" w:eastAsia="Arial" w:hAnsi="Arial"/>
          <w:sz w:val="18"/>
          <w:szCs w:val="18"/>
          <w:color w:val="0000FF"/>
        </w:rPr>
      </w:pPr>
    </w:p>
    <w:p>
      <w:pPr>
        <w:ind w:left="700"/>
        <w:spacing w:after="0"/>
        <w:rPr>
          <w:rFonts w:ascii="Arial" w:cs="Arial" w:eastAsia="Arial" w:hAnsi="Arial"/>
          <w:sz w:val="17"/>
          <w:szCs w:val="17"/>
          <w:color w:val="0000FF"/>
        </w:rPr>
      </w:pPr>
      <w:hyperlink r:id="rId24">
        <w:r>
          <w:rPr>
            <w:rFonts w:ascii="Arial" w:cs="Arial" w:eastAsia="Arial" w:hAnsi="Arial"/>
            <w:sz w:val="17"/>
            <w:szCs w:val="17"/>
            <w:u w:val="single" w:color="auto"/>
            <w:color w:val="0000FF"/>
          </w:rPr>
          <w:t>10.4</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r:id="rId24">
        <w:r>
          <w:rPr>
            <w:rFonts w:ascii="Arial" w:cs="Arial" w:eastAsia="Arial" w:hAnsi="Arial"/>
            <w:sz w:val="17"/>
            <w:szCs w:val="17"/>
            <w:u w:val="single" w:color="auto"/>
            <w:color w:val="0000FF"/>
          </w:rPr>
          <w:t>2013 Stock Incentive Plan (incorporated by reference to Exhibit 10.4 of the Registrant's Annual Report on Form 10-K filed on March 2,</w:t>
        </w:r>
      </w:hyperlink>
    </w:p>
    <w:p>
      <w:pPr>
        <w:spacing w:after="0" w:line="35" w:lineRule="exact"/>
        <w:rPr>
          <w:sz w:val="20"/>
          <w:szCs w:val="20"/>
          <w:color w:val="auto"/>
        </w:rPr>
      </w:pPr>
    </w:p>
    <w:p>
      <w:pPr>
        <w:ind w:left="130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2015)</w:t>
        </w:r>
      </w:hyperlink>
    </w:p>
    <w:p>
      <w:pPr>
        <w:spacing w:after="0" w:line="49" w:lineRule="exact"/>
        <w:rPr>
          <w:sz w:val="20"/>
          <w:szCs w:val="20"/>
          <w:color w:val="auto"/>
        </w:rPr>
      </w:pPr>
    </w:p>
    <w:p>
      <w:pPr>
        <w:ind w:left="1300" w:right="300" w:hanging="584"/>
        <w:spacing w:after="0" w:line="277" w:lineRule="auto"/>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10.5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5">
        <w:r>
          <w:rPr>
            <w:rFonts w:ascii="Arial" w:cs="Arial" w:eastAsia="Arial" w:hAnsi="Arial"/>
            <w:sz w:val="18"/>
            <w:szCs w:val="18"/>
            <w:u w:val="single" w:color="auto"/>
            <w:color w:val="0000FF"/>
          </w:rPr>
          <w:t>Amendment No. 1 to Stock Incentive Plan, adopted June 4, 2015 (incorporated by reference to Exhibit 10.1 of the Registrant's Quarterly</w:t>
        </w:r>
      </w:hyperlink>
      <w:r>
        <w:rPr>
          <w:rFonts w:ascii="Arial" w:cs="Arial" w:eastAsia="Arial" w:hAnsi="Arial"/>
          <w:sz w:val="18"/>
          <w:szCs w:val="18"/>
          <w:color w:val="0000FF"/>
        </w:rPr>
        <w:t xml:space="preserve"> </w:t>
      </w:r>
      <w:hyperlink r:id="rId25">
        <w:r>
          <w:rPr>
            <w:rFonts w:ascii="Arial" w:cs="Arial" w:eastAsia="Arial" w:hAnsi="Arial"/>
            <w:sz w:val="18"/>
            <w:szCs w:val="18"/>
            <w:u w:val="single" w:color="auto"/>
            <w:color w:val="0000FF"/>
          </w:rPr>
          <w:t>Report on Form 10-Q filed on August 10, 2015)</w:t>
        </w:r>
      </w:hyperlink>
    </w:p>
    <w:p>
      <w:pPr>
        <w:spacing w:after="0" w:line="8" w:lineRule="exact"/>
        <w:rPr>
          <w:rFonts w:ascii="Arial" w:cs="Arial" w:eastAsia="Arial" w:hAnsi="Arial"/>
          <w:sz w:val="18"/>
          <w:szCs w:val="18"/>
          <w:color w:val="0000FF"/>
        </w:rPr>
      </w:pPr>
    </w:p>
    <w:p>
      <w:pPr>
        <w:ind w:left="1300" w:right="160" w:hanging="584"/>
        <w:spacing w:after="0" w:line="277" w:lineRule="auto"/>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10.6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6">
        <w:r>
          <w:rPr>
            <w:rFonts w:ascii="Arial" w:cs="Arial" w:eastAsia="Arial" w:hAnsi="Arial"/>
            <w:sz w:val="18"/>
            <w:szCs w:val="18"/>
            <w:u w:val="single" w:color="auto"/>
            <w:color w:val="0000FF"/>
          </w:rPr>
          <w:t>Form of Incentive Stock Option Agreement under 2013 Stock Incentive Plan (incorporated by reference to Exhibit 10.5 of the Registrant's</w:t>
        </w:r>
      </w:hyperlink>
      <w:r>
        <w:rPr>
          <w:rFonts w:ascii="Arial" w:cs="Arial" w:eastAsia="Arial" w:hAnsi="Arial"/>
          <w:sz w:val="18"/>
          <w:szCs w:val="18"/>
          <w:color w:val="0000FF"/>
        </w:rPr>
        <w:t xml:space="preserve"> </w:t>
      </w:r>
      <w:hyperlink r:id="rId26">
        <w:r>
          <w:rPr>
            <w:rFonts w:ascii="Arial" w:cs="Arial" w:eastAsia="Arial" w:hAnsi="Arial"/>
            <w:sz w:val="18"/>
            <w:szCs w:val="18"/>
            <w:u w:val="single" w:color="auto"/>
            <w:color w:val="0000FF"/>
          </w:rPr>
          <w:t>Registration Statement on Form S-1, as amended (File No. 333-190643))</w:t>
        </w:r>
      </w:hyperlink>
    </w:p>
    <w:p>
      <w:pPr>
        <w:spacing w:after="0" w:line="8" w:lineRule="exact"/>
        <w:rPr>
          <w:rFonts w:ascii="Arial" w:cs="Arial" w:eastAsia="Arial" w:hAnsi="Arial"/>
          <w:sz w:val="18"/>
          <w:szCs w:val="18"/>
          <w:color w:val="0000FF"/>
        </w:rPr>
      </w:pPr>
    </w:p>
    <w:p>
      <w:pPr>
        <w:ind w:left="1300" w:right="780" w:hanging="584"/>
        <w:spacing w:after="0" w:line="277" w:lineRule="auto"/>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10.7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7">
        <w:r>
          <w:rPr>
            <w:rFonts w:ascii="Arial" w:cs="Arial" w:eastAsia="Arial" w:hAnsi="Arial"/>
            <w:sz w:val="18"/>
            <w:szCs w:val="18"/>
            <w:u w:val="single" w:color="auto"/>
            <w:color w:val="0000FF"/>
          </w:rPr>
          <w:t>Form of Nonqualified Stock Option Agreement under 2013 Stock Incentive Plan (incorporated by reference to Exhibit 10.6 of the</w:t>
        </w:r>
      </w:hyperlink>
      <w:r>
        <w:rPr>
          <w:rFonts w:ascii="Arial" w:cs="Arial" w:eastAsia="Arial" w:hAnsi="Arial"/>
          <w:sz w:val="18"/>
          <w:szCs w:val="18"/>
          <w:color w:val="0000FF"/>
        </w:rPr>
        <w:t xml:space="preserve"> </w:t>
      </w:r>
      <w:hyperlink r:id="rId27">
        <w:r>
          <w:rPr>
            <w:rFonts w:ascii="Arial" w:cs="Arial" w:eastAsia="Arial" w:hAnsi="Arial"/>
            <w:sz w:val="18"/>
            <w:szCs w:val="18"/>
            <w:u w:val="single" w:color="auto"/>
            <w:color w:val="0000FF"/>
          </w:rPr>
          <w:t>Registrant's Registration Statement on Form S-1, as amended (File No. 333-190643))</w:t>
        </w:r>
      </w:hyperlink>
    </w:p>
    <w:p>
      <w:pPr>
        <w:spacing w:after="0" w:line="8" w:lineRule="exact"/>
        <w:rPr>
          <w:rFonts w:ascii="Arial" w:cs="Arial" w:eastAsia="Arial" w:hAnsi="Arial"/>
          <w:sz w:val="18"/>
          <w:szCs w:val="18"/>
          <w:color w:val="0000FF"/>
        </w:rPr>
      </w:pPr>
    </w:p>
    <w:p>
      <w:pPr>
        <w:ind w:left="1300" w:right="280" w:hanging="584"/>
        <w:spacing w:after="0" w:line="277" w:lineRule="auto"/>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10.8</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8">
        <w:r>
          <w:rPr>
            <w:rFonts w:ascii="Arial" w:cs="Arial" w:eastAsia="Arial" w:hAnsi="Arial"/>
            <w:sz w:val="18"/>
            <w:szCs w:val="18"/>
            <w:u w:val="single" w:color="auto"/>
            <w:color w:val="0000FF"/>
          </w:rPr>
          <w:t>Form of Restricted Stock Unit Agreement under 2013 Stock Incentive Plan (incorporated by reference to Exhibit 10.7 of the Registrant's</w:t>
        </w:r>
      </w:hyperlink>
      <w:r>
        <w:rPr>
          <w:rFonts w:ascii="Arial" w:cs="Arial" w:eastAsia="Arial" w:hAnsi="Arial"/>
          <w:sz w:val="18"/>
          <w:szCs w:val="18"/>
          <w:color w:val="0000FF"/>
        </w:rPr>
        <w:t xml:space="preserve"> </w:t>
      </w:r>
      <w:hyperlink r:id="rId28">
        <w:r>
          <w:rPr>
            <w:rFonts w:ascii="Arial" w:cs="Arial" w:eastAsia="Arial" w:hAnsi="Arial"/>
            <w:sz w:val="18"/>
            <w:szCs w:val="18"/>
            <w:u w:val="single" w:color="auto"/>
            <w:color w:val="0000FF"/>
          </w:rPr>
          <w:t>Annual Report on Form 10-K filed on March 2, 2015)</w:t>
        </w:r>
      </w:hyperlink>
    </w:p>
    <w:p>
      <w:pPr>
        <w:sectPr>
          <w:pgSz w:w="11900" w:h="16838" w:orient="portrait"/>
          <w:cols w:equalWidth="0" w:num="1">
            <w:col w:w="11420"/>
          </w:cols>
          <w:pgMar w:left="240" w:top="125" w:right="239" w:bottom="1440" w:gutter="0" w:footer="0" w:header="0"/>
        </w:sectPr>
      </w:pPr>
    </w:p>
    <w:p>
      <w:pPr>
        <w:spacing w:after="0" w:line="360"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125" w:right="2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584"/>
        <w:spacing w:after="0" w:line="277" w:lineRule="auto"/>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10.9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9">
        <w:r>
          <w:rPr>
            <w:rFonts w:ascii="Arial" w:cs="Arial" w:eastAsia="Arial" w:hAnsi="Arial"/>
            <w:sz w:val="18"/>
            <w:szCs w:val="18"/>
            <w:u w:val="single" w:color="auto"/>
            <w:color w:val="0000FF"/>
          </w:rPr>
          <w:t>2016 Employee Stock Purchase Plan (incorporated by reference to Exhibit 99.1 of the Registrant's Registration Statement on Form S-8 (File</w:t>
        </w:r>
      </w:hyperlink>
      <w:r>
        <w:rPr>
          <w:rFonts w:ascii="Arial" w:cs="Arial" w:eastAsia="Arial" w:hAnsi="Arial"/>
          <w:sz w:val="18"/>
          <w:szCs w:val="18"/>
          <w:color w:val="0000FF"/>
        </w:rPr>
        <w:t xml:space="preserve"> </w:t>
      </w:r>
      <w:hyperlink r:id="rId29">
        <w:r>
          <w:rPr>
            <w:rFonts w:ascii="Arial" w:cs="Arial" w:eastAsia="Arial" w:hAnsi="Arial"/>
            <w:sz w:val="18"/>
            <w:szCs w:val="18"/>
            <w:u w:val="single" w:color="auto"/>
            <w:color w:val="0000FF"/>
          </w:rPr>
          <w:t>No. 333-211916))</w:t>
        </w:r>
      </w:hyperlink>
    </w:p>
    <w:p>
      <w:pPr>
        <w:spacing w:after="0" w:line="8" w:lineRule="exact"/>
        <w:rPr>
          <w:rFonts w:ascii="Arial" w:cs="Arial" w:eastAsia="Arial" w:hAnsi="Arial"/>
          <w:sz w:val="18"/>
          <w:szCs w:val="18"/>
          <w:color w:val="0000FF"/>
        </w:rPr>
      </w:pPr>
    </w:p>
    <w:p>
      <w:pPr>
        <w:ind w:left="1300" w:right="20" w:hanging="674"/>
        <w:spacing w:after="0" w:line="257" w:lineRule="auto"/>
        <w:tabs>
          <w:tab w:leader="none" w:pos="1280" w:val="left"/>
        </w:tabs>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30">
        <w:r>
          <w:rPr>
            <w:rFonts w:ascii="Arial" w:cs="Arial" w:eastAsia="Arial" w:hAnsi="Arial"/>
            <w:sz w:val="18"/>
            <w:szCs w:val="18"/>
            <w:u w:val="single" w:color="auto"/>
            <w:color w:val="0000FF"/>
          </w:rPr>
          <w:t>Lease Agreement, dated as of September 30, 2007, between the Registrant and One Penn Plaza LLC, as the same has been supplemented by</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agreement dated March 12, 2013 and amended by the Amendment of Lease, dated as of August 30, 2013, Second Amendment to Lease,</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entered into on January 7, 2014, Third Amendment of Lease, dated as of April 18, 2014, the Fourth Amendment of Lease, dated as of</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December 22, 2014, and the Fifth Amendment of Lease, dated as of October 1, 2017 (incorporated by reference to Exhibit 10.11 of the</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Registrant's Annual Report on Form 10-K filed on March 5, 2018)</w:t>
        </w:r>
      </w:hyperlink>
    </w:p>
    <w:p>
      <w:pPr>
        <w:spacing w:after="0" w:line="26" w:lineRule="exact"/>
        <w:rPr>
          <w:rFonts w:ascii="Arial" w:cs="Arial" w:eastAsia="Arial" w:hAnsi="Arial"/>
          <w:sz w:val="18"/>
          <w:szCs w:val="18"/>
          <w:u w:val="single" w:color="auto"/>
          <w:color w:val="0000FF"/>
        </w:rPr>
      </w:pPr>
    </w:p>
    <w:p>
      <w:pPr>
        <w:ind w:left="1300" w:right="460" w:hanging="667"/>
        <w:spacing w:after="0" w:line="277" w:lineRule="auto"/>
        <w:tabs>
          <w:tab w:leader="none" w:pos="1280" w:val="left"/>
        </w:tabs>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31">
        <w:r>
          <w:rPr>
            <w:rFonts w:ascii="Arial" w:cs="Arial" w:eastAsia="Arial" w:hAnsi="Arial"/>
            <w:sz w:val="18"/>
            <w:szCs w:val="18"/>
            <w:u w:val="single" w:color="auto"/>
            <w:color w:val="0000FF"/>
          </w:rPr>
          <w:t>Sixth Amendment of Lease, dated as of June 29, 2018, between the Registrant and One Penn Plaza LLC (incorporated by reference to</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Exhibit 10.3 of the Registrant's Quarterly Report on Form 10-Q filed on August 1, 2018)</w:t>
        </w:r>
      </w:hyperlink>
    </w:p>
    <w:p>
      <w:pPr>
        <w:spacing w:after="0" w:line="8" w:lineRule="exact"/>
        <w:rPr>
          <w:rFonts w:ascii="Arial" w:cs="Arial" w:eastAsia="Arial" w:hAnsi="Arial"/>
          <w:sz w:val="18"/>
          <w:szCs w:val="18"/>
          <w:u w:val="single" w:color="auto"/>
          <w:color w:val="0000FF"/>
        </w:rPr>
      </w:pPr>
    </w:p>
    <w:p>
      <w:pPr>
        <w:ind w:left="1300" w:right="40" w:hanging="674"/>
        <w:spacing w:after="0" w:line="312" w:lineRule="auto"/>
        <w:rPr>
          <w:rFonts w:ascii="Arial" w:cs="Arial" w:eastAsia="Arial" w:hAnsi="Arial"/>
          <w:sz w:val="16"/>
          <w:szCs w:val="16"/>
          <w:u w:val="single" w:color="auto"/>
          <w:color w:val="0000FF"/>
        </w:rPr>
      </w:pPr>
      <w:hyperlink r:id="rId32">
        <w:r>
          <w:rPr>
            <w:rFonts w:ascii="Arial" w:cs="Arial" w:eastAsia="Arial" w:hAnsi="Arial"/>
            <w:sz w:val="16"/>
            <w:szCs w:val="16"/>
            <w:u w:val="single" w:color="auto"/>
            <w:color w:val="0000FF"/>
          </w:rPr>
          <w:t>10.12</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32">
        <w:r>
          <w:rPr>
            <w:rFonts w:ascii="Arial" w:cs="Arial" w:eastAsia="Arial" w:hAnsi="Arial"/>
            <w:sz w:val="16"/>
            <w:szCs w:val="16"/>
            <w:u w:val="single" w:color="auto"/>
            <w:color w:val="0000FF"/>
          </w:rPr>
          <w:t>Amended and Restated Exclusive License Agreement, dated as of September 12, 2011, by and between the Registrant and Archemix Corp.,</w:t>
        </w:r>
      </w:hyperlink>
      <w:r>
        <w:rPr>
          <w:rFonts w:ascii="Arial" w:cs="Arial" w:eastAsia="Arial" w:hAnsi="Arial"/>
          <w:sz w:val="16"/>
          <w:szCs w:val="16"/>
          <w:color w:val="0000FF"/>
        </w:rPr>
        <w:t xml:space="preserve"> </w:t>
      </w:r>
      <w:hyperlink r:id="rId32">
        <w:r>
          <w:rPr>
            <w:rFonts w:ascii="Arial" w:cs="Arial" w:eastAsia="Arial" w:hAnsi="Arial"/>
            <w:sz w:val="16"/>
            <w:szCs w:val="16"/>
            <w:u w:val="single" w:color="auto"/>
            <w:color w:val="0000FF"/>
          </w:rPr>
          <w:t>as amended by Amendment No. 1 thereto dated December 20, 2011 and supplemented by a letter agreement, dated as of April 30, 2012</w:t>
        </w:r>
      </w:hyperlink>
      <w:r>
        <w:rPr>
          <w:rFonts w:ascii="Arial" w:cs="Arial" w:eastAsia="Arial" w:hAnsi="Arial"/>
          <w:sz w:val="16"/>
          <w:szCs w:val="16"/>
          <w:u w:val="single" w:color="auto"/>
          <w:color w:val="0000FF"/>
        </w:rPr>
        <w:t xml:space="preserve"> </w:t>
      </w:r>
      <w:hyperlink r:id="rId32">
        <w:r>
          <w:rPr>
            <w:rFonts w:ascii="Arial" w:cs="Arial" w:eastAsia="Arial" w:hAnsi="Arial"/>
            <w:sz w:val="16"/>
            <w:szCs w:val="16"/>
            <w:u w:val="single" w:color="auto"/>
            <w:color w:val="0000FF"/>
          </w:rPr>
          <w:t>(incorporated by reference to Exhibit 10.11 of the Registrant's Registration Statement on Form S-1 (File No. 333-190643))</w:t>
        </w:r>
      </w:hyperlink>
    </w:p>
    <w:p>
      <w:pPr>
        <w:spacing w:after="0" w:line="201" w:lineRule="exact"/>
        <w:rPr>
          <w:rFonts w:ascii="Arial" w:cs="Arial" w:eastAsia="Arial" w:hAnsi="Arial"/>
          <w:sz w:val="16"/>
          <w:szCs w:val="16"/>
          <w:color w:val="0000FF"/>
        </w:rPr>
      </w:pPr>
    </w:p>
    <w:p>
      <w:pPr>
        <w:ind w:left="1300" w:right="140" w:hanging="674"/>
        <w:spacing w:after="0" w:line="264" w:lineRule="auto"/>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10.13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3">
        <w:r>
          <w:rPr>
            <w:rFonts w:ascii="Arial" w:cs="Arial" w:eastAsia="Arial" w:hAnsi="Arial"/>
            <w:sz w:val="18"/>
            <w:szCs w:val="18"/>
            <w:u w:val="single" w:color="auto"/>
            <w:color w:val="0000FF"/>
          </w:rPr>
          <w:t>Exclusive License Agreement with Know-How by and among The University of Florida Research Foundation, Incorporated, The Trustees</w:t>
        </w:r>
      </w:hyperlink>
      <w:r>
        <w:rPr>
          <w:rFonts w:ascii="Arial" w:cs="Arial" w:eastAsia="Arial" w:hAnsi="Arial"/>
          <w:sz w:val="18"/>
          <w:szCs w:val="18"/>
          <w:color w:val="0000FF"/>
        </w:rPr>
        <w:t xml:space="preserve"> </w:t>
      </w:r>
      <w:hyperlink r:id="rId33">
        <w:r>
          <w:rPr>
            <w:rFonts w:ascii="Arial" w:cs="Arial" w:eastAsia="Arial" w:hAnsi="Arial"/>
            <w:sz w:val="18"/>
            <w:szCs w:val="18"/>
            <w:u w:val="single" w:color="auto"/>
            <w:color w:val="0000FF"/>
          </w:rPr>
          <w:t>of the University of Pennsylvania and the Registrant dated June 6, 2018 (incorporated by reference to Exhibit 10.1 of the Registrant's</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Quarterly Report on Form 10-Q filed on August 1, 2018)</w:t>
        </w:r>
      </w:hyperlink>
    </w:p>
    <w:p>
      <w:pPr>
        <w:spacing w:after="0" w:line="19" w:lineRule="exact"/>
        <w:rPr>
          <w:rFonts w:ascii="Arial" w:cs="Arial" w:eastAsia="Arial" w:hAnsi="Arial"/>
          <w:sz w:val="18"/>
          <w:szCs w:val="18"/>
          <w:color w:val="0000FF"/>
        </w:rPr>
      </w:pPr>
    </w:p>
    <w:p>
      <w:pPr>
        <w:ind w:left="620"/>
        <w:spacing w:after="0"/>
        <w:rPr>
          <w:rFonts w:ascii="Arial" w:cs="Arial" w:eastAsia="Arial" w:hAnsi="Arial"/>
          <w:sz w:val="16"/>
          <w:szCs w:val="16"/>
          <w:color w:val="0000FF"/>
        </w:rPr>
      </w:pPr>
      <w:hyperlink r:id="rId34">
        <w:r>
          <w:rPr>
            <w:rFonts w:ascii="Arial" w:cs="Arial" w:eastAsia="Arial" w:hAnsi="Arial"/>
            <w:sz w:val="16"/>
            <w:szCs w:val="16"/>
            <w:u w:val="single" w:color="auto"/>
            <w:color w:val="0000FF"/>
          </w:rPr>
          <w:t>10.14</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34">
        <w:r>
          <w:rPr>
            <w:rFonts w:ascii="Arial" w:cs="Arial" w:eastAsia="Arial" w:hAnsi="Arial"/>
            <w:sz w:val="16"/>
            <w:szCs w:val="16"/>
            <w:u w:val="single" w:color="auto"/>
            <w:color w:val="0000FF"/>
          </w:rPr>
          <w:t>Master Sponsored Research Agreement by and between The Trustees of the University of Pennsylvania and the Registrant dated June 6,</w:t>
        </w:r>
      </w:hyperlink>
    </w:p>
    <w:p>
      <w:pPr>
        <w:spacing w:after="0" w:line="46" w:lineRule="exact"/>
        <w:rPr>
          <w:sz w:val="20"/>
          <w:szCs w:val="20"/>
          <w:color w:val="auto"/>
        </w:rPr>
      </w:pPr>
    </w:p>
    <w:p>
      <w:pPr>
        <w:ind w:left="1300"/>
        <w:spacing w:after="0"/>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2018 (incorporated by reference to Exhibit 10.2 of the Registrant's Quarterly Report on Form 10-Q filed on August 1, 2018)</w:t>
        </w:r>
      </w:hyperlink>
    </w:p>
    <w:p>
      <w:pPr>
        <w:spacing w:after="0" w:line="49" w:lineRule="exact"/>
        <w:rPr>
          <w:sz w:val="20"/>
          <w:szCs w:val="20"/>
          <w:color w:val="auto"/>
        </w:rPr>
      </w:pPr>
    </w:p>
    <w:p>
      <w:pPr>
        <w:ind w:left="1300" w:right="40" w:hanging="674"/>
        <w:spacing w:after="0" w:line="277" w:lineRule="auto"/>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10.15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5">
        <w:r>
          <w:rPr>
            <w:rFonts w:ascii="Arial" w:cs="Arial" w:eastAsia="Arial" w:hAnsi="Arial"/>
            <w:sz w:val="18"/>
            <w:szCs w:val="18"/>
            <w:u w:val="single" w:color="auto"/>
            <w:color w:val="0000FF"/>
          </w:rPr>
          <w:t>Clinical and Commercial Services Agreement Between the Registrant and Ajinomoto Althea, Inc., dated October 31, 2016 (incorporated by</w:t>
        </w:r>
      </w:hyperlink>
      <w:r>
        <w:rPr>
          <w:rFonts w:ascii="Arial" w:cs="Arial" w:eastAsia="Arial" w:hAnsi="Arial"/>
          <w:sz w:val="18"/>
          <w:szCs w:val="18"/>
          <w:color w:val="0000FF"/>
        </w:rPr>
        <w:t xml:space="preserve"> </w:t>
      </w:r>
      <w:hyperlink r:id="rId35">
        <w:r>
          <w:rPr>
            <w:rFonts w:ascii="Arial" w:cs="Arial" w:eastAsia="Arial" w:hAnsi="Arial"/>
            <w:sz w:val="18"/>
            <w:szCs w:val="18"/>
            <w:u w:val="single" w:color="auto"/>
            <w:color w:val="0000FF"/>
          </w:rPr>
          <w:t>reference to Exhibit 10.38 of the Registrant's Annual Report on Form 10-K filed on February 28, 2017)</w:t>
        </w:r>
      </w:hyperlink>
    </w:p>
    <w:p>
      <w:pPr>
        <w:spacing w:after="0" w:line="8" w:lineRule="exact"/>
        <w:rPr>
          <w:rFonts w:ascii="Arial" w:cs="Arial" w:eastAsia="Arial" w:hAnsi="Arial"/>
          <w:sz w:val="18"/>
          <w:szCs w:val="18"/>
          <w:color w:val="0000FF"/>
        </w:rPr>
      </w:pPr>
    </w:p>
    <w:p>
      <w:pPr>
        <w:jc w:val="both"/>
        <w:ind w:left="1300" w:right="80" w:hanging="674"/>
        <w:spacing w:after="0" w:line="264" w:lineRule="auto"/>
        <w:tabs>
          <w:tab w:leader="none" w:pos="1280" w:val="left"/>
        </w:tabs>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36">
        <w:r>
          <w:rPr>
            <w:rFonts w:ascii="Arial" w:cs="Arial" w:eastAsia="Arial" w:hAnsi="Arial"/>
            <w:sz w:val="18"/>
            <w:szCs w:val="18"/>
            <w:u w:val="single" w:color="auto"/>
            <w:color w:val="0000FF"/>
          </w:rPr>
          <w:t>Stockholder Agreement, dated October 30, 2018, by and among the Registrant, Versant Venture Capital IV, L.P., Versant Side Fund IV, L.P.</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and Versant Venture Management LLC (incorporated by reference to Exhibit 10.1 of the Registrant's Current Report on Form 8-K filed on</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October 31, 2018)</w:t>
        </w:r>
      </w:hyperlink>
    </w:p>
    <w:p>
      <w:pPr>
        <w:spacing w:after="0" w:line="19" w:lineRule="exact"/>
        <w:rPr>
          <w:rFonts w:ascii="Arial" w:cs="Arial" w:eastAsia="Arial" w:hAnsi="Arial"/>
          <w:sz w:val="18"/>
          <w:szCs w:val="18"/>
          <w:u w:val="single" w:color="auto"/>
          <w:color w:val="0000FF"/>
        </w:rPr>
      </w:pPr>
    </w:p>
    <w:p>
      <w:pPr>
        <w:ind w:left="1300" w:right="140" w:hanging="674"/>
        <w:spacing w:after="0" w:line="277" w:lineRule="auto"/>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10.17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7">
        <w:r>
          <w:rPr>
            <w:rFonts w:ascii="Arial" w:cs="Arial" w:eastAsia="Arial" w:hAnsi="Arial"/>
            <w:sz w:val="18"/>
            <w:szCs w:val="18"/>
            <w:u w:val="single" w:color="auto"/>
            <w:color w:val="0000FF"/>
          </w:rPr>
          <w:t>Offer of Employment between the Registrant and David Guyer (incorporated by reference to Exhibit 10.14 of the Registrant's Registration</w:t>
        </w:r>
      </w:hyperlink>
      <w:r>
        <w:rPr>
          <w:rFonts w:ascii="Arial" w:cs="Arial" w:eastAsia="Arial" w:hAnsi="Arial"/>
          <w:sz w:val="18"/>
          <w:szCs w:val="18"/>
          <w:color w:val="0000FF"/>
        </w:rPr>
        <w:t xml:space="preserve"> </w:t>
      </w:r>
      <w:hyperlink r:id="rId37">
        <w:r>
          <w:rPr>
            <w:rFonts w:ascii="Arial" w:cs="Arial" w:eastAsia="Arial" w:hAnsi="Arial"/>
            <w:sz w:val="18"/>
            <w:szCs w:val="18"/>
            <w:u w:val="single" w:color="auto"/>
            <w:color w:val="0000FF"/>
          </w:rPr>
          <w:t>Statement on Form S-1, as amended (File No. 333-190643))</w:t>
        </w:r>
      </w:hyperlink>
    </w:p>
    <w:p>
      <w:pPr>
        <w:spacing w:after="0" w:line="8" w:lineRule="exact"/>
        <w:rPr>
          <w:rFonts w:ascii="Arial" w:cs="Arial" w:eastAsia="Arial" w:hAnsi="Arial"/>
          <w:sz w:val="18"/>
          <w:szCs w:val="18"/>
          <w:color w:val="0000FF"/>
        </w:rPr>
      </w:pPr>
    </w:p>
    <w:p>
      <w:pPr>
        <w:ind w:left="1300" w:right="260" w:hanging="674"/>
        <w:spacing w:after="0" w:line="264" w:lineRule="auto"/>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10.18</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8">
        <w:r>
          <w:rPr>
            <w:rFonts w:ascii="Arial" w:cs="Arial" w:eastAsia="Arial" w:hAnsi="Arial"/>
            <w:sz w:val="18"/>
            <w:szCs w:val="18"/>
            <w:u w:val="single" w:color="auto"/>
            <w:color w:val="0000FF"/>
          </w:rPr>
          <w:t>Letter Agreement between the Registrant and David R. Guyer dated February 26, 2015, amending the Offer of Employment between the</w:t>
        </w:r>
      </w:hyperlink>
      <w:r>
        <w:rPr>
          <w:rFonts w:ascii="Arial" w:cs="Arial" w:eastAsia="Arial" w:hAnsi="Arial"/>
          <w:sz w:val="18"/>
          <w:szCs w:val="18"/>
          <w:color w:val="0000FF"/>
        </w:rPr>
        <w:t xml:space="preserve"> </w:t>
      </w:r>
      <w:hyperlink r:id="rId38">
        <w:r>
          <w:rPr>
            <w:rFonts w:ascii="Arial" w:cs="Arial" w:eastAsia="Arial" w:hAnsi="Arial"/>
            <w:sz w:val="18"/>
            <w:szCs w:val="18"/>
            <w:u w:val="single" w:color="auto"/>
            <w:color w:val="0000FF"/>
          </w:rPr>
          <w:t>Registrant and David R. Guyer dated April 26, 2013 (incorporated by reference to Exhibit 10.2 of the Registrant's Quarterly Report on</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Form 10-Q filed on May 11, 2015)</w:t>
        </w:r>
      </w:hyperlink>
    </w:p>
    <w:p>
      <w:pPr>
        <w:spacing w:after="0" w:line="19" w:lineRule="exact"/>
        <w:rPr>
          <w:rFonts w:ascii="Arial" w:cs="Arial" w:eastAsia="Arial" w:hAnsi="Arial"/>
          <w:sz w:val="18"/>
          <w:szCs w:val="18"/>
          <w:color w:val="0000FF"/>
        </w:rPr>
      </w:pPr>
    </w:p>
    <w:p>
      <w:pPr>
        <w:ind w:left="1300" w:right="540" w:hanging="674"/>
        <w:spacing w:after="0" w:line="277" w:lineRule="auto"/>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10.19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9">
        <w:r>
          <w:rPr>
            <w:rFonts w:ascii="Arial" w:cs="Arial" w:eastAsia="Arial" w:hAnsi="Arial"/>
            <w:sz w:val="18"/>
            <w:szCs w:val="18"/>
            <w:u w:val="single" w:color="auto"/>
            <w:color w:val="0000FF"/>
          </w:rPr>
          <w:t>Letter Agreement between the Registrant and David R. Guyer, dated April 24, 2017 (incorporated by reference to Exhibit 10.1 of the</w:t>
        </w:r>
      </w:hyperlink>
      <w:r>
        <w:rPr>
          <w:rFonts w:ascii="Arial" w:cs="Arial" w:eastAsia="Arial" w:hAnsi="Arial"/>
          <w:sz w:val="18"/>
          <w:szCs w:val="18"/>
          <w:color w:val="0000FF"/>
        </w:rPr>
        <w:t xml:space="preserve"> </w:t>
      </w:r>
      <w:hyperlink r:id="rId39">
        <w:r>
          <w:rPr>
            <w:rFonts w:ascii="Arial" w:cs="Arial" w:eastAsia="Arial" w:hAnsi="Arial"/>
            <w:sz w:val="18"/>
            <w:szCs w:val="18"/>
            <w:u w:val="single" w:color="auto"/>
            <w:color w:val="0000FF"/>
          </w:rPr>
          <w:t>Registrant's Quarterly Report on Form 10-Q filed on August 2, 2017)</w:t>
        </w:r>
      </w:hyperlink>
    </w:p>
    <w:p>
      <w:pPr>
        <w:spacing w:after="0" w:line="8" w:lineRule="exact"/>
        <w:rPr>
          <w:rFonts w:ascii="Arial" w:cs="Arial" w:eastAsia="Arial" w:hAnsi="Arial"/>
          <w:sz w:val="18"/>
          <w:szCs w:val="18"/>
          <w:color w:val="0000FF"/>
        </w:rPr>
      </w:pPr>
    </w:p>
    <w:p>
      <w:pPr>
        <w:ind w:left="1300" w:right="160" w:hanging="674"/>
        <w:spacing w:after="0" w:line="277" w:lineRule="auto"/>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10.20</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40">
        <w:r>
          <w:rPr>
            <w:rFonts w:ascii="Arial" w:cs="Arial" w:eastAsia="Arial" w:hAnsi="Arial"/>
            <w:sz w:val="18"/>
            <w:szCs w:val="18"/>
            <w:u w:val="single" w:color="auto"/>
            <w:color w:val="0000FF"/>
          </w:rPr>
          <w:t>Letter agreement by and between the Registrant and David R. Guyer dated May 11, 2018 (incorporated by reference to Exhibit 10.4 of the</w:t>
        </w:r>
      </w:hyperlink>
      <w:r>
        <w:rPr>
          <w:rFonts w:ascii="Arial" w:cs="Arial" w:eastAsia="Arial" w:hAnsi="Arial"/>
          <w:sz w:val="18"/>
          <w:szCs w:val="18"/>
          <w:color w:val="0000FF"/>
        </w:rPr>
        <w:t xml:space="preserve"> </w:t>
      </w:r>
      <w:hyperlink r:id="rId40">
        <w:r>
          <w:rPr>
            <w:rFonts w:ascii="Arial" w:cs="Arial" w:eastAsia="Arial" w:hAnsi="Arial"/>
            <w:sz w:val="18"/>
            <w:szCs w:val="18"/>
            <w:u w:val="single" w:color="auto"/>
            <w:color w:val="0000FF"/>
          </w:rPr>
          <w:t>Registrant's Quarterly Report on Form 10-Q filed on August 1, 2018)</w:t>
        </w:r>
      </w:hyperlink>
    </w:p>
    <w:p>
      <w:pPr>
        <w:spacing w:after="0" w:line="8" w:lineRule="exact"/>
        <w:rPr>
          <w:rFonts w:ascii="Arial" w:cs="Arial" w:eastAsia="Arial" w:hAnsi="Arial"/>
          <w:sz w:val="18"/>
          <w:szCs w:val="18"/>
          <w:color w:val="0000FF"/>
        </w:rPr>
      </w:pPr>
    </w:p>
    <w:p>
      <w:pPr>
        <w:ind w:left="1300" w:right="140" w:hanging="674"/>
        <w:spacing w:after="0" w:line="277" w:lineRule="auto"/>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10.21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41">
        <w:r>
          <w:rPr>
            <w:rFonts w:ascii="Arial" w:cs="Arial" w:eastAsia="Arial" w:hAnsi="Arial"/>
            <w:sz w:val="18"/>
            <w:szCs w:val="18"/>
            <w:u w:val="single" w:color="auto"/>
            <w:color w:val="0000FF"/>
          </w:rPr>
          <w:t>Letter agreement by and between the Registrant and David R. Guyer dated May 24, 2018 (incorporated by reference to Exhibit 10.5 of the</w:t>
        </w:r>
      </w:hyperlink>
      <w:r>
        <w:rPr>
          <w:rFonts w:ascii="Arial" w:cs="Arial" w:eastAsia="Arial" w:hAnsi="Arial"/>
          <w:sz w:val="18"/>
          <w:szCs w:val="18"/>
          <w:color w:val="0000FF"/>
        </w:rPr>
        <w:t xml:space="preserve"> </w:t>
      </w:r>
      <w:hyperlink r:id="rId41">
        <w:r>
          <w:rPr>
            <w:rFonts w:ascii="Arial" w:cs="Arial" w:eastAsia="Arial" w:hAnsi="Arial"/>
            <w:sz w:val="18"/>
            <w:szCs w:val="18"/>
            <w:u w:val="single" w:color="auto"/>
            <w:color w:val="0000FF"/>
          </w:rPr>
          <w:t>Registrant's Quarterly Report on Form 10-Q filed on August 1, 2018)</w:t>
        </w:r>
      </w:hyperlink>
    </w:p>
    <w:p>
      <w:pPr>
        <w:spacing w:after="0" w:line="8" w:lineRule="exact"/>
        <w:rPr>
          <w:rFonts w:ascii="Arial" w:cs="Arial" w:eastAsia="Arial" w:hAnsi="Arial"/>
          <w:sz w:val="18"/>
          <w:szCs w:val="18"/>
          <w:color w:val="0000FF"/>
        </w:rPr>
      </w:pPr>
    </w:p>
    <w:p>
      <w:pPr>
        <w:ind w:left="1300" w:right="140" w:hanging="674"/>
        <w:spacing w:after="0" w:line="277" w:lineRule="auto"/>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10.22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42">
        <w:r>
          <w:rPr>
            <w:rFonts w:ascii="Arial" w:cs="Arial" w:eastAsia="Arial" w:hAnsi="Arial"/>
            <w:sz w:val="18"/>
            <w:szCs w:val="18"/>
            <w:u w:val="single" w:color="auto"/>
            <w:color w:val="0000FF"/>
          </w:rPr>
          <w:t>Letter Agreement between the Registrant and Glenn P. Sblendorio, dated January 4, 2016 (incorporated by reference to Exhibit 10.1 of the</w:t>
        </w:r>
      </w:hyperlink>
      <w:r>
        <w:rPr>
          <w:rFonts w:ascii="Arial" w:cs="Arial" w:eastAsia="Arial" w:hAnsi="Arial"/>
          <w:sz w:val="18"/>
          <w:szCs w:val="18"/>
          <w:color w:val="0000FF"/>
        </w:rPr>
        <w:t xml:space="preserve"> </w:t>
      </w:r>
      <w:hyperlink r:id="rId42">
        <w:r>
          <w:rPr>
            <w:rFonts w:ascii="Arial" w:cs="Arial" w:eastAsia="Arial" w:hAnsi="Arial"/>
            <w:sz w:val="18"/>
            <w:szCs w:val="18"/>
            <w:u w:val="single" w:color="auto"/>
            <w:color w:val="0000FF"/>
          </w:rPr>
          <w:t>Registrant's Quarterly Report on Form 10-Q filed on May 9, 2016)</w:t>
        </w:r>
      </w:hyperlink>
    </w:p>
    <w:p>
      <w:pPr>
        <w:spacing w:after="0" w:line="8" w:lineRule="exact"/>
        <w:rPr>
          <w:rFonts w:ascii="Arial" w:cs="Arial" w:eastAsia="Arial" w:hAnsi="Arial"/>
          <w:sz w:val="18"/>
          <w:szCs w:val="18"/>
          <w:color w:val="0000FF"/>
        </w:rPr>
      </w:pPr>
    </w:p>
    <w:p>
      <w:pPr>
        <w:ind w:left="1300" w:right="140" w:hanging="674"/>
        <w:spacing w:after="0" w:line="277" w:lineRule="auto"/>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10.23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43">
        <w:r>
          <w:rPr>
            <w:rFonts w:ascii="Arial" w:cs="Arial" w:eastAsia="Arial" w:hAnsi="Arial"/>
            <w:sz w:val="18"/>
            <w:szCs w:val="18"/>
            <w:u w:val="single" w:color="auto"/>
            <w:color w:val="0000FF"/>
          </w:rPr>
          <w:t>Letter Agreement between the Registrant and Glenn P. Sblendorio, dated January 4, 2016 (incorporated by reference to Exhibit 10.2 of the</w:t>
        </w:r>
      </w:hyperlink>
      <w:r>
        <w:rPr>
          <w:rFonts w:ascii="Arial" w:cs="Arial" w:eastAsia="Arial" w:hAnsi="Arial"/>
          <w:sz w:val="18"/>
          <w:szCs w:val="18"/>
          <w:color w:val="0000FF"/>
        </w:rPr>
        <w:t xml:space="preserve"> </w:t>
      </w:r>
      <w:hyperlink r:id="rId43">
        <w:r>
          <w:rPr>
            <w:rFonts w:ascii="Arial" w:cs="Arial" w:eastAsia="Arial" w:hAnsi="Arial"/>
            <w:sz w:val="18"/>
            <w:szCs w:val="18"/>
            <w:u w:val="single" w:color="auto"/>
            <w:color w:val="0000FF"/>
          </w:rPr>
          <w:t>Registrant's Quarterly Report on Form 10-Q filed on May 9, 2016)</w:t>
        </w:r>
      </w:hyperlink>
    </w:p>
    <w:p>
      <w:pPr>
        <w:spacing w:after="0" w:line="8" w:lineRule="exact"/>
        <w:rPr>
          <w:rFonts w:ascii="Arial" w:cs="Arial" w:eastAsia="Arial" w:hAnsi="Arial"/>
          <w:sz w:val="18"/>
          <w:szCs w:val="18"/>
          <w:color w:val="0000FF"/>
        </w:rPr>
      </w:pPr>
    </w:p>
    <w:p>
      <w:pPr>
        <w:ind w:left="1300" w:right="240" w:hanging="674"/>
        <w:spacing w:after="0" w:line="277" w:lineRule="auto"/>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10.24</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44">
        <w:r>
          <w:rPr>
            <w:rFonts w:ascii="Arial" w:cs="Arial" w:eastAsia="Arial" w:hAnsi="Arial"/>
            <w:sz w:val="18"/>
            <w:szCs w:val="18"/>
            <w:u w:val="single" w:color="auto"/>
            <w:color w:val="0000FF"/>
          </w:rPr>
          <w:t>Letter Agreement between the Registrant and Glenn P. Sblendorio, dated April 24, 2017 (incorporated by reference to Exhibit 10.2 of the</w:t>
        </w:r>
      </w:hyperlink>
      <w:r>
        <w:rPr>
          <w:rFonts w:ascii="Arial" w:cs="Arial" w:eastAsia="Arial" w:hAnsi="Arial"/>
          <w:sz w:val="18"/>
          <w:szCs w:val="18"/>
          <w:color w:val="0000FF"/>
        </w:rPr>
        <w:t xml:space="preserve"> </w:t>
      </w:r>
      <w:hyperlink r:id="rId44">
        <w:r>
          <w:rPr>
            <w:rFonts w:ascii="Arial" w:cs="Arial" w:eastAsia="Arial" w:hAnsi="Arial"/>
            <w:sz w:val="18"/>
            <w:szCs w:val="18"/>
            <w:u w:val="single" w:color="auto"/>
            <w:color w:val="0000FF"/>
          </w:rPr>
          <w:t>Registrant's Quarterly Report on Form 10-Q filed on August 2, 2017)</w:t>
        </w:r>
      </w:hyperlink>
    </w:p>
    <w:p>
      <w:pPr>
        <w:spacing w:after="0" w:line="8" w:lineRule="exact"/>
        <w:rPr>
          <w:rFonts w:ascii="Arial" w:cs="Arial" w:eastAsia="Arial" w:hAnsi="Arial"/>
          <w:sz w:val="18"/>
          <w:szCs w:val="18"/>
          <w:color w:val="0000FF"/>
        </w:rPr>
      </w:pPr>
    </w:p>
    <w:p>
      <w:pPr>
        <w:ind w:left="1300" w:right="500" w:hanging="674"/>
        <w:spacing w:after="0" w:line="277" w:lineRule="auto"/>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10.25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45">
        <w:r>
          <w:rPr>
            <w:rFonts w:ascii="Arial" w:cs="Arial" w:eastAsia="Arial" w:hAnsi="Arial"/>
            <w:sz w:val="18"/>
            <w:szCs w:val="18"/>
            <w:u w:val="single" w:color="auto"/>
            <w:color w:val="0000FF"/>
          </w:rPr>
          <w:t>Letter Agreement between the Registrant and David F. Carroll, dated April 25, 2017 (incorporated by reference to Exhibit 10.3 of the</w:t>
        </w:r>
      </w:hyperlink>
      <w:r>
        <w:rPr>
          <w:rFonts w:ascii="Arial" w:cs="Arial" w:eastAsia="Arial" w:hAnsi="Arial"/>
          <w:sz w:val="18"/>
          <w:szCs w:val="18"/>
          <w:color w:val="0000FF"/>
        </w:rPr>
        <w:t xml:space="preserve"> </w:t>
      </w:r>
      <w:hyperlink r:id="rId45">
        <w:r>
          <w:rPr>
            <w:rFonts w:ascii="Arial" w:cs="Arial" w:eastAsia="Arial" w:hAnsi="Arial"/>
            <w:sz w:val="18"/>
            <w:szCs w:val="18"/>
            <w:u w:val="single" w:color="auto"/>
            <w:color w:val="0000FF"/>
          </w:rPr>
          <w:t>Registrant's Quarterly Report on Form 10-Q filed on August 2, 2017)</w:t>
        </w:r>
      </w:hyperlink>
    </w:p>
    <w:p>
      <w:pPr>
        <w:spacing w:after="0" w:line="8" w:lineRule="exact"/>
        <w:rPr>
          <w:rFonts w:ascii="Arial" w:cs="Arial" w:eastAsia="Arial" w:hAnsi="Arial"/>
          <w:sz w:val="18"/>
          <w:szCs w:val="18"/>
          <w:color w:val="0000FF"/>
        </w:rPr>
      </w:pPr>
    </w:p>
    <w:p>
      <w:pPr>
        <w:ind w:left="1300" w:right="560" w:hanging="674"/>
        <w:spacing w:after="0" w:line="277" w:lineRule="auto"/>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10.26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46">
        <w:r>
          <w:rPr>
            <w:rFonts w:ascii="Arial" w:cs="Arial" w:eastAsia="Arial" w:hAnsi="Arial"/>
            <w:sz w:val="18"/>
            <w:szCs w:val="18"/>
            <w:u w:val="single" w:color="auto"/>
            <w:color w:val="0000FF"/>
          </w:rPr>
          <w:t>Promotion Letter between the Registrant and Keith Westby, dated January 30, 2017 (incorporated by reference to Exhibit 10.1 of the</w:t>
        </w:r>
      </w:hyperlink>
      <w:r>
        <w:rPr>
          <w:rFonts w:ascii="Arial" w:cs="Arial" w:eastAsia="Arial" w:hAnsi="Arial"/>
          <w:sz w:val="18"/>
          <w:szCs w:val="18"/>
          <w:color w:val="0000FF"/>
        </w:rPr>
        <w:t xml:space="preserve"> </w:t>
      </w:r>
      <w:hyperlink r:id="rId46">
        <w:r>
          <w:rPr>
            <w:rFonts w:ascii="Arial" w:cs="Arial" w:eastAsia="Arial" w:hAnsi="Arial"/>
            <w:sz w:val="18"/>
            <w:szCs w:val="18"/>
            <w:u w:val="single" w:color="auto"/>
            <w:color w:val="0000FF"/>
          </w:rPr>
          <w:t>Registrant's Quarterly Report on Form 10-Q filed on May 3, 2017)</w:t>
        </w:r>
      </w:hyperlink>
    </w:p>
    <w:p>
      <w:pPr>
        <w:spacing w:after="0" w:line="8" w:lineRule="exact"/>
        <w:rPr>
          <w:rFonts w:ascii="Arial" w:cs="Arial" w:eastAsia="Arial" w:hAnsi="Arial"/>
          <w:sz w:val="18"/>
          <w:szCs w:val="18"/>
          <w:color w:val="0000FF"/>
        </w:rPr>
      </w:pPr>
    </w:p>
    <w:p>
      <w:pPr>
        <w:ind w:left="1300" w:right="520" w:hanging="674"/>
        <w:spacing w:after="0" w:line="277" w:lineRule="auto"/>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10.27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47">
        <w:r>
          <w:rPr>
            <w:rFonts w:ascii="Arial" w:cs="Arial" w:eastAsia="Arial" w:hAnsi="Arial"/>
            <w:sz w:val="18"/>
            <w:szCs w:val="18"/>
            <w:u w:val="single" w:color="auto"/>
            <w:color w:val="0000FF"/>
          </w:rPr>
          <w:t>Letter Agreement between the Registrant and Keith Westby, dated February 2, 2017 (incorporated by reference to Exhibit 10.2 of the</w:t>
        </w:r>
      </w:hyperlink>
      <w:r>
        <w:rPr>
          <w:rFonts w:ascii="Arial" w:cs="Arial" w:eastAsia="Arial" w:hAnsi="Arial"/>
          <w:sz w:val="18"/>
          <w:szCs w:val="18"/>
          <w:color w:val="0000FF"/>
        </w:rPr>
        <w:t xml:space="preserve"> </w:t>
      </w:r>
      <w:hyperlink r:id="rId47">
        <w:r>
          <w:rPr>
            <w:rFonts w:ascii="Arial" w:cs="Arial" w:eastAsia="Arial" w:hAnsi="Arial"/>
            <w:sz w:val="18"/>
            <w:szCs w:val="18"/>
            <w:u w:val="single" w:color="auto"/>
            <w:color w:val="0000FF"/>
          </w:rPr>
          <w:t>Registrant's Quarterly Report on Form 10-Q filed on May 3, 2017)</w:t>
        </w:r>
      </w:hyperlink>
    </w:p>
    <w:p>
      <w:pPr>
        <w:spacing w:after="0" w:line="8" w:lineRule="exact"/>
        <w:rPr>
          <w:rFonts w:ascii="Arial" w:cs="Arial" w:eastAsia="Arial" w:hAnsi="Arial"/>
          <w:sz w:val="18"/>
          <w:szCs w:val="18"/>
          <w:color w:val="0000FF"/>
        </w:rPr>
      </w:pPr>
    </w:p>
    <w:p>
      <w:pPr>
        <w:ind w:left="620"/>
        <w:spacing w:after="0"/>
        <w:rPr>
          <w:rFonts w:ascii="Arial" w:cs="Arial" w:eastAsia="Arial" w:hAnsi="Arial"/>
          <w:sz w:val="16"/>
          <w:szCs w:val="16"/>
          <w:color w:val="0000FF"/>
        </w:rPr>
      </w:pPr>
      <w:hyperlink r:id="rId48">
        <w:r>
          <w:rPr>
            <w:rFonts w:ascii="Arial" w:cs="Arial" w:eastAsia="Arial" w:hAnsi="Arial"/>
            <w:sz w:val="16"/>
            <w:szCs w:val="16"/>
            <w:u w:val="single" w:color="auto"/>
            <w:color w:val="0000FF"/>
          </w:rPr>
          <w:t>10.28</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48">
        <w:r>
          <w:rPr>
            <w:rFonts w:ascii="Arial" w:cs="Arial" w:eastAsia="Arial" w:hAnsi="Arial"/>
            <w:sz w:val="16"/>
            <w:szCs w:val="16"/>
            <w:u w:val="single" w:color="auto"/>
            <w:color w:val="0000FF"/>
          </w:rPr>
          <w:t>Form of Indemnification Agreement between the Registrant and each Director and Executive Officer (incorporated by reference to Exhibit</w:t>
        </w:r>
      </w:hyperlink>
    </w:p>
    <w:p>
      <w:pPr>
        <w:spacing w:after="0" w:line="46" w:lineRule="exact"/>
        <w:rPr>
          <w:sz w:val="20"/>
          <w:szCs w:val="20"/>
          <w:color w:val="auto"/>
        </w:rPr>
      </w:pPr>
    </w:p>
    <w:p>
      <w:pPr>
        <w:ind w:left="1300"/>
        <w:spacing w:after="0"/>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10.2 of the Registrant's Quarterly Report on Form 10-Q filed on August 5, 2016)</w:t>
        </w:r>
      </w:hyperlink>
    </w:p>
    <w:p>
      <w:pPr>
        <w:spacing w:after="0" w:line="49" w:lineRule="exact"/>
        <w:rPr>
          <w:sz w:val="20"/>
          <w:szCs w:val="20"/>
          <w:color w:val="auto"/>
        </w:rPr>
      </w:pPr>
    </w:p>
    <w:p>
      <w:pPr>
        <w:ind w:left="620"/>
        <w:spacing w:after="0"/>
        <w:tabs>
          <w:tab w:leader="none" w:pos="1280" w:val="left"/>
        </w:tabs>
        <w:rPr>
          <w:rFonts w:ascii="Arial" w:cs="Arial" w:eastAsia="Arial" w:hAnsi="Arial"/>
          <w:sz w:val="16"/>
          <w:szCs w:val="16"/>
          <w:u w:val="single" w:color="auto"/>
          <w:color w:val="0000FF"/>
        </w:rPr>
      </w:pPr>
      <w:hyperlink r:id="rId49">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49">
        <w:r>
          <w:rPr>
            <w:rFonts w:ascii="Arial" w:cs="Arial" w:eastAsia="Arial" w:hAnsi="Arial"/>
            <w:sz w:val="16"/>
            <w:szCs w:val="16"/>
            <w:u w:val="single" w:color="auto"/>
            <w:color w:val="0000FF"/>
          </w:rPr>
          <w:t>Sales Agreement by and between Cowen and Company, LLC and the Registrant dated August 1, 2018 (incorporated by reference to Exhibit</w:t>
        </w:r>
      </w:hyperlink>
    </w:p>
    <w:p>
      <w:pPr>
        <w:spacing w:after="0" w:line="23" w:lineRule="exact"/>
        <w:rPr>
          <w:sz w:val="20"/>
          <w:szCs w:val="20"/>
          <w:color w:val="auto"/>
        </w:rPr>
      </w:pPr>
    </w:p>
    <w:p>
      <w:pPr>
        <w:ind w:left="1300"/>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1.2 of the Registrant's Registration Statement on Form S-3 filed on August 1, 2018)</w:t>
        </w:r>
      </w:hyperlink>
    </w:p>
    <w:p>
      <w:pPr>
        <w:spacing w:after="0" w:line="49" w:lineRule="exact"/>
        <w:rPr>
          <w:sz w:val="20"/>
          <w:szCs w:val="20"/>
          <w:color w:val="auto"/>
        </w:rPr>
      </w:pPr>
    </w:p>
    <w:p>
      <w:pPr>
        <w:ind w:left="700"/>
        <w:spacing w:after="0"/>
        <w:tabs>
          <w:tab w:leader="none" w:pos="1280" w:val="left"/>
        </w:tabs>
        <w:rPr>
          <w:rFonts w:ascii="Arial" w:cs="Arial" w:eastAsia="Arial" w:hAnsi="Arial"/>
          <w:sz w:val="16"/>
          <w:szCs w:val="16"/>
          <w:u w:val="single" w:color="auto"/>
          <w:color w:val="0000FF"/>
        </w:rPr>
      </w:pPr>
      <w:hyperlink w:anchor="page149">
        <w:r>
          <w:rPr>
            <w:rFonts w:ascii="Arial" w:cs="Arial" w:eastAsia="Arial" w:hAnsi="Arial"/>
            <w:sz w:val="18"/>
            <w:szCs w:val="18"/>
            <w:u w:val="single" w:color="auto"/>
            <w:color w:val="0000FF"/>
          </w:rPr>
          <w:t>21.1</w:t>
        </w:r>
      </w:hyperlink>
      <w:r>
        <w:rPr>
          <w:rFonts w:ascii="Arial" w:cs="Arial" w:eastAsia="Arial" w:hAnsi="Arial"/>
          <w:sz w:val="18"/>
          <w:szCs w:val="18"/>
          <w:u w:val="single" w:color="auto"/>
          <w:color w:val="0000FF"/>
        </w:rPr>
        <w:tab/>
      </w:r>
      <w:hyperlink w:anchor="page149">
        <w:r>
          <w:rPr>
            <w:rFonts w:ascii="Arial" w:cs="Arial" w:eastAsia="Arial" w:hAnsi="Arial"/>
            <w:sz w:val="16"/>
            <w:szCs w:val="16"/>
            <w:u w:val="single" w:color="auto"/>
            <w:color w:val="0000FF"/>
          </w:rPr>
          <w:t>List of Subsidiaries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00"/>
          </w:cols>
          <w:pgMar w:left="240" w:top="125" w:right="25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300" w:type="dxa"/>
            <w:vAlign w:val="bottom"/>
            <w:gridSpan w:val="4"/>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Table of Contents</w:t>
              </w:r>
            </w:hyperlink>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36"/>
        </w:trPr>
        <w:tc>
          <w:tcPr>
            <w:tcW w:w="7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jc w:val="right"/>
              <w:spacing w:after="0"/>
              <w:rPr>
                <w:rFonts w:ascii="Arial" w:cs="Arial" w:eastAsia="Arial" w:hAnsi="Arial"/>
                <w:sz w:val="18"/>
                <w:szCs w:val="18"/>
                <w:color w:val="0000FF"/>
                <w:w w:val="85"/>
              </w:rPr>
            </w:pPr>
            <w:hyperlink w:anchor="page150">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6"/>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Consent of Ernst &amp; Young LLP</w:t>
              </w:r>
            </w:hyperlink>
          </w:p>
        </w:tc>
      </w:tr>
      <w:tr>
        <w:trPr>
          <w:trHeight w:val="20"/>
        </w:trPr>
        <w:tc>
          <w:tcPr>
            <w:tcW w:w="7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0000FF"/>
                <w:w w:val="85"/>
              </w:rPr>
            </w:pPr>
            <w:hyperlink w:anchor="page15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6"/>
          </w:tcPr>
          <w:p>
            <w:pPr>
              <w:spacing w:after="0"/>
              <w:rPr>
                <w:rFonts w:ascii="Arial" w:cs="Arial" w:eastAsia="Arial" w:hAnsi="Arial"/>
                <w:sz w:val="18"/>
                <w:szCs w:val="18"/>
                <w:color w:val="0000FF"/>
                <w:w w:val="94"/>
              </w:rPr>
            </w:pPr>
            <w:hyperlink w:anchor="page151">
              <w:r>
                <w:rPr>
                  <w:rFonts w:ascii="Arial" w:cs="Arial" w:eastAsia="Arial" w:hAnsi="Arial"/>
                  <w:sz w:val="18"/>
                  <w:szCs w:val="18"/>
                  <w:color w:val="0000FF"/>
                  <w:w w:val="94"/>
                </w:rPr>
                <w:t>Certification of principal executive officer pursuant to Rule 13a-14(a)/15d-14(a) of the Securities Exchange Act of 1934, as amended</w:t>
              </w:r>
            </w:hyperlink>
          </w:p>
        </w:tc>
      </w:tr>
      <w:tr>
        <w:trPr>
          <w:trHeight w:val="250"/>
        </w:trPr>
        <w:tc>
          <w:tcPr>
            <w:tcW w:w="700" w:type="dxa"/>
            <w:vAlign w:val="bottom"/>
          </w:tcPr>
          <w:p>
            <w:pPr>
              <w:spacing w:after="0"/>
              <w:rPr>
                <w:sz w:val="21"/>
                <w:szCs w:val="21"/>
                <w:color w:val="auto"/>
              </w:rPr>
            </w:pPr>
          </w:p>
        </w:tc>
        <w:tc>
          <w:tcPr>
            <w:tcW w:w="320" w:type="dxa"/>
            <w:vAlign w:val="bottom"/>
            <w:tcBorders>
              <w:top w:val="single" w:sz="8" w:color="0000FF"/>
            </w:tcBorders>
          </w:tcPr>
          <w:p>
            <w:pPr>
              <w:jc w:val="right"/>
              <w:spacing w:after="0"/>
              <w:rPr>
                <w:rFonts w:ascii="Arial" w:cs="Arial" w:eastAsia="Arial" w:hAnsi="Arial"/>
                <w:sz w:val="18"/>
                <w:szCs w:val="18"/>
                <w:color w:val="0000FF"/>
                <w:w w:val="85"/>
              </w:rPr>
            </w:pPr>
            <w:hyperlink w:anchor="page15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80" w:type="dxa"/>
            <w:vAlign w:val="bottom"/>
            <w:tcBorders>
              <w:top w:val="single" w:sz="8" w:color="0000FF"/>
            </w:tcBorders>
            <w:gridSpan w:val="4"/>
          </w:tcPr>
          <w:p>
            <w:pPr>
              <w:spacing w:after="0"/>
              <w:rPr>
                <w:rFonts w:ascii="Arial" w:cs="Arial" w:eastAsia="Arial" w:hAnsi="Arial"/>
                <w:sz w:val="18"/>
                <w:szCs w:val="18"/>
                <w:color w:val="0000FF"/>
                <w:w w:val="91"/>
              </w:rPr>
            </w:pPr>
            <w:hyperlink w:anchor="page152">
              <w:r>
                <w:rPr>
                  <w:rFonts w:ascii="Arial" w:cs="Arial" w:eastAsia="Arial" w:hAnsi="Arial"/>
                  <w:sz w:val="18"/>
                  <w:szCs w:val="18"/>
                  <w:color w:val="0000FF"/>
                  <w:w w:val="91"/>
                </w:rPr>
                <w:t>Certification of principal financial officer pursuant to Rule 13a-14(a)/15d-14(a) of the Securities Exchange Act of 1934, as amended</w:t>
              </w:r>
            </w:hyperlink>
          </w:p>
        </w:tc>
        <w:tc>
          <w:tcPr>
            <w:tcW w:w="320" w:type="dxa"/>
            <w:vAlign w:val="bottom"/>
            <w:gridSpan w:val="2"/>
          </w:tcPr>
          <w:p>
            <w:pPr>
              <w:spacing w:after="0"/>
              <w:rPr>
                <w:sz w:val="21"/>
                <w:szCs w:val="21"/>
                <w:color w:val="auto"/>
              </w:rPr>
            </w:pPr>
          </w:p>
        </w:tc>
      </w:tr>
      <w:tr>
        <w:trPr>
          <w:trHeight w:val="20"/>
        </w:trPr>
        <w:tc>
          <w:tcPr>
            <w:tcW w:w="7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6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15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53">
              <w:r>
                <w:rPr>
                  <w:rFonts w:ascii="Arial" w:cs="Arial" w:eastAsia="Arial" w:hAnsi="Arial"/>
                  <w:sz w:val="18"/>
                  <w:szCs w:val="18"/>
                  <w:color w:val="0000FF"/>
                  <w:w w:val="91"/>
                </w:rPr>
                <w:t>Certification of principal executive officer pursuant to 18 U.S.C. §1350, as adopted pursuant to Section 906 of the Sarbanes-Oxley Act of</w:t>
              </w:r>
            </w:hyperlink>
          </w:p>
        </w:tc>
      </w:tr>
      <w:tr>
        <w:trPr>
          <w:trHeight w:val="19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153">
              <w:r>
                <w:rPr>
                  <w:rFonts w:ascii="Arial" w:cs="Arial" w:eastAsia="Arial" w:hAnsi="Arial"/>
                  <w:sz w:val="18"/>
                  <w:szCs w:val="18"/>
                  <w:color w:val="0000FF"/>
                  <w:w w:val="84"/>
                </w:rPr>
                <w:t>2002</w:t>
              </w:r>
            </w:hyperlink>
          </w:p>
        </w:tc>
        <w:tc>
          <w:tcPr>
            <w:tcW w:w="190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1020" w:type="dxa"/>
            <w:vAlign w:val="bottom"/>
            <w:gridSpan w:val="2"/>
          </w:tcPr>
          <w:p>
            <w:pPr>
              <w:jc w:val="right"/>
              <w:spacing w:after="0"/>
              <w:rPr>
                <w:rFonts w:ascii="Arial" w:cs="Arial" w:eastAsia="Arial" w:hAnsi="Arial"/>
                <w:sz w:val="18"/>
                <w:szCs w:val="18"/>
                <w:color w:val="0000FF"/>
              </w:rPr>
            </w:pPr>
            <w:hyperlink w:anchor="page154">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6"/>
          </w:tcPr>
          <w:p>
            <w:pPr>
              <w:spacing w:after="0"/>
              <w:rPr>
                <w:rFonts w:ascii="Arial" w:cs="Arial" w:eastAsia="Arial" w:hAnsi="Arial"/>
                <w:sz w:val="18"/>
                <w:szCs w:val="18"/>
                <w:color w:val="0000FF"/>
                <w:w w:val="91"/>
              </w:rPr>
            </w:pPr>
            <w:hyperlink w:anchor="page154">
              <w:r>
                <w:rPr>
                  <w:rFonts w:ascii="Arial" w:cs="Arial" w:eastAsia="Arial" w:hAnsi="Arial"/>
                  <w:sz w:val="18"/>
                  <w:szCs w:val="18"/>
                  <w:color w:val="0000FF"/>
                  <w:w w:val="91"/>
                </w:rPr>
                <w:t>Certification of principal financial officer pursuant to 18 U.S.C. §1350, as adopted pursuant to Section 906 of the Sarbanes-Oxley Act of</w:t>
              </w:r>
            </w:hyperlink>
          </w:p>
        </w:tc>
      </w:tr>
      <w:tr>
        <w:trPr>
          <w:trHeight w:val="196"/>
        </w:trPr>
        <w:tc>
          <w:tcPr>
            <w:tcW w:w="70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154">
              <w:r>
                <w:rPr>
                  <w:rFonts w:ascii="Arial" w:cs="Arial" w:eastAsia="Arial" w:hAnsi="Arial"/>
                  <w:sz w:val="18"/>
                  <w:szCs w:val="18"/>
                  <w:color w:val="0000FF"/>
                  <w:w w:val="84"/>
                </w:rPr>
                <w:t>2002</w:t>
              </w:r>
            </w:hyperlink>
          </w:p>
        </w:tc>
        <w:tc>
          <w:tcPr>
            <w:tcW w:w="1900" w:type="dxa"/>
            <w:vAlign w:val="bottom"/>
            <w:tcBorders>
              <w:top w:val="single" w:sz="8" w:color="0000FF"/>
            </w:tcBorders>
          </w:tcPr>
          <w:p>
            <w:pPr>
              <w:spacing w:after="0"/>
              <w:rPr>
                <w:sz w:val="17"/>
                <w:szCs w:val="17"/>
                <w:color w:val="auto"/>
              </w:rPr>
            </w:pPr>
          </w:p>
        </w:tc>
        <w:tc>
          <w:tcPr>
            <w:tcW w:w="7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r>
      <w:tr>
        <w:trPr>
          <w:trHeight w:val="291"/>
        </w:trPr>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101.INS</w:t>
            </w:r>
          </w:p>
        </w:tc>
        <w:tc>
          <w:tcPr>
            <w:tcW w:w="99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101.SCH</w:t>
            </w: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101.CAL</w:t>
            </w: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101.DEF</w:t>
            </w: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101.LAB</w:t>
            </w: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101.PRE</w:t>
            </w: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75" w:lineRule="exact"/>
        <w:rPr>
          <w:sz w:val="20"/>
          <w:szCs w:val="20"/>
          <w:color w:val="auto"/>
        </w:rPr>
      </w:pPr>
    </w:p>
    <w:p>
      <w:pPr>
        <w:ind w:left="380" w:right="20" w:hanging="345"/>
        <w:spacing w:after="0" w:line="277"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spacing w:after="0" w:line="8" w:lineRule="exact"/>
        <w:rPr>
          <w:sz w:val="20"/>
          <w:szCs w:val="20"/>
          <w:color w:val="auto"/>
        </w:rPr>
      </w:pPr>
    </w:p>
    <w:p>
      <w:pPr>
        <w:ind w:left="380" w:hanging="345"/>
        <w:spacing w:after="0"/>
        <w:tabs>
          <w:tab w:leader="none" w:pos="3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in response to Item 15(a)(3) of the Instructions to the Annual Report on Form 10-K.</w:t>
      </w:r>
    </w:p>
    <w:p>
      <w:pPr>
        <w:spacing w:after="0" w:line="86" w:lineRule="exact"/>
        <w:rPr>
          <w:sz w:val="20"/>
          <w:szCs w:val="20"/>
          <w:color w:val="auto"/>
        </w:rPr>
      </w:pPr>
    </w:p>
    <w:p>
      <w:pPr>
        <w:ind w:left="380" w:hanging="345"/>
        <w:spacing w:after="0" w:line="264" w:lineRule="auto"/>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Schedules have been omitted from this exhibit pursuant to Item 601(b)(2) of Regulation S-K. A copy of any omitted schedule will be furnished supplementally to the Securities and Exchange Commission upon request; provided, however, that the registrant may request confidential treatment for any document so furnished.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60"/>
          </w:cols>
          <w:pgMar w:left="240" w:top="108" w:right="3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28, 2019</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OPHTHOTECH CORPORATION</w:t>
      </w:r>
    </w:p>
    <w:p>
      <w:pPr>
        <w:spacing w:after="0" w:line="63" w:lineRule="exact"/>
        <w:rPr>
          <w:sz w:val="20"/>
          <w:szCs w:val="20"/>
          <w:color w:val="auto"/>
        </w:rPr>
      </w:pPr>
    </w:p>
    <w:p>
      <w:pPr>
        <w:ind w:left="56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70"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Glenn P. Sblendorio</w:t>
      </w:r>
    </w:p>
    <w:p>
      <w:pPr>
        <w:spacing w:after="0" w:line="23" w:lineRule="exact"/>
        <w:rPr>
          <w:sz w:val="20"/>
          <w:szCs w:val="20"/>
          <w:color w:val="auto"/>
        </w:rPr>
      </w:pPr>
    </w:p>
    <w:p>
      <w:pPr>
        <w:jc w:val="center"/>
        <w:ind w:left="66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5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0" w:lineRule="exact"/>
        <w:rPr>
          <w:sz w:val="20"/>
          <w:szCs w:val="20"/>
          <w:color w:val="auto"/>
        </w:rPr>
      </w:pPr>
    </w:p>
    <w:p>
      <w:pPr>
        <w:spacing w:after="0" w:line="3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Glenn P. Sblendorio</w:t>
      </w:r>
    </w:p>
    <w:p>
      <w:pPr>
        <w:spacing w:after="0" w:line="200" w:lineRule="exact"/>
        <w:rPr>
          <w:sz w:val="20"/>
          <w:szCs w:val="20"/>
          <w:color w:val="auto"/>
        </w:rPr>
      </w:pPr>
    </w:p>
    <w:p>
      <w:pPr>
        <w:spacing w:after="0" w:line="39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2">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David F. Carroll</w:t>
      </w:r>
    </w:p>
    <w:p>
      <w:pPr>
        <w:spacing w:after="0" w:line="38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AXEL BOLTE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Axel Bolte</w:t>
      </w:r>
    </w:p>
    <w:p>
      <w:pPr>
        <w:spacing w:after="0" w:line="38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THOMAS DYRBERG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Thomas Dyrberg, M.D., D.M.Sc.</w:t>
      </w:r>
    </w:p>
    <w:p>
      <w:pPr>
        <w:spacing w:after="0" w:line="387"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ADRIENNE L. GRAVES,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7616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8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Adrienne L. Graves, Ph.D.</w:t>
      </w:r>
    </w:p>
    <w:p>
      <w:pPr>
        <w:spacing w:after="0" w:line="38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 DAVID R.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David R. Guyer, M.D.</w:t>
      </w:r>
    </w:p>
    <w:p>
      <w:pPr>
        <w:spacing w:after="0" w:line="38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JANE P.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Jane P. Henderson</w:t>
      </w:r>
    </w:p>
    <w:p>
      <w:pPr>
        <w:spacing w:after="0" w:line="38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DAVID E. REDLICK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David E. Redlick</w:t>
      </w:r>
    </w:p>
    <w:p>
      <w:pPr>
        <w:spacing w:after="0" w:line="38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CALVIN W. ROBERTS,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extLst>
                    </a:blip>
                    <a:srcRect/>
                    <a:stretch>
                      <a:fillRect/>
                    </a:stretch>
                  </pic:blipFill>
                  <pic:spPr bwMode="auto">
                    <a:xfrm>
                      <a:off x="0" y="0"/>
                      <a:ext cx="2761615" cy="17145"/>
                    </a:xfrm>
                    <a:prstGeom prst="rect">
                      <a:avLst/>
                    </a:prstGeom>
                    <a:noFill/>
                  </pic:spPr>
                </pic:pic>
              </a:graphicData>
            </a:graphic>
          </wp:anchor>
        </w:drawing>
      </w:r>
    </w:p>
    <w:p>
      <w:pPr>
        <w:spacing w:after="0" w:line="7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Calvin W. Roberts, M.D.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520" w:type="dxa"/>
            <w:vAlign w:val="bottom"/>
          </w:tcPr>
          <w:p>
            <w:pPr>
              <w:spacing w:after="0"/>
              <w:rPr>
                <w:sz w:val="14"/>
                <w:szCs w:val="14"/>
                <w:color w:val="auto"/>
              </w:rPr>
            </w:pPr>
          </w:p>
        </w:tc>
      </w:tr>
      <w:tr>
        <w:trPr>
          <w:trHeight w:val="519"/>
        </w:trPr>
        <w:tc>
          <w:tcPr>
            <w:tcW w:w="478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 Director (principal</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executive officer)</w:t>
            </w:r>
          </w:p>
        </w:tc>
        <w:tc>
          <w:tcPr>
            <w:tcW w:w="178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February 28, 2019</w:t>
            </w:r>
          </w:p>
        </w:tc>
      </w:tr>
      <w:tr>
        <w:trPr>
          <w:trHeight w:val="864"/>
        </w:trPr>
        <w:tc>
          <w:tcPr>
            <w:tcW w:w="4780" w:type="dxa"/>
            <w:vAlign w:val="bottom"/>
            <w:gridSpan w:val="3"/>
          </w:tcPr>
          <w:p>
            <w:pPr>
              <w:spacing w:after="0"/>
              <w:rPr>
                <w:sz w:val="20"/>
                <w:szCs w:val="20"/>
                <w:color w:val="auto"/>
              </w:rPr>
            </w:pPr>
            <w:r>
              <w:rPr>
                <w:rFonts w:ascii="Arial" w:cs="Arial" w:eastAsia="Arial" w:hAnsi="Arial"/>
                <w:sz w:val="18"/>
                <w:szCs w:val="18"/>
                <w:color w:val="auto"/>
              </w:rPr>
              <w:t>Senior Vice President and Chief Financial Officer (principal</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financial and accounting officer)</w:t>
            </w:r>
          </w:p>
        </w:tc>
        <w:tc>
          <w:tcPr>
            <w:tcW w:w="178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February 28, 2019</w:t>
            </w:r>
          </w:p>
        </w:tc>
      </w:tr>
      <w:tr>
        <w:trPr>
          <w:trHeight w:val="891"/>
        </w:trPr>
        <w:tc>
          <w:tcPr>
            <w:tcW w:w="47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February 28, 2019</w:t>
            </w:r>
          </w:p>
        </w:tc>
      </w:tr>
      <w:tr>
        <w:trPr>
          <w:trHeight w:val="891"/>
        </w:trPr>
        <w:tc>
          <w:tcPr>
            <w:tcW w:w="47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February 28, 2019</w:t>
            </w:r>
          </w:p>
        </w:tc>
      </w:tr>
      <w:tr>
        <w:trPr>
          <w:trHeight w:val="891"/>
        </w:trPr>
        <w:tc>
          <w:tcPr>
            <w:tcW w:w="47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February 28, 2019</w:t>
            </w:r>
          </w:p>
        </w:tc>
      </w:tr>
      <w:tr>
        <w:trPr>
          <w:trHeight w:val="891"/>
        </w:trPr>
        <w:tc>
          <w:tcPr>
            <w:tcW w:w="4780" w:type="dxa"/>
            <w:vAlign w:val="bottom"/>
            <w:gridSpan w:val="3"/>
          </w:tcPr>
          <w:p>
            <w:pPr>
              <w:spacing w:after="0"/>
              <w:rPr>
                <w:sz w:val="20"/>
                <w:szCs w:val="20"/>
                <w:color w:val="auto"/>
              </w:rPr>
            </w:pPr>
            <w:r>
              <w:rPr>
                <w:rFonts w:ascii="Arial" w:cs="Arial" w:eastAsia="Arial" w:hAnsi="Arial"/>
                <w:sz w:val="18"/>
                <w:szCs w:val="18"/>
                <w:color w:val="auto"/>
              </w:rPr>
              <w:t>Executive Chairman of the Board of Directors</w:t>
            </w:r>
          </w:p>
        </w:tc>
        <w:tc>
          <w:tcPr>
            <w:tcW w:w="178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February 28, 2019</w:t>
            </w:r>
          </w:p>
        </w:tc>
      </w:tr>
      <w:tr>
        <w:trPr>
          <w:trHeight w:val="891"/>
        </w:trPr>
        <w:tc>
          <w:tcPr>
            <w:tcW w:w="47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February 28, 2019</w:t>
            </w:r>
          </w:p>
        </w:tc>
      </w:tr>
      <w:tr>
        <w:trPr>
          <w:trHeight w:val="891"/>
        </w:trPr>
        <w:tc>
          <w:tcPr>
            <w:tcW w:w="47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February 28, 2019</w:t>
            </w:r>
          </w:p>
        </w:tc>
      </w:tr>
      <w:tr>
        <w:trPr>
          <w:trHeight w:val="891"/>
        </w:trPr>
        <w:tc>
          <w:tcPr>
            <w:tcW w:w="47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February 28, 2019</w:t>
            </w:r>
          </w:p>
        </w:tc>
      </w:tr>
    </w:tbl>
    <w:p>
      <w:pPr>
        <w:spacing w:after="0" w:line="460" w:lineRule="exact"/>
        <w:rPr>
          <w:sz w:val="20"/>
          <w:szCs w:val="20"/>
          <w:color w:val="auto"/>
        </w:rPr>
      </w:pPr>
    </w:p>
    <w:p>
      <w:pPr>
        <w:sectPr>
          <w:pgSz w:w="11900" w:h="16838" w:orient="portrait"/>
          <w:cols w:equalWidth="0" w:num="2">
            <w:col w:w="3780" w:space="720"/>
            <w:col w:w="6860"/>
          </w:cols>
          <w:pgMar w:left="240" w:top="125" w:right="299" w:bottom="1440" w:gutter="0" w:footer="0" w:header="0"/>
          <w:type w:val="continuous"/>
        </w:sect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360"/>
          </w:cols>
          <w:pgMar w:left="240" w:top="125" w:right="29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01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00" w:type="dxa"/>
            <w:vAlign w:val="bottom"/>
            <w:gridSpan w:val="6"/>
          </w:tcPr>
          <w:p>
            <w:pPr>
              <w:jc w:val="center"/>
              <w:ind w:right="3000"/>
              <w:spacing w:after="0"/>
              <w:rPr>
                <w:sz w:val="20"/>
                <w:szCs w:val="20"/>
                <w:color w:val="auto"/>
              </w:rPr>
            </w:pPr>
            <w:r>
              <w:rPr>
                <w:rFonts w:ascii="Arial" w:cs="Arial" w:eastAsia="Arial" w:hAnsi="Arial"/>
                <w:sz w:val="18"/>
                <w:szCs w:val="18"/>
                <w:b w:val="1"/>
                <w:bCs w:val="1"/>
                <w:color w:val="auto"/>
              </w:rPr>
              <w:t>OPHTHOTECH CORPORATION</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980" w:type="dxa"/>
            <w:vAlign w:val="bottom"/>
            <w:gridSpan w:val="7"/>
          </w:tcPr>
          <w:p>
            <w:pPr>
              <w:jc w:val="center"/>
              <w:ind w:right="1900"/>
              <w:spacing w:after="0"/>
              <w:rPr>
                <w:sz w:val="20"/>
                <w:szCs w:val="20"/>
                <w:color w:val="auto"/>
              </w:rPr>
            </w:pPr>
            <w:r>
              <w:rPr>
                <w:rFonts w:ascii="Arial" w:cs="Arial" w:eastAsia="Arial" w:hAnsi="Arial"/>
                <w:sz w:val="18"/>
                <w:szCs w:val="18"/>
                <w:b w:val="1"/>
                <w:bCs w:val="1"/>
                <w:color w:val="auto"/>
              </w:rPr>
              <w:t>INDEX TO CONSOLIDATED FINANCIAL STATEMENTS</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19">
              <w:r>
                <w:rPr>
                  <w:rFonts w:ascii="Arial" w:cs="Arial" w:eastAsia="Arial" w:hAnsi="Arial"/>
                  <w:sz w:val="18"/>
                  <w:szCs w:val="18"/>
                  <w:color w:val="0000EE"/>
                  <w:w w:val="91"/>
                </w:rPr>
                <w:t>Report of Independent Registered Public Accounting Firm</w:t>
              </w:r>
            </w:hyperlink>
          </w:p>
        </w:tc>
        <w:tc>
          <w:tcPr>
            <w:tcW w:w="5900" w:type="dxa"/>
            <w:vAlign w:val="bottom"/>
            <w:gridSpan w:val="6"/>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19">
              <w:r>
                <w:rPr>
                  <w:rFonts w:ascii="Arial" w:cs="Arial" w:eastAsia="Arial" w:hAnsi="Arial"/>
                  <w:sz w:val="18"/>
                  <w:szCs w:val="18"/>
                  <w:color w:val="0000EE"/>
                  <w:w w:val="88"/>
                </w:rPr>
                <w:t>F-2</w:t>
              </w:r>
            </w:hyperlink>
          </w:p>
        </w:tc>
      </w:tr>
      <w:tr>
        <w:trPr>
          <w:trHeight w:val="250"/>
        </w:trPr>
        <w:tc>
          <w:tcPr>
            <w:tcW w:w="40" w:type="dxa"/>
            <w:vAlign w:val="bottom"/>
          </w:tcPr>
          <w:p>
            <w:pPr>
              <w:spacing w:after="0"/>
              <w:rPr>
                <w:sz w:val="21"/>
                <w:szCs w:val="21"/>
                <w:color w:val="auto"/>
              </w:rPr>
            </w:pPr>
          </w:p>
        </w:tc>
        <w:tc>
          <w:tcPr>
            <w:tcW w:w="10120" w:type="dxa"/>
            <w:vAlign w:val="bottom"/>
            <w:gridSpan w:val="9"/>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Consolidated Balance Sheets as of December 31, 2018 and 2017</w:t>
              </w:r>
            </w:hyperlink>
          </w:p>
        </w:tc>
        <w:tc>
          <w:tcPr>
            <w:tcW w:w="1240" w:type="dxa"/>
            <w:vAlign w:val="bottom"/>
            <w:gridSpan w:val="2"/>
          </w:tcPr>
          <w:p>
            <w:pPr>
              <w:ind w:left="980"/>
              <w:spacing w:after="0"/>
              <w:rPr>
                <w:rFonts w:ascii="Arial" w:cs="Arial" w:eastAsia="Arial" w:hAnsi="Arial"/>
                <w:sz w:val="18"/>
                <w:szCs w:val="18"/>
                <w:color w:val="0000EE"/>
                <w:w w:val="88"/>
              </w:rPr>
            </w:pPr>
            <w:hyperlink w:anchor="page120">
              <w:r>
                <w:rPr>
                  <w:rFonts w:ascii="Arial" w:cs="Arial" w:eastAsia="Arial" w:hAnsi="Arial"/>
                  <w:sz w:val="18"/>
                  <w:szCs w:val="18"/>
                  <w:color w:val="0000EE"/>
                  <w:w w:val="88"/>
                </w:rPr>
                <w:t>F-3</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120" w:type="dxa"/>
            <w:vAlign w:val="bottom"/>
            <w:gridSpan w:val="9"/>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Consolidated Statements of Operations for the Years Ended December 31, 2018, 2017 and 2016</w:t>
              </w:r>
            </w:hyperlink>
          </w:p>
        </w:tc>
        <w:tc>
          <w:tcPr>
            <w:tcW w:w="1240" w:type="dxa"/>
            <w:vAlign w:val="bottom"/>
            <w:gridSpan w:val="2"/>
          </w:tcPr>
          <w:p>
            <w:pPr>
              <w:ind w:left="980"/>
              <w:spacing w:after="0"/>
              <w:rPr>
                <w:rFonts w:ascii="Arial" w:cs="Arial" w:eastAsia="Arial" w:hAnsi="Arial"/>
                <w:sz w:val="18"/>
                <w:szCs w:val="18"/>
                <w:color w:val="0000EE"/>
                <w:w w:val="88"/>
              </w:rPr>
            </w:pPr>
            <w:hyperlink w:anchor="page121">
              <w:r>
                <w:rPr>
                  <w:rFonts w:ascii="Arial" w:cs="Arial" w:eastAsia="Arial" w:hAnsi="Arial"/>
                  <w:sz w:val="18"/>
                  <w:szCs w:val="18"/>
                  <w:color w:val="0000EE"/>
                  <w:w w:val="88"/>
                </w:rPr>
                <w:t>F-4</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22">
              <w:r>
                <w:rPr>
                  <w:rFonts w:ascii="Arial" w:cs="Arial" w:eastAsia="Arial" w:hAnsi="Arial"/>
                  <w:sz w:val="18"/>
                  <w:szCs w:val="18"/>
                  <w:color w:val="0000EE"/>
                  <w:w w:val="89"/>
                </w:rPr>
                <w:t>Consolidated Statements of Comprehensive Income (Loss) for the Years Ended December 31, 2018, 2017 and 2016</w:t>
              </w:r>
            </w:hyperlink>
          </w:p>
        </w:tc>
        <w:tc>
          <w:tcPr>
            <w:tcW w:w="178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F-5</w:t>
              </w:r>
            </w:hyperlink>
          </w:p>
        </w:tc>
      </w:tr>
      <w:tr>
        <w:trPr>
          <w:trHeight w:val="250"/>
        </w:trPr>
        <w:tc>
          <w:tcPr>
            <w:tcW w:w="40" w:type="dxa"/>
            <w:vAlign w:val="bottom"/>
          </w:tcPr>
          <w:p>
            <w:pPr>
              <w:spacing w:after="0"/>
              <w:rPr>
                <w:sz w:val="21"/>
                <w:szCs w:val="21"/>
                <w:color w:val="auto"/>
              </w:rPr>
            </w:pPr>
          </w:p>
        </w:tc>
        <w:tc>
          <w:tcPr>
            <w:tcW w:w="10120" w:type="dxa"/>
            <w:vAlign w:val="bottom"/>
            <w:gridSpan w:val="9"/>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Consolidated Statements of Changes in Stockholders' Equity (Deficit) for the Years Ended December 31, 2018, 2017 and 2016</w:t>
              </w:r>
            </w:hyperlink>
          </w:p>
        </w:tc>
        <w:tc>
          <w:tcPr>
            <w:tcW w:w="1240" w:type="dxa"/>
            <w:vAlign w:val="bottom"/>
            <w:gridSpan w:val="2"/>
          </w:tcPr>
          <w:p>
            <w:pPr>
              <w:ind w:left="980"/>
              <w:spacing w:after="0"/>
              <w:rPr>
                <w:rFonts w:ascii="Arial" w:cs="Arial" w:eastAsia="Arial" w:hAnsi="Arial"/>
                <w:sz w:val="18"/>
                <w:szCs w:val="18"/>
                <w:color w:val="0000EE"/>
                <w:w w:val="88"/>
              </w:rPr>
            </w:pPr>
            <w:hyperlink w:anchor="page123">
              <w:r>
                <w:rPr>
                  <w:rFonts w:ascii="Arial" w:cs="Arial" w:eastAsia="Arial" w:hAnsi="Arial"/>
                  <w:sz w:val="18"/>
                  <w:szCs w:val="18"/>
                  <w:color w:val="0000EE"/>
                  <w:w w:val="88"/>
                </w:rPr>
                <w:t>F-6</w:t>
              </w:r>
            </w:hyperlink>
          </w:p>
        </w:tc>
      </w:tr>
      <w:tr>
        <w:trPr>
          <w:trHeight w:val="250"/>
        </w:trPr>
        <w:tc>
          <w:tcPr>
            <w:tcW w:w="40" w:type="dxa"/>
            <w:vAlign w:val="bottom"/>
          </w:tcPr>
          <w:p>
            <w:pPr>
              <w:spacing w:after="0"/>
              <w:rPr>
                <w:sz w:val="21"/>
                <w:szCs w:val="21"/>
                <w:color w:val="auto"/>
              </w:rPr>
            </w:pPr>
          </w:p>
        </w:tc>
        <w:tc>
          <w:tcPr>
            <w:tcW w:w="69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24">
              <w:r>
                <w:rPr>
                  <w:rFonts w:ascii="Arial" w:cs="Arial" w:eastAsia="Arial" w:hAnsi="Arial"/>
                  <w:sz w:val="18"/>
                  <w:szCs w:val="18"/>
                  <w:color w:val="0000EE"/>
                  <w:w w:val="89"/>
                </w:rPr>
                <w:t>Consolidated Statements of Cash Flows for the Years Ended December 31, 2018, 2017 and 2016</w:t>
              </w:r>
            </w:hyperlink>
          </w:p>
        </w:tc>
        <w:tc>
          <w:tcPr>
            <w:tcW w:w="2160" w:type="dxa"/>
            <w:vAlign w:val="bottom"/>
            <w:tcBorders>
              <w:top w:val="single" w:sz="8" w:color="0000EE"/>
            </w:tcBorders>
            <w:gridSpan w:val="2"/>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24">
              <w:r>
                <w:rPr>
                  <w:rFonts w:ascii="Arial" w:cs="Arial" w:eastAsia="Arial" w:hAnsi="Arial"/>
                  <w:sz w:val="18"/>
                  <w:szCs w:val="18"/>
                  <w:color w:val="0000EE"/>
                  <w:w w:val="88"/>
                </w:rPr>
                <w:t>F-7</w:t>
              </w:r>
            </w:hyperlink>
          </w:p>
        </w:tc>
      </w:tr>
      <w:tr>
        <w:trPr>
          <w:trHeight w:val="250"/>
        </w:trPr>
        <w:tc>
          <w:tcPr>
            <w:tcW w:w="40" w:type="dxa"/>
            <w:vAlign w:val="bottom"/>
          </w:tcPr>
          <w:p>
            <w:pPr>
              <w:spacing w:after="0"/>
              <w:rPr>
                <w:sz w:val="21"/>
                <w:szCs w:val="21"/>
                <w:color w:val="auto"/>
              </w:rPr>
            </w:pPr>
          </w:p>
        </w:tc>
        <w:tc>
          <w:tcPr>
            <w:tcW w:w="10120" w:type="dxa"/>
            <w:vAlign w:val="bottom"/>
            <w:gridSpan w:val="9"/>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Notes to Consolidated Financial Statements</w:t>
              </w:r>
            </w:hyperlink>
          </w:p>
        </w:tc>
        <w:tc>
          <w:tcPr>
            <w:tcW w:w="1240" w:type="dxa"/>
            <w:vAlign w:val="bottom"/>
            <w:gridSpan w:val="2"/>
          </w:tcPr>
          <w:p>
            <w:pPr>
              <w:ind w:left="980"/>
              <w:spacing w:after="0"/>
              <w:rPr>
                <w:rFonts w:ascii="Arial" w:cs="Arial" w:eastAsia="Arial" w:hAnsi="Arial"/>
                <w:sz w:val="18"/>
                <w:szCs w:val="18"/>
                <w:color w:val="0000EE"/>
                <w:w w:val="88"/>
              </w:rPr>
            </w:pPr>
            <w:hyperlink w:anchor="page125">
              <w:r>
                <w:rPr>
                  <w:rFonts w:ascii="Arial" w:cs="Arial" w:eastAsia="Arial" w:hAnsi="Arial"/>
                  <w:sz w:val="18"/>
                  <w:szCs w:val="18"/>
                  <w:color w:val="0000EE"/>
                  <w:w w:val="88"/>
                </w:rPr>
                <w:t>F-8</w:t>
              </w:r>
            </w:hyperlink>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108"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right="3380" w:firstLine="3453"/>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Ophthotech Corporation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Ophthotech Corporation (the Company) as of December 31, 2018 and 2017, the related consolidated statements of operations, comprehensive income (loss), stockholders' equity (deficit)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28, 2019 expressed an unqualified opinion thereon.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125" w:right="31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Balance Sheets</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6"/>
                <w:szCs w:val="16"/>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250"/>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166,972</w:t>
            </w:r>
          </w:p>
        </w:tc>
        <w:tc>
          <w:tcPr>
            <w:tcW w:w="0" w:type="dxa"/>
            <w:vAlign w:val="bottom"/>
          </w:tcPr>
          <w:p>
            <w:pPr>
              <w:spacing w:after="0"/>
              <w:rPr>
                <w:sz w:val="1"/>
                <w:szCs w:val="1"/>
                <w:color w:val="auto"/>
              </w:rPr>
            </w:pP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7"/>
        </w:trPr>
        <w:tc>
          <w:tcPr>
            <w:tcW w:w="8020" w:type="dxa"/>
            <w:vAlign w:val="bottom"/>
          </w:tcPr>
          <w:p>
            <w:pPr>
              <w:ind w:left="5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133,287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171,505</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Income tax receivable, non-current</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137,165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175,576</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Accrued research and development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7,337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37"/>
        </w:trPr>
        <w:tc>
          <w:tcPr>
            <w:tcW w:w="80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12,535</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purchase liability</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37"/>
        </w:trPr>
        <w:tc>
          <w:tcPr>
            <w:tcW w:w="8020" w:type="dxa"/>
            <w:vAlign w:val="bottom"/>
          </w:tcPr>
          <w:p>
            <w:pPr>
              <w:ind w:left="5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137,535</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Preferred stock—$0.001 par value, 5,000,000 shares authorized, no shares issued or outstanding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Common stock—$0.001 par value, 200,000,000 shares authorized, 41,397,197 and 36,110,298 shares issued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and outstanding at December 31, 2018 and December 31, 2017,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545,585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522,759</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(421,667)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(484,754)</w:t>
            </w:r>
          </w:p>
        </w:tc>
        <w:tc>
          <w:tcPr>
            <w:tcW w:w="0" w:type="dxa"/>
            <w:vAlign w:val="bottom"/>
          </w:tcPr>
          <w:p>
            <w:pPr>
              <w:spacing w:after="0"/>
              <w:rPr>
                <w:sz w:val="1"/>
                <w:szCs w:val="1"/>
                <w:color w:val="auto"/>
              </w:rPr>
            </w:pPr>
          </w:p>
        </w:tc>
      </w:tr>
      <w:tr>
        <w:trPr>
          <w:trHeight w:val="237"/>
        </w:trPr>
        <w:tc>
          <w:tcPr>
            <w:tcW w:w="802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123,959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38,041</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137,165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175,576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240" w:top="125" w:right="4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Years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Collaboration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50,909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41,737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196,295</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23,612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35,683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50,178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65,349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246,473</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(65,349)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108,005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(195,564)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Gain on extinguishment of Royalty Purchase Liability</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Income (loss) before income tax benefit</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62,024</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109,493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(193,826)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63,087</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114,205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(193,420)</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86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51"/>
        </w:trPr>
        <w:tc>
          <w:tcPr>
            <w:tcW w:w="68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w:t>
            </w: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37,061</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35,919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35,486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860" w:type="dxa"/>
            <w:vAlign w:val="bottom"/>
          </w:tcPr>
          <w:p>
            <w:pPr>
              <w:ind w:left="380"/>
              <w:spacing w:after="0"/>
              <w:rPr>
                <w:sz w:val="20"/>
                <w:szCs w:val="20"/>
                <w:color w:val="auto"/>
              </w:rPr>
            </w:pPr>
            <w:r>
              <w:rPr>
                <w:rFonts w:ascii="Arial" w:cs="Arial" w:eastAsia="Arial" w:hAnsi="Arial"/>
                <w:sz w:val="18"/>
                <w:szCs w:val="18"/>
                <w:color w:val="auto"/>
              </w:rPr>
              <w:t>Dilutive</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37,088</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36,007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35,486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Years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63,087</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114,205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(193,420)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available for sale securities,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r>
      <w:tr>
        <w:trPr>
          <w:trHeight w:val="237"/>
        </w:trPr>
        <w:tc>
          <w:tcPr>
            <w:tcW w:w="686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261</w:t>
            </w:r>
          </w:p>
        </w:tc>
      </w:tr>
      <w:tr>
        <w:trPr>
          <w:trHeight w:val="27"/>
        </w:trPr>
        <w:tc>
          <w:tcPr>
            <w:tcW w:w="6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63,087</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114,417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(193,159)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240" w:type="dxa"/>
            <w:vAlign w:val="bottom"/>
            <w:gridSpan w:val="3"/>
          </w:tcPr>
          <w:p>
            <w:pPr>
              <w:ind w:left="380"/>
              <w:spacing w:after="0"/>
              <w:rPr>
                <w:sz w:val="20"/>
                <w:szCs w:val="20"/>
                <w:color w:val="auto"/>
              </w:rPr>
            </w:pPr>
            <w:r>
              <w:rPr>
                <w:rFonts w:ascii="Arial" w:cs="Arial" w:eastAsia="Arial" w:hAnsi="Arial"/>
                <w:sz w:val="13"/>
                <w:szCs w:val="13"/>
                <w:b w:val="1"/>
                <w:bCs w:val="1"/>
                <w:color w:val="auto"/>
                <w:w w:val="88"/>
              </w:rPr>
              <w:t>Junior Series A</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1240" w:type="dxa"/>
            <w:vAlign w:val="bottom"/>
            <w:gridSpan w:val="3"/>
          </w:tcPr>
          <w:p>
            <w:pPr>
              <w:ind w:left="360"/>
              <w:spacing w:after="0" w:line="144" w:lineRule="exact"/>
              <w:rPr>
                <w:sz w:val="20"/>
                <w:szCs w:val="20"/>
                <w:color w:val="auto"/>
              </w:rPr>
            </w:pPr>
            <w:r>
              <w:rPr>
                <w:rFonts w:ascii="Arial" w:cs="Arial" w:eastAsia="Arial" w:hAnsi="Arial"/>
                <w:sz w:val="13"/>
                <w:szCs w:val="13"/>
                <w:b w:val="1"/>
                <w:bCs w:val="1"/>
                <w:color w:val="auto"/>
                <w:w w:val="88"/>
              </w:rPr>
              <w:t>Preferred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5"/>
          </w:tcPr>
          <w:p>
            <w:pPr>
              <w:ind w:left="360"/>
              <w:spacing w:after="0" w:line="144" w:lineRule="exact"/>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paid-in</w:t>
            </w:r>
          </w:p>
        </w:tc>
        <w:tc>
          <w:tcPr>
            <w:tcW w:w="160" w:type="dxa"/>
            <w:vAlign w:val="bottom"/>
          </w:tcPr>
          <w:p>
            <w:pPr>
              <w:spacing w:after="0"/>
              <w:rPr>
                <w:sz w:val="2"/>
                <w:szCs w:val="2"/>
                <w:color w:val="auto"/>
              </w:rPr>
            </w:pPr>
          </w:p>
        </w:tc>
        <w:tc>
          <w:tcPr>
            <w:tcW w:w="108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2"/>
                <w:szCs w:val="2"/>
                <w:color w:val="auto"/>
              </w:rPr>
            </w:pPr>
          </w:p>
        </w:tc>
        <w:tc>
          <w:tcPr>
            <w:tcW w:w="12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3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6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2015</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35,197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465,924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(405,539)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59,947</w:t>
            </w:r>
          </w:p>
        </w:tc>
        <w:tc>
          <w:tcPr>
            <w:tcW w:w="0" w:type="dxa"/>
            <w:vAlign w:val="bottom"/>
          </w:tcPr>
          <w:p>
            <w:pPr>
              <w:spacing w:after="0"/>
              <w:rPr>
                <w:sz w:val="1"/>
                <w:szCs w:val="1"/>
                <w:color w:val="auto"/>
              </w:rPr>
            </w:pPr>
          </w:p>
        </w:tc>
      </w:tr>
      <w:tr>
        <w:trPr>
          <w:trHeight w:val="148"/>
        </w:trPr>
        <w:tc>
          <w:tcPr>
            <w:tcW w:w="3660" w:type="dxa"/>
            <w:vAlign w:val="bottom"/>
          </w:tcPr>
          <w:p>
            <w:pPr>
              <w:ind w:left="40"/>
              <w:spacing w:after="0" w:line="148" w:lineRule="exact"/>
              <w:rPr>
                <w:sz w:val="20"/>
                <w:szCs w:val="20"/>
                <w:color w:val="auto"/>
              </w:rPr>
            </w:pPr>
            <w:r>
              <w:rPr>
                <w:rFonts w:ascii="Arial" w:cs="Arial" w:eastAsia="Arial" w:hAnsi="Arial"/>
                <w:sz w:val="13"/>
                <w:szCs w:val="13"/>
                <w:color w:val="auto"/>
                <w:w w:val="89"/>
              </w:rPr>
              <w:t>Issuance of common stock under employee stock compensation plans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60" w:type="dxa"/>
            <w:vAlign w:val="bottom"/>
          </w:tcPr>
          <w:p>
            <w:pPr>
              <w:ind w:left="40"/>
              <w:spacing w:after="0"/>
              <w:rPr>
                <w:sz w:val="20"/>
                <w:szCs w:val="20"/>
                <w:color w:val="auto"/>
              </w:rPr>
            </w:pPr>
            <w:r>
              <w:rPr>
                <w:rFonts w:ascii="Arial" w:cs="Arial" w:eastAsia="Arial" w:hAnsi="Arial"/>
                <w:sz w:val="13"/>
                <w:szCs w:val="13"/>
                <w:color w:val="auto"/>
              </w:rPr>
              <w:t>and warrants</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6,933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6,934</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rPr>
              <w:t>Excess tax benefit from share-based compensation</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(193,420)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(193,420)</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Unrealized loss on available for sale securities, net of tax</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2016</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35,733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504,517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(598,959)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(94,618)</w:t>
            </w:r>
          </w:p>
        </w:tc>
        <w:tc>
          <w:tcPr>
            <w:tcW w:w="0" w:type="dxa"/>
            <w:vAlign w:val="bottom"/>
          </w:tcPr>
          <w:p>
            <w:pPr>
              <w:spacing w:after="0"/>
              <w:rPr>
                <w:sz w:val="1"/>
                <w:szCs w:val="1"/>
                <w:color w:val="auto"/>
              </w:rPr>
            </w:pPr>
          </w:p>
        </w:tc>
      </w:tr>
      <w:tr>
        <w:trPr>
          <w:trHeight w:val="148"/>
        </w:trPr>
        <w:tc>
          <w:tcPr>
            <w:tcW w:w="3660" w:type="dxa"/>
            <w:vAlign w:val="bottom"/>
          </w:tcPr>
          <w:p>
            <w:pPr>
              <w:ind w:left="40"/>
              <w:spacing w:after="0" w:line="148" w:lineRule="exact"/>
              <w:rPr>
                <w:sz w:val="20"/>
                <w:szCs w:val="20"/>
                <w:color w:val="auto"/>
              </w:rPr>
            </w:pPr>
            <w:r>
              <w:rPr>
                <w:rFonts w:ascii="Arial" w:cs="Arial" w:eastAsia="Arial" w:hAnsi="Arial"/>
                <w:sz w:val="13"/>
                <w:szCs w:val="13"/>
                <w:color w:val="auto"/>
                <w:w w:val="89"/>
              </w:rPr>
              <w:t>Issuance of common stock under employee stock compensation plans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60" w:type="dxa"/>
            <w:vAlign w:val="bottom"/>
          </w:tcPr>
          <w:p>
            <w:pPr>
              <w:ind w:left="40"/>
              <w:spacing w:after="0"/>
              <w:rPr>
                <w:sz w:val="20"/>
                <w:szCs w:val="20"/>
                <w:color w:val="auto"/>
              </w:rPr>
            </w:pPr>
            <w:r>
              <w:rPr>
                <w:rFonts w:ascii="Arial" w:cs="Arial" w:eastAsia="Arial" w:hAnsi="Arial"/>
                <w:sz w:val="13"/>
                <w:szCs w:val="13"/>
                <w:color w:val="auto"/>
              </w:rPr>
              <w:t>and warrants</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18,171</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114,205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114,205</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Unrealized gain on available for sale securities, net of tax</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242"/>
        </w:trPr>
        <w:tc>
          <w:tcPr>
            <w:tcW w:w="366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36,110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522,759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(484,754)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38,041</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 related to acquisition</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11,694</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w w:val="89"/>
              </w:rPr>
              <w:t>Issuance of common stock under employee stock compensation plans</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11,072</w:t>
            </w:r>
          </w:p>
        </w:tc>
        <w:tc>
          <w:tcPr>
            <w:tcW w:w="0" w:type="dxa"/>
            <w:vAlign w:val="bottom"/>
          </w:tcPr>
          <w:p>
            <w:pPr>
              <w:spacing w:after="0"/>
              <w:rPr>
                <w:sz w:val="1"/>
                <w:szCs w:val="1"/>
                <w:color w:val="auto"/>
              </w:rPr>
            </w:pPr>
          </w:p>
        </w:tc>
      </w:tr>
      <w:tr>
        <w:trPr>
          <w:trHeight w:val="262"/>
        </w:trPr>
        <w:tc>
          <w:tcPr>
            <w:tcW w:w="366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63,087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63,087</w:t>
            </w:r>
          </w:p>
        </w:tc>
        <w:tc>
          <w:tcPr>
            <w:tcW w:w="0" w:type="dxa"/>
            <w:vAlign w:val="bottom"/>
          </w:tcPr>
          <w:p>
            <w:pPr>
              <w:spacing w:after="0"/>
              <w:rPr>
                <w:sz w:val="1"/>
                <w:szCs w:val="1"/>
                <w:color w:val="auto"/>
              </w:rPr>
            </w:pPr>
          </w:p>
        </w:tc>
      </w:tr>
      <w:tr>
        <w:trPr>
          <w:trHeight w:val="272"/>
        </w:trPr>
        <w:tc>
          <w:tcPr>
            <w:tcW w:w="36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Unrealized gain on available for sale securities, net of tax</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66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2018</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41,397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545,585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(421,667)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123,959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right="2440" w:hanging="134"/>
        <w:spacing w:after="0" w:line="433" w:lineRule="auto"/>
        <w:rPr>
          <w:sz w:val="20"/>
          <w:szCs w:val="20"/>
          <w:color w:val="auto"/>
        </w:rPr>
      </w:pPr>
      <w:r>
        <w:rPr>
          <w:rFonts w:ascii="Arial" w:cs="Arial" w:eastAsia="Arial" w:hAnsi="Arial"/>
          <w:sz w:val="13"/>
          <w:szCs w:val="13"/>
          <w:color w:val="auto"/>
        </w:rPr>
        <w:t>Adjustments to reconcile net loss to net cash (used in) provided by operating activities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3"/>
          <w:szCs w:val="13"/>
          <w:color w:val="auto"/>
        </w:rPr>
        <w:t>Amortization of premium and discounts on investment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Non-cash charge on 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Non-cash gain on extinguishment of royalty purchase agreement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Share-based compensation</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Income tax receivable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Due from Novartis Pharma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Prepaid expense and other current assets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Accrued 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Accrued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Accounts payable and accrued expenses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cash used in operating activities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 of marketable securities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Maturities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 of property and equipment</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Financing Activities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Proceeds from issuance of common stock related to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Proceeds from employee stock plan purchases and stock option exercises</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change in cash and cash equivalents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color w:val="auto"/>
        </w:rPr>
        <w:t>Beginning of period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Supplemental disclosure of cash paid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Income taxes received,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Supplemental disclosures of non-cash information related to investing activities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Change in unrealized gain (loss) on available for sale securities,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issued to acquire net assets of Inception 4, Inc.</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612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2016</w:t>
            </w:r>
          </w:p>
        </w:tc>
      </w:tr>
      <w:tr>
        <w:trPr>
          <w:trHeight w:val="511"/>
        </w:trPr>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63,087</w:t>
            </w:r>
          </w:p>
        </w:tc>
        <w:tc>
          <w:tcPr>
            <w:tcW w:w="120" w:type="dxa"/>
            <w:vAlign w:val="bottom"/>
          </w:tcPr>
          <w:p>
            <w:pPr>
              <w:spacing w:after="0"/>
              <w:rPr>
                <w:sz w:val="24"/>
                <w:szCs w:val="24"/>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114,205</w:t>
            </w:r>
          </w:p>
        </w:tc>
        <w:tc>
          <w:tcPr>
            <w:tcW w:w="100" w:type="dxa"/>
            <w:vAlign w:val="bottom"/>
          </w:tcPr>
          <w:p>
            <w:pPr>
              <w:spacing w:after="0"/>
              <w:rPr>
                <w:sz w:val="24"/>
                <w:szCs w:val="2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(193,420)</w:t>
            </w:r>
          </w:p>
        </w:tc>
      </w:tr>
      <w:tr>
        <w:trPr>
          <w:trHeight w:val="540"/>
        </w:trPr>
        <w:tc>
          <w:tcPr>
            <w:tcW w:w="300" w:type="dxa"/>
            <w:vAlign w:val="bottom"/>
          </w:tcPr>
          <w:p>
            <w:pPr>
              <w:spacing w:after="0"/>
              <w:rPr>
                <w:sz w:val="24"/>
                <w:szCs w:val="2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2,763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757</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595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5,619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(125,000)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(3,366)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22,954</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11,072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18,171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31,660</w:t>
            </w:r>
          </w:p>
        </w:tc>
      </w:tr>
      <w:tr>
        <w:trPr>
          <w:trHeight w:val="540"/>
        </w:trPr>
        <w:tc>
          <w:tcPr>
            <w:tcW w:w="300" w:type="dxa"/>
            <w:vAlign w:val="bottom"/>
          </w:tcPr>
          <w:p>
            <w:pPr>
              <w:spacing w:after="0"/>
              <w:rPr>
                <w:sz w:val="24"/>
                <w:szCs w:val="2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1,387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(1,387)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3,421</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3,531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858</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(995)</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466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203</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2,353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(42,256)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28,420</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(1,682)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(4,481)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14</w:t>
            </w:r>
          </w:p>
        </w:tc>
      </w:tr>
      <w:tr>
        <w:trPr>
          <w:trHeight w:val="280"/>
        </w:trPr>
        <w:tc>
          <w:tcPr>
            <w:tcW w:w="30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(209,977)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(3,090)</w:t>
            </w:r>
          </w:p>
        </w:tc>
      </w:tr>
      <w:tr>
        <w:trPr>
          <w:trHeight w:val="250"/>
        </w:trPr>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(41,911)</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(121,821)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(108,596)</w:t>
            </w:r>
          </w:p>
        </w:tc>
      </w:tr>
      <w:tr>
        <w:trPr>
          <w:trHeight w:val="511"/>
        </w:trPr>
        <w:tc>
          <w:tcPr>
            <w:tcW w:w="30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(12,014)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(72,197)</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166,806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86,500</w:t>
            </w:r>
          </w:p>
        </w:tc>
      </w:tr>
      <w:tr>
        <w:trPr>
          <w:trHeight w:val="280"/>
        </w:trPr>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(572)</w:t>
            </w:r>
          </w:p>
        </w:tc>
      </w:tr>
      <w:tr>
        <w:trPr>
          <w:trHeight w:val="264"/>
        </w:trPr>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154,792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13,731</w:t>
            </w:r>
          </w:p>
        </w:tc>
      </w:tr>
      <w:tr>
        <w:trPr>
          <w:trHeight w:val="511"/>
        </w:trPr>
        <w:tc>
          <w:tcPr>
            <w:tcW w:w="300" w:type="dxa"/>
            <w:vAlign w:val="bottom"/>
          </w:tcPr>
          <w:p>
            <w:pPr>
              <w:spacing w:after="0"/>
              <w:rPr>
                <w:sz w:val="24"/>
                <w:szCs w:val="2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6,075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6,934</w:t>
            </w:r>
          </w:p>
        </w:tc>
      </w:tr>
      <w:tr>
        <w:trPr>
          <w:trHeight w:val="264"/>
        </w:trPr>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6,140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6,934</w:t>
            </w:r>
          </w:p>
        </w:tc>
      </w:tr>
      <w:tr>
        <w:trPr>
          <w:trHeight w:val="250"/>
        </w:trPr>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(35,771)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33,042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(87,931)</w:t>
            </w:r>
          </w:p>
        </w:tc>
      </w:tr>
      <w:tr>
        <w:trPr>
          <w:trHeight w:val="520"/>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166,972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133,930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221,861</w:t>
            </w:r>
          </w:p>
        </w:tc>
      </w:tr>
      <w:tr>
        <w:trPr>
          <w:trHeight w:val="250"/>
        </w:trPr>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131,201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166,972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133,930</w:t>
            </w:r>
          </w:p>
        </w:tc>
      </w:tr>
      <w:tr>
        <w:trPr>
          <w:trHeight w:val="511"/>
        </w:trPr>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(2,467)</w:t>
            </w:r>
          </w:p>
        </w:tc>
        <w:tc>
          <w:tcPr>
            <w:tcW w:w="120" w:type="dxa"/>
            <w:vAlign w:val="bottom"/>
          </w:tcPr>
          <w:p>
            <w:pPr>
              <w:spacing w:after="0"/>
              <w:rPr>
                <w:sz w:val="24"/>
                <w:szCs w:val="24"/>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24"/>
                <w:szCs w:val="2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(26,998)</w:t>
            </w:r>
          </w:p>
        </w:tc>
      </w:tr>
      <w:tr>
        <w:trPr>
          <w:trHeight w:val="540"/>
        </w:trPr>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24"/>
                <w:szCs w:val="2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261</w:t>
            </w:r>
          </w:p>
        </w:tc>
      </w:tr>
      <w:tr>
        <w:trPr>
          <w:trHeight w:val="270"/>
        </w:trPr>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11,694</w:t>
            </w:r>
          </w:p>
        </w:tc>
        <w:tc>
          <w:tcPr>
            <w:tcW w:w="120" w:type="dxa"/>
            <w:vAlign w:val="bottom"/>
          </w:tcPr>
          <w:p>
            <w:pPr>
              <w:spacing w:after="0"/>
              <w:rPr>
                <w:sz w:val="23"/>
                <w:szCs w:val="23"/>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ectPr>
          <w:pgSz w:w="11900" w:h="16838" w:orient="portrait"/>
          <w:cols w:equalWidth="0" w:num="2">
            <w:col w:w="6820" w:space="720"/>
            <w:col w:w="3880"/>
          </w:cols>
          <w:pgMar w:left="240" w:top="125" w:right="239" w:bottom="1440" w:gutter="0" w:footer="0" w:header="0"/>
          <w:type w:val="continuous"/>
        </w:sectPr>
      </w:pP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4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Ophthotech Corporation (the “Company” or “Ophthotech”) was incorporated on January 5, 2007, in Delaware. The Company is a science-driven biopharmaceutical company specializing in the development of novel therapies to treat ophthalmic diseases, with a focus on age-related and orphan retinal diseases. The Company is seeking to leverage its development platform, clinical experience and retina expertise to develop both therapeutics and gene therapies in these disease areas.</w:t>
      </w:r>
    </w:p>
    <w:p>
      <w:pPr>
        <w:spacing w:after="0" w:line="187"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The Company currently has ongoing research and development programs for both therapeutics and gene therapy product candidates and technologies.</w:t>
      </w:r>
    </w:p>
    <w:p>
      <w:pPr>
        <w:spacing w:after="0" w:line="170"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Company's therapeutics portfolio consists of Zimura® (avacincaptad pegol), which is a C5 complement inhibitor, and its program of High temperature requirement A serine peptidase 1 protein ("HtrA1") inhibitors. The Company has Phase 2b clinical trials ongoing evaluating Zimura for the treatment of:</w:t>
      </w:r>
    </w:p>
    <w:p>
      <w:pPr>
        <w:spacing w:after="0" w:line="181" w:lineRule="exact"/>
        <w:rPr>
          <w:sz w:val="20"/>
          <w:szCs w:val="20"/>
          <w:color w:val="auto"/>
        </w:rPr>
      </w:pPr>
    </w:p>
    <w:p>
      <w:pPr>
        <w:ind w:left="660" w:right="360" w:hanging="328"/>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geographic atrophy ("GA"), which is a late-stage form of dry age-related macular degeneration ("AMD") characterized by retinal cell death and degeneration of tissue in the central portion of the retina, referred to as the macula, and which may result in loss of vision;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autosomal recessive Stargardt disease, which is an orphan inherited retinal disease ("IRD") that also may result in loss of vision.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previously also evaluated Zimura in combination with Lucentis® (ranibizumab), an anti-vascular endothelial growth factor ("anti-VEGF") agent, for the treatment of wet AMD, for which it completed a Phase 2a clinical trial during the fourth quarter of 2018. The Company does not currently have plans to develop Zimura further in wet AMD. The Company's HtrA1 inhibitor program, which it is developing for GA secondary to dry AMD and potentially other retinal diseases such as wet AMD and idiopathic polypoidal choroidal vasculopathy, is in the preclinical stage of development.</w:t>
      </w:r>
    </w:p>
    <w:p>
      <w:pPr>
        <w:spacing w:after="0" w:line="17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Company's gene therapy portfolio consists of several ongoing research and preclinical development programs that use adeno-associated virus ("AAV") for gene delivery. These AAV gene therapy programs are targeting the following orphan IRDs:</w:t>
      </w:r>
    </w:p>
    <w:p>
      <w:pPr>
        <w:spacing w:after="0" w:line="170" w:lineRule="exact"/>
        <w:rPr>
          <w:sz w:val="20"/>
          <w:szCs w:val="20"/>
          <w:color w:val="auto"/>
        </w:rPr>
      </w:pPr>
    </w:p>
    <w:p>
      <w:pPr>
        <w:ind w:left="660" w:right="42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("RHO-adRP") which is characterized by progressive and severe bilateral loss of vision leading to blindness;</w:t>
      </w:r>
    </w:p>
    <w:p>
      <w:pPr>
        <w:spacing w:after="0" w:line="170" w:lineRule="exact"/>
        <w:rPr>
          <w:rFonts w:ascii="Arial" w:cs="Arial" w:eastAsia="Arial" w:hAnsi="Arial"/>
          <w:sz w:val="18"/>
          <w:szCs w:val="18"/>
          <w:color w:val="auto"/>
        </w:rPr>
      </w:pPr>
    </w:p>
    <w:p>
      <w:pPr>
        <w:ind w:left="660" w:right="100" w:hanging="328"/>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Best vitelliform macular dystrophy which is characterized by bilateral egg yolk-like macular lesions that, over time, progress to atrophy and loss of vision, and potentially other diseases associated with mutations in the </w:t>
      </w:r>
      <w:r>
        <w:rPr>
          <w:rFonts w:ascii="Arial" w:cs="Arial" w:eastAsia="Arial" w:hAnsi="Arial"/>
          <w:sz w:val="17"/>
          <w:szCs w:val="17"/>
          <w:i w:val="1"/>
          <w:iCs w:val="1"/>
          <w:color w:val="auto"/>
        </w:rPr>
        <w:t>Best1</w:t>
      </w:r>
      <w:r>
        <w:rPr>
          <w:rFonts w:ascii="Arial" w:cs="Arial" w:eastAsia="Arial" w:hAnsi="Arial"/>
          <w:sz w:val="17"/>
          <w:szCs w:val="17"/>
          <w:color w:val="auto"/>
        </w:rPr>
        <w:t xml:space="preserve"> gene, which is referred to as bestrophinopathies;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Leber Congenital Amaurosis type 10, which is characterized by severe bilateral loss of vision at or soon after birth;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autosomal recessive Stargardt disease.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Company's business development efforts in 2018 have resulted in the expansion of its research and development pipeline, with the initiation of the Company's gene therapy sponsored research programs with the University of Massachusetts Medical School ("UMMS") in February 2018, the in-license of the Company's RHO-adRP gene therapy product candidate in June 2018 from the University of Florida Research Foundation ("UFRF") and the University of Pennsylvania ("Penn"), the acquisition of its HtrA1 inhibitor program through the acquisition of Inception 4, Inc. ("Inception 4") in October 2018 (See Note 5—Inception 4 Acquisition for a description of this acquisition) and the entry into its exclusive option agreement with Penn and UFRF for gene therapy product candidates for bestrophinopathies in October 2018.</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125" w:right="29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 The consolidated financial statements include the accounts of Ophthotech and its subsidiaries. All intercompany balances and transactions have been eliminated in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7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and reporting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revenue recognition, accounting for share-based compensation and accounting for income taxes. Actual results could differ from those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22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As of December 31, 2018, the Company had cash and cash equivalents of approximately $131.2 million. The Company believes that its existing cash and cash equivalents as of December 31, 2018 will be sufficient to fund its operations and capital expenditure requirements as currently planned for at least the next 12 months.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79" w:lineRule="exact"/>
        <w:rPr>
          <w:sz w:val="20"/>
          <w:szCs w:val="20"/>
          <w:color w:val="auto"/>
        </w:rPr>
      </w:pPr>
    </w:p>
    <w:p>
      <w:pPr>
        <w:jc w:val="both"/>
        <w:ind w:right="60" w:firstLine="432"/>
        <w:spacing w:after="0" w:line="255" w:lineRule="auto"/>
        <w:rPr>
          <w:sz w:val="20"/>
          <w:szCs w:val="20"/>
          <w:color w:val="auto"/>
        </w:rPr>
      </w:pPr>
      <w:r>
        <w:rPr>
          <w:rFonts w:ascii="Arial" w:cs="Arial" w:eastAsia="Arial" w:hAnsi="Arial"/>
          <w:sz w:val="18"/>
          <w:szCs w:val="18"/>
          <w:color w:val="auto"/>
        </w:rPr>
        <w:t>Prior to 2018, the Company's revenue resulted from payments received under its May 2014 licensing and commercialization agreement (the “Novartis Agreement”) with Novartis Pharma AG ("Novartis"), as modified by the July 2017 letter agreement entered into by the Company and Novartis in relation to the Novartis Agreement (the "July 2017 Letter Agreement"). See "Note 6—Licensing and Commercialization Agreements" below for a description of these agreements. The Company used the relative selling price method to allocate arrangement consideration to the Company’s performance obligations under the Novartis Agreement. The Company completed the deliverables under the Novartis Agreement and the July 2017 Letter Agreement during the third quarter of 2017.</w:t>
      </w:r>
    </w:p>
    <w:p>
      <w:pPr>
        <w:spacing w:after="0" w:line="24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the Company has no products approved for sale, the Company does not expect to receive any revenue from product candidates that it develops until it potentially obtains regulatory approval and commercializes such products, or until the Company potentially enters into agreements with third parties for the development and commercialization of its product candidates. If the Company's development efforts for any of its product candidates result in regulatory approval or the Company enters into collaboration agreements with third parties, the Company may generate revenue from product sales or from such third parties.</w:t>
      </w:r>
    </w:p>
    <w:p>
      <w:pPr>
        <w:spacing w:after="0" w:line="24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 xml:space="preserve">In the future, the Company will evaluate revenue contracts and arrangements, if any, following the provisions of the Financial Accounting Standards Board ("FASB") Accounting Standards Codification ("ASC"), </w:t>
      </w:r>
      <w:r>
        <w:rPr>
          <w:rFonts w:ascii="Arial" w:cs="Arial" w:eastAsia="Arial" w:hAnsi="Arial"/>
          <w:sz w:val="18"/>
          <w:szCs w:val="18"/>
          <w:i w:val="1"/>
          <w:iCs w:val="1"/>
          <w:color w:val="auto"/>
        </w:rPr>
        <w:t>Revenue from Contracts with Customers (Topic 606).</w:t>
      </w:r>
    </w:p>
    <w:p>
      <w:pPr>
        <w:sectPr>
          <w:pgSz w:w="11900" w:h="16838" w:orient="portrait"/>
          <w:cols w:equalWidth="0" w:num="1">
            <w:col w:w="11400"/>
          </w:cols>
          <w:pgMar w:left="240" w:top="472"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00"/>
          </w:cols>
          <w:pgMar w:left="240" w:top="472" w:right="259" w:bottom="1440" w:gutter="0" w:footer="0" w:header="0"/>
          <w:type w:val="continuous"/>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and asset acquisitions</w:t>
      </w:r>
    </w:p>
    <w:p>
      <w:pPr>
        <w:spacing w:after="0" w:line="14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Company evaluates acquisitions of assets and other similar transactions to assess whether or not the transaction should be accounted for as a business combination or asset acquisition by first applying a screen (as adopted in the current period under Accounting Standards Update (ASU) No. 2017-01, "Business Combinations (Topic 805): Clarifying the Definition of a Business"—see "Recently Adopted Accounting Standards" for further details)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 If determined to be a business combination, the Company records all assets and liabilities of the acquired business, including goodwill and other identified intangible assets, at their respective fair values as of the acquisition date. Contingent consideration, if any, is recognized at its fair value on the acquisition date and changes in fair value are recognized in earnings until settlement. Acquisition-related transaction costs are expensed as incurred.</w:t>
      </w:r>
    </w:p>
    <w:p>
      <w:pPr>
        <w:spacing w:after="0" w:line="221"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 xml:space="preserve">If determined to be an asset acquisition, the Company accounts for the transaction under ASC 805-50, which requires the acquiring entity in an asset acquisition to recognize assets (net assets) based on the cost to the acquiring entity on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books. Consideration transferred that is noncash will be measured based on either the cost (which shall be measured based on the fair value of the consideration given) or the fair value of the assets (net assets) acquired, whichever is more reliably measurable. Goodwill is not recognized in an asset acquisition and any excess consideration transferred over the fair value of the net assets acquired is allocated to the identifiable assets based on relative fair values. In-process research and development acquired in connection with an asset acquisition is expensed in accordance with FASB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xml:space="preserve"> when there is no alternative future use.</w:t>
      </w:r>
    </w:p>
    <w:p>
      <w:pPr>
        <w:spacing w:after="0" w:line="220"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Contingent consideration payments in asset acquisitions are recognized when the contingency is resolved and the consideration is paid or becomes payable (unless the contingent consideration meets the definition of a derivative, in which case the amount becomes part of the basis in the asset acquired). Upon recognition of the contingent consideration payment, the amount is included in the cost of the acquired asset or group of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The Company's financial instruments that are exposed to concentration of credit risk consist primarily of cash and cash equivalents. The Company maintains its cash in bank accounts,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believes it is not exposed to significant credit risk on its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currently relies exclusively upon a single third-party manufacturer to provide supplies of the active pharmaceutical ingredient ("API") for Zimura on a purchase order basis. The Company also engages a single third-party manufacturer to provide fill/finish services for clinical supplies of Zimura. In addition, the Company currently relies upon a single third-party supplier to supply it with the proprietary polyethylene glycol reagent used to manufacture Zimura on a purchase order basis. Furthermore, the Company and its contract manufacturers currently rely upon sole-source suppliers of certain raw materials and other specialized components of production used in the manufacture and fill/finish of Zimura. The Company has engaged a single third-party contract manufacturer for its RHO-adRP gene therapy product candidate and expects to rely on sole-source suppliers for certain starting materials to be used in the manufacture of such product candidate. The Company has recently engaged a single third-party contract manufacturer for the BEST1 gene therapy product candidate for which it is planning to commence IND-enabling studies and expects to rely on sole-source suppliers for certain starting materials to be used in the manufacture of such product candidate. If the Company’s third-party manufacturers, fill/finish service providers or starting material suppliers should become unavailable to the Company for any reason, including as a result of capacity constraints, financial difficulties or insolvency, the Company believes that there are a limited number of potential</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72"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720"/>
        <w:spacing w:after="0" w:line="434" w:lineRule="auto"/>
        <w:rPr>
          <w:sz w:val="20"/>
          <w:szCs w:val="20"/>
          <w:color w:val="auto"/>
        </w:rPr>
      </w:pPr>
      <w:r>
        <w:rPr>
          <w:rFonts w:ascii="Arial" w:cs="Arial" w:eastAsia="Arial" w:hAnsi="Arial"/>
          <w:sz w:val="18"/>
          <w:szCs w:val="18"/>
          <w:color w:val="auto"/>
        </w:rPr>
        <w:t xml:space="preserve">replacement manufacturers or suppliers, and the Company likely would incur added costs and delays in identifying or qualifying such replacements. </w:t>
      </w:r>
      <w:r>
        <w:rPr>
          <w:rFonts w:ascii="Arial" w:cs="Arial" w:eastAsia="Arial" w:hAnsi="Arial"/>
          <w:sz w:val="18"/>
          <w:szCs w:val="18"/>
          <w:b w:val="1"/>
          <w:bCs w:val="1"/>
          <w:color w:val="auto"/>
        </w:rPr>
        <w:t>Foreign Currency Translation</w:t>
      </w:r>
    </w:p>
    <w:p>
      <w:pPr>
        <w:spacing w:after="0" w:line="8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Statements of Operations. Foreign exchange transaction gains and losses are included in the results of operations and are not material in the Company's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83"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Cash equivalents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20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2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22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89" w:lineRule="exact"/>
        <w:rPr>
          <w:sz w:val="20"/>
          <w:szCs w:val="20"/>
          <w:color w:val="auto"/>
        </w:rPr>
      </w:pPr>
    </w:p>
    <w:p>
      <w:pPr>
        <w:ind w:left="660" w:right="240" w:hanging="328"/>
        <w:spacing w:after="0" w:line="258"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1"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and equipment, which consists mainly of manufacturing and clinical equipment, furniture and fixtures, computers, software, and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Research and development expenses primarily consist of costs associated with the manufacturing, development and clinical testing of Zimura and, historically, Fovista, as well as costs associated with the preclinical development of other product candidates, formulations and technologies, including costs associated with its HtrA1 inhibitor program, costs associated with its RHO-adRP gene therapy product candidate, including related sponsored research with Penn, costs associated with the BEST1 gene therapy product candidate for which the Company is planning to commence IND-enabling studies, and costs associated with its ongoing gene therapy sponsored research programs with UMMS. Research and development expenses consist of:</w:t>
      </w:r>
    </w:p>
    <w:p>
      <w:pPr>
        <w:sectPr>
          <w:pgSz w:w="11900" w:h="16838" w:orient="portrait"/>
          <w:cols w:equalWidth="0" w:num="1">
            <w:col w:w="11400"/>
          </w:cols>
          <w:pgMar w:left="240" w:top="472" w:right="25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00"/>
          </w:cols>
          <w:pgMar w:left="240" w:top="472" w:right="259" w:bottom="1440" w:gutter="0" w:footer="0" w:header="0"/>
          <w:type w:val="continuous"/>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77" w:lineRule="exact"/>
        <w:rPr>
          <w:rFonts w:ascii="Arial" w:cs="Arial" w:eastAsia="Arial" w:hAnsi="Arial"/>
          <w:sz w:val="18"/>
          <w:szCs w:val="18"/>
          <w:b w:val="1"/>
          <w:bCs w:val="1"/>
          <w:color w:val="auto"/>
        </w:rPr>
      </w:pPr>
    </w:p>
    <w:p>
      <w:pPr>
        <w:jc w:val="both"/>
        <w:ind w:left="980" w:right="220" w:hanging="324"/>
        <w:spacing w:after="0" w:line="264" w:lineRule="auto"/>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other vendors and contract manufacturing organizations ("CMOs") for the production of drug substance and drug product; and</w:t>
      </w:r>
    </w:p>
    <w:p>
      <w:pPr>
        <w:spacing w:after="0" w:line="181" w:lineRule="exact"/>
        <w:rPr>
          <w:rFonts w:ascii="Arial" w:cs="Arial" w:eastAsia="Arial" w:hAnsi="Arial"/>
          <w:sz w:val="18"/>
          <w:szCs w:val="18"/>
          <w:color w:val="auto"/>
        </w:rPr>
      </w:pPr>
    </w:p>
    <w:p>
      <w:pPr>
        <w:ind w:left="980" w:right="680" w:hanging="324"/>
        <w:spacing w:after="0" w:line="277" w:lineRule="auto"/>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89"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17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Company expects its research and development expenses to increase as the Company pursues the development of Zimura, its HtrA1 inhibitor program, its RHO-adRP gene therapy product candidate and the BEST1 gene therapy product candidates for which it holds an option from Penn and UFRF. The Company also expects to incur research and development expenses in connection with its collaborative gene therapy sponsored research programs. As the Company pursues its ongoing and planned Zimura, HtrA1 inhibitor, RHO-adRP and BEST1 development programs and its collaborative gene therapy sponsored research programs, or as the Company commences any new development efforts in relation to additional product candidates that the Company may in-license or acquire as it pursues its business plan, the Company expects that its overall research and development expenses will increase from the current level of expenditure.</w:t>
      </w:r>
    </w:p>
    <w:p>
      <w:pPr>
        <w:spacing w:after="0" w:line="243"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Under this method, deferred tax assets and liabilities are recognized for the expected future tax consequences of temporary differences between the carrying amounts and the tax basis of assets and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The Company follows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requires the measurement and recognition of compensation expense for all share-based payment awards made to employees and non-employee directors, including employee stock options, restricted stock units (“RSUs”) and the option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The Company estimates the fair value of stock options granted to employees and non-employee directors on the date of grant using the Black-Scholes option-pricing model. Due to the lack of trading history, the Company's computation of stock-price volatility is based on the volatility rates of comparable publicly held companies over a period equal to the expected term of the options granted by the Company. The Company's computation of expected term is determined using the "simplified" method, which is the midpoint between the vesting date and the end of the contractual term. The Company believes that it does not have sufficient reliable exercise data in order to justify the use of a method other than the "simplified" method of estimating the expected exercise term of employee stock option grants.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ectPr>
          <w:pgSz w:w="11900" w:h="16838" w:orient="portrait"/>
          <w:cols w:equalWidth="0" w:num="1">
            <w:col w:w="11420"/>
          </w:cols>
          <w:pgMar w:left="240" w:top="472"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472" w:right="239" w:bottom="1440" w:gutter="0" w:footer="0" w:header="0"/>
          <w:type w:val="continuous"/>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 xml:space="preserve">For stock options granted as consideration for services rendered by consultants, the Company recognizes expense in accordance with the requirements of ASC 505-50, </w:t>
      </w:r>
      <w:r>
        <w:rPr>
          <w:rFonts w:ascii="Arial" w:cs="Arial" w:eastAsia="Arial" w:hAnsi="Arial"/>
          <w:sz w:val="18"/>
          <w:szCs w:val="18"/>
          <w:i w:val="1"/>
          <w:iCs w:val="1"/>
          <w:color w:val="auto"/>
        </w:rPr>
        <w:t>Equity Based Payments to Non-Employees</w:t>
      </w:r>
      <w:r>
        <w:rPr>
          <w:rFonts w:ascii="Arial" w:cs="Arial" w:eastAsia="Arial" w:hAnsi="Arial"/>
          <w:sz w:val="18"/>
          <w:szCs w:val="18"/>
          <w:color w:val="auto"/>
        </w:rPr>
        <w:t>. Consultant stock option grants are recorded as an expense over the vesting period of the underlying stock options. At the end of each financial reporting period prior to vesting, the value of these options, as calculated using the Black-Scholes option-pricing model, will be re-measured using the fair value of the Company's common stock and the non-cash expense recognized during the period will be adjusted accordingly. Since the fair value of options granted to consultants is subject to change in the future, the amount of the future expense will include fair value re-measurements until the stock options are fully vested.</w:t>
      </w:r>
    </w:p>
    <w:p>
      <w:pPr>
        <w:spacing w:after="0" w:line="24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years ended December 31, 2018,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144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85%</w:t>
            </w:r>
          </w:p>
        </w:tc>
        <w:tc>
          <w:tcPr>
            <w:tcW w:w="15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4"/>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2.39% - 2.95%</w:t>
            </w:r>
          </w:p>
        </w:tc>
        <w:tc>
          <w:tcPr>
            <w:tcW w:w="1560" w:type="dxa"/>
            <w:vAlign w:val="bottom"/>
            <w:gridSpan w:val="2"/>
          </w:tcPr>
          <w:p>
            <w:pPr>
              <w:jc w:val="center"/>
              <w:ind w:left="34"/>
              <w:spacing w:after="0"/>
              <w:rPr>
                <w:sz w:val="20"/>
                <w:szCs w:val="20"/>
                <w:color w:val="auto"/>
              </w:rPr>
            </w:pPr>
            <w:r>
              <w:rPr>
                <w:rFonts w:ascii="Arial" w:cs="Arial" w:eastAsia="Arial" w:hAnsi="Arial"/>
                <w:sz w:val="18"/>
                <w:szCs w:val="18"/>
                <w:color w:val="auto"/>
                <w:w w:val="91"/>
              </w:rPr>
              <w:t>1.82% - 2.38%</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1.14% - 2.37%</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156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87"/>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estimates the fair value of RSUs granted to employees using the closing market price of the Company's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225" w:lineRule="exact"/>
        <w:rPr>
          <w:sz w:val="20"/>
          <w:szCs w:val="20"/>
          <w:color w:val="auto"/>
        </w:rPr>
      </w:pPr>
    </w:p>
    <w:p>
      <w:pPr>
        <w:jc w:val="both"/>
        <w:ind w:right="280" w:firstLine="405"/>
        <w:spacing w:after="0" w:line="288" w:lineRule="auto"/>
        <w:rPr>
          <w:sz w:val="20"/>
          <w:szCs w:val="20"/>
          <w:color w:val="auto"/>
        </w:rPr>
      </w:pPr>
      <w:r>
        <w:rPr>
          <w:rFonts w:ascii="Arial" w:cs="Arial" w:eastAsia="Arial" w:hAnsi="Arial"/>
          <w:sz w:val="16"/>
          <w:szCs w:val="16"/>
          <w:color w:val="auto"/>
        </w:rPr>
        <w:t>In April 2016, the board of directors adopted the ESPP pursuant to which the Company may sell up to an aggregate of 1,000,000 shares of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jc w:val="both"/>
        <w:ind w:firstLine="432"/>
        <w:spacing w:after="0" w:line="255" w:lineRule="auto"/>
        <w:rPr>
          <w:sz w:val="20"/>
          <w:szCs w:val="20"/>
          <w:color w:val="auto"/>
        </w:rPr>
      </w:pPr>
      <w:r>
        <w:rPr>
          <w:rFonts w:ascii="Arial" w:cs="Arial" w:eastAsia="Arial" w:hAnsi="Arial"/>
          <w:sz w:val="18"/>
          <w:szCs w:val="18"/>
          <w:color w:val="auto"/>
        </w:rPr>
        <w:t>Share-based compensation expense includes expenses related to stock options and RSUs granted to employees, non-employee directors and consultants, as well as the option granted to employees to purchase shares under the ESPP, all of which have been reported in the Company’s Statements of Operations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w w:val="89"/>
              </w:rPr>
              <w:t>Years ended December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21,380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10,280</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11,072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18,171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31,660</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8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In May 2014, the FASB issued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ASC 606 outlines a new, single comprehensive model for entities to use in accounting for revenue arising from contracts with customers and supersedes most current revenue recognition guidance, including industry-specific guidance. This new revenue recognition model provides a five-step analysis in determining when and how revenue is recognized. The new model requires revenue recognition to depict the transfer of promised goods or services to customers in an amount that reflects the consideration a company expects to receive in exchange for those goods or services. On January 1, 2018, the Company adopted this guidance using the modified retrospective approach. Due to the termination of the Novartis Agreement and the Company's current lack of other revenue sources, the Company's financial statements were not impacted by adoption of this standard. The future impact of ASC 606 will be dependent on the nature of the Company’s future revenue contracts and arrangements, if any.</w:t>
      </w:r>
    </w:p>
    <w:p>
      <w:pPr>
        <w:sectPr>
          <w:pgSz w:w="11900" w:h="16838" w:orient="portrait"/>
          <w:cols w:equalWidth="0" w:num="1">
            <w:col w:w="11400"/>
          </w:cols>
          <w:pgMar w:left="240" w:top="472" w:right="2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00"/>
          </w:cols>
          <w:pgMar w:left="240" w:top="472" w:right="259" w:bottom="1440" w:gutter="0" w:footer="0" w:header="0"/>
          <w:type w:val="continuous"/>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2016, the FASB issued Accounting Standards Update (ASU) No. 2016-15, </w:t>
      </w:r>
      <w:r>
        <w:rPr>
          <w:rFonts w:ascii="Arial" w:cs="Arial" w:eastAsia="Arial" w:hAnsi="Arial"/>
          <w:sz w:val="18"/>
          <w:szCs w:val="18"/>
          <w:i w:val="1"/>
          <w:iCs w:val="1"/>
          <w:color w:val="auto"/>
        </w:rPr>
        <w:t>Statement of Cash Flows (Topic 230): 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Cash Receipts and Cash Payments</w:t>
      </w:r>
      <w:r>
        <w:rPr>
          <w:rFonts w:ascii="Arial" w:cs="Arial" w:eastAsia="Arial" w:hAnsi="Arial"/>
          <w:sz w:val="18"/>
          <w:szCs w:val="18"/>
          <w:color w:val="auto"/>
        </w:rPr>
        <w:t>, which clarifies the presentation of certain specific cash flow issues in the Statement of Cash Flows. For public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amendments are effective for annual reporting periods beginning after December 15, 2017, and interim periods within those annual periods. Early adoption is permitted. Starting with the three months ended March 31, 2018, the Company adopted this guidance. The adoption did not have a material impact on the Company's financial statements.</w:t>
      </w:r>
    </w:p>
    <w:p>
      <w:pPr>
        <w:spacing w:after="0" w:line="24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in an effort to clarify the definition of a business with the objective of adding guidance to assist entities with evaluating whether transactions should be accounted for as acquisitions (or disposals) of assets or businesses. The amendments of this ASU are effective for fiscal years beginning after December 15, 2017, and interim periods within those fiscal years. Early adoption is permitted. This new guidance was applicable for the acquisition of Inception 4 and will be applicable for any other acquisitions by the Company on or after January 1,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 xml:space="preserve">In February 2016, the FASB issued ASU No. 2016-2, </w:t>
      </w:r>
      <w:r>
        <w:rPr>
          <w:rFonts w:ascii="Arial" w:cs="Arial" w:eastAsia="Arial" w:hAnsi="Arial"/>
          <w:sz w:val="16"/>
          <w:szCs w:val="16"/>
          <w:i w:val="1"/>
          <w:iCs w:val="1"/>
          <w:color w:val="auto"/>
        </w:rPr>
        <w:t>Leases (Topic 842)</w:t>
      </w:r>
      <w:r>
        <w:rPr>
          <w:rFonts w:ascii="Arial" w:cs="Arial" w:eastAsia="Arial" w:hAnsi="Arial"/>
          <w:sz w:val="16"/>
          <w:szCs w:val="16"/>
          <w:color w:val="auto"/>
        </w:rPr>
        <w:t>. Under the new guidance, lessees will be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ASC 606. The new lease guidance simplified the accounting for sale and leaseback transactions primarily because lessees must recognize lease assets and lease liabilities. Lessees will no longer be provided with a source of off-balance sheet financing. Publicly-traded business entities should apply the amendments in ASU 2016-2 for fiscal years beginning after December 15, 2018 (i.e., January 1, 2019, for a calendar year entity), including interim periods within those fiscal years. Early application is permitted for all publicly-traded business entities and all non-publicly-traded business entities upon issuance.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Company has assessed the impact of adopting this new accounting guidance on its financial statements and footnote disclosures. As such, the Company expects the most significant impact will be the recognition of right-of-use assets and lease liabilities of approximately $1.5 million on its Consolidated Balance Sheet.</w:t>
      </w:r>
    </w:p>
    <w:p>
      <w:pPr>
        <w:spacing w:after="0" w:line="22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which supersedes ASC 505-50 and expands the scope of ASC 718 to include all share-based payment arrangements related to the acquisition of goods and services from both employees and nonemployees. For public companies, the amendments are effective for annual reporting periods beginning after December 15, 2018, including interim periods within those annual periods. Early adoption is permitted, but no earlier than a company's adoption date of ASC 606. The Company is currently assessing the impact that adopting this new accounting guidance will have on its financial statements and footnote disclosures.</w:t>
      </w:r>
    </w:p>
    <w:p>
      <w:pPr>
        <w:spacing w:after="0" w:line="22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modifies the disclosure requirements on fair value measurements in Topic 820, Fair Value Measurement, including, among other changes, the consideration of costs and benefits when evaluating disclosure requirements. For public companies, the amendments are effective for annual reporting periods beginning after December 15, 2019, including interim periods within those annual periods. Early adoption is permitted. The Company is currently assessing the impact that adopting this new accounting guidance will have on its financial statements and footnote disclosures.</w:t>
      </w:r>
    </w:p>
    <w:p>
      <w:pPr>
        <w:spacing w:after="0" w:line="24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w:t>
      </w:r>
      <w:r>
        <w:rPr>
          <w:rFonts w:ascii="Arial" w:cs="Arial" w:eastAsia="Arial" w:hAnsi="Arial"/>
          <w:sz w:val="16"/>
          <w:szCs w:val="16"/>
          <w:color w:val="auto"/>
        </w:rPr>
        <w:t xml:space="preserve"> (Subtopic 350-40): </w:t>
      </w:r>
      <w:r>
        <w:rPr>
          <w:rFonts w:ascii="Arial" w:cs="Arial" w:eastAsia="Arial" w:hAnsi="Arial"/>
          <w:sz w:val="16"/>
          <w:szCs w:val="16"/>
          <w:i w:val="1"/>
          <w:iCs w:val="1"/>
          <w:color w:val="auto"/>
        </w:rPr>
        <w:t>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 consensus of the FASB Emerging Issues</w:t>
      </w:r>
      <w:r>
        <w:rPr>
          <w:rFonts w:ascii="Arial" w:cs="Arial" w:eastAsia="Arial" w:hAnsi="Arial"/>
          <w:sz w:val="16"/>
          <w:szCs w:val="16"/>
          <w:i w:val="1"/>
          <w:iCs w:val="1"/>
          <w:color w:val="auto"/>
        </w:rPr>
        <w:t xml:space="preserve"> </w:t>
      </w:r>
      <w:r>
        <w:rPr>
          <w:rFonts w:ascii="Arial" w:cs="Arial" w:eastAsia="Arial" w:hAnsi="Arial"/>
          <w:sz w:val="16"/>
          <w:szCs w:val="16"/>
          <w:color w:val="auto"/>
        </w:rPr>
        <w:t>Task Force). ASU 2018-15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w:t>
      </w:r>
    </w:p>
    <w:p>
      <w:pPr>
        <w:sectPr>
          <w:pgSz w:w="11900" w:h="16838" w:orient="portrait"/>
          <w:cols w:equalWidth="0" w:num="1">
            <w:col w:w="11420"/>
          </w:cols>
          <w:pgMar w:left="240" w:top="47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472" w:right="239" w:bottom="1440" w:gutter="0" w:footer="0" w:header="0"/>
          <w:type w:val="continuous"/>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software license). This guidance is effective for fiscal years beginning after December 15, 2019, and for interim periods within those fiscal years, with early adoption permitted.The Company is currently assessing the impact that adopting this new accounting guidance will have on its financial statements and footnote disclosures.</w:t>
      </w:r>
    </w:p>
    <w:p>
      <w:pPr>
        <w:spacing w:after="0" w:line="23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which clarifies the interaction between the guidance for collaborative arrangements (Topic 808) and the new revenue recognition standard (Topic 606). For public companies, the amendments are effective for annual reporting periods beginning after December 15, 2019, including interim periods within those annual periods. Early adoption is permitted. The Company is currently assessing the impact that adopting this new accounting guidance will have on its financial statements and footnote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Common Share</w:t>
      </w:r>
    </w:p>
    <w:p>
      <w:pPr>
        <w:spacing w:after="0" w:line="1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Basic and diluted net income (loss) per common share is determined by dividing net income (loss) by the weighted average common shares outstanding during the period. For the periods when there is a net loss, stock options and RSUs have been excluded from the calculation of diluted net loss per common share because their effect would be anti-dilutive. Therefore, the weighted average common shares used to calculate both basic and diluted net loss per common share would be the same. The following table sets forth the computation of basic and diluted net income (loss) per common share for the periods indicated:</w:t>
      </w:r>
    </w:p>
    <w:p>
      <w:pPr>
        <w:spacing w:after="0" w:line="19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898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8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income (loss) per common share calculation: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83"/>
              </w:rPr>
              <w:t>63,087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114,205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(193,420)</w:t>
            </w:r>
          </w:p>
        </w:tc>
      </w:tr>
      <w:tr>
        <w:trPr>
          <w:trHeight w:val="27"/>
        </w:trPr>
        <w:tc>
          <w:tcPr>
            <w:tcW w:w="6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3"/>
              </w:rPr>
              <w:t>37,061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35,486</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Plus: net effect of dilutive stock options and unvested restricted stock units</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dilutive</w:t>
            </w:r>
          </w:p>
        </w:tc>
        <w:tc>
          <w:tcPr>
            <w:tcW w:w="9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3"/>
              </w:rPr>
              <w:t>37,088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36,007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35,486</w:t>
            </w:r>
          </w:p>
        </w:tc>
      </w:tr>
      <w:tr>
        <w:trPr>
          <w:trHeight w:val="20"/>
        </w:trPr>
        <w:tc>
          <w:tcPr>
            <w:tcW w:w="6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per common share - basic</w:t>
            </w:r>
          </w:p>
        </w:tc>
        <w:tc>
          <w:tcPr>
            <w:tcW w:w="90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r>
      <w:tr>
        <w:trPr>
          <w:trHeight w:val="251"/>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 - diluted</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0"/>
        </w:trPr>
        <w:tc>
          <w:tcPr>
            <w:tcW w:w="6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they would be anti-dilutive:</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1340" w:type="dxa"/>
            <w:vAlign w:val="bottom"/>
            <w:tcBorders>
              <w:bottom w:val="single" w:sz="8" w:color="auto"/>
            </w:tcBorders>
          </w:tcPr>
          <w:p>
            <w:pPr>
              <w:spacing w:after="0"/>
              <w:rPr>
                <w:sz w:val="16"/>
                <w:szCs w:val="16"/>
                <w:color w:val="auto"/>
              </w:rPr>
            </w:pPr>
          </w:p>
        </w:tc>
      </w:tr>
      <w:tr>
        <w:trPr>
          <w:trHeight w:val="264"/>
        </w:trPr>
        <w:tc>
          <w:tcPr>
            <w:tcW w:w="68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5,873</w:t>
            </w:r>
          </w:p>
        </w:tc>
        <w:tc>
          <w:tcPr>
            <w:tcW w:w="16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5,179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3,359</w:t>
            </w:r>
          </w:p>
        </w:tc>
      </w:tr>
      <w:tr>
        <w:trPr>
          <w:trHeight w:val="24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500" w:type="dxa"/>
            <w:vAlign w:val="bottom"/>
          </w:tcPr>
          <w:p>
            <w:pPr>
              <w:jc w:val="right"/>
              <w:spacing w:after="0"/>
              <w:rPr>
                <w:sz w:val="20"/>
                <w:szCs w:val="20"/>
                <w:color w:val="auto"/>
              </w:rPr>
            </w:pPr>
            <w:r>
              <w:rPr>
                <w:rFonts w:ascii="Arial" w:cs="Arial" w:eastAsia="Arial" w:hAnsi="Arial"/>
                <w:sz w:val="18"/>
                <w:szCs w:val="18"/>
                <w:color w:val="auto"/>
              </w:rPr>
              <w:t>601</w:t>
            </w:r>
          </w:p>
        </w:tc>
        <w:tc>
          <w:tcPr>
            <w:tcW w:w="1660" w:type="dxa"/>
            <w:vAlign w:val="bottom"/>
            <w:gridSpan w:val="3"/>
          </w:tcPr>
          <w:p>
            <w:pPr>
              <w:jc w:val="right"/>
              <w:ind w:right="28"/>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721</w:t>
            </w:r>
          </w:p>
        </w:tc>
      </w:tr>
      <w:tr>
        <w:trPr>
          <w:trHeight w:val="27"/>
        </w:trPr>
        <w:tc>
          <w:tcPr>
            <w:tcW w:w="6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6,474</w:t>
            </w:r>
          </w:p>
        </w:tc>
        <w:tc>
          <w:tcPr>
            <w:tcW w:w="16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5,361</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4,080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and Cash Equivalents</w:t>
      </w:r>
    </w:p>
    <w:p>
      <w:pPr>
        <w:spacing w:after="0" w:line="283"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the date of purchase to be cash equivalents. Cash and cash equivalents included cash of $4.4 million and $9.5 million at December 31, 2018 and 2017, respectively. Cash and cash equivalents at December 31, 2018 and December 31, 2017 also included $126.8 million and $157.4 million, respectively, of investments in money market funds and certain short-term investment-grade corporate debt securities with original maturities of 90 days or less.</w:t>
      </w:r>
    </w:p>
    <w:p>
      <w:pPr>
        <w:spacing w:after="0" w:line="22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Company classifies its corporate debt securities within the fair value hierarchy as Level 2 assets, as it primarily utilizes quoted market prices or rates for similar instruments to value these securities.</w:t>
      </w:r>
    </w:p>
    <w:p>
      <w:pPr>
        <w:sectPr>
          <w:pgSz w:w="11900" w:h="16838" w:orient="portrait"/>
          <w:cols w:equalWidth="0" w:num="1">
            <w:col w:w="11420"/>
          </w:cols>
          <w:pgMar w:left="240" w:top="472"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472" w:right="239" w:bottom="1440" w:gutter="0" w:footer="0" w:header="0"/>
          <w:type w:val="continuous"/>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and Cash Equivalents (Continued)</w:t>
      </w:r>
    </w:p>
    <w:p>
      <w:pPr>
        <w:spacing w:after="0" w:line="200" w:lineRule="exact"/>
        <w:rPr>
          <w:sz w:val="20"/>
          <w:szCs w:val="20"/>
          <w:color w:val="auto"/>
        </w:rPr>
      </w:pPr>
    </w:p>
    <w:p>
      <w:pPr>
        <w:spacing w:after="0" w:line="32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2018:</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Fair Value Measurement Using</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80" w:type="dxa"/>
            <w:vAlign w:val="bottom"/>
          </w:tcPr>
          <w:p>
            <w:pPr>
              <w:spacing w:after="0"/>
              <w:rPr>
                <w:sz w:val="13"/>
                <w:szCs w:val="13"/>
                <w:color w:val="auto"/>
              </w:rPr>
            </w:pPr>
          </w:p>
        </w:tc>
        <w:tc>
          <w:tcPr>
            <w:tcW w:w="142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80" w:type="dxa"/>
            <w:vAlign w:val="bottom"/>
          </w:tcPr>
          <w:p>
            <w:pPr>
              <w:spacing w:after="0"/>
              <w:rPr>
                <w:sz w:val="12"/>
                <w:szCs w:val="12"/>
                <w:color w:val="auto"/>
              </w:rPr>
            </w:pPr>
          </w:p>
        </w:tc>
        <w:tc>
          <w:tcPr>
            <w:tcW w:w="14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2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2"/>
              <w:spacing w:after="0"/>
              <w:rPr>
                <w:sz w:val="20"/>
                <w:szCs w:val="20"/>
                <w:color w:val="auto"/>
              </w:rPr>
            </w:pPr>
            <w:r>
              <w:rPr>
                <w:rFonts w:ascii="Arial" w:cs="Arial" w:eastAsia="Arial" w:hAnsi="Arial"/>
                <w:sz w:val="18"/>
                <w:szCs w:val="18"/>
                <w:color w:val="auto"/>
              </w:rPr>
              <w:t>97,402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29,425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4"/>
              </w:rPr>
              <w:t>Fair Value Measurement Using</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2"/>
              </w:rPr>
              <w:t>Significant other</w:t>
            </w:r>
          </w:p>
        </w:tc>
        <w:tc>
          <w:tcPr>
            <w:tcW w:w="1420" w:type="dxa"/>
            <w:vAlign w:val="bottom"/>
          </w:tcPr>
          <w:p>
            <w:pPr>
              <w:jc w:val="center"/>
              <w:ind w:right="204"/>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4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4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2)</w:t>
            </w:r>
          </w:p>
        </w:tc>
        <w:tc>
          <w:tcPr>
            <w:tcW w:w="142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4"/>
              <w:spacing w:after="0"/>
              <w:rPr>
                <w:sz w:val="20"/>
                <w:szCs w:val="20"/>
                <w:color w:val="auto"/>
              </w:rPr>
            </w:pPr>
            <w:r>
              <w:rPr>
                <w:rFonts w:ascii="Arial" w:cs="Arial" w:eastAsia="Arial" w:hAnsi="Arial"/>
                <w:sz w:val="18"/>
                <w:szCs w:val="18"/>
                <w:color w:val="auto"/>
              </w:rPr>
              <w:t>162,457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1200"/>
              <w:spacing w:after="0"/>
              <w:rPr>
                <w:sz w:val="20"/>
                <w:szCs w:val="20"/>
                <w:color w:val="auto"/>
              </w:rPr>
            </w:pPr>
            <w:r>
              <w:rPr>
                <w:rFonts w:ascii="Arial" w:cs="Arial" w:eastAsia="Arial" w:hAnsi="Arial"/>
                <w:sz w:val="18"/>
                <w:szCs w:val="18"/>
                <w:color w:val="auto"/>
              </w:rPr>
              <w:t>—   $</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18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Investments in money market funds and corporate debt securities with maturities less than 90 days are reflected in cash and cash equivalents in the accompanying Balance Sheets.</w:t>
      </w:r>
    </w:p>
    <w:p>
      <w:pPr>
        <w:spacing w:after="0" w:line="8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No transfer of assets between Level 1 and Level 2 of the fair value measurement hierarchy occurred during the years ended December 31, 2018 or December 31, 2017.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Inception 4 Acquisition</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October 2018, the Company entered into an Agreement and Plan of Merger (the “Inception 4 Merger Agreement”) by and among the Company, Orion Ophthalmology Merger Sub, Inc., a Delaware corporation and a direct, wholly owned subsidiary of the Company (“Merger Sub I”), Orion Ophthalmology LLC, a Delaware limited liability company and a direct, wholly owned subsidiary of the Company (“Orion”), Inception 4, a Delaware corporation, and, solely in its capacity as the representative, agent and attorney-in-fact of the equityholders of Inception 4, Fortis Advisors LLC, a Delaware limited liability company. Pursuant to the Inception 4 Merger Agreement, in October 2018, the Company acquired Inception 4 through the merger of Merger Sub I with and into Inception 4, with Inception 4 surviving as a direct, wholly owned subsidiary of the Company, and as part of the same overall transaction, the merger of Inception 4 with and into Orion, with Orion surviving as a direct, wholly owned subsidiary of the Company (the transactions are collectively referred to as the "Inception 4 Merger"). Prior to the Inception 4 Merger, Inception 4 was a privately held biotechnology company focused on the research and development of small molecule HtrA1 inhibitors for age-related retinal diseases in humans.</w:t>
      </w:r>
    </w:p>
    <w:p>
      <w:pPr>
        <w:spacing w:after="0" w:line="10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Pursuant to the terms of the Inception 4 Merger Agreement, as upfront consideration, the Company issued approximately 5.2 million shares of the Company’s common stock to the former equityholders of Inception 4, which were valued at approximately $11.7 million based on the acquisition date closing price of the Company’s common stock of $2.26 per share. Additionally, subject to the terms and conditions of the Inception 4 Merger Agreement, the former equityholders of Inception 4 will be entitled to receive contingent payments up to an aggregate of $105.0 million from the Company for the achievement of specified clinical and regulatory milestones, with $45 million of such potential payments relating to GA and $60 million of such potential payments relating to wet AMD.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72" w:right="25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Inception 4 Acquisition (Continued)</w:t>
      </w:r>
    </w:p>
    <w:p>
      <w:pPr>
        <w:spacing w:after="0" w:line="3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shares issued in connection with the Inception 4 Merger, exceed an overall maximum limit of approximately 7.2 million shares, which is equal to 19.9% of the number of issued and outstanding shares of the Company's common stock as of the close of business on the business day prior to the closing date, and will be payable in cash thereafter.</w:t>
      </w:r>
    </w:p>
    <w:p>
      <w:pPr>
        <w:spacing w:after="0" w:line="18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At closing, the Company acquired all of Inception 4's assets which included intellectual property and in-process research and development (“IPR&amp;D”) associated with Inception 4’s HtrA1 inhibitor program and approximately $6.1 million in cash. There were no other tangible assets, leases or liabilities. The Company believes the cash it acquired in connection with its acquisition of Inception 4 will be sufficient to fund the majority of anticipated development costs associated with the development of the HtrA1 inhibitor program through the IND submission stage.</w:t>
      </w:r>
    </w:p>
    <w:p>
      <w:pPr>
        <w:spacing w:after="0" w:line="17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The Company evaluated the acquisition of Inception 4 under ASU No. 2017-01, Business Combinations: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xml:space="preserve">. Based on the results of the analysis performed, the Company concluded that substantially all of the fair value of the gross assets acquired under the Inception 4 Merger Agreement is concentrated in a single identifiable asset. As a result, the Company concluded that the acquisition of Inception 4 does not represent an acquisition of a business and does not qualify as a business combination to be accounted for under ASC 805. Further, the Company concluded that the legal entity is not a variable interest entity under ASC 810 -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Consequently, the Company concluded that the acquisition of Inception 4 should be accounted for as an asset acquisition under ASC 805-50. As the contingent consideration is not a derivative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any contingent payments will be recognized when earned or achieved and such amounts will be expensed upon payment for pre-commercial activities and capitalized for regulatory approvals and post-commercial activities. Further, as the acquired IPR&amp;D has no alternative future use, in accordance with ASC 730, at closing, the Company charged to expense its allocated fair value of $6.9 million, which is the total acquisition consideration including transaction costs of $1.3 million less the cash acquired.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Licensing and Commercialization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RHO-adRP Gene Therapy Agreements with the University of Florida and the University of Pennsylvania</w:t>
      </w:r>
    </w:p>
    <w:p>
      <w:pPr>
        <w:spacing w:after="0" w:line="14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June 2018, the Company entered into an exclusive global license agreement (the "RHO-adRP License Agreement") with UFRF and Penn (collectively, the "Licensors"). Under the agreement, the Licensors granted the Company a worldwide, exclusive license under specified patent rights and a worldwide, non-exclusive license under specified know-how, including specified preclinical data, to manufacture, develop and commercialize certain AAV gene therapy products for the treatment of rhodopsin-mediated diseases. The rights granted under the RHO-adRP License Agreement included certain patent rights covering a novel AAV gene therapy product candidate intended to treat RHO-adRP (the "RHO-adRP Licensed Product").</w:t>
      </w:r>
    </w:p>
    <w:p>
      <w:pPr>
        <w:spacing w:after="0" w:line="22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June 2018, the Company paid UFRF, on behalf of both Licensors, a $0.5 million upfront license issuance fee in connection with entry into the agreement, which was recorded as a research and development expense, as well as accrued patent prosecution expenses of approximately $30 thousand, which was recorded as a general and administrative expense. Under the agreement, the Company agreed to pay an annual license maintenance fee in the low double-digit thousands of dollars, which will be payable on an annual basis until the first commercial sale of a licensed product. In addition, the Company agreed to reimburse UFRF for the costs and expenses of patent prosecution and maintenance related to the licensed patent rights.</w:t>
      </w:r>
    </w:p>
    <w:p>
      <w:pPr>
        <w:spacing w:after="0" w:line="21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further agreed to pay UFRF, on behalf of both Licensors, up to an aggregate of $23.5 million if the Company achieves specified clinical, marketing approval and reimbursement approval milestones with respect to a licensed product and additionally, up to an aggregate of $70.0 million if the Company achieves specified commercial sales milestones with respect to a licensed product.</w:t>
      </w:r>
    </w:p>
    <w:p>
      <w:pPr>
        <w:spacing w:after="0" w:line="23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is also obligated to pay UFRF, on behalf of both Licensors, royalties at a low single-digit percentage of net sales of licensed products. Such royalties are subject to customary reductions for lack of patent coverage and loss of regulatory exclusivity. In addition, such royalties with respect to any licensed product in any country may be offset by a specified portion of any royalty payments actually paid by the Company with respect to such licensed product in such country under third-party licenses for patent rights or other intellectual property rights that are necessary to manufacture, develop and commercialize the licensed product in such country. The Company's obligation to pay royalties under the RHO-adRP License Agreement will continue on a licensed product-by-licensed product and country-by-country basis until the latest of:</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72"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Licensing and Commercialization Agreements (Continued)</w:t>
      </w:r>
    </w:p>
    <w:p>
      <w:pPr>
        <w:spacing w:after="0" w:line="200" w:lineRule="exact"/>
        <w:rPr>
          <w:rFonts w:ascii="Arial" w:cs="Arial" w:eastAsia="Arial" w:hAnsi="Arial"/>
          <w:sz w:val="18"/>
          <w:szCs w:val="18"/>
          <w:b w:val="1"/>
          <w:bCs w:val="1"/>
          <w:color w:val="auto"/>
        </w:rPr>
      </w:pPr>
    </w:p>
    <w:p>
      <w:pPr>
        <w:spacing w:after="0" w:line="326" w:lineRule="exact"/>
        <w:rPr>
          <w:rFonts w:ascii="Arial" w:cs="Arial" w:eastAsia="Arial" w:hAnsi="Arial"/>
          <w:sz w:val="18"/>
          <w:szCs w:val="18"/>
          <w:b w:val="1"/>
          <w:bCs w:val="1"/>
          <w:color w:val="auto"/>
        </w:rPr>
      </w:pPr>
    </w:p>
    <w:p>
      <w:pPr>
        <w:ind w:left="660" w:hanging="328"/>
        <w:spacing w:after="0"/>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a licensed product in the country of sale;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a licensed product in the country of sale;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ten years from the first commercial sale of the applicable licensed product in the country of sale.</w:t>
      </w:r>
    </w:p>
    <w:p>
      <w:pPr>
        <w:spacing w:after="0" w:line="27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Beginning on the earlier of (i) the calendar year following the first commercial sale of a licensed product and (ii) the first business day of 2031, the Company is also obligated to pay certain minimum royalties, not to exceed an amount in the low hundreds of thousands of dollars on an annual basis, which minimum royalties are creditable against the Company's royalty obligation with respect to net sales of licensed products due for the year in which the minimum royalty is paid.</w:t>
      </w:r>
    </w:p>
    <w:p>
      <w:pPr>
        <w:spacing w:after="0" w:line="24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addition, if the Company or an affiliate sublicenses any of the licensed patent rights to a third party, the Company will be obligated to pay UFRF, on behalf of both Licensors, a low double-digit percentage of the consideration received in exchange for such sublicense. If the Company receives a rare pediatric disease priority review voucher from the U.S. Food and Drug Administration ("FDA") in connection with obtaining marketing approval for a licensed product and the Company subsequently uses such priority review voucher in connection with a different product candidate or sells such priority review voucher, the Company will be obligated to make certain payments to UFRF, on behalf of both Licensors.</w:t>
      </w:r>
    </w:p>
    <w:p>
      <w:pPr>
        <w:spacing w:after="0" w:line="22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earlier terminated by the Company, the RHO-adRP License Agreement will expire upon the expiration of the Company’s obligation to pay royalties to UFRF on net sales of licensed products. The Company may terminate the agreement at any time for any reason upon prior written notice to UFRF. Penn or UFRF may terminate the RHO-adRP License Agreement in the event of certain breaches by the Company or in the event of certain insolvency events regarding the Company.</w:t>
      </w:r>
    </w:p>
    <w:p>
      <w:pPr>
        <w:spacing w:after="0" w:line="241"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In addition to the exclusive license agreement, the Company and Penn also agreed to a Master-Sponsored Research Agreement (the "MSRA"), facilitated by the Penn Center for Innovation. Under the MSRA, the Company and Penn are conducting additional preclinical studies for the RHO-adRP Licensed Product, as well as a natural history study of RHO-adRP patients.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Licensing and Commercialization Agreement with Novartis Pharma AG</w:t>
      </w:r>
    </w:p>
    <w:p>
      <w:pPr>
        <w:spacing w:after="0" w:line="27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Prior to 2018, the Company's revenue resulted from payments received under the Novartis Agreement, as modified by the July 2017 Letter Agreement. These two agreements are described below. The Company used the relative selling price method to allocate arrangement consideration to the Company’s performance obligations under the Novartis Agreement. The Company completed the deliverables under the Novartis Agreement and the July 2017 Letter Agreement during the third quarter of 2017.</w:t>
      </w:r>
    </w:p>
    <w:p>
      <w:pPr>
        <w:spacing w:after="0" w:line="10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May 2014, the Company entered into the Novartis Agreement. Under the Novartis Agreement, the Company granted Novartis exclusive rights under specified patent rights, know-how and trademarks controlled by the Company to manufacture standalone Fovista products and products combining Fovista with an anti-VEGF agent to which Novartis has rights in a co-formulated product, for the treatment, prevention, cure or control of any human disease, disorder or condition of the eye, and to develop and commercialize those licensed products in all countries outside of the United States (the “Novartis Territory”). The Company agreed to use commercially reasonable efforts to complete its ongoing pivotal Phase 3 clinical program for Fovista and Novartis agreed to use commercially reasonable efforts to develop a standalone Fovista product and a co-formulated product containing Fovista and an anti-VEGF agent to which Novartis has rights, and to use commercially reasonable efforts, subject to obtaining marketing approval, to commercialize licensed products in the Novartis Territory in accordance with agreed development and marketing plans.</w:t>
      </w:r>
    </w:p>
    <w:p>
      <w:pPr>
        <w:spacing w:after="0" w:line="17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July 2017, the Company and Novartis entered into the July 2017 Letter Agreement to streamline the process and timeline for evaluating data from the OPH1004 trial once it became available. In October 2017, following the failure of the Phase 3 Fovista program and pursuant to the terms of the July 2017 Letter Agreement, Novartis elected to terminate the Novartis Agreement with immediate effect.</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May 2014, Novartis paid the Company a $200.0 million upfront payment. In each of September 2014 and March 2015, the Company achieved, and Novartis paid the Company, a $50.0 million enrollment-based milestone, and in June 2016, the Company achieved, and Novartis paid the Company, a $30.0 million enrollment-based milestone, for an aggregate total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Licensing and Commercialization Agreements (Continued)</w:t>
      </w:r>
    </w:p>
    <w:p>
      <w:pPr>
        <w:spacing w:after="0" w:line="3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$130.0 million in enrollment-based milestones under the Novartis Agreement. The Company used the relative selling price method to allocate these payments to contract deliverables based on its performance obligations under the Novartis Agreement.</w:t>
      </w:r>
    </w:p>
    <w:p>
      <w:pPr>
        <w:spacing w:after="0" w:line="170"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 xml:space="preserve">Activities under the Novartis Agreement were evaluated under ASC 605-25, </w:t>
      </w:r>
      <w:r>
        <w:rPr>
          <w:rFonts w:ascii="Arial" w:cs="Arial" w:eastAsia="Arial" w:hAnsi="Arial"/>
          <w:sz w:val="16"/>
          <w:szCs w:val="16"/>
          <w:i w:val="1"/>
          <w:iCs w:val="1"/>
          <w:color w:val="auto"/>
        </w:rPr>
        <w:t>Revenue Recognition—Multiple Element Arrangements</w:t>
      </w:r>
      <w:r>
        <w:rPr>
          <w:rFonts w:ascii="Arial" w:cs="Arial" w:eastAsia="Arial" w:hAnsi="Arial"/>
          <w:sz w:val="16"/>
          <w:szCs w:val="16"/>
          <w:color w:val="auto"/>
        </w:rPr>
        <w:t xml:space="preserve"> (“ASC 605-25”) (as amended by ASU 2009-13,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(“ASU 2009-13”)) to determine if they represented a multiple element revenue arrangement. The Novartis Agreement included the following deliverables: (1) an exclusive license to commercialize Fovista outside the United States (the “License Deliverable”); (2) the performance obligation to conduct research and development activities related to the Phase 3 Fovista clinical trials and certain Phase 2 trials for Fovista (the “R&amp;D Activity Deliverable”); (3) the performance obligation to supply API to Novartis for development and manufacturing purposes (the “Manufacturing Deliverable”) and (4) the Company’s obligation to participate on the joint operating committee established under the terms of the Novartis Agreement and related subcommittees (the “Joint Operating Committee Deliverable”). The Company’s obligation to provide access to clinical and regulatory information as part of the License Deliverable included the obligation to provide access to all clinical data, regulatory filings, safety data and manufacturing data to Novartis which was necessary for the commercialization of Fovista in the Novartis Territory. The R&amp;D Activity Deliverable included the right and responsibility for the Company to conduct the Phase 3 Fovista clinical program and other Phase 2 studies of Fovista which were necessary or desirable for regulatory approval or commercialization of Fovista. The Manufacturing Deliverable included the obligation for the Company to supply API to Novartis for clinical purposes, for which Novartis agreed to pay the Company’s manufacturing costs. The Joint Operating Committee Deliverable included the obligation to participate in the Joint Operating Committee and related subcommittees at least through the first anniversary of regulatory approval in the European Union. All of these deliverables were deemed to have stand-alone value and to meet the criteria to be accounted for as separate units of accounting under ASC 605-25. Factors considered in this determination included, among other things, the subject of the licenses and the research and development and commercial capabilities of Novartis. Accordingly, each unit was accounted for separately.</w:t>
      </w:r>
    </w:p>
    <w:p>
      <w:pPr>
        <w:spacing w:after="0" w:line="17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Novartis Agreement included a termination right for the Company in the event that specified governmental actions prevented the parties from materially progressing the development or commercialization of licensed products. If the Company elected to exercise this termination option, it would have been required to pay a substantial termination fee equivalent to the entire upfront payment amount. The Company concluded that this termination provision constituted a contingent event that was unknown at the inception of the agreement. As such, the Company recorded the $200.0 million upfront payment in deferred revenue, long-term until such time that the contingency related to this termination provision was resolved. In July 2017, the contingency was resolved when the Company permanently waived this termination right as part of the July 2017 Letter Agreement.</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July 2017 Letter Agreement also provided Novartis with a shorter notice period in the event Novartis determined to terminate the Novartis Agreement in certain circumstances. In addition, the July 2017 Letter Agreement provided Novartis with a fully paid-up, royalty free license to use data from the Lucentis monotherapy arms of the Company's Phase 2b OPH1001 trial and Phase 3 OPH1002 and OPH1003 trials in the Novartis Territory in connection with the development, manufacturing and commercialization of Novartis-controlled anti-VEGF products. The Lucentis study data license continues until July 3, 2022.</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evaluated the July 2017 Letter Agreement under ASC 605-25 and determined that the July 2017 Letter Agreement does not create any new deliverables. The Company is treating the Fovista license granted at the inception of the Novartis Agreement and the Lucentis study data license granted under the July 2017 Letter Agreement as one collective technology license (the "Licenses") delivered at the inception of the Novartis Agreement. In addition, as the waiver of its right to terminate the Novartis Agreement as a result of specified governmental actions resolved the Company’s contingency with respect to such termination right and the associated termination fee, the Company allocated the entire previously deferred amount, $200.0 million, to the deliverables that were determined based on the relative selling price at contract inception. Upon entry into the July 2017 Letter Agreement in July 2017, the Company immediately recognized as revenue $189.8 million of the upfront payment allocated to contract deliverables completed during prior periods. Upon termination of the OPH1004 trial in August 2017, the Company recognized the remaining $16.9 million of collaboration revenue, attributable to the R&amp;D Deliverable, previously deferred under the Novartis Agreement. In total, during the third quarter of 2017, the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Licensing and Commercialization Agreements (Continued)</w:t>
      </w:r>
    </w:p>
    <w:p>
      <w:pPr>
        <w:spacing w:after="0" w:line="3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recognized $206.7 million in previously deferred collaboration revenue in connection with the Novartis Agreement. The recognition of this revenue did not impact the Company's cash balance.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Below is a summary of the components of the Company's collaboration revenue for the years ended December 31, 2018, 2017, and 2016:</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152,912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22,937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Research and development activity revenue</w:t>
            </w:r>
          </w:p>
        </w:tc>
        <w:tc>
          <w:tcPr>
            <w:tcW w:w="1140" w:type="dxa"/>
            <w:vAlign w:val="bottom"/>
          </w:tcPr>
          <w:p>
            <w:pPr>
              <w:spacing w:after="0"/>
              <w:rPr>
                <w:sz w:val="21"/>
                <w:szCs w:val="21"/>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56,180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9,741</w:t>
            </w:r>
          </w:p>
        </w:tc>
      </w:tr>
      <w:tr>
        <w:trPr>
          <w:trHeight w:val="27"/>
        </w:trPr>
        <w:tc>
          <w:tcPr>
            <w:tcW w:w="6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API transfer revenue</w:t>
            </w: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Joint operating committee revenue</w:t>
            </w:r>
          </w:p>
        </w:tc>
        <w:tc>
          <w:tcPr>
            <w:tcW w:w="1140" w:type="dxa"/>
            <w:vAlign w:val="bottom"/>
          </w:tcPr>
          <w:p>
            <w:pPr>
              <w:spacing w:after="0"/>
              <w:rPr>
                <w:sz w:val="21"/>
                <w:szCs w:val="21"/>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27"/>
        </w:trPr>
        <w:tc>
          <w:tcPr>
            <w:tcW w:w="63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209,977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50,909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Financing Agreement with Novo Holdings A/S</w:t>
      </w:r>
    </w:p>
    <w:p>
      <w:pPr>
        <w:spacing w:after="0" w:line="28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May 2013, the Company entered into a Purchase and Sale Agreement (the "Novo Agreement") with Novo Holdings A/S (formerly Novo A/S), pursuant to which the Company obtained financing in three tranches in an aggregate amount equal to $125.0 million in return for the sale to Novo Holdings A/S of aggregate royalties of a mid-single digit percentage on worldwide sales of (a) Fovista, (b) certain Fovista-related Products ("Fovista-Related Products"), and (c) certain other antagonists of platelet-derived growth factor ("PDGF"), if any, that the Company initiated development activities for prior to the fifth anniversary of the Novo Agreement (collectively, the "Anti-PDGF Royalty Products").</w:t>
      </w:r>
    </w:p>
    <w:p>
      <w:pPr>
        <w:spacing w:after="0" w:line="22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Pursuant to the Novo Agreement, in each of May 2013, January 2014 and November 2014, the Company received cash payments of $41.7 million, or $125.0 million in the aggregate, and Novo Holdings A/S received, in the aggregate, a right to receive royalties on net sales of Fovista at a mid-single digit percentage.</w:t>
      </w:r>
    </w:p>
    <w:p>
      <w:pPr>
        <w:spacing w:after="0" w:line="23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 xml:space="preserve">The $125.0 million in aggregate proceeds from the three financing tranches under the Novo Agreement represented the full funding available under the Novo Agreement, and prior to December 31, 2018, was recorded as a royalty purchase liability on the Company's Balance Sheet, in accordance with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Because there was a significant related party relationship between the Company and Novo Holdings A/S, the Company treated its obligation to make royalty payments under the Novo Agreement as an implicit obligation to repay the funds advanced by Novo Holdings A/S.</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December 31, 2018, the Company and Novo Holdings A/S entered into a letter agreement (the "Novo Termination Agreement"), that terminated the Novo Agreement. As a result of the Novo Termination Agreement, Novo Holdings A/S relinquished all rights to receive royalties based on net sales of Anti-PDGF Royalty Products. In exchange, the Company agreed to forbear from any future filing, prosecution, maintenance or enforcement of any intellectual property rights related to Anti-PDGF Royalty Products, and from granting any third party or affiliate any right or license in any such intellectual property rights or clinical study data generated by or on behalf of the Company, its affiliates or licensees or sublicensees, for the development, manufacture or commercialization of Anti-PDGF Royalty Products or any other antagonists of PDGF. The foregoing restriction does not apply to gene therapies (so long as the Company does not grant any rights or licenses to intellectual property or clinical study data related to Fovista or Fovista-Related Products). The Company further agreed, until December 31, 2028, not to develop, manufacture, seek or obtain regulatory approval for, or commercialize Anti-PDGF Royalty Products without the prior written consent of Novo Holdings A/S. The foregoing restriction does not apply to any gene therapies (so long as the Company does not utilize data related to Fovista or Fovista-Related Products).</w:t>
      </w:r>
    </w:p>
    <w:p>
      <w:pPr>
        <w:spacing w:after="0" w:line="232"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As a result of the Novo Termination Agreement, the Company has no legal obligation to repay Novo the $125.0 million through future product royalties or any other development activities. Accordingly, the Company extinguished the $125.0 million royalty purchase liability from its Consolidated Balance Sheet at December 31, 2018 and recognized a related gain of $125.0 million in its Consolidated Statements of Operations for the year ended December 31, 2018. As the Company had received the proceeds related to the royalty purchase liability in prior periods, the extinguishment of the royalty purchase liability and the related gain did not impact the Company's cash balance during this period.</w:t>
      </w:r>
    </w:p>
    <w:p>
      <w:pPr>
        <w:sectPr>
          <w:pgSz w:w="11900" w:h="16838" w:orient="portrait"/>
          <w:cols w:equalWidth="0" w:num="1">
            <w:col w:w="11400"/>
          </w:cols>
          <w:pgMar w:left="240" w:top="125" w:right="25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00"/>
          </w:cols>
          <w:pgMar w:left="240" w:top="125" w:right="25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as of December 31, 2018 and 2017 were as follows: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34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6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2017</w:t>
            </w:r>
          </w:p>
        </w:tc>
      </w:tr>
      <w:tr>
        <w:trPr>
          <w:trHeight w:val="250"/>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clinical equipment</w:t>
            </w:r>
          </w:p>
        </w:tc>
        <w:tc>
          <w:tcPr>
            <w:tcW w:w="138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rPr>
              <w:t>7 - 10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Computer, software and other office equipment</w:t>
            </w:r>
          </w:p>
        </w:tc>
        <w:tc>
          <w:tcPr>
            <w:tcW w:w="1380" w:type="dxa"/>
            <w:vAlign w:val="bottom"/>
          </w:tcPr>
          <w:p>
            <w:pPr>
              <w:jc w:val="right"/>
              <w:ind w:right="55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933</w:t>
            </w:r>
          </w:p>
        </w:tc>
      </w:tr>
      <w:tr>
        <w:trPr>
          <w:trHeight w:val="27"/>
        </w:trPr>
        <w:tc>
          <w:tcPr>
            <w:tcW w:w="6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1,345</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6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518</w:t>
            </w:r>
          </w:p>
        </w:tc>
      </w:tr>
      <w:tr>
        <w:trPr>
          <w:trHeight w:val="20"/>
        </w:trPr>
        <w:tc>
          <w:tcPr>
            <w:tcW w:w="6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years ended December 31, 2018, 2017 and 2016, depreciation expense was $0.2 million, $2.8 million and $0.8 million,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December 2017, the U.S. Tax Cuts and Jobs Act (“TCJA”) was enacted reducing the corporate tax rate from 35% to 21% effective for tax years beginning on or after January 1, 2018.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requires the effects of changes in tax laws to be recognized in the period in which the legislation is enacted. However, due to the complexity and significance of the TCJA’s provisions, the SEC staff issued SAB 118, which allows companies to record the tax effects of the TCJA on a provisional basis based on a reasonable estimate, and then, if necessary, subsequently adjust such amounts during a limited measurement period as more information becomes available. The Company recorded provisional amounts and has subsequently finalized its accounting analysis based on the guidance, interpretations, and data available as of December 31, 2018.</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TCJA, the Corporate Alternative Minimum Tax ("AMT") was repealed. The Company's previously recorded AMT credits of approximately $3.5 million are now refundable over a four-year period beginning in 2018 and the previously recorded valuation allowance for these AMT credits was reversed during the year ended December 31, 2017. The Company does not have any offshore earnings from which to record the mandatory transition tax.</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utilizes the liability method of accounting for deferred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39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Deferred income taxes reflect the net effects of temporary differences between the carrying amounts of assets and liabilities for financial reporting purposes and the amounts used for income tax purposes. A reconciliation of the statutory U.S. federal rate to the Company's effective tax rate is as follows: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 of pre-tax income:</w:t>
            </w: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U.S. federal statutory income tax rate</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Remeasurement of deferred tax assets</w:t>
            </w: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Impact of state rate changes</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w:t>
            </w: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Alternative minimum tax credit</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2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20"/>
              <w:spacing w:after="0"/>
              <w:rPr>
                <w:sz w:val="20"/>
                <w:szCs w:val="20"/>
                <w:color w:val="auto"/>
              </w:rPr>
            </w:pPr>
            <w:r>
              <w:rPr>
                <w:rFonts w:ascii="Arial" w:cs="Arial" w:eastAsia="Arial" w:hAnsi="Arial"/>
                <w:sz w:val="18"/>
                <w:szCs w:val="18"/>
                <w:color w:val="auto"/>
              </w:rPr>
              <w:t>The components of income tax benefit are as follows:</w:t>
            </w: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9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Federal</w:t>
            </w: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(23,393)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Deferred:</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22,966</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State</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(1,063)</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900" w:type="dxa"/>
            <w:vAlign w:val="bottom"/>
          </w:tcPr>
          <w:p>
            <w:pPr>
              <w:spacing w:after="0"/>
              <w:rPr>
                <w:sz w:val="24"/>
                <w:szCs w:val="24"/>
                <w:color w:val="auto"/>
              </w:rPr>
            </w:pPr>
          </w:p>
        </w:tc>
        <w:tc>
          <w:tcPr>
            <w:tcW w:w="1780" w:type="dxa"/>
            <w:vAlign w:val="bottom"/>
            <w:gridSpan w:val="3"/>
          </w:tcPr>
          <w:p>
            <w:pPr>
              <w:jc w:val="right"/>
              <w:ind w:right="820"/>
              <w:spacing w:after="0"/>
              <w:rPr>
                <w:sz w:val="20"/>
                <w:szCs w:val="20"/>
                <w:color w:val="auto"/>
              </w:rPr>
            </w:pPr>
            <w:r>
              <w:rPr>
                <w:rFonts w:ascii="Arial" w:cs="Arial" w:eastAsia="Arial" w:hAnsi="Arial"/>
                <w:sz w:val="18"/>
                <w:szCs w:val="18"/>
                <w:color w:val="auto"/>
              </w:rPr>
              <w:t>F-22</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the Company's deferred tax assets (liabilities) for 2018 and 2017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40,961</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and technology payments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8,222</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20,342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17,599</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state net operating loss carryforwards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88,766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76,309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5,933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3,782</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3,534</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122,610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151,096</w:t>
            </w: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(122,610)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(147,567)</w:t>
            </w:r>
          </w:p>
        </w:tc>
      </w:tr>
      <w:tr>
        <w:trPr>
          <w:trHeight w:val="257"/>
        </w:trPr>
        <w:tc>
          <w:tcPr>
            <w:tcW w:w="8100" w:type="dxa"/>
            <w:vAlign w:val="bottom"/>
          </w:tcPr>
          <w:p>
            <w:pPr>
              <w:ind w:left="18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3,529</w:t>
            </w:r>
          </w:p>
        </w:tc>
      </w:tr>
      <w:tr>
        <w:trPr>
          <w:trHeight w:val="20"/>
        </w:trPr>
        <w:tc>
          <w:tcPr>
            <w:tcW w:w="8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 considers whether it is more likely than not that some portion or all of the deferred tax assets will not be realized. The ultimate realization of deferred tax assets is dependent upon the generation of taxable income during the periods in which the temporary differences representing net future deductible amounts become deductible.</w:t>
      </w:r>
    </w:p>
    <w:p>
      <w:pPr>
        <w:spacing w:after="0" w:line="181"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Company incurred tax losses in 2018 and 2017. The Company realized its net deferred tax assets recorded as of December 31, 2017 in 2016 as a result of the Company’s carry back of its 2015 federal tax losses to 2014. The Company has carried forward its 2015 state tax losses due to various state restrictions on the use of carryback claims. The state NOLs are expected to begin to expire in 2027. Due to the Company’s history of losses and lack of other positive evidence to support taxable income after the 2014 tax year, the Company has recorded a valuation allowance against those remaining deferred tax assets that are not expected to be realized. As of December 31, 2018, the Company has federal NOL carryforwards of approximately $315.5 million. These losses are due to expire in 2036 and 2037.</w:t>
      </w:r>
    </w:p>
    <w:p>
      <w:pPr>
        <w:spacing w:after="0" w:line="193" w:lineRule="exact"/>
        <w:rPr>
          <w:sz w:val="20"/>
          <w:szCs w:val="20"/>
          <w:color w:val="auto"/>
        </w:rPr>
      </w:pPr>
    </w:p>
    <w:p>
      <w:pPr>
        <w:jc w:val="both"/>
        <w:ind w:right="40" w:firstLine="405"/>
        <w:spacing w:after="0" w:line="288" w:lineRule="auto"/>
        <w:rPr>
          <w:sz w:val="20"/>
          <w:szCs w:val="20"/>
          <w:color w:val="auto"/>
        </w:rPr>
      </w:pPr>
      <w:r>
        <w:rPr>
          <w:rFonts w:ascii="Arial" w:cs="Arial" w:eastAsia="Arial" w:hAnsi="Arial"/>
          <w:sz w:val="16"/>
          <w:szCs w:val="16"/>
          <w:color w:val="auto"/>
        </w:rPr>
        <w:t>For the year ended December 31, 2018, the Company recorded a benefit from income of $1.1 million which primarily related to the settlement of a local tax audit. For the year ended December 31, 2017, the Company recorded a benefit from income of $4.7 million which was related to a $3.5 million reduction in its valuation allowances for AMT credits to reflect the impact of the TCJA enactment and the settlement of a state franchise tax audit for $1.4</w:t>
      </w:r>
    </w:p>
    <w:p>
      <w:pPr>
        <w:ind w:right="360"/>
        <w:spacing w:after="0" w:line="255" w:lineRule="auto"/>
        <w:rPr>
          <w:sz w:val="20"/>
          <w:szCs w:val="20"/>
          <w:color w:val="auto"/>
        </w:rPr>
      </w:pPr>
      <w:r>
        <w:rPr>
          <w:rFonts w:ascii="Arial" w:cs="Arial" w:eastAsia="Arial" w:hAnsi="Arial"/>
          <w:sz w:val="18"/>
          <w:szCs w:val="18"/>
          <w:color w:val="auto"/>
        </w:rPr>
        <w:t>million, partially offset by the reversal of previously recorded benefits related to the change in unrealized gains of the Company's investment portfolio. During 2018, the Company reclassified the $3.5 million related to AMT credits to a non-current income tax receivable as it expects to receive the refunds over the next four years.</w:t>
      </w:r>
    </w:p>
    <w:p>
      <w:pPr>
        <w:spacing w:after="0" w:line="190"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Although the Company generated net income before income taxes for the years ended December 31, 2018 and 2017, this income is due to the Novo Termination Agreement and the July 2017 Letter Agreement with Novartis which had previously been recorded on the Company's federal and state income tax returns. This recognition of income resulted in the reduction of a deferred tax asset that was completely offset by a previously recorded valuation allowance. With respect to the remaining deferred tax assets, except for the AMT credits previously discussed above, there was no change in the amount of assets realizable at December 31, 2018.</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the second quarter of 2017, the IRS concluded an audit of the Company’s U.S. federal income tax returns for the years 2013, 2014 and 2015, resulting in an immaterial amount of additional tax due. Federal NOLs for 2016 and general business credits generated between 2007 and 2016 remain subject to audit.</w:t>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125" w:right="23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39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Pursuant to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routinely evaluates the likelihood of success if challenged on income tax positions claimed on its income tax returns. During the year ended December 31, 2018, the Company reduced certain deferred tax assets by $25.0 million and reduced the corresponding valuation allowance by an equivalent amount. Additionally, the Company amended certain state income tax returns to claim a refund for taxes previously paid. These claims may result in refunds to the Company of up to approximately $5.0 million. These items have not been recognized in the financial statements and if disallowed by the tax authorities, would not result in an adjustment to the Company’s effective tax rate, its balance sheet or its cash flow statements for the current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ind w:left="420"/>
              <w:spacing w:after="0"/>
              <w:rPr>
                <w:sz w:val="20"/>
                <w:szCs w:val="20"/>
                <w:color w:val="auto"/>
              </w:rPr>
            </w:pPr>
            <w:r>
              <w:rPr>
                <w:rFonts w:ascii="Arial" w:cs="Arial" w:eastAsia="Arial" w:hAnsi="Arial"/>
                <w:sz w:val="18"/>
                <w:szCs w:val="18"/>
                <w:color w:val="auto"/>
              </w:rPr>
              <w:t>The Company's position with respect to uncertain tax positions is set forth below:</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35"/>
        </w:trPr>
        <w:tc>
          <w:tcPr>
            <w:tcW w:w="9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16,881</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Gross amount of increases in unrecognized tax benefits during the period - current year provisions</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 of increases in unrecognized tax benefits during the period - prior year provisions</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Gross amount of decreases in unrecognized tax benefits during the period - other</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(1,413)</w:t>
            </w:r>
          </w:p>
        </w:tc>
      </w:tr>
      <w:tr>
        <w:trPr>
          <w:trHeight w:val="27"/>
        </w:trPr>
        <w:tc>
          <w:tcPr>
            <w:tcW w:w="9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due to settlement with tax authorities during the period</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Reduction of unrecognized tax benefits due to expiration of the state of limitations during the period</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Closing Balance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13,983</w:t>
            </w:r>
          </w:p>
        </w:tc>
      </w:tr>
      <w:tr>
        <w:trPr>
          <w:trHeight w:val="20"/>
        </w:trPr>
        <w:tc>
          <w:tcPr>
            <w:tcW w:w="9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the Company is currently being audited by the New Jersey Division of Taxation, an estimate of unrecognized tax benefits that may be realized over the next twelve months is expected to be in the range of zero to approximately $5.0 million.</w:t>
      </w:r>
    </w:p>
    <w:p>
      <w:pPr>
        <w:spacing w:after="0" w:line="17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periodic basis and will adjust such amounts in light of changing facts and circumstances including, but not limited to, future projections of taxable income, tax legislation, rulings by relevant tax authorities, the progress of ongoing tax audits and the regulatory approval of product candidates currently under development. Any additional changes to the valuation allowance recorded on deferred tax assets in the future would impact the Company’s income taxes.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Leases</w:t>
      </w:r>
    </w:p>
    <w:p>
      <w:pPr>
        <w:spacing w:after="0" w:line="283" w:lineRule="exact"/>
        <w:rPr>
          <w:sz w:val="20"/>
          <w:szCs w:val="20"/>
          <w:color w:val="auto"/>
        </w:rPr>
      </w:pPr>
    </w:p>
    <w:p>
      <w:pPr>
        <w:jc w:val="both"/>
        <w:ind w:right="300" w:firstLine="432"/>
        <w:spacing w:after="0" w:line="286" w:lineRule="auto"/>
        <w:rPr>
          <w:sz w:val="20"/>
          <w:szCs w:val="20"/>
          <w:color w:val="auto"/>
        </w:rPr>
      </w:pPr>
      <w:r>
        <w:rPr>
          <w:rFonts w:ascii="Arial" w:cs="Arial" w:eastAsia="Arial" w:hAnsi="Arial"/>
          <w:sz w:val="17"/>
          <w:szCs w:val="17"/>
          <w:color w:val="auto"/>
        </w:rPr>
        <w:t>The Company leases office space located in New York, New York and Princeton, New Jersey under operating lease arrangements. The lease for the Company's New York office space expires at the end of June 2020, whereas the sublease for the Company's Princeton office space expires in March 2020. Future minimum rental commitments under non-cancelable operating leases in effect as of December 31, 2018, are as follows: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98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1,544</w:t>
            </w:r>
          </w:p>
        </w:tc>
      </w:tr>
      <w:tr>
        <w:trPr>
          <w:trHeight w:val="20"/>
        </w:trPr>
        <w:tc>
          <w:tcPr>
            <w:tcW w:w="9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Rent expense is calculated on the straight-line basis and amounted to $0.8 million, $3.6 million and $3.0 million for the years ended December 31, 2018, 2017 and 2016,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Archemix Corp.</w:t>
      </w:r>
    </w:p>
    <w:p>
      <w:pPr>
        <w:spacing w:after="0" w:line="14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is party to an agreement (the "C5 License Agreement") with Archemix Corp. ("Archemix"), under which the Company in-licensed rights in certain patents, patent applications and other intellectual property related to Zimura and pursuant to which the Company may be required to pay sublicense fees and make milestone payments. Under the C5 License Agreement, for each anti-C5 aptamer product that the Company may develop under the agreement, including Zimura, the Company is obligated to make payments to Archemix of up to an aggregate of $57.5 million if the Company achieves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125" w:right="2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specified development, clinical and regulatory milestones, with $30.5 million of such payments relating to a first indication, $24.5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Florida and the University of Pennsylvania</w:t>
      </w:r>
    </w:p>
    <w:p>
      <w:pPr>
        <w:spacing w:after="0" w:line="2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the RHO-adRP License Agreement, the Company is obligated to make payments to UFRF, on behalf of both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on behalf of both Licensors, a running royalty equal to a low single-digit percentage of net sales of licensed products. The Company is also obligated to pay UFRF, on behalf of both Licensors, a double-digit percentage of specified non-royalty payments the Company may receive from any third party sublicensee of the licensed patent rights.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on behalf of both Licensors, aggregate payments in the low double-digit millions of dollars based on certain approval and commercial sales milestones with respect to such other product. In addition, if the Company sells such a priority review voucher to a third party, the Company will be obligated to pay UFRF, on behalf of both Licensors, a low double-digit percentage of any consideration received from such third party in connection with such sale.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Equityholders of Inception 4</w:t>
      </w:r>
    </w:p>
    <w:p>
      <w:pPr>
        <w:spacing w:after="0" w:line="144" w:lineRule="exact"/>
        <w:rPr>
          <w:sz w:val="20"/>
          <w:szCs w:val="20"/>
          <w:color w:val="auto"/>
        </w:rPr>
      </w:pPr>
    </w:p>
    <w:p>
      <w:pPr>
        <w:ind w:right="200" w:firstLine="648"/>
        <w:spacing w:after="0" w:line="268" w:lineRule="auto"/>
        <w:rPr>
          <w:sz w:val="20"/>
          <w:szCs w:val="20"/>
          <w:color w:val="auto"/>
        </w:rPr>
      </w:pPr>
      <w:r>
        <w:rPr>
          <w:rFonts w:ascii="Arial" w:cs="Arial" w:eastAsia="Arial" w:hAnsi="Arial"/>
          <w:sz w:val="17"/>
          <w:szCs w:val="17"/>
          <w:color w:val="auto"/>
        </w:rPr>
        <w:t>Under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a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the Company's common stock as of the close of business on the business day prior to the closing date,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2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2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in the course of normal business operations, the Company has agreements with contract service providers to assist in the performance of the Company’s research and development and manufacturing activities. Expenditures to CROs, CMOs and academic research institutions represent significant costs in preclinical and clinical development. Subject to required notice periods and the Company’s obligations under binding purchase orders and any cancellation fees that the Company may</w:t>
      </w:r>
    </w:p>
    <w:p>
      <w:pPr>
        <w:sectPr>
          <w:pgSz w:w="11900" w:h="16838" w:orient="portrait"/>
          <w:cols w:equalWidth="0" w:num="1">
            <w:col w:w="11420"/>
          </w:cols>
          <w:pgMar w:left="240" w:top="472"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472" w:right="239" w:bottom="1440" w:gutter="0" w:footer="0" w:header="0"/>
          <w:type w:val="continuous"/>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be obligated to pay, the Company can elect to discontinue the work under these agreements at any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On March 9, 2017, a related putative class action lawsuit was filed against the Company and the same group of its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That motion is fully briefed.</w:t>
      </w:r>
    </w:p>
    <w:p>
      <w:pPr>
        <w:spacing w:after="0" w:line="22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February 7, 2018, a shareholder derivative action was filed against the members of the Company’s Board of Directors in the New York Supreme Court Commercial Division, captioned Cano v. Guyer, et al., No. 650601/2018. The complaint alleges that the defendants breached their fiduciary duties to the Company by adopting a compensation plan that overcompensates the non-employee members of the Board relative to boards of companies of comparable market capitalization and size. The complaint also alleges that the defendants were unjustly enriched as a result of the alleged conduct. The complaint purports to seek unspecified damages, on behalf of the Company, attorneys’ fees, and other costs, as well as an order directing the Company to reform and improve its corporate governance and internal procedures to comply with applicable laws. The Company filed a motion to dismiss this case on May 14, 2018. On June 4, 2018, the plaintiff filed an amended complaint. On June 25, 2018, the Company filed a renewed motion to dismiss this case. On December 3, 2018, the parties filed a stipulation of settlement that contemplates that the Company will adopt certain compensation-related governance reforms and does not obligate the defendants or the Company to pay any monetary damages. In addition, the Company expects it may be liable to pay approximately $0.3 million in fees to plaintiff's counsel. A hearing to determine whether the court will approve the settlement is scheduled for March 12, 2019.</w:t>
      </w:r>
    </w:p>
    <w:p>
      <w:pPr>
        <w:spacing w:after="0" w:line="22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The plaintiff filed its opposition to the motion to dismiss on February 22, 2019, and the Company’s reply is due on April 3, 2019.</w:t>
      </w:r>
    </w:p>
    <w:p>
      <w:pPr>
        <w:spacing w:after="0" w:line="22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72" w:right="2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denies any and all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Compensation Plans</w:t>
      </w:r>
    </w:p>
    <w:p>
      <w:pPr>
        <w:spacing w:after="0" w:line="283"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The Company adopted its 2007 Stock Incentive Plan (the "2007 Plan") for employees, non-employee directors and consultants for the purpose of advancing the interests of the Company's stockholders by enhancing its ability to attract, retain and motivate persons who are expected to make important contributions to the Company. The 2007 Plan provided for the granting of stock option awards, RSUs, and other stock-based and cash-based awards. Following the effectiveness of the 2013 Stock Incentive Plan described below in connection with the closing of the Company's initial public offering, the Company is no longer granting additional awards under the 2007 Plan.</w:t>
      </w:r>
    </w:p>
    <w:p>
      <w:pPr>
        <w:spacing w:after="0" w:line="242"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August 2013, the Company's board of directors adopted, and the Company's stockholders approved, the 2013 Stock Incentive Plan (the "2013 Plan"), which became effective immediately prior to the closing of the Company's initial public offering. In June 2015, the Company’s board of directors adopted a first amendment to the 2013 Plan. The 2013 Plan provides for the grant of incentive stock options, nonstatutory stock options, stock appreciation rights, RSUs, restricted stock awards and other stock-based awards. Upon the effectiveness of the 2013 Plan, the number of shares of the Company's common stock that were reserved for issuance under the 2013 Plan was the sum of (1) a number of shares (up to a maximum of approximately 3,359,641 shares) that is equal to the sum of 739,317 shares (the number of shares of the Company's common stock then available for issuance under the 2007 Plan), and such number of shares of the Company's common stock that are subject to outstanding awards under the 2007 Plan that expire, terminate or are otherwise surrendered, canceled, forfeited or repurchased by the Company at their original issuance price pursuant to a contractual repurchase right, plus (2) an annual increase, to be added the first business day of each fiscal year, beginning with the fiscal year ending December 31, 2014 and continuing until, and including, the fiscal year ending December 31, 2023, equal to the lowest of 2,542,372 shares of the Company's common stock, 4% of the number of shares of the Company's common stock outstanding on the first day of the fiscal year and an amount determined by its board of directors. The Company's employees, officers, directors, consultants and advisors are eligible to receive awards under the 2013 Plan. However, incentive stock options may only be granted to employees of the Company.</w:t>
      </w:r>
    </w:p>
    <w:p>
      <w:pPr>
        <w:spacing w:after="0" w:line="107"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Annual increases under the evergreen provisions of the 2013 Plan have resulted in the addition of an aggregate of approximately 8,554,000 additional shares to the 2013 Plan, including for 2019, an increase of approximately 1,656,000 shares, or 4% of the total number of shares of the Company's common stock outstanding as of January 1, 2019. As of December 31, 2018, the Company had approximately 840,000 shares available for grant under the 2013 Plan.</w:t>
      </w:r>
    </w:p>
    <w:p>
      <w:pPr>
        <w:spacing w:after="0" w:line="14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April 2016, the board of directors adopted the ESPP pursuant to which the Company may sell up to an aggregate of 1,000,000 shares of common stock. The ESPP was approved by the Company’s stockholders in June 2016. The ESPP allows eligible employees to purchase common stock at a price per share equal to 85% of the lower of the fair market value of the common stock at the beginning or end of each six month offering period during the term of the ESPP. The first offering period began in September 2016.</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72"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Compensation Plans (Continued)</w:t>
      </w:r>
    </w:p>
    <w:p>
      <w:pPr>
        <w:spacing w:after="0" w:line="39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December 31, 2018, 2017 and 2016 is as follows (in thousands except weighted average exercise price):</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2018</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3,359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3,009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1,293</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3,024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972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Expired or 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(674)</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36.54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5,284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19.58</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3,359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31730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r>
      <w:tr>
        <w:trPr>
          <w:trHeight w:val="25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31, 2018</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1,531</w:t>
            </w: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Weighted average grant date fair value (per share) of options granted during the period  $</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38.18</w:t>
            </w:r>
          </w:p>
        </w:tc>
      </w:tr>
    </w:tbl>
    <w:p>
      <w:pPr>
        <w:spacing w:after="0" w:line="229"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As of December 31, 2018, there were approximately 5,615,000 options outstanding, net of estimated forfeitures, that had vested or are expected to vest. The weighted-average exercise price of these options was $14.17 per option; the weighted-average remaining contractual life of these options was 7.8 years; and the aggregate intrinsic value of these options was de minimis. A summary of the stock options outstanding and exercisable as of December 31, 2018 is as follows (in thousands except exercise prices and weighted average exercise price):</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0" w:type="dxa"/>
            <w:vAlign w:val="bottom"/>
            <w:tcBorders>
              <w:bottom w:val="single" w:sz="8" w:color="auto"/>
            </w:tcBorders>
            <w:gridSpan w:val="5"/>
          </w:tcPr>
          <w:p>
            <w:pPr>
              <w:jc w:val="right"/>
              <w:ind w:right="577"/>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040" w:type="dxa"/>
            <w:vAlign w:val="bottom"/>
            <w:vMerge w:val="restart"/>
          </w:tcPr>
          <w:p>
            <w:pPr>
              <w:jc w:val="center"/>
              <w:ind w:left="154"/>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left="188"/>
              <w:spacing w:after="0" w:line="15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040" w:type="dxa"/>
            <w:vAlign w:val="bottom"/>
          </w:tcPr>
          <w:p>
            <w:pPr>
              <w:jc w:val="center"/>
              <w:ind w:left="154"/>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154"/>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Exercisable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$0.12-$10.03</w:t>
            </w:r>
          </w:p>
        </w:tc>
        <w:tc>
          <w:tcPr>
            <w:tcW w:w="1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4,231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$10.04-$20.00</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133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$20.01-$30.00</w:t>
            </w:r>
          </w:p>
        </w:tc>
        <w:tc>
          <w:tcPr>
            <w:tcW w:w="1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$30.01-$40.00</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680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$40.01-$55.00</w:t>
            </w:r>
          </w:p>
        </w:tc>
        <w:tc>
          <w:tcPr>
            <w:tcW w:w="1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$55.01-$73.22</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72.32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188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5,903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2,709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Intrinsic Value</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680" w:type="dxa"/>
            <w:vAlign w:val="bottom"/>
          </w:tcPr>
          <w:p>
            <w:pPr>
              <w:spacing w:after="0"/>
              <w:rPr>
                <w:sz w:val="24"/>
                <w:szCs w:val="24"/>
                <w:color w:val="auto"/>
              </w:rPr>
            </w:pPr>
          </w:p>
        </w:tc>
        <w:tc>
          <w:tcPr>
            <w:tcW w:w="2400" w:type="dxa"/>
            <w:vAlign w:val="bottom"/>
            <w:gridSpan w:val="4"/>
          </w:tcPr>
          <w:p>
            <w:pPr>
              <w:ind w:left="840"/>
              <w:spacing w:after="0"/>
              <w:rPr>
                <w:sz w:val="20"/>
                <w:szCs w:val="20"/>
                <w:color w:val="auto"/>
              </w:rPr>
            </w:pPr>
            <w:r>
              <w:rPr>
                <w:rFonts w:ascii="Arial" w:cs="Arial" w:eastAsia="Arial" w:hAnsi="Arial"/>
                <w:sz w:val="18"/>
                <w:szCs w:val="18"/>
                <w:color w:val="auto"/>
              </w:rPr>
              <w:t>F-28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Compensation Plans (Continued)</w:t>
      </w:r>
    </w:p>
    <w:p>
      <w:pPr>
        <w:spacing w:after="0" w:line="200" w:lineRule="exact"/>
        <w:rPr>
          <w:sz w:val="20"/>
          <w:szCs w:val="20"/>
          <w:color w:val="auto"/>
        </w:rPr>
      </w:pPr>
    </w:p>
    <w:p>
      <w:pPr>
        <w:spacing w:after="0" w:line="326"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Cash proceeds from, and the aggregate intrinsic value of, stock options exercised during the years ended December 31, 2018, 2017 and 2016, respectively,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proceeds from options exercised</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6,934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Aggregate intrinsic value of options exercised</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14,439</w:t>
            </w:r>
          </w:p>
        </w:tc>
      </w:tr>
    </w:tbl>
    <w:p>
      <w:pPr>
        <w:spacing w:after="0" w:line="283"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connection with stock option awards granted to employees, the Company recognized approximately $7.6 million, $13.1 million and $22.8 million in share-based compensation expense during the years ended December 31, 2018, 2017 and 2016, respectively, net of expected forfeitures. As of December 31, 2018, there were approximately $9.0 million of unrecognized compensation costs, net of estimated forfeitures, related to stock option awards granted to employees, which are expected to be recognized over a remaining weighted average period of 2.1 years.</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connection with stock option awards granted to consultants, the Company recognized approximately $0.2 million, $0.3 million and $1.7 million in share-based compensation expense during the years ended December 31, 2018, 2017 and 2016, respectively, net of expected forfeitures. As of December 31, 2018, there were approximately $0.2 million of unrecognized compensation costs, net of estimated forfeitures, related to stock option awards granted to consultants, which are expected to be recognized over a remaining weighted average period of 1.7 years.</w:t>
      </w:r>
    </w:p>
    <w:p>
      <w:pPr>
        <w:spacing w:after="0" w:line="9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December 31, 2018 (in thousands except weighted average grant-date fair value):</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Restricted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7640" w:type="dxa"/>
            <w:vAlign w:val="bottom"/>
          </w:tcPr>
          <w:p>
            <w:pPr>
              <w:spacing w:after="0"/>
              <w:rPr>
                <w:sz w:val="12"/>
                <w:szCs w:val="12"/>
                <w:color w:val="auto"/>
              </w:rPr>
            </w:pPr>
          </w:p>
        </w:tc>
        <w:tc>
          <w:tcPr>
            <w:tcW w:w="132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9"/>
              </w:rPr>
              <w:t>Grant-Date</w:t>
            </w:r>
          </w:p>
        </w:tc>
      </w:tr>
      <w:tr>
        <w:trPr>
          <w:trHeight w:val="192"/>
        </w:trPr>
        <w:tc>
          <w:tcPr>
            <w:tcW w:w="76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2017</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51.08</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Awarded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499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1.45</w:t>
            </w:r>
          </w:p>
        </w:tc>
      </w:tr>
      <w:tr>
        <w:trPr>
          <w:trHeight w:val="27"/>
        </w:trPr>
        <w:tc>
          <w:tcPr>
            <w:tcW w:w="7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46.25</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45.57</w:t>
            </w:r>
          </w:p>
        </w:tc>
      </w:tr>
      <w:tr>
        <w:trPr>
          <w:trHeight w:val="27"/>
        </w:trPr>
        <w:tc>
          <w:tcPr>
            <w:tcW w:w="76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2018</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15.61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As of December 31, 2018, there were approximately 550,000 RSUs outstanding, net of estimated forfeitures, that are expected to vest. The weighted-average fair value of these RSUs was $10.36 per share; and the aggregate intrinsic value of these RSUs was approximately $0.7 million.</w:t>
      </w:r>
    </w:p>
    <w:p>
      <w:pPr>
        <w:spacing w:after="0" w:line="14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connection with RSUs granted to employees, the Company recognized approximately $3.3 million, $4.4 million and $6.9 million in share-based compensation expense during the years ended December 31, 2018, 2017 and 2016, respectively, net of expected forfeitures. As of December 31, 2018, there was approximately $3.2 million of unrecognized compensation costs, net of estimated forfeitures, related to RSUs granted to employees, which are expected to be recognized over a remaining weighted average period of 1.8 years. The total fair value of the RSUs that vested during the year ended December 31, 2018 was $3.4 million.</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connection with RSUs granted to consultants, the Company recognized a de minimis amount in share-based compensation expense during the year ended December 31, 2018, net of expected forfeitures. In connection with RSUs granted to consultants, the Company recognized approximately $0.3 million in share-based compensation expense during the year ended December 31, 2017. As of December 31, 2018, there were approximately $0.1 million of unrecognized compensation costs, net of estimated forfeitures, related to RSUs granted to consultants, which are expected to be recognized over a remaining weighted average period of 1.0 years.</w:t>
      </w:r>
    </w:p>
    <w:p>
      <w:pPr>
        <w:spacing w:after="0" w:line="188" w:lineRule="exact"/>
        <w:rPr>
          <w:sz w:val="20"/>
          <w:szCs w:val="20"/>
          <w:color w:val="auto"/>
        </w:rPr>
      </w:pPr>
    </w:p>
    <w:p>
      <w:pPr>
        <w:ind w:right="1020" w:firstLine="405"/>
        <w:spacing w:after="0" w:line="277" w:lineRule="auto"/>
        <w:rPr>
          <w:sz w:val="20"/>
          <w:szCs w:val="20"/>
          <w:color w:val="auto"/>
        </w:rPr>
      </w:pPr>
      <w:r>
        <w:rPr>
          <w:rFonts w:ascii="Arial" w:cs="Arial" w:eastAsia="Arial" w:hAnsi="Arial"/>
          <w:sz w:val="18"/>
          <w:szCs w:val="18"/>
          <w:color w:val="auto"/>
        </w:rPr>
        <w:t>In connection with the ESPP made available to employees, the Company recognized a de minimis amount and $0.1 million of share-based compensation expense during the years ended December 31, 2018 and December 31, 2017,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25"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Compensation Plans (Continued)</w:t>
      </w:r>
    </w:p>
    <w:p>
      <w:pPr>
        <w:spacing w:after="0" w:line="39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of expected forfeitures. As of December 31, 2018, there was a de minimis amount of unrecognized compensation costs, net of estimated forfeitures, related to the ESPP, which are expected to be recognized over 0.3 years. There were 31,413 shares of common stock issued under the ESPP during the year ended December 31, 2018. Cash proceeds from ESPP purchases were $65 thousand during the year ended December 31, 2018. There were 16,358 shares of common stock issued under the ESPP during the year ended December 31, 2017. As of December 31, 2018, 952,229 shares were available for future purchases under the ESPP.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229" w:lineRule="exact"/>
        <w:rPr>
          <w:sz w:val="20"/>
          <w:szCs w:val="20"/>
          <w:color w:val="auto"/>
        </w:rPr>
      </w:pPr>
    </w:p>
    <w:p>
      <w:pPr>
        <w:ind w:right="300" w:firstLine="432"/>
        <w:spacing w:after="0" w:line="312" w:lineRule="auto"/>
        <w:rPr>
          <w:sz w:val="20"/>
          <w:szCs w:val="20"/>
          <w:color w:val="auto"/>
        </w:rPr>
      </w:pPr>
      <w:r>
        <w:rPr>
          <w:rFonts w:ascii="Arial" w:cs="Arial" w:eastAsia="Arial" w:hAnsi="Arial"/>
          <w:sz w:val="16"/>
          <w:szCs w:val="16"/>
          <w:color w:val="auto"/>
        </w:rPr>
        <w:t>The Company maintains a defined contribution 401(k) plan available to employees. Employee contributions are voluntary and are determined on an individual basis, limited by the maximum amounts allowable under federal tax regulations. The Company's matching contributions to employees totaled approximately $0.2 million, $0.7 million and $0.8 million during the years ended December 31, 2018, 2017 and 2016,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Activities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December 2016, the Company announced its intention to implement a reduction in personnel to focus on an updated business plan. In January 2017, the board of directors approved a plan to implement a reduction in personnel involving approximately 80% of the Company’s workforce based on the number of employees at the time the plan was approved. The reduction in personnel was substantially completed during 2017 with a limited number of departing employees receiving severance payments during 2018.</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2018, the Company had completed its reduction in personnel and the payment of its remaining accrued severance and other employee costs. The following is a reconciliation of the severance-related accrual activity for the year ended December 31, 2018:</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12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w w:val="90"/>
              </w:rPr>
              <w:t>Accrued Severance and Other</w:t>
            </w:r>
          </w:p>
        </w:tc>
      </w:tr>
      <w:tr>
        <w:trPr>
          <w:trHeight w:val="230"/>
        </w:trPr>
        <w:tc>
          <w:tcPr>
            <w:tcW w:w="9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450"/>
              <w:spacing w:after="0"/>
              <w:rPr>
                <w:sz w:val="20"/>
                <w:szCs w:val="20"/>
                <w:color w:val="auto"/>
              </w:rPr>
            </w:pPr>
            <w:r>
              <w:rPr>
                <w:rFonts w:ascii="Arial" w:cs="Arial" w:eastAsia="Arial" w:hAnsi="Arial"/>
                <w:sz w:val="18"/>
                <w:szCs w:val="18"/>
                <w:color w:val="auto"/>
              </w:rPr>
              <w:t>Employee Costs</w:t>
            </w:r>
          </w:p>
        </w:tc>
      </w:tr>
      <w:tr>
        <w:trPr>
          <w:trHeight w:val="27"/>
        </w:trPr>
        <w:tc>
          <w:tcPr>
            <w:tcW w:w="9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2,529</w:t>
            </w:r>
          </w:p>
        </w:tc>
      </w:tr>
      <w:tr>
        <w:trPr>
          <w:trHeight w:val="243"/>
        </w:trPr>
        <w:tc>
          <w:tcPr>
            <w:tcW w:w="9120" w:type="dxa"/>
            <w:vAlign w:val="bottom"/>
          </w:tcPr>
          <w:p>
            <w:pPr>
              <w:ind w:left="160"/>
              <w:spacing w:after="0"/>
              <w:rPr>
                <w:sz w:val="20"/>
                <w:szCs w:val="20"/>
                <w:color w:val="auto"/>
              </w:rPr>
            </w:pPr>
            <w:r>
              <w:rPr>
                <w:rFonts w:ascii="Arial" w:cs="Arial" w:eastAsia="Arial" w:hAnsi="Arial"/>
                <w:sz w:val="18"/>
                <w:szCs w:val="18"/>
                <w:color w:val="auto"/>
              </w:rPr>
              <w:t>Accrued restructuring expenses</w:t>
            </w:r>
          </w:p>
        </w:tc>
        <w:tc>
          <w:tcPr>
            <w:tcW w:w="3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9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Financial Information (unaudited)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quarterly results of operations for the years ended December 31, 2018 and 2017:</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6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8,516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9,407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16,128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5,667</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104,114</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2.62</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r>
      <w:tr>
        <w:trPr>
          <w:trHeight w:val="675"/>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F-30</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OPHTHOTECH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Financial Information (unaudited)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22"/>
                <w:szCs w:val="22"/>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2"/>
                <w:szCs w:val="22"/>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206,654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7,946</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6,913</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188,888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(14,859)</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(9,542)</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459"/>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F-31</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color w:val="auto"/>
        </w:rPr>
        <w:t>Exhibit 21.1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Subsidiaries of Ophthotech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of December 31, 2018</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Orion Ophthalmology LLC, a Delaware limited liability company,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9" w:name="page150"/>
    <w:bookmarkEnd w:id="149"/>
    <w:p>
      <w:pPr>
        <w:ind w:left="10220"/>
        <w:spacing w:after="0"/>
        <w:rPr>
          <w:sz w:val="20"/>
          <w:szCs w:val="20"/>
          <w:color w:val="auto"/>
        </w:rPr>
      </w:pPr>
      <w:r>
        <w:rPr>
          <w:rFonts w:ascii="Arial" w:cs="Arial" w:eastAsia="Arial" w:hAnsi="Arial"/>
          <w:sz w:val="15"/>
          <w:szCs w:val="15"/>
          <w:b w:val="1"/>
          <w:bCs w:val="1"/>
          <w:color w:val="auto"/>
        </w:rPr>
        <w:t>Exhibit 23.1</w:t>
      </w:r>
    </w:p>
    <w:p>
      <w:pPr>
        <w:spacing w:after="0" w:line="44" w:lineRule="exact"/>
        <w:rPr>
          <w:sz w:val="20"/>
          <w:szCs w:val="20"/>
          <w:color w:val="auto"/>
        </w:rPr>
      </w:pPr>
    </w:p>
    <w:p>
      <w:pPr>
        <w:ind w:right="2880" w:firstLine="2533"/>
        <w:spacing w:after="0" w:line="298"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28" w:lineRule="exact"/>
        <w:rPr>
          <w:sz w:val="20"/>
          <w:szCs w:val="20"/>
          <w:color w:val="auto"/>
        </w:rPr>
      </w:pPr>
    </w:p>
    <w:p>
      <w:pPr>
        <w:ind w:left="340" w:hanging="328"/>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Registration Statement (Form S-3 No. 333-226497) of Ophthotech Corporation effective August 15, 2018,</w:t>
      </w:r>
    </w:p>
    <w:p>
      <w:pPr>
        <w:spacing w:after="0" w:line="194" w:lineRule="exact"/>
        <w:rPr>
          <w:rFonts w:ascii="Arial" w:cs="Arial" w:eastAsia="Arial" w:hAnsi="Arial"/>
          <w:sz w:val="16"/>
          <w:szCs w:val="16"/>
          <w:color w:val="auto"/>
        </w:rPr>
      </w:pPr>
    </w:p>
    <w:p>
      <w:pPr>
        <w:ind w:left="340" w:hanging="328"/>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Registration Statement (Form S-8 No. 333-223537) pertaining to the 2013 Stock Incentive Plan of Ophthotech Corporation effective March 9, 2018,</w:t>
      </w:r>
    </w:p>
    <w:p>
      <w:pPr>
        <w:spacing w:after="0" w:line="194" w:lineRule="exact"/>
        <w:rPr>
          <w:rFonts w:ascii="Arial" w:cs="Arial" w:eastAsia="Arial" w:hAnsi="Arial"/>
          <w:sz w:val="16"/>
          <w:szCs w:val="16"/>
          <w:color w:val="auto"/>
        </w:rPr>
      </w:pPr>
    </w:p>
    <w:p>
      <w:pPr>
        <w:ind w:left="340" w:hanging="328"/>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Registration Statement (Form S-8 No. 333-219656) pertaining to the 2013 Stock Incentive Plan of Ophthotech Corporation effective August 3, 2017,</w:t>
      </w:r>
    </w:p>
    <w:p>
      <w:pPr>
        <w:spacing w:after="0" w:line="194" w:lineRule="exact"/>
        <w:rPr>
          <w:rFonts w:ascii="Arial" w:cs="Arial" w:eastAsia="Arial" w:hAnsi="Arial"/>
          <w:sz w:val="16"/>
          <w:szCs w:val="16"/>
          <w:color w:val="auto"/>
        </w:rPr>
      </w:pPr>
    </w:p>
    <w:p>
      <w:pPr>
        <w:ind w:left="340" w:hanging="328"/>
        <w:spacing w:after="0"/>
        <w:tabs>
          <w:tab w:leader="none" w:pos="3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Registration Statement (Form S-8 No. 333-211916) pertaining to the 2016 Employee Stock Purchase Plan of Ophthotech Corporation effective June 8, 2016,</w:t>
      </w:r>
    </w:p>
    <w:p>
      <w:pPr>
        <w:spacing w:after="0" w:line="205" w:lineRule="exact"/>
        <w:rPr>
          <w:rFonts w:ascii="Arial" w:cs="Arial" w:eastAsia="Arial" w:hAnsi="Arial"/>
          <w:sz w:val="15"/>
          <w:szCs w:val="15"/>
          <w:color w:val="auto"/>
        </w:rPr>
      </w:pPr>
    </w:p>
    <w:p>
      <w:pPr>
        <w:ind w:left="340" w:right="360" w:hanging="328"/>
        <w:spacing w:after="0" w:line="275"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Registration Statement (Form S-8 No. 333-208893) pertaining to the 2013 Stock Incentive Plan and inducement stock option grants of Ophthotech Corporation, effective January 6, 2016,</w:t>
      </w:r>
    </w:p>
    <w:p>
      <w:pPr>
        <w:spacing w:after="0" w:line="145" w:lineRule="exact"/>
        <w:rPr>
          <w:rFonts w:ascii="Arial" w:cs="Arial" w:eastAsia="Arial" w:hAnsi="Arial"/>
          <w:sz w:val="16"/>
          <w:szCs w:val="16"/>
          <w:color w:val="auto"/>
        </w:rPr>
      </w:pPr>
    </w:p>
    <w:p>
      <w:pPr>
        <w:ind w:left="340" w:right="360" w:hanging="328"/>
        <w:spacing w:after="0" w:line="275"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Registration Statement (Form S-8 No. 333-202438) pertaining to the 2013 Stock Incentive Plan and inducement stock option grants of Ophthotech Corporation, effective March 2, 2015,</w:t>
      </w:r>
    </w:p>
    <w:p>
      <w:pPr>
        <w:spacing w:after="0" w:line="145" w:lineRule="exact"/>
        <w:rPr>
          <w:rFonts w:ascii="Arial" w:cs="Arial" w:eastAsia="Arial" w:hAnsi="Arial"/>
          <w:sz w:val="16"/>
          <w:szCs w:val="16"/>
          <w:color w:val="auto"/>
        </w:rPr>
      </w:pPr>
    </w:p>
    <w:p>
      <w:pPr>
        <w:ind w:left="340" w:hanging="328"/>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Registration Statement (Form S-8 No. 333-193694) pertaining to the 2013 Stock Incentive Plan of Ophthotech Corporation, effective January 31, 2014,</w:t>
      </w:r>
    </w:p>
    <w:p>
      <w:pPr>
        <w:spacing w:after="0" w:line="194" w:lineRule="exact"/>
        <w:rPr>
          <w:rFonts w:ascii="Arial" w:cs="Arial" w:eastAsia="Arial" w:hAnsi="Arial"/>
          <w:sz w:val="16"/>
          <w:szCs w:val="16"/>
          <w:color w:val="auto"/>
        </w:rPr>
      </w:pPr>
    </w:p>
    <w:p>
      <w:pPr>
        <w:ind w:left="340" w:right="100" w:hanging="328"/>
        <w:spacing w:after="0" w:line="275"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Registration Statement (Form S-8 No. 333-191767) pertaining to the 2013 Stock Incentive Plan and Amended and Restated 2007 Stock Incentive Plan, as amended, of Ophthotech Corporation, effective October 16, 2013,</w:t>
      </w:r>
    </w:p>
    <w:p>
      <w:pPr>
        <w:spacing w:after="0" w:line="146" w:lineRule="exact"/>
        <w:rPr>
          <w:sz w:val="20"/>
          <w:szCs w:val="20"/>
          <w:color w:val="auto"/>
        </w:rPr>
      </w:pPr>
    </w:p>
    <w:p>
      <w:pPr>
        <w:ind w:left="340"/>
        <w:spacing w:after="0" w:line="310" w:lineRule="auto"/>
        <w:rPr>
          <w:sz w:val="20"/>
          <w:szCs w:val="20"/>
          <w:color w:val="auto"/>
        </w:rPr>
      </w:pPr>
      <w:r>
        <w:rPr>
          <w:rFonts w:ascii="Arial" w:cs="Arial" w:eastAsia="Arial" w:hAnsi="Arial"/>
          <w:sz w:val="15"/>
          <w:szCs w:val="15"/>
          <w:color w:val="auto"/>
        </w:rPr>
        <w:t>of our reports dated February 28, 2019, with respect to the consolidated financial statements of Ophthotech Corporation, and the effectiveness of internal control over financial reporting of Ophthotech Corporation included in this Annual Report (Form 10-K) of Ophthotech Corporation for the year ended December 31, 2018.</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Iselin, New Jersey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95250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80"/>
          </w:cols>
          <w:pgMar w:left="560" w:top="598" w:right="259" w:bottom="1440" w:gutter="0" w:footer="0" w:header="0"/>
        </w:sectPr>
      </w:pPr>
    </w:p>
    <w:bookmarkStart w:id="150" w:name="page151"/>
    <w:bookmarkEnd w:id="150"/>
    <w:p>
      <w:pPr>
        <w:ind w:left="10540"/>
        <w:spacing w:after="0"/>
        <w:rPr>
          <w:sz w:val="20"/>
          <w:szCs w:val="20"/>
          <w:color w:val="auto"/>
        </w:rPr>
      </w:pPr>
      <w:r>
        <w:rPr>
          <w:rFonts w:ascii="Arial" w:cs="Arial" w:eastAsia="Arial" w:hAnsi="Arial"/>
          <w:sz w:val="15"/>
          <w:szCs w:val="15"/>
          <w:b w:val="1"/>
          <w:bCs w:val="1"/>
          <w:color w:val="auto"/>
        </w:rPr>
        <w:t>Exhibit 31.1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190"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fiscal year ended December 31, 2018 of Ophthotech Corporation;</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right="120" w:hanging="328"/>
        <w:spacing w:after="0" w:line="349" w:lineRule="auto"/>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ind w:left="1300" w:right="180" w:hanging="320"/>
        <w:spacing w:after="0" w:line="261" w:lineRule="auto"/>
        <w:tabs>
          <w:tab w:leader="none" w:pos="13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52" w:lineRule="auto"/>
        <w:tabs>
          <w:tab w:leader="none" w:pos="13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00" w:hanging="320"/>
        <w:spacing w:after="0" w:line="257" w:lineRule="auto"/>
        <w:tabs>
          <w:tab w:leader="none" w:pos="13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6"/>
          <w:szCs w:val="16"/>
          <w:color w:val="auto"/>
        </w:rPr>
      </w:pPr>
    </w:p>
    <w:p>
      <w:pPr>
        <w:ind w:left="1300" w:right="60" w:hanging="320"/>
        <w:spacing w:after="0" w:line="261" w:lineRule="auto"/>
        <w:tabs>
          <w:tab w:leader="none" w:pos="13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60" w:hanging="328"/>
        <w:spacing w:after="0" w:line="275" w:lineRule="auto"/>
        <w:tabs>
          <w:tab w:leader="none" w:pos="698"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320"/>
        <w:spacing w:after="0" w:line="275" w:lineRule="auto"/>
        <w:tabs>
          <w:tab w:leader="none" w:pos="13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480" w:hanging="320"/>
        <w:spacing w:after="0" w:line="275" w:lineRule="auto"/>
        <w:tabs>
          <w:tab w:leader="none" w:pos="13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February 28,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2"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Glenn P. Sblendorio</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151" w:name="page152"/>
    <w:bookmarkEnd w:id="151"/>
    <w:p>
      <w:pPr>
        <w:ind w:left="10540"/>
        <w:spacing w:after="0"/>
        <w:rPr>
          <w:sz w:val="20"/>
          <w:szCs w:val="20"/>
          <w:color w:val="auto"/>
        </w:rPr>
      </w:pPr>
      <w:r>
        <w:rPr>
          <w:rFonts w:ascii="Arial" w:cs="Arial" w:eastAsia="Arial" w:hAnsi="Arial"/>
          <w:sz w:val="15"/>
          <w:szCs w:val="15"/>
          <w:b w:val="1"/>
          <w:bCs w:val="1"/>
          <w:color w:val="auto"/>
        </w:rPr>
        <w:t>Exhibit 31.2</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194"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fiscal year ended December 31, 2018 of Ophthotech Corporation;</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w:t>
      </w:r>
    </w:p>
    <w:p>
      <w:pPr>
        <w:spacing w:after="0" w:line="30"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4"/>
          <w:szCs w:val="14"/>
          <w:color w:val="auto"/>
        </w:rPr>
        <w:t>Rules 13a-15(e) and 15d-15(e)) and internal control over financial reporting (as defined in Exchange Act Rules 13a-15(f) and 15d-15(f)) for the registrant and have:</w:t>
      </w:r>
    </w:p>
    <w:p>
      <w:pPr>
        <w:spacing w:after="0" w:line="203" w:lineRule="exact"/>
        <w:rPr>
          <w:rFonts w:ascii="Arial" w:cs="Arial" w:eastAsia="Arial" w:hAnsi="Arial"/>
          <w:sz w:val="15"/>
          <w:szCs w:val="15"/>
          <w:color w:val="auto"/>
        </w:rPr>
      </w:pPr>
    </w:p>
    <w:p>
      <w:pPr>
        <w:ind w:left="980" w:right="20" w:hanging="324"/>
        <w:spacing w:after="0" w:line="261" w:lineRule="auto"/>
        <w:tabs>
          <w:tab w:leader="none" w:pos="957"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8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500" w:hanging="328"/>
        <w:spacing w:after="0" w:line="275" w:lineRule="auto"/>
        <w:tabs>
          <w:tab w:leader="none" w:pos="65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8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6"/>
          <w:szCs w:val="16"/>
          <w:color w:val="auto"/>
        </w:rPr>
        <w:t>Date: February 28,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F. Carroll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firstLine="324"/>
        <w:spacing w:after="0" w:line="286" w:lineRule="auto"/>
        <w:rPr>
          <w:sz w:val="20"/>
          <w:szCs w:val="20"/>
          <w:color w:val="auto"/>
        </w:rPr>
      </w:pPr>
      <w:r>
        <w:rPr>
          <w:rFonts w:ascii="Arial" w:cs="Arial" w:eastAsia="Arial" w:hAnsi="Arial"/>
          <w:sz w:val="15"/>
          <w:szCs w:val="15"/>
          <w:color w:val="auto"/>
        </w:rPr>
        <w:t>In connection with the Annual Report on Form 10-K of Ophthotech Corporation (the "Company") for the fiscal year ended December 31, 2018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ind w:left="40"/>
        <w:spacing w:after="0"/>
        <w:tabs>
          <w:tab w:leader="none" w:pos="5820" w:val="left"/>
          <w:tab w:leader="none" w:pos="6500" w:val="left"/>
        </w:tabs>
        <w:rPr>
          <w:sz w:val="20"/>
          <w:szCs w:val="20"/>
          <w:color w:val="auto"/>
        </w:rPr>
      </w:pPr>
      <w:r>
        <w:rPr>
          <w:rFonts w:ascii="Arial" w:cs="Arial" w:eastAsia="Arial" w:hAnsi="Arial"/>
          <w:sz w:val="18"/>
          <w:szCs w:val="18"/>
          <w:color w:val="auto"/>
        </w:rPr>
        <w:t>Date: February 28,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31750</wp:posOffset>
            </wp:positionV>
            <wp:extent cx="30956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Glenn P. Sblendorio</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153" w:name="page154"/>
    <w:bookmarkEnd w:id="153"/>
    <w:p>
      <w:pPr>
        <w:jc w:val="right"/>
        <w:spacing w:after="0"/>
        <w:rPr>
          <w:sz w:val="20"/>
          <w:szCs w:val="20"/>
          <w:color w:val="auto"/>
        </w:rPr>
      </w:pPr>
      <w:r>
        <w:rPr>
          <w:rFonts w:ascii="Arial" w:cs="Arial" w:eastAsia="Arial" w:hAnsi="Arial"/>
          <w:sz w:val="16"/>
          <w:szCs w:val="16"/>
          <w:b w:val="1"/>
          <w:bCs w:val="1"/>
          <w:color w:val="auto"/>
        </w:rPr>
        <w:t>Exhibit 32.2</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In connection with the Annual Report on Form 10-K of Ophthotech Corporation (the "Company") for the fiscal year ended December 31, 2018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56" w:lineRule="exact"/>
        <w:rPr>
          <w:sz w:val="20"/>
          <w:szCs w:val="20"/>
          <w:color w:val="auto"/>
        </w:rPr>
      </w:pPr>
    </w:p>
    <w:p>
      <w:pPr>
        <w:ind w:left="640" w:hanging="308"/>
        <w:spacing w:after="0"/>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ind w:left="40"/>
        <w:spacing w:after="0"/>
        <w:tabs>
          <w:tab w:leader="none" w:pos="5960" w:val="left"/>
          <w:tab w:leader="none" w:pos="6640" w:val="left"/>
        </w:tabs>
        <w:rPr>
          <w:sz w:val="20"/>
          <w:szCs w:val="20"/>
          <w:color w:val="auto"/>
        </w:rPr>
      </w:pPr>
      <w:r>
        <w:rPr>
          <w:rFonts w:ascii="Arial" w:cs="Arial" w:eastAsia="Arial" w:hAnsi="Arial"/>
          <w:sz w:val="16"/>
          <w:szCs w:val="16"/>
          <w:color w:val="auto"/>
        </w:rPr>
        <w:t>Date: February 28,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46355</wp:posOffset>
            </wp:positionV>
            <wp:extent cx="30359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David F. Carroll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80"/>
      </w:cols>
      <w:pgMar w:left="240" w:top="81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o"/>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lvl w:ilvl="1">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lvl w:ilvl="1">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
      <w:numFmt w:val="bullet"/>
      <w:start w:val="1"/>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1."/>
      <w:numFmt w:val="decimal"/>
      <w:start w:val="2"/>
    </w:lvl>
    <w:lvl w:ilvl="1">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1."/>
      <w:numFmt w:val="decimal"/>
      <w:start w:val="6"/>
    </w:lvl>
    <w:lvl w:ilvl="1">
      <w:lvlJc w:val="left"/>
      <w:lvlText w:val="•"/>
      <w:numFmt w:val="bullet"/>
      <w:start w:val="1"/>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50" Type="http://schemas.openxmlformats.org/officeDocument/2006/relationships/image" Target="media/image10.png"/><Relationship Id="rId51" Type="http://schemas.openxmlformats.org/officeDocument/2006/relationships/image" Target="media/image11.png"/><Relationship Id="rId52" Type="http://schemas.openxmlformats.org/officeDocument/2006/relationships/image" Target="media/image12.png"/><Relationship Id="rId53" Type="http://schemas.openxmlformats.org/officeDocument/2006/relationships/image" Target="media/image13.png"/><Relationship Id="rId54" Type="http://schemas.openxmlformats.org/officeDocument/2006/relationships/image" Target="media/image14.png"/><Relationship Id="rId55" Type="http://schemas.openxmlformats.org/officeDocument/2006/relationships/image" Target="media/image15.png"/><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png"/><Relationship Id="rId59" Type="http://schemas.openxmlformats.org/officeDocument/2006/relationships/image" Target="media/image19.png"/><Relationship Id="rId60" Type="http://schemas.openxmlformats.org/officeDocument/2006/relationships/image" Target="media/image20.png"/><Relationship Id="rId61" Type="http://schemas.openxmlformats.org/officeDocument/2006/relationships/image" Target="media/image21.png"/><Relationship Id="rId62" Type="http://schemas.openxmlformats.org/officeDocument/2006/relationships/image" Target="media/image22.png"/><Relationship Id="rId63" Type="http://schemas.openxmlformats.org/officeDocument/2006/relationships/image" Target="media/image23.png"/><Relationship Id="rId64" Type="http://schemas.openxmlformats.org/officeDocument/2006/relationships/image" Target="media/image24.png"/><Relationship Id="rId65" Type="http://schemas.openxmlformats.org/officeDocument/2006/relationships/image" Target="media/image25.png"/><Relationship Id="rId66" Type="http://schemas.openxmlformats.org/officeDocument/2006/relationships/image" Target="media/image26.png"/><Relationship Id="rId67" Type="http://schemas.openxmlformats.org/officeDocument/2006/relationships/image" Target="media/image27.png"/><Relationship Id="rId68" Type="http://schemas.openxmlformats.org/officeDocument/2006/relationships/image" Target="media/image28.png"/><Relationship Id="rId69" Type="http://schemas.openxmlformats.org/officeDocument/2006/relationships/image" Target="media/image29.png"/><Relationship Id="rId70" Type="http://schemas.openxmlformats.org/officeDocument/2006/relationships/image" Target="media/image30.png"/><Relationship Id="rId71" Type="http://schemas.openxmlformats.org/officeDocument/2006/relationships/image" Target="media/image31.png"/><Relationship Id="rId72" Type="http://schemas.openxmlformats.org/officeDocument/2006/relationships/image" Target="media/image32.png"/><Relationship Id="rId73" Type="http://schemas.openxmlformats.org/officeDocument/2006/relationships/image" Target="media/image33.png"/><Relationship Id="rId74" Type="http://schemas.openxmlformats.org/officeDocument/2006/relationships/image" Target="media/image34.png"/><Relationship Id="rId75" Type="http://schemas.openxmlformats.org/officeDocument/2006/relationships/image" Target="media/image35.png"/><Relationship Id="rId76" Type="http://schemas.openxmlformats.org/officeDocument/2006/relationships/image" Target="media/image36.png"/><Relationship Id="rId77" Type="http://schemas.openxmlformats.org/officeDocument/2006/relationships/image" Target="media/image37.png"/><Relationship Id="rId78" Type="http://schemas.openxmlformats.org/officeDocument/2006/relationships/image" Target="media/image38.png"/><Relationship Id="rId79" Type="http://schemas.openxmlformats.org/officeDocument/2006/relationships/image" Target="media/image39.png"/><Relationship Id="rId80" Type="http://schemas.openxmlformats.org/officeDocument/2006/relationships/image" Target="media/image40.png"/><Relationship Id="rId81"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17" Type="http://schemas.openxmlformats.org/officeDocument/2006/relationships/hyperlink" Target="http://www.sec.gov/Archives/edgar/data/1410939/000110465918064869/a18-38248_1ex2d1.htm" TargetMode="External"/><Relationship Id="rId18" Type="http://schemas.openxmlformats.org/officeDocument/2006/relationships/hyperlink" Target="http://www.sec.gov/Archives/edgar/data/1410939/000119312513360785/d560505dex33.htm" TargetMode="External"/><Relationship Id="rId19" Type="http://schemas.openxmlformats.org/officeDocument/2006/relationships/hyperlink" Target="http://www.sec.gov/Archives/edgar/data/1410939/000119312513360785/d560505dex34.htm" TargetMode="External"/><Relationship Id="rId20" Type="http://schemas.openxmlformats.org/officeDocument/2006/relationships/hyperlink" Target="http://www.sec.gov/Archives/edgar/data/1410939/000119312513360785/d560505dex41.htm" TargetMode="External"/><Relationship Id="rId21" Type="http://schemas.openxmlformats.org/officeDocument/2006/relationships/hyperlink" Target="http://www.sec.gov/Archives/edgar/data/1410939/000119312513336689/d560505dex101.htm" TargetMode="External"/><Relationship Id="rId22" Type="http://schemas.openxmlformats.org/officeDocument/2006/relationships/hyperlink" Target="http://www.sec.gov/Archives/edgar/data/1410939/000119312513336689/d560505dex102.htm" TargetMode="External"/><Relationship Id="rId23" Type="http://schemas.openxmlformats.org/officeDocument/2006/relationships/hyperlink" Target="http://www.sec.gov/Archives/edgar/data/1410939/000119312513336689/d560505dex103.htm" TargetMode="External"/><Relationship Id="rId24" Type="http://schemas.openxmlformats.org/officeDocument/2006/relationships/hyperlink" Target="http://www.sec.gov/Archives/edgar/data/1410939/000104746915001507/a2223280zex-10_4.htm" TargetMode="External"/><Relationship Id="rId25" Type="http://schemas.openxmlformats.org/officeDocument/2006/relationships/hyperlink" Target="http://www.sec.gov/Archives/edgar/data/1410939/000110465915058291/a15-11945_1ex10d1.htm" TargetMode="External"/><Relationship Id="rId26" Type="http://schemas.openxmlformats.org/officeDocument/2006/relationships/hyperlink" Target="http://www.sec.gov/Archives/edgar/data/1410939/000119312513360785/d560505dex105.htm" TargetMode="External"/><Relationship Id="rId27" Type="http://schemas.openxmlformats.org/officeDocument/2006/relationships/hyperlink" Target="http://www.sec.gov/Archives/edgar/data/1410939/000119312513360785/d560505dex106.htm" TargetMode="External"/><Relationship Id="rId28" Type="http://schemas.openxmlformats.org/officeDocument/2006/relationships/hyperlink" Target="http://www.sec.gov/Archives/edgar/data/1410939/000104746915001507/a2223280zex-10_7.htm" TargetMode="External"/><Relationship Id="rId29" Type="http://schemas.openxmlformats.org/officeDocument/2006/relationships/hyperlink" Target="http://www.sec.gov/Archives/edgar/data/1410939/000110465916126161/a16-13043_1ex99d1.htm" TargetMode="External"/><Relationship Id="rId30" Type="http://schemas.openxmlformats.org/officeDocument/2006/relationships/hyperlink" Target="http://www.sec.gov/Archives/edgar/data/1410939/000141093918000013/exhibit10_11xophthotechxfi.htm" TargetMode="External"/><Relationship Id="rId31" Type="http://schemas.openxmlformats.org/officeDocument/2006/relationships/hyperlink" Target="http://www.sec.gov/Archives/edgar/data/1410939/000141093918000047/a103ophthotechsixthamendme.htm" TargetMode="External"/><Relationship Id="rId32" Type="http://schemas.openxmlformats.org/officeDocument/2006/relationships/hyperlink" Target="http://www.sec.gov/Archives/edgar/data/1410939/000119312513336689/d560505dex1011.htm" TargetMode="External"/><Relationship Id="rId33" Type="http://schemas.openxmlformats.org/officeDocument/2006/relationships/hyperlink" Target="http://www.sec.gov/Archives/edgar/data/1410939/000141093918000047/a101ophthotechuniversityof.htm" TargetMode="External"/><Relationship Id="rId34" Type="http://schemas.openxmlformats.org/officeDocument/2006/relationships/hyperlink" Target="http://www.sec.gov/Archives/edgar/data/1410939/000141093918000047/a102ophthotechpennmastersp.htm" TargetMode="External"/><Relationship Id="rId35" Type="http://schemas.openxmlformats.org/officeDocument/2006/relationships/hyperlink" Target="http://www.sec.gov/Archives/edgar/data/1410939/000162828017001894/opht12312016exhibit1038.htm" TargetMode="External"/><Relationship Id="rId36" Type="http://schemas.openxmlformats.org/officeDocument/2006/relationships/hyperlink" Target="http://www.sec.gov/Archives/edgar/data/1410939/000110465918064869/a18-38248_1ex10d1.htm" TargetMode="External"/><Relationship Id="rId37" Type="http://schemas.openxmlformats.org/officeDocument/2006/relationships/hyperlink" Target="http://www.sec.gov/Archives/edgar/data/1410939/000119312513360785/d560505dex1014.htm" TargetMode="External"/><Relationship Id="rId38" Type="http://schemas.openxmlformats.org/officeDocument/2006/relationships/hyperlink" Target="http://www.sec.gov/Archives/edgar/data/1410939/000110465915036833/a15-7161_1ex10d2.htm" TargetMode="External"/><Relationship Id="rId39" Type="http://schemas.openxmlformats.org/officeDocument/2006/relationships/hyperlink" Target="http://www.sec.gov/Archives/edgar/data/1410939/000141093917000011/guyeramendment-101.htm" TargetMode="External"/><Relationship Id="rId40" Type="http://schemas.openxmlformats.org/officeDocument/2006/relationships/hyperlink" Target="http://www.sec.gov/Archives/edgar/data/1410939/000141093918000047/a104guyeramendment_5-12x18.htm" TargetMode="External"/><Relationship Id="rId41" Type="http://schemas.openxmlformats.org/officeDocument/2006/relationships/hyperlink" Target="http://www.sec.gov/Archives/edgar/data/1410939/000141093918000047/a105guyeramendment_5-24x18.htm" TargetMode="External"/><Relationship Id="rId42" Type="http://schemas.openxmlformats.org/officeDocument/2006/relationships/hyperlink" Target="http://www.sec.gov/Archives/edgar/data/1410939/000110465916119294/a16-6529_1ex10d1.htm" TargetMode="External"/><Relationship Id="rId43" Type="http://schemas.openxmlformats.org/officeDocument/2006/relationships/hyperlink" Target="http://www.sec.gov/Archives/edgar/data/1410939/000110465916119294/a16-6529_1ex10d2.htm" TargetMode="External"/><Relationship Id="rId44" Type="http://schemas.openxmlformats.org/officeDocument/2006/relationships/hyperlink" Target="http://www.sec.gov/Archives/edgar/data/1410939/000141093917000011/sblendorioamendment-102.htm" TargetMode="External"/><Relationship Id="rId45" Type="http://schemas.openxmlformats.org/officeDocument/2006/relationships/hyperlink" Target="http://www.sec.gov/Archives/edgar/data/1410939/000141093917000011/davidcarrollfinalagreement.htm" TargetMode="External"/><Relationship Id="rId46" Type="http://schemas.openxmlformats.org/officeDocument/2006/relationships/hyperlink" Target="http://www.sec.gov/Archives/edgar/data/1410939/000162828017004784/opht-03312017xex101.htm" TargetMode="External"/><Relationship Id="rId47" Type="http://schemas.openxmlformats.org/officeDocument/2006/relationships/hyperlink" Target="http://www.sec.gov/Archives/edgar/data/1410939/000162828017004784/opht-03312017xex102.htm" TargetMode="External"/><Relationship Id="rId48" Type="http://schemas.openxmlformats.org/officeDocument/2006/relationships/hyperlink" Target="http://www.sec.gov/Archives/edgar/data/1410939/000110465916137636/a16-11623_1ex10d2.htm" TargetMode="External"/><Relationship Id="rId49" Type="http://schemas.openxmlformats.org/officeDocument/2006/relationships/hyperlink" Target="http://www.sec.gov/Archives/edgar/data/1410939/000104746918005356/a2236331zex-1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2019-12-28T15:41:59Z</dcterms:created>
  <dcterms:modified xsi:type="dcterms:W3CDTF">2019-12-28T15:41:59Z</dcterms:modified>
</cp:coreProperties>
</file>